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D0B" w:rsidRPr="00957249" w:rsidRDefault="00164D0B" w:rsidP="00164D0B">
      <w:pPr>
        <w:jc w:val="center"/>
        <w:rPr>
          <w:rFonts w:ascii="Times New Roman" w:hAnsi="Times New Roman"/>
        </w:rPr>
      </w:pPr>
      <w:r w:rsidRPr="00957249">
        <w:rPr>
          <w:rFonts w:ascii="Times New Roman" w:hAnsi="Times New Roman"/>
        </w:rPr>
        <w:t>BEFORE THE WASHINGTON STATE</w:t>
      </w:r>
    </w:p>
    <w:p w:rsidR="00164D0B" w:rsidRPr="00957249" w:rsidRDefault="00164D0B" w:rsidP="00164D0B">
      <w:pPr>
        <w:jc w:val="center"/>
        <w:rPr>
          <w:rFonts w:ascii="Times New Roman" w:hAnsi="Times New Roman"/>
        </w:rPr>
      </w:pPr>
    </w:p>
    <w:p w:rsidR="00164D0B" w:rsidRPr="00957249" w:rsidRDefault="00164D0B" w:rsidP="00164D0B">
      <w:pPr>
        <w:jc w:val="center"/>
        <w:rPr>
          <w:rFonts w:ascii="Times New Roman" w:hAnsi="Times New Roman"/>
        </w:rPr>
      </w:pPr>
      <w:r w:rsidRPr="00957249">
        <w:rPr>
          <w:rFonts w:ascii="Times New Roman" w:hAnsi="Times New Roman"/>
        </w:rPr>
        <w:t>UTILITIES AND TRANSPORTATION COMMISSION</w:t>
      </w:r>
    </w:p>
    <w:p w:rsidR="00164D0B" w:rsidRPr="00957249" w:rsidRDefault="00164D0B" w:rsidP="00164D0B">
      <w:pPr>
        <w:rPr>
          <w:rFonts w:ascii="Times New Roman" w:hAnsi="Times New Roman"/>
        </w:rPr>
      </w:pPr>
    </w:p>
    <w:p w:rsidR="00164D0B" w:rsidRPr="00957249" w:rsidRDefault="00164D0B" w:rsidP="00164D0B">
      <w:pPr>
        <w:rPr>
          <w:rFonts w:ascii="Times New Roman" w:hAnsi="Times New Roman"/>
        </w:rPr>
      </w:pPr>
    </w:p>
    <w:p w:rsidR="00164D0B" w:rsidRPr="00957249" w:rsidRDefault="00164D0B" w:rsidP="00164D0B">
      <w:pPr>
        <w:rPr>
          <w:rFonts w:ascii="Times New Roman" w:hAnsi="Times New Roman"/>
        </w:rPr>
      </w:pPr>
      <w:r w:rsidRPr="00957249">
        <w:rPr>
          <w:rFonts w:ascii="Times New Roman" w:hAnsi="Times New Roman"/>
        </w:rPr>
        <w:t>WASHINGTON UTILITIES AND</w:t>
      </w:r>
      <w:r w:rsidRPr="00957249">
        <w:rPr>
          <w:rFonts w:ascii="Times New Roman" w:hAnsi="Times New Roman"/>
        </w:rPr>
        <w:tab/>
      </w:r>
      <w:r w:rsidRPr="00957249">
        <w:rPr>
          <w:rFonts w:ascii="Times New Roman" w:hAnsi="Times New Roman"/>
        </w:rPr>
        <w:tab/>
        <w:t>)</w:t>
      </w:r>
      <w:r w:rsidRPr="00957249">
        <w:rPr>
          <w:rFonts w:ascii="Times New Roman" w:hAnsi="Times New Roman"/>
        </w:rPr>
        <w:tab/>
        <w:t>DOCKET NO. UE-100749</w:t>
      </w:r>
    </w:p>
    <w:p w:rsidR="00164D0B" w:rsidRPr="00957249" w:rsidRDefault="00164D0B" w:rsidP="00164D0B">
      <w:pPr>
        <w:rPr>
          <w:rFonts w:ascii="Times New Roman" w:hAnsi="Times New Roman"/>
        </w:rPr>
      </w:pPr>
      <w:r w:rsidRPr="00957249">
        <w:rPr>
          <w:rFonts w:ascii="Times New Roman" w:hAnsi="Times New Roman"/>
        </w:rPr>
        <w:t>TRANSPORTATION COMMISSION</w:t>
      </w:r>
      <w:r w:rsidRPr="00957249">
        <w:rPr>
          <w:rFonts w:ascii="Times New Roman" w:hAnsi="Times New Roman"/>
        </w:rPr>
        <w:tab/>
        <w:t>)</w:t>
      </w:r>
    </w:p>
    <w:p w:rsidR="00164D0B" w:rsidRPr="00957249" w:rsidRDefault="00164D0B" w:rsidP="00164D0B">
      <w:pPr>
        <w:rPr>
          <w:rFonts w:ascii="Times New Roman" w:hAnsi="Times New Roman"/>
        </w:rPr>
      </w:pP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t>)</w:t>
      </w:r>
    </w:p>
    <w:p w:rsidR="00164D0B" w:rsidRPr="00957249" w:rsidRDefault="00164D0B" w:rsidP="00164D0B">
      <w:pPr>
        <w:rPr>
          <w:rFonts w:ascii="Times New Roman" w:hAnsi="Times New Roman"/>
        </w:rPr>
      </w:pPr>
      <w:r w:rsidRPr="00957249">
        <w:rPr>
          <w:rFonts w:ascii="Times New Roman" w:hAnsi="Times New Roman"/>
        </w:rPr>
        <w:tab/>
      </w:r>
      <w:r w:rsidRPr="00957249">
        <w:rPr>
          <w:rFonts w:ascii="Times New Roman" w:hAnsi="Times New Roman"/>
        </w:rPr>
        <w:tab/>
      </w:r>
      <w:r w:rsidRPr="00957249">
        <w:rPr>
          <w:rFonts w:ascii="Times New Roman" w:hAnsi="Times New Roman"/>
        </w:rPr>
        <w:tab/>
        <w:t>Complainant,</w:t>
      </w:r>
      <w:r w:rsidRPr="00957249">
        <w:rPr>
          <w:rFonts w:ascii="Times New Roman" w:hAnsi="Times New Roman"/>
        </w:rPr>
        <w:tab/>
      </w:r>
      <w:r w:rsidRPr="00957249">
        <w:rPr>
          <w:rFonts w:ascii="Times New Roman" w:hAnsi="Times New Roman"/>
        </w:rPr>
        <w:tab/>
        <w:t>)</w:t>
      </w:r>
      <w:r w:rsidRPr="00957249">
        <w:rPr>
          <w:rFonts w:ascii="Times New Roman" w:hAnsi="Times New Roman"/>
        </w:rPr>
        <w:tab/>
      </w:r>
    </w:p>
    <w:p w:rsidR="00164D0B" w:rsidRPr="00957249" w:rsidRDefault="00164D0B" w:rsidP="00164D0B">
      <w:pPr>
        <w:rPr>
          <w:rFonts w:ascii="Times New Roman" w:hAnsi="Times New Roman"/>
        </w:rPr>
      </w:pP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t>)</w:t>
      </w:r>
      <w:r w:rsidRPr="00957249">
        <w:rPr>
          <w:rFonts w:ascii="Times New Roman" w:hAnsi="Times New Roman"/>
        </w:rPr>
        <w:tab/>
      </w:r>
    </w:p>
    <w:p w:rsidR="00164D0B" w:rsidRPr="00957249" w:rsidRDefault="00164D0B" w:rsidP="00164D0B">
      <w:pPr>
        <w:rPr>
          <w:rFonts w:ascii="Times New Roman" w:hAnsi="Times New Roman"/>
        </w:rPr>
      </w:pPr>
      <w:proofErr w:type="gramStart"/>
      <w:r w:rsidRPr="00957249">
        <w:rPr>
          <w:rFonts w:ascii="Times New Roman" w:hAnsi="Times New Roman"/>
        </w:rPr>
        <w:t>v</w:t>
      </w:r>
      <w:proofErr w:type="gramEnd"/>
      <w:r w:rsidRPr="00957249">
        <w:rPr>
          <w:rFonts w:ascii="Times New Roman" w:hAnsi="Times New Roman"/>
        </w:rPr>
        <w:t>.</w:t>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t>)</w:t>
      </w:r>
    </w:p>
    <w:p w:rsidR="00164D0B" w:rsidRPr="00957249" w:rsidRDefault="00164D0B" w:rsidP="00164D0B">
      <w:pPr>
        <w:rPr>
          <w:rFonts w:ascii="Times New Roman" w:hAnsi="Times New Roman"/>
        </w:rPr>
      </w:pP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t>)</w:t>
      </w:r>
    </w:p>
    <w:p w:rsidR="00164D0B" w:rsidRPr="00957249" w:rsidRDefault="00164D0B" w:rsidP="00164D0B">
      <w:pPr>
        <w:rPr>
          <w:rFonts w:ascii="Times New Roman" w:hAnsi="Times New Roman"/>
        </w:rPr>
      </w:pPr>
      <w:r w:rsidRPr="00957249">
        <w:rPr>
          <w:rFonts w:ascii="Times New Roman" w:hAnsi="Times New Roman"/>
        </w:rPr>
        <w:t>PACIFICORP d/b/a/ PACIFIC POWER &amp;</w:t>
      </w:r>
      <w:r w:rsidRPr="00957249">
        <w:rPr>
          <w:rFonts w:ascii="Times New Roman" w:hAnsi="Times New Roman"/>
        </w:rPr>
        <w:tab/>
        <w:t>)</w:t>
      </w:r>
    </w:p>
    <w:p w:rsidR="00164D0B" w:rsidRPr="00957249" w:rsidRDefault="00164D0B" w:rsidP="00164D0B">
      <w:pPr>
        <w:rPr>
          <w:rFonts w:ascii="Times New Roman" w:hAnsi="Times New Roman"/>
        </w:rPr>
      </w:pPr>
      <w:r w:rsidRPr="00957249">
        <w:rPr>
          <w:rFonts w:ascii="Times New Roman" w:hAnsi="Times New Roman"/>
        </w:rPr>
        <w:t>LIGHT COMPANY</w:t>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t>)</w:t>
      </w:r>
    </w:p>
    <w:p w:rsidR="00164D0B" w:rsidRPr="00957249" w:rsidRDefault="00164D0B" w:rsidP="00164D0B">
      <w:pPr>
        <w:rPr>
          <w:rFonts w:ascii="Times New Roman" w:hAnsi="Times New Roman"/>
        </w:rPr>
      </w:pP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t>)</w:t>
      </w:r>
    </w:p>
    <w:p w:rsidR="00164D0B" w:rsidRPr="00957249" w:rsidRDefault="00164D0B" w:rsidP="00164D0B">
      <w:pPr>
        <w:rPr>
          <w:rFonts w:ascii="Times New Roman" w:hAnsi="Times New Roman"/>
        </w:rPr>
      </w:pPr>
      <w:r w:rsidRPr="00957249">
        <w:rPr>
          <w:rFonts w:ascii="Times New Roman" w:hAnsi="Times New Roman"/>
        </w:rPr>
        <w:tab/>
      </w:r>
      <w:r w:rsidRPr="00957249">
        <w:rPr>
          <w:rFonts w:ascii="Times New Roman" w:hAnsi="Times New Roman"/>
        </w:rPr>
        <w:tab/>
      </w:r>
      <w:r w:rsidRPr="00957249">
        <w:rPr>
          <w:rFonts w:ascii="Times New Roman" w:hAnsi="Times New Roman"/>
        </w:rPr>
        <w:tab/>
      </w:r>
      <w:proofErr w:type="gramStart"/>
      <w:r w:rsidRPr="00957249">
        <w:rPr>
          <w:rFonts w:ascii="Times New Roman" w:hAnsi="Times New Roman"/>
        </w:rPr>
        <w:t>Respondent.</w:t>
      </w:r>
      <w:proofErr w:type="gramEnd"/>
      <w:r w:rsidRPr="00957249">
        <w:rPr>
          <w:rFonts w:ascii="Times New Roman" w:hAnsi="Times New Roman"/>
        </w:rPr>
        <w:tab/>
      </w:r>
      <w:r w:rsidRPr="00957249">
        <w:rPr>
          <w:rFonts w:ascii="Times New Roman" w:hAnsi="Times New Roman"/>
        </w:rPr>
        <w:tab/>
        <w:t>)</w:t>
      </w:r>
    </w:p>
    <w:p w:rsidR="00164D0B" w:rsidRPr="00957249" w:rsidRDefault="00164D0B" w:rsidP="00164D0B">
      <w:pPr>
        <w:rPr>
          <w:rFonts w:ascii="Times New Roman" w:hAnsi="Times New Roman"/>
        </w:rPr>
      </w:pPr>
      <w:r w:rsidRPr="00957249">
        <w:rPr>
          <w:rFonts w:ascii="Times New Roman" w:hAnsi="Times New Roman"/>
        </w:rPr>
        <w:t>. . . . . . . . . . . . . . . . . . . . . . . . . . . . . . . . . . . . )</w:t>
      </w:r>
    </w:p>
    <w:p w:rsidR="00164D0B" w:rsidRPr="00957249" w:rsidRDefault="00164D0B" w:rsidP="00164D0B">
      <w:pPr>
        <w:pStyle w:val="Title"/>
        <w:jc w:val="left"/>
        <w:rPr>
          <w:b w:val="0"/>
          <w:szCs w:val="26"/>
        </w:rPr>
      </w:pPr>
    </w:p>
    <w:p w:rsidR="00164D0B" w:rsidRPr="00957249" w:rsidRDefault="00164D0B" w:rsidP="00164D0B">
      <w:pPr>
        <w:autoSpaceDE w:val="0"/>
        <w:autoSpaceDN w:val="0"/>
        <w:adjustRightInd w:val="0"/>
        <w:rPr>
          <w:rFonts w:ascii="Times New Roman" w:hAnsi="Times New Roman"/>
        </w:rPr>
      </w:pPr>
    </w:p>
    <w:p w:rsidR="00164D0B" w:rsidRPr="00957249" w:rsidRDefault="00164D0B" w:rsidP="00164D0B">
      <w:pPr>
        <w:autoSpaceDE w:val="0"/>
        <w:autoSpaceDN w:val="0"/>
        <w:adjustRightInd w:val="0"/>
        <w:rPr>
          <w:rFonts w:ascii="Times New Roman" w:hAnsi="Times New Roman"/>
          <w:bCs/>
        </w:rPr>
      </w:pPr>
    </w:p>
    <w:p w:rsidR="00164D0B" w:rsidRPr="00957249" w:rsidRDefault="00942958" w:rsidP="00164D0B">
      <w:pPr>
        <w:autoSpaceDE w:val="0"/>
        <w:autoSpaceDN w:val="0"/>
        <w:adjustRightInd w:val="0"/>
        <w:jc w:val="center"/>
        <w:rPr>
          <w:rFonts w:ascii="Times New Roman" w:hAnsi="Times New Roman"/>
          <w:bCs/>
        </w:rPr>
      </w:pPr>
      <w:r w:rsidRPr="00957249">
        <w:rPr>
          <w:rFonts w:ascii="Times New Roman" w:hAnsi="Times New Roman"/>
          <w:bCs/>
        </w:rPr>
        <w:t>REPLY BRIEF</w:t>
      </w:r>
      <w:r w:rsidR="00164D0B" w:rsidRPr="00957249">
        <w:rPr>
          <w:rFonts w:ascii="Times New Roman" w:hAnsi="Times New Roman"/>
          <w:bCs/>
        </w:rPr>
        <w:t xml:space="preserve"> OF</w:t>
      </w:r>
    </w:p>
    <w:p w:rsidR="00164D0B" w:rsidRPr="00957249" w:rsidRDefault="00164D0B" w:rsidP="00164D0B">
      <w:pPr>
        <w:autoSpaceDE w:val="0"/>
        <w:autoSpaceDN w:val="0"/>
        <w:adjustRightInd w:val="0"/>
        <w:jc w:val="center"/>
        <w:rPr>
          <w:rFonts w:ascii="Times New Roman" w:hAnsi="Times New Roman"/>
          <w:bCs/>
        </w:rPr>
      </w:pPr>
      <w:r w:rsidRPr="00957249">
        <w:rPr>
          <w:rFonts w:ascii="Times New Roman" w:hAnsi="Times New Roman"/>
          <w:bCs/>
        </w:rPr>
        <w:t>THE ENERGY PROJECT</w:t>
      </w:r>
    </w:p>
    <w:p w:rsidR="00164D0B" w:rsidRPr="00957249" w:rsidRDefault="00164D0B" w:rsidP="00164D0B">
      <w:pPr>
        <w:autoSpaceDE w:val="0"/>
        <w:autoSpaceDN w:val="0"/>
        <w:adjustRightInd w:val="0"/>
        <w:ind w:right="-720"/>
        <w:rPr>
          <w:rFonts w:ascii="Times New Roman" w:hAnsi="Times New Roman"/>
          <w:bCs/>
        </w:rPr>
      </w:pPr>
    </w:p>
    <w:p w:rsidR="00164D0B" w:rsidRPr="00957249" w:rsidRDefault="00164D0B" w:rsidP="00164D0B">
      <w:pPr>
        <w:rPr>
          <w:rFonts w:ascii="Times New Roman" w:hAnsi="Times New Roman"/>
          <w:bCs/>
        </w:rPr>
      </w:pPr>
      <w:r w:rsidRPr="00957249">
        <w:rPr>
          <w:rFonts w:ascii="Times New Roman" w:hAnsi="Times New Roman"/>
          <w:bCs/>
        </w:rPr>
        <w:br w:type="page"/>
      </w:r>
    </w:p>
    <w:p w:rsidR="00942958" w:rsidRPr="00957249" w:rsidRDefault="00164D0B" w:rsidP="005E7A6D">
      <w:pPr>
        <w:autoSpaceDE w:val="0"/>
        <w:autoSpaceDN w:val="0"/>
        <w:adjustRightInd w:val="0"/>
        <w:spacing w:line="480" w:lineRule="auto"/>
        <w:jc w:val="center"/>
        <w:rPr>
          <w:rFonts w:ascii="Times New Roman" w:hAnsi="Times New Roman"/>
          <w:b/>
          <w:bCs/>
        </w:rPr>
      </w:pPr>
      <w:r w:rsidRPr="00957249">
        <w:rPr>
          <w:rFonts w:ascii="Times New Roman" w:hAnsi="Times New Roman"/>
          <w:b/>
          <w:bCs/>
        </w:rPr>
        <w:lastRenderedPageBreak/>
        <w:t>I.</w:t>
      </w:r>
      <w:r w:rsidRPr="00957249">
        <w:rPr>
          <w:rFonts w:ascii="Times New Roman" w:hAnsi="Times New Roman"/>
          <w:b/>
          <w:bCs/>
        </w:rPr>
        <w:tab/>
        <w:t>INTRODUCTION</w:t>
      </w:r>
    </w:p>
    <w:p w:rsidR="008C66EE" w:rsidRDefault="008652D4" w:rsidP="005E7A6D">
      <w:pPr>
        <w:autoSpaceDE w:val="0"/>
        <w:autoSpaceDN w:val="0"/>
        <w:adjustRightInd w:val="0"/>
        <w:spacing w:line="480" w:lineRule="auto"/>
        <w:rPr>
          <w:rFonts w:ascii="Times New Roman" w:hAnsi="Times New Roman"/>
          <w:bCs/>
        </w:rPr>
      </w:pPr>
      <w:r w:rsidRPr="00957249">
        <w:rPr>
          <w:rFonts w:ascii="Times New Roman" w:hAnsi="Times New Roman"/>
          <w:bCs/>
        </w:rPr>
        <w:tab/>
        <w:t xml:space="preserve">Only PPL and Staff addressed issues pertinent </w:t>
      </w:r>
      <w:r w:rsidR="00A4038F" w:rsidRPr="00957249">
        <w:rPr>
          <w:rFonts w:ascii="Times New Roman" w:hAnsi="Times New Roman"/>
          <w:bCs/>
        </w:rPr>
        <w:t xml:space="preserve">and contrary </w:t>
      </w:r>
      <w:r w:rsidRPr="00957249">
        <w:rPr>
          <w:rFonts w:ascii="Times New Roman" w:hAnsi="Times New Roman"/>
          <w:bCs/>
        </w:rPr>
        <w:t>to the Energy Project</w:t>
      </w:r>
      <w:r w:rsidR="00A4038F" w:rsidRPr="00957249">
        <w:rPr>
          <w:rFonts w:ascii="Times New Roman" w:hAnsi="Times New Roman"/>
          <w:bCs/>
        </w:rPr>
        <w:t>’s position</w:t>
      </w:r>
      <w:r w:rsidRPr="00957249">
        <w:rPr>
          <w:rFonts w:ascii="Times New Roman" w:hAnsi="Times New Roman"/>
          <w:bCs/>
        </w:rPr>
        <w:t xml:space="preserve"> and involvement in this case</w:t>
      </w:r>
      <w:r w:rsidR="008C66EE">
        <w:rPr>
          <w:rFonts w:ascii="Times New Roman" w:hAnsi="Times New Roman"/>
          <w:bCs/>
        </w:rPr>
        <w:t>.  Staff’s</w:t>
      </w:r>
      <w:r w:rsidR="00CA44F0">
        <w:rPr>
          <w:rFonts w:ascii="Times New Roman" w:hAnsi="Times New Roman"/>
          <w:bCs/>
        </w:rPr>
        <w:t xml:space="preserve"> relevant briefing</w:t>
      </w:r>
      <w:r w:rsidR="008C66EE">
        <w:rPr>
          <w:rFonts w:ascii="Times New Roman" w:hAnsi="Times New Roman"/>
          <w:bCs/>
        </w:rPr>
        <w:t xml:space="preserve"> consists of a few pages containing nothing but criticisms of the Energy Project’s positions taken in this case</w:t>
      </w:r>
      <w:r w:rsidR="00CA44F0">
        <w:rPr>
          <w:rFonts w:ascii="Times New Roman" w:hAnsi="Times New Roman"/>
          <w:bCs/>
        </w:rPr>
        <w:t xml:space="preserve"> and</w:t>
      </w:r>
      <w:r w:rsidR="008C66EE">
        <w:rPr>
          <w:rFonts w:ascii="Times New Roman" w:hAnsi="Times New Roman"/>
          <w:bCs/>
        </w:rPr>
        <w:t xml:space="preserve"> offering </w:t>
      </w:r>
      <w:r w:rsidR="00CA44F0">
        <w:rPr>
          <w:rFonts w:ascii="Times New Roman" w:hAnsi="Times New Roman"/>
          <w:bCs/>
        </w:rPr>
        <w:t xml:space="preserve">little if </w:t>
      </w:r>
      <w:r w:rsidR="008C66EE">
        <w:rPr>
          <w:rFonts w:ascii="Times New Roman" w:hAnsi="Times New Roman"/>
          <w:bCs/>
        </w:rPr>
        <w:t>any evidentiary support to challenge those positions.  The only issue Staff substantively addresses is whether this Commission has the authority to rule on the Energy Project’s request for increased weatherization funding.</w:t>
      </w:r>
    </w:p>
    <w:p w:rsidR="008C66EE" w:rsidRDefault="008C66EE" w:rsidP="005E7A6D">
      <w:pPr>
        <w:autoSpaceDE w:val="0"/>
        <w:autoSpaceDN w:val="0"/>
        <w:adjustRightInd w:val="0"/>
        <w:spacing w:line="480" w:lineRule="auto"/>
        <w:rPr>
          <w:rFonts w:ascii="Times New Roman" w:hAnsi="Times New Roman"/>
          <w:bCs/>
        </w:rPr>
      </w:pPr>
      <w:r>
        <w:rPr>
          <w:rFonts w:ascii="Times New Roman" w:hAnsi="Times New Roman"/>
          <w:bCs/>
        </w:rPr>
        <w:tab/>
      </w:r>
      <w:r w:rsidR="00CA44F0">
        <w:rPr>
          <w:rFonts w:ascii="Times New Roman" w:hAnsi="Times New Roman"/>
          <w:bCs/>
        </w:rPr>
        <w:t xml:space="preserve">PPL and Staff carry the burden of proof to support their proposal to eliminate 50% of LIBA certifications.  </w:t>
      </w:r>
      <w:r>
        <w:rPr>
          <w:rFonts w:ascii="Times New Roman" w:hAnsi="Times New Roman"/>
          <w:bCs/>
        </w:rPr>
        <w:t xml:space="preserve">PPL’s brief consists of only </w:t>
      </w:r>
      <w:r w:rsidR="00CA44F0">
        <w:rPr>
          <w:rFonts w:ascii="Times New Roman" w:hAnsi="Times New Roman"/>
          <w:bCs/>
        </w:rPr>
        <w:t xml:space="preserve">two </w:t>
      </w:r>
      <w:r>
        <w:rPr>
          <w:rFonts w:ascii="Times New Roman" w:hAnsi="Times New Roman"/>
          <w:bCs/>
        </w:rPr>
        <w:t>relevant paragraphs offering little more than the brief’s Table of Contents.  PPL offered no argument that the Commission lacks authority to rule on low-income weatherization</w:t>
      </w:r>
      <w:r w:rsidR="00453A27">
        <w:rPr>
          <w:rFonts w:ascii="Times New Roman" w:hAnsi="Times New Roman"/>
          <w:bCs/>
        </w:rPr>
        <w:t xml:space="preserve"> having</w:t>
      </w:r>
      <w:r>
        <w:rPr>
          <w:rFonts w:ascii="Times New Roman" w:hAnsi="Times New Roman"/>
          <w:bCs/>
        </w:rPr>
        <w:t xml:space="preserve"> apparently not taken Staff’s position on that issue.</w:t>
      </w:r>
    </w:p>
    <w:p w:rsidR="00164D0B" w:rsidRPr="00957249" w:rsidRDefault="00164D0B" w:rsidP="00CA44F0">
      <w:pPr>
        <w:autoSpaceDE w:val="0"/>
        <w:autoSpaceDN w:val="0"/>
        <w:adjustRightInd w:val="0"/>
        <w:spacing w:line="480" w:lineRule="auto"/>
        <w:jc w:val="center"/>
        <w:rPr>
          <w:rFonts w:ascii="Times New Roman" w:hAnsi="Times New Roman"/>
          <w:b/>
          <w:bCs/>
        </w:rPr>
      </w:pPr>
      <w:r w:rsidRPr="00957249">
        <w:rPr>
          <w:rFonts w:ascii="Times New Roman" w:hAnsi="Times New Roman"/>
          <w:b/>
          <w:bCs/>
        </w:rPr>
        <w:t>II.</w:t>
      </w:r>
      <w:r w:rsidRPr="00957249">
        <w:rPr>
          <w:rFonts w:ascii="Times New Roman" w:hAnsi="Times New Roman"/>
          <w:b/>
          <w:bCs/>
        </w:rPr>
        <w:tab/>
        <w:t>ARGUMENT</w:t>
      </w:r>
    </w:p>
    <w:p w:rsidR="005F4232" w:rsidRPr="00957249" w:rsidRDefault="002C73D2" w:rsidP="005E7A6D">
      <w:pPr>
        <w:autoSpaceDE w:val="0"/>
        <w:autoSpaceDN w:val="0"/>
        <w:adjustRightInd w:val="0"/>
        <w:spacing w:line="480" w:lineRule="auto"/>
        <w:rPr>
          <w:rFonts w:ascii="Times New Roman" w:hAnsi="Times New Roman"/>
          <w:b/>
          <w:bCs/>
        </w:rPr>
      </w:pPr>
      <w:r w:rsidRPr="00957249">
        <w:rPr>
          <w:rFonts w:ascii="Times New Roman" w:hAnsi="Times New Roman"/>
          <w:b/>
          <w:bCs/>
        </w:rPr>
        <w:t>A.</w:t>
      </w:r>
      <w:r w:rsidRPr="00957249">
        <w:rPr>
          <w:rFonts w:ascii="Times New Roman" w:hAnsi="Times New Roman"/>
          <w:b/>
          <w:bCs/>
        </w:rPr>
        <w:tab/>
      </w:r>
      <w:r w:rsidR="00E8307C">
        <w:rPr>
          <w:rFonts w:ascii="Times New Roman" w:hAnsi="Times New Roman"/>
          <w:b/>
          <w:bCs/>
        </w:rPr>
        <w:t>Background</w:t>
      </w:r>
    </w:p>
    <w:p w:rsidR="00BD1F46" w:rsidRPr="00957249" w:rsidRDefault="00F913A5" w:rsidP="005E7A6D">
      <w:pPr>
        <w:autoSpaceDE w:val="0"/>
        <w:autoSpaceDN w:val="0"/>
        <w:adjustRightInd w:val="0"/>
        <w:spacing w:line="480" w:lineRule="auto"/>
        <w:rPr>
          <w:rFonts w:ascii="Times New Roman" w:hAnsi="Times New Roman"/>
          <w:bCs/>
        </w:rPr>
      </w:pPr>
      <w:r w:rsidRPr="00957249">
        <w:rPr>
          <w:rFonts w:ascii="Times New Roman" w:hAnsi="Times New Roman"/>
          <w:bCs/>
        </w:rPr>
        <w:tab/>
      </w:r>
      <w:r w:rsidR="00164F07" w:rsidRPr="00957249">
        <w:rPr>
          <w:rFonts w:ascii="Times New Roman" w:hAnsi="Times New Roman"/>
          <w:bCs/>
        </w:rPr>
        <w:t>PPL</w:t>
      </w:r>
      <w:r w:rsidRPr="00957249">
        <w:rPr>
          <w:rFonts w:ascii="Times New Roman" w:hAnsi="Times New Roman"/>
          <w:bCs/>
        </w:rPr>
        <w:t xml:space="preserve"> and Staff consistently and repeatedly state in testimonies and briefing what they </w:t>
      </w:r>
      <w:r w:rsidR="00CA44F0">
        <w:rPr>
          <w:rFonts w:ascii="Times New Roman" w:hAnsi="Times New Roman"/>
          <w:bCs/>
        </w:rPr>
        <w:t>presume</w:t>
      </w:r>
      <w:r w:rsidRPr="00957249">
        <w:rPr>
          <w:rFonts w:ascii="Times New Roman" w:hAnsi="Times New Roman"/>
          <w:bCs/>
        </w:rPr>
        <w:t xml:space="preserve"> the </w:t>
      </w:r>
      <w:r w:rsidR="00164F07" w:rsidRPr="00957249">
        <w:rPr>
          <w:rFonts w:ascii="Times New Roman" w:hAnsi="Times New Roman"/>
          <w:bCs/>
        </w:rPr>
        <w:t xml:space="preserve">community action </w:t>
      </w:r>
      <w:r w:rsidRPr="00957249">
        <w:rPr>
          <w:rFonts w:ascii="Times New Roman" w:hAnsi="Times New Roman"/>
          <w:bCs/>
        </w:rPr>
        <w:t>agencies</w:t>
      </w:r>
      <w:r w:rsidR="00164F07" w:rsidRPr="00957249">
        <w:rPr>
          <w:rFonts w:ascii="Times New Roman" w:hAnsi="Times New Roman"/>
          <w:bCs/>
        </w:rPr>
        <w:t xml:space="preserve"> </w:t>
      </w:r>
      <w:r w:rsidR="00453A27">
        <w:rPr>
          <w:rFonts w:ascii="Times New Roman" w:hAnsi="Times New Roman"/>
          <w:bCs/>
        </w:rPr>
        <w:t>that</w:t>
      </w:r>
      <w:r w:rsidR="00164F07" w:rsidRPr="00957249">
        <w:rPr>
          <w:rFonts w:ascii="Times New Roman" w:hAnsi="Times New Roman"/>
          <w:bCs/>
        </w:rPr>
        <w:t xml:space="preserve"> administer LIBA</w:t>
      </w:r>
      <w:r w:rsidRPr="00957249">
        <w:rPr>
          <w:rFonts w:ascii="Times New Roman" w:hAnsi="Times New Roman"/>
          <w:bCs/>
        </w:rPr>
        <w:t xml:space="preserve"> want or don’t want and what is in their best interests.</w:t>
      </w:r>
      <w:r w:rsidRPr="00957249">
        <w:rPr>
          <w:rStyle w:val="FootnoteReference"/>
          <w:rFonts w:ascii="Times New Roman" w:hAnsi="Times New Roman"/>
          <w:bCs/>
        </w:rPr>
        <w:footnoteReference w:id="1"/>
      </w:r>
      <w:r w:rsidRPr="00957249">
        <w:rPr>
          <w:rFonts w:ascii="Times New Roman" w:hAnsi="Times New Roman"/>
          <w:bCs/>
        </w:rPr>
        <w:t xml:space="preserve">  </w:t>
      </w:r>
      <w:r w:rsidR="00BD1F46">
        <w:rPr>
          <w:rFonts w:ascii="Times New Roman" w:hAnsi="Times New Roman"/>
          <w:bCs/>
        </w:rPr>
        <w:t xml:space="preserve">For example, </w:t>
      </w:r>
      <w:r w:rsidR="00750DBE" w:rsidRPr="00957249">
        <w:rPr>
          <w:rFonts w:ascii="Times New Roman" w:hAnsi="Times New Roman"/>
          <w:bCs/>
        </w:rPr>
        <w:t xml:space="preserve">PPL witness </w:t>
      </w:r>
      <w:proofErr w:type="spellStart"/>
      <w:r w:rsidR="00750DBE" w:rsidRPr="00957249">
        <w:rPr>
          <w:rFonts w:ascii="Times New Roman" w:hAnsi="Times New Roman"/>
          <w:bCs/>
        </w:rPr>
        <w:t>Eberle</w:t>
      </w:r>
      <w:proofErr w:type="spellEnd"/>
      <w:r w:rsidR="00750DBE" w:rsidRPr="00957249">
        <w:rPr>
          <w:rFonts w:ascii="Times New Roman" w:hAnsi="Times New Roman"/>
          <w:bCs/>
        </w:rPr>
        <w:t xml:space="preserve"> </w:t>
      </w:r>
      <w:r w:rsidR="00796E8A" w:rsidRPr="00957249">
        <w:rPr>
          <w:rFonts w:ascii="Times New Roman" w:hAnsi="Times New Roman"/>
          <w:bCs/>
        </w:rPr>
        <w:t>relies heavily on the Toppenish</w:t>
      </w:r>
      <w:r w:rsidR="00750DBE" w:rsidRPr="00957249">
        <w:rPr>
          <w:rFonts w:ascii="Times New Roman" w:hAnsi="Times New Roman"/>
          <w:bCs/>
        </w:rPr>
        <w:t xml:space="preserve"> meeting</w:t>
      </w:r>
      <w:r w:rsidR="00796E8A" w:rsidRPr="00957249">
        <w:rPr>
          <w:rFonts w:ascii="Times New Roman" w:hAnsi="Times New Roman"/>
          <w:bCs/>
        </w:rPr>
        <w:t xml:space="preserve"> perceiving that she obtained a</w:t>
      </w:r>
      <w:r w:rsidR="00750DBE" w:rsidRPr="00957249">
        <w:rPr>
          <w:rFonts w:ascii="Times New Roman" w:hAnsi="Times New Roman"/>
          <w:bCs/>
        </w:rPr>
        <w:t xml:space="preserve"> “consensus” based on personal conversations she purportedly had with agency representatives.</w:t>
      </w:r>
      <w:r w:rsidR="00BD1F46">
        <w:rPr>
          <w:rFonts w:ascii="Times New Roman" w:hAnsi="Times New Roman"/>
          <w:bCs/>
        </w:rPr>
        <w:t xml:space="preserve"> </w:t>
      </w:r>
    </w:p>
    <w:p w:rsidR="009C0C89" w:rsidRPr="00957249" w:rsidRDefault="009C0C89" w:rsidP="005E7A6D">
      <w:pPr>
        <w:autoSpaceDE w:val="0"/>
        <w:autoSpaceDN w:val="0"/>
        <w:adjustRightInd w:val="0"/>
        <w:spacing w:line="480" w:lineRule="auto"/>
        <w:rPr>
          <w:rFonts w:ascii="Times New Roman" w:hAnsi="Times New Roman"/>
          <w:bCs/>
        </w:rPr>
      </w:pPr>
      <w:r w:rsidRPr="00957249">
        <w:rPr>
          <w:rFonts w:ascii="Times New Roman" w:hAnsi="Times New Roman"/>
          <w:bCs/>
        </w:rPr>
        <w:tab/>
        <w:t xml:space="preserve">To the extent the Toppenish meeting is even relevant to this rate case, </w:t>
      </w:r>
      <w:r w:rsidR="00796E8A" w:rsidRPr="00957249">
        <w:rPr>
          <w:rFonts w:ascii="Times New Roman" w:hAnsi="Times New Roman"/>
          <w:bCs/>
        </w:rPr>
        <w:t xml:space="preserve">it </w:t>
      </w:r>
      <w:r w:rsidRPr="00957249">
        <w:rPr>
          <w:rFonts w:ascii="Times New Roman" w:hAnsi="Times New Roman"/>
          <w:bCs/>
        </w:rPr>
        <w:t xml:space="preserve">was an informal meeting held to discuss a number of low-income issues and ideas and did not result in any type </w:t>
      </w:r>
      <w:r w:rsidRPr="00957249">
        <w:rPr>
          <w:rFonts w:ascii="Times New Roman" w:hAnsi="Times New Roman"/>
          <w:bCs/>
        </w:rPr>
        <w:lastRenderedPageBreak/>
        <w:t xml:space="preserve">of </w:t>
      </w:r>
      <w:r w:rsidR="00511D2F" w:rsidRPr="00957249">
        <w:rPr>
          <w:rFonts w:ascii="Times New Roman" w:hAnsi="Times New Roman"/>
          <w:bCs/>
        </w:rPr>
        <w:t xml:space="preserve">formal agreement or </w:t>
      </w:r>
      <w:r w:rsidRPr="00957249">
        <w:rPr>
          <w:rFonts w:ascii="Times New Roman" w:hAnsi="Times New Roman"/>
          <w:bCs/>
        </w:rPr>
        <w:t>“consensus” on any issue</w:t>
      </w:r>
      <w:r w:rsidR="00511D2F" w:rsidRPr="00957249">
        <w:rPr>
          <w:rFonts w:ascii="Times New Roman" w:hAnsi="Times New Roman"/>
          <w:bCs/>
        </w:rPr>
        <w:t xml:space="preserve"> other than what Ms. </w:t>
      </w:r>
      <w:proofErr w:type="spellStart"/>
      <w:r w:rsidR="00511D2F" w:rsidRPr="00957249">
        <w:rPr>
          <w:rFonts w:ascii="Times New Roman" w:hAnsi="Times New Roman"/>
          <w:bCs/>
        </w:rPr>
        <w:t>Eberle</w:t>
      </w:r>
      <w:proofErr w:type="spellEnd"/>
      <w:r w:rsidR="00511D2F" w:rsidRPr="00957249">
        <w:rPr>
          <w:rFonts w:ascii="Times New Roman" w:hAnsi="Times New Roman"/>
          <w:bCs/>
        </w:rPr>
        <w:t xml:space="preserve"> perceived through unrecorded, private sidebar conversations had with select, unnamed individuals purportedly representing the agencies rather than asking for a true consensus from the entire group, including the agencies’ representatives Charles </w:t>
      </w:r>
      <w:proofErr w:type="spellStart"/>
      <w:r w:rsidR="00511D2F" w:rsidRPr="00957249">
        <w:rPr>
          <w:rFonts w:ascii="Times New Roman" w:hAnsi="Times New Roman"/>
          <w:bCs/>
        </w:rPr>
        <w:t>Eberdt</w:t>
      </w:r>
      <w:proofErr w:type="spellEnd"/>
      <w:r w:rsidR="00511D2F" w:rsidRPr="00957249">
        <w:rPr>
          <w:rFonts w:ascii="Times New Roman" w:hAnsi="Times New Roman"/>
          <w:bCs/>
        </w:rPr>
        <w:t xml:space="preserve"> and Michael Karp, simultaneously and in an open and obvious manner</w:t>
      </w:r>
      <w:r w:rsidRPr="00957249">
        <w:rPr>
          <w:rFonts w:ascii="Times New Roman" w:hAnsi="Times New Roman"/>
          <w:bCs/>
        </w:rPr>
        <w:t>.</w:t>
      </w:r>
      <w:r w:rsidR="003968AC">
        <w:rPr>
          <w:rFonts w:ascii="Times New Roman" w:hAnsi="Times New Roman"/>
          <w:bCs/>
        </w:rPr>
        <w:t xml:space="preserve">  This is a very thin thread from which PPL hangs its </w:t>
      </w:r>
      <w:r w:rsidR="00E8307C">
        <w:rPr>
          <w:rFonts w:ascii="Times New Roman" w:hAnsi="Times New Roman"/>
          <w:bCs/>
        </w:rPr>
        <w:t xml:space="preserve">contention that there was “consensus” among the agencies to </w:t>
      </w:r>
      <w:r w:rsidR="003968AC">
        <w:rPr>
          <w:rFonts w:ascii="Times New Roman" w:hAnsi="Times New Roman"/>
          <w:bCs/>
        </w:rPr>
        <w:t>dedicate nearly a third of the proposed LIBA increase to increasing the number of LIBA recipients and, as detailed below, consequently increasing the administrative or implementation costs to the agencies without duly compensating them for those increased costs.</w:t>
      </w:r>
      <w:r w:rsidRPr="00957249">
        <w:rPr>
          <w:rFonts w:ascii="Times New Roman" w:hAnsi="Times New Roman"/>
          <w:bCs/>
        </w:rPr>
        <w:t xml:space="preserve">  </w:t>
      </w:r>
    </w:p>
    <w:p w:rsidR="00B00AC3" w:rsidRPr="00957249" w:rsidRDefault="00F913A5" w:rsidP="005E7A6D">
      <w:pPr>
        <w:autoSpaceDE w:val="0"/>
        <w:autoSpaceDN w:val="0"/>
        <w:adjustRightInd w:val="0"/>
        <w:spacing w:line="480" w:lineRule="auto"/>
        <w:rPr>
          <w:rFonts w:ascii="Times New Roman" w:hAnsi="Times New Roman"/>
          <w:bCs/>
        </w:rPr>
      </w:pPr>
      <w:r w:rsidRPr="00957249">
        <w:rPr>
          <w:rFonts w:ascii="Times New Roman" w:hAnsi="Times New Roman"/>
          <w:bCs/>
        </w:rPr>
        <w:tab/>
      </w:r>
      <w:r w:rsidR="009015BB" w:rsidRPr="00957249">
        <w:rPr>
          <w:rFonts w:ascii="Times New Roman" w:hAnsi="Times New Roman"/>
          <w:bCs/>
        </w:rPr>
        <w:t xml:space="preserve">In proclaiming to have the agencies’ best interests in mind and at heart, </w:t>
      </w:r>
      <w:r w:rsidR="000D125D" w:rsidRPr="00957249">
        <w:rPr>
          <w:rFonts w:ascii="Times New Roman" w:hAnsi="Times New Roman"/>
          <w:bCs/>
        </w:rPr>
        <w:t xml:space="preserve">PPL and Staff have apparently </w:t>
      </w:r>
      <w:r w:rsidRPr="00957249">
        <w:rPr>
          <w:rFonts w:ascii="Times New Roman" w:hAnsi="Times New Roman"/>
          <w:bCs/>
        </w:rPr>
        <w:t>overlook</w:t>
      </w:r>
      <w:r w:rsidR="000D125D" w:rsidRPr="00957249">
        <w:rPr>
          <w:rFonts w:ascii="Times New Roman" w:hAnsi="Times New Roman"/>
          <w:bCs/>
        </w:rPr>
        <w:t>ed</w:t>
      </w:r>
      <w:r w:rsidRPr="00957249">
        <w:rPr>
          <w:rFonts w:ascii="Times New Roman" w:hAnsi="Times New Roman"/>
          <w:bCs/>
        </w:rPr>
        <w:t xml:space="preserve"> the fact that the Energy Project is the duly appointed representative of the </w:t>
      </w:r>
      <w:r w:rsidR="000D125D" w:rsidRPr="00957249">
        <w:rPr>
          <w:rFonts w:ascii="Times New Roman" w:hAnsi="Times New Roman"/>
          <w:bCs/>
        </w:rPr>
        <w:t xml:space="preserve">community action </w:t>
      </w:r>
      <w:r w:rsidRPr="00957249">
        <w:rPr>
          <w:rFonts w:ascii="Times New Roman" w:hAnsi="Times New Roman"/>
          <w:bCs/>
        </w:rPr>
        <w:t xml:space="preserve">agencies for purpose of this proceeding.  Staff and the Company </w:t>
      </w:r>
      <w:r w:rsidR="002F1637" w:rsidRPr="00957249">
        <w:rPr>
          <w:rFonts w:ascii="Times New Roman" w:hAnsi="Times New Roman"/>
          <w:bCs/>
        </w:rPr>
        <w:t xml:space="preserve">are effectively </w:t>
      </w:r>
      <w:r w:rsidR="00312EEF">
        <w:rPr>
          <w:rFonts w:ascii="Times New Roman" w:hAnsi="Times New Roman"/>
          <w:bCs/>
        </w:rPr>
        <w:t>suggesting that there is disparity between the interests of the agencies and the positions taken by the Energy Project</w:t>
      </w:r>
      <w:r w:rsidRPr="00957249">
        <w:rPr>
          <w:rFonts w:ascii="Times New Roman" w:hAnsi="Times New Roman"/>
          <w:bCs/>
        </w:rPr>
        <w:t xml:space="preserve">.  </w:t>
      </w:r>
      <w:r w:rsidR="006938B7" w:rsidRPr="00957249">
        <w:rPr>
          <w:rFonts w:ascii="Times New Roman" w:hAnsi="Times New Roman"/>
          <w:bCs/>
        </w:rPr>
        <w:t>There should be no doubt that t</w:t>
      </w:r>
      <w:r w:rsidRPr="00957249">
        <w:rPr>
          <w:rFonts w:ascii="Times New Roman" w:hAnsi="Times New Roman"/>
          <w:bCs/>
        </w:rPr>
        <w:t>he agencies, through their representative the Energy Project, speak as one voice</w:t>
      </w:r>
      <w:r w:rsidR="006938B7" w:rsidRPr="00957249">
        <w:rPr>
          <w:rFonts w:ascii="Times New Roman" w:hAnsi="Times New Roman"/>
          <w:bCs/>
        </w:rPr>
        <w:t xml:space="preserve"> on the issues addressed in this rate case</w:t>
      </w:r>
      <w:r w:rsidRPr="00957249">
        <w:rPr>
          <w:rFonts w:ascii="Times New Roman" w:hAnsi="Times New Roman"/>
          <w:bCs/>
        </w:rPr>
        <w:t>.</w:t>
      </w:r>
    </w:p>
    <w:p w:rsidR="002C73D2" w:rsidRPr="00957249" w:rsidRDefault="008652D4" w:rsidP="005E7A6D">
      <w:pPr>
        <w:autoSpaceDE w:val="0"/>
        <w:autoSpaceDN w:val="0"/>
        <w:adjustRightInd w:val="0"/>
        <w:spacing w:line="480" w:lineRule="auto"/>
        <w:rPr>
          <w:rFonts w:ascii="Times New Roman" w:hAnsi="Times New Roman"/>
          <w:b/>
          <w:bCs/>
        </w:rPr>
      </w:pPr>
      <w:r w:rsidRPr="00957249">
        <w:rPr>
          <w:rFonts w:ascii="Times New Roman" w:hAnsi="Times New Roman"/>
          <w:b/>
          <w:bCs/>
        </w:rPr>
        <w:t>B.</w:t>
      </w:r>
      <w:r w:rsidRPr="00957249">
        <w:rPr>
          <w:rFonts w:ascii="Times New Roman" w:hAnsi="Times New Roman"/>
          <w:b/>
          <w:bCs/>
        </w:rPr>
        <w:tab/>
      </w:r>
      <w:r w:rsidR="002C73D2" w:rsidRPr="00957249">
        <w:rPr>
          <w:rFonts w:ascii="Times New Roman" w:hAnsi="Times New Roman"/>
          <w:b/>
          <w:bCs/>
        </w:rPr>
        <w:t xml:space="preserve">LIBA </w:t>
      </w:r>
    </w:p>
    <w:p w:rsidR="005E38A5" w:rsidRDefault="00AD59CE" w:rsidP="005E7A6D">
      <w:pPr>
        <w:autoSpaceDE w:val="0"/>
        <w:autoSpaceDN w:val="0"/>
        <w:adjustRightInd w:val="0"/>
        <w:spacing w:line="480" w:lineRule="auto"/>
        <w:rPr>
          <w:rFonts w:ascii="Times New Roman" w:hAnsi="Times New Roman"/>
          <w:bCs/>
        </w:rPr>
      </w:pPr>
      <w:r w:rsidRPr="00957249">
        <w:rPr>
          <w:rFonts w:ascii="Times New Roman" w:hAnsi="Times New Roman"/>
          <w:b/>
          <w:bCs/>
        </w:rPr>
        <w:tab/>
      </w:r>
      <w:r w:rsidR="005E38A5" w:rsidRPr="00957249">
        <w:rPr>
          <w:rFonts w:ascii="Times New Roman" w:hAnsi="Times New Roman"/>
          <w:bCs/>
        </w:rPr>
        <w:t xml:space="preserve">To facilitate </w:t>
      </w:r>
      <w:r w:rsidR="00E8307C">
        <w:rPr>
          <w:rFonts w:ascii="Times New Roman" w:hAnsi="Times New Roman"/>
          <w:bCs/>
        </w:rPr>
        <w:t>analysis</w:t>
      </w:r>
      <w:r w:rsidR="005E38A5" w:rsidRPr="00957249">
        <w:rPr>
          <w:rFonts w:ascii="Times New Roman" w:hAnsi="Times New Roman"/>
          <w:bCs/>
        </w:rPr>
        <w:t xml:space="preserve"> </w:t>
      </w:r>
      <w:r w:rsidRPr="00957249">
        <w:rPr>
          <w:rFonts w:ascii="Times New Roman" w:hAnsi="Times New Roman"/>
          <w:bCs/>
        </w:rPr>
        <w:t xml:space="preserve">and to rebut Staff’s contention that the evidence does not support its position in this case, </w:t>
      </w:r>
      <w:r w:rsidR="005E38A5" w:rsidRPr="00957249">
        <w:rPr>
          <w:rFonts w:ascii="Times New Roman" w:hAnsi="Times New Roman"/>
          <w:bCs/>
        </w:rPr>
        <w:t xml:space="preserve">the Energy Project has broken LIBA issues into separate categories.  </w:t>
      </w:r>
      <w:r w:rsidR="00E8307C">
        <w:rPr>
          <w:rFonts w:ascii="Times New Roman" w:hAnsi="Times New Roman"/>
          <w:bCs/>
        </w:rPr>
        <w:t>There</w:t>
      </w:r>
      <w:r w:rsidR="005E38A5" w:rsidRPr="00957249">
        <w:rPr>
          <w:rFonts w:ascii="Times New Roman" w:hAnsi="Times New Roman"/>
          <w:bCs/>
        </w:rPr>
        <w:t xml:space="preserve"> is an overlap</w:t>
      </w:r>
      <w:r w:rsidR="00E8307C">
        <w:rPr>
          <w:rFonts w:ascii="Times New Roman" w:hAnsi="Times New Roman"/>
          <w:bCs/>
        </w:rPr>
        <w:t>, however,</w:t>
      </w:r>
      <w:r w:rsidR="005E38A5" w:rsidRPr="00957249">
        <w:rPr>
          <w:rFonts w:ascii="Times New Roman" w:hAnsi="Times New Roman"/>
          <w:bCs/>
        </w:rPr>
        <w:t xml:space="preserve"> between</w:t>
      </w:r>
      <w:r w:rsidR="00E8307C">
        <w:rPr>
          <w:rFonts w:ascii="Times New Roman" w:hAnsi="Times New Roman"/>
          <w:bCs/>
        </w:rPr>
        <w:t xml:space="preserve"> all LIBA</w:t>
      </w:r>
      <w:r w:rsidR="005E38A5" w:rsidRPr="00957249">
        <w:rPr>
          <w:rFonts w:ascii="Times New Roman" w:hAnsi="Times New Roman"/>
          <w:bCs/>
        </w:rPr>
        <w:t xml:space="preserve"> issues and they must all be taken into consideration to fully understand their individual and collective significance.</w:t>
      </w:r>
      <w:r w:rsidR="00DB512A" w:rsidRPr="00957249">
        <w:rPr>
          <w:rFonts w:ascii="Times New Roman" w:hAnsi="Times New Roman"/>
          <w:bCs/>
        </w:rPr>
        <w:t xml:space="preserve">  For example, PPL contends that LIBA implementation costs are excessive so proposes every other year certification to reduce costs, yet proposes serving additional customers while opposing an increase to the LIBA </w:t>
      </w:r>
      <w:r w:rsidR="00DB512A" w:rsidRPr="00957249">
        <w:rPr>
          <w:rFonts w:ascii="Times New Roman" w:hAnsi="Times New Roman"/>
          <w:bCs/>
        </w:rPr>
        <w:lastRenderedPageBreak/>
        <w:t xml:space="preserve">certification fee.  </w:t>
      </w:r>
      <w:r w:rsidR="00090B66">
        <w:rPr>
          <w:rFonts w:ascii="Times New Roman" w:hAnsi="Times New Roman"/>
          <w:bCs/>
        </w:rPr>
        <w:t>E</w:t>
      </w:r>
      <w:r w:rsidR="00DB512A" w:rsidRPr="00957249">
        <w:rPr>
          <w:rFonts w:ascii="Times New Roman" w:hAnsi="Times New Roman"/>
          <w:bCs/>
        </w:rPr>
        <w:t xml:space="preserve">ven Staff witness </w:t>
      </w:r>
      <w:proofErr w:type="spellStart"/>
      <w:r w:rsidR="00DB512A" w:rsidRPr="00957249">
        <w:rPr>
          <w:rFonts w:ascii="Times New Roman" w:hAnsi="Times New Roman"/>
          <w:bCs/>
        </w:rPr>
        <w:t>Schooley</w:t>
      </w:r>
      <w:proofErr w:type="spellEnd"/>
      <w:r w:rsidR="00DB512A" w:rsidRPr="00957249">
        <w:rPr>
          <w:rFonts w:ascii="Times New Roman" w:hAnsi="Times New Roman"/>
          <w:bCs/>
        </w:rPr>
        <w:t xml:space="preserve"> </w:t>
      </w:r>
      <w:r w:rsidR="00A27740" w:rsidRPr="00957249">
        <w:rPr>
          <w:rFonts w:ascii="Times New Roman" w:hAnsi="Times New Roman"/>
          <w:bCs/>
        </w:rPr>
        <w:t>acknowledges that the agencies will experience a</w:t>
      </w:r>
      <w:r w:rsidR="00DB512A" w:rsidRPr="00957249">
        <w:rPr>
          <w:rFonts w:ascii="Times New Roman" w:hAnsi="Times New Roman"/>
          <w:bCs/>
        </w:rPr>
        <w:t xml:space="preserve"> revenue shortfall </w:t>
      </w:r>
      <w:r w:rsidR="00A27740" w:rsidRPr="00957249">
        <w:rPr>
          <w:rFonts w:ascii="Times New Roman" w:hAnsi="Times New Roman"/>
          <w:bCs/>
        </w:rPr>
        <w:t>as a result of</w:t>
      </w:r>
      <w:r w:rsidR="00DB512A" w:rsidRPr="00957249">
        <w:rPr>
          <w:rFonts w:ascii="Times New Roman" w:hAnsi="Times New Roman"/>
          <w:bCs/>
        </w:rPr>
        <w:t xml:space="preserve"> this collective group of individual proposals.</w:t>
      </w:r>
      <w:r w:rsidR="00081E9C" w:rsidRPr="00957249">
        <w:rPr>
          <w:rStyle w:val="FootnoteReference"/>
          <w:rFonts w:ascii="Times New Roman" w:hAnsi="Times New Roman"/>
          <w:bCs/>
        </w:rPr>
        <w:footnoteReference w:id="2"/>
      </w:r>
      <w:r w:rsidR="00DB512A" w:rsidRPr="00957249">
        <w:rPr>
          <w:rFonts w:ascii="Times New Roman" w:hAnsi="Times New Roman"/>
          <w:bCs/>
        </w:rPr>
        <w:t xml:space="preserve"> </w:t>
      </w:r>
    </w:p>
    <w:p w:rsidR="00E8307C" w:rsidRPr="00957249" w:rsidRDefault="00E8307C" w:rsidP="005E7A6D">
      <w:pPr>
        <w:autoSpaceDE w:val="0"/>
        <w:autoSpaceDN w:val="0"/>
        <w:adjustRightInd w:val="0"/>
        <w:spacing w:line="480" w:lineRule="auto"/>
        <w:rPr>
          <w:rFonts w:ascii="Times New Roman" w:hAnsi="Times New Roman"/>
          <w:bCs/>
        </w:rPr>
      </w:pPr>
      <w:r>
        <w:rPr>
          <w:rFonts w:ascii="Times New Roman" w:hAnsi="Times New Roman"/>
          <w:bCs/>
        </w:rPr>
        <w:tab/>
      </w:r>
      <w:r w:rsidRPr="00511D2F">
        <w:rPr>
          <w:rFonts w:ascii="Times New Roman" w:hAnsi="Times New Roman" w:cs="Times New Roman"/>
        </w:rPr>
        <w:t>Staff argues that the Energy Project is seeking both an increase in LIBA participants served and an increase in the total amount of LIBA funding under Schedule 91</w:t>
      </w:r>
      <w:r w:rsidR="00453A27">
        <w:rPr>
          <w:rFonts w:ascii="Times New Roman" w:hAnsi="Times New Roman" w:cs="Times New Roman"/>
        </w:rPr>
        <w:t xml:space="preserve"> stating:</w:t>
      </w:r>
      <w:r w:rsidRPr="00511D2F">
        <w:rPr>
          <w:rFonts w:ascii="Times New Roman" w:hAnsi="Times New Roman" w:cs="Times New Roman"/>
        </w:rPr>
        <w:t xml:space="preserve"> “The Energy Project agrees more people would be served, but notes the increase in the bill discounts would be less.  </w:t>
      </w:r>
      <w:proofErr w:type="gramStart"/>
      <w:r w:rsidRPr="00511D2F">
        <w:rPr>
          <w:rFonts w:ascii="Times New Roman" w:hAnsi="Times New Roman" w:cs="Times New Roman"/>
        </w:rPr>
        <w:t>The Energy Project’s solution?</w:t>
      </w:r>
      <w:proofErr w:type="gramEnd"/>
      <w:r w:rsidRPr="00511D2F">
        <w:rPr>
          <w:rFonts w:ascii="Times New Roman" w:hAnsi="Times New Roman" w:cs="Times New Roman"/>
        </w:rPr>
        <w:t xml:space="preserve">  Use more ratepayer money to fund both an increase in participants and an increase in the level of subsidy.”</w:t>
      </w:r>
      <w:r w:rsidRPr="00511D2F">
        <w:rPr>
          <w:rStyle w:val="FootnoteReference"/>
          <w:rFonts w:ascii="Times New Roman" w:hAnsi="Times New Roman" w:cs="Times New Roman"/>
        </w:rPr>
        <w:footnoteReference w:id="3"/>
      </w:r>
    </w:p>
    <w:p w:rsidR="00AD59CE" w:rsidRPr="00957249" w:rsidRDefault="0022334D" w:rsidP="005E7A6D">
      <w:pPr>
        <w:autoSpaceDE w:val="0"/>
        <w:autoSpaceDN w:val="0"/>
        <w:adjustRightInd w:val="0"/>
        <w:spacing w:line="480" w:lineRule="auto"/>
        <w:rPr>
          <w:rFonts w:ascii="Times New Roman" w:hAnsi="Times New Roman" w:cs="Times New Roman"/>
        </w:rPr>
      </w:pPr>
      <w:r w:rsidRPr="00957249">
        <w:rPr>
          <w:rFonts w:ascii="Times New Roman" w:hAnsi="Times New Roman" w:cs="Times New Roman"/>
        </w:rPr>
        <w:tab/>
      </w:r>
      <w:r w:rsidR="00870BB3">
        <w:rPr>
          <w:rFonts w:ascii="Times New Roman" w:hAnsi="Times New Roman" w:cs="Times New Roman"/>
        </w:rPr>
        <w:t xml:space="preserve">Staff offers no cite to Mr. </w:t>
      </w:r>
      <w:proofErr w:type="spellStart"/>
      <w:r w:rsidR="00870BB3">
        <w:rPr>
          <w:rFonts w:ascii="Times New Roman" w:hAnsi="Times New Roman" w:cs="Times New Roman"/>
        </w:rPr>
        <w:t>Eberdt’s</w:t>
      </w:r>
      <w:proofErr w:type="spellEnd"/>
      <w:r w:rsidR="00870BB3">
        <w:rPr>
          <w:rFonts w:ascii="Times New Roman" w:hAnsi="Times New Roman" w:cs="Times New Roman"/>
        </w:rPr>
        <w:t xml:space="preserve"> testimony to support this claim because it</w:t>
      </w:r>
      <w:r w:rsidRPr="00957249">
        <w:rPr>
          <w:rFonts w:ascii="Times New Roman" w:hAnsi="Times New Roman" w:cs="Times New Roman"/>
        </w:rPr>
        <w:t xml:space="preserve"> is quite simply </w:t>
      </w:r>
      <w:r w:rsidR="00453A27">
        <w:rPr>
          <w:rFonts w:ascii="Times New Roman" w:hAnsi="Times New Roman" w:cs="Times New Roman"/>
        </w:rPr>
        <w:t>incorrect</w:t>
      </w:r>
      <w:r w:rsidRPr="00957249">
        <w:rPr>
          <w:rFonts w:ascii="Times New Roman" w:hAnsi="Times New Roman" w:cs="Times New Roman"/>
        </w:rPr>
        <w:t xml:space="preserve">.  </w:t>
      </w:r>
      <w:r w:rsidR="00E8307C">
        <w:rPr>
          <w:rFonts w:ascii="Times New Roman" w:hAnsi="Times New Roman" w:cs="Times New Roman"/>
        </w:rPr>
        <w:t xml:space="preserve">Mr. </w:t>
      </w:r>
      <w:proofErr w:type="spellStart"/>
      <w:r w:rsidR="00E8307C">
        <w:rPr>
          <w:rFonts w:ascii="Times New Roman" w:hAnsi="Times New Roman" w:cs="Times New Roman"/>
        </w:rPr>
        <w:t>Eberdt</w:t>
      </w:r>
      <w:proofErr w:type="spellEnd"/>
      <w:r w:rsidR="00E8307C">
        <w:rPr>
          <w:rFonts w:ascii="Times New Roman" w:hAnsi="Times New Roman" w:cs="Times New Roman"/>
        </w:rPr>
        <w:t xml:space="preserve"> discusses the program changes that would be necessary to serve additional LIBA customers, but </w:t>
      </w:r>
      <w:r w:rsidR="00870BB3">
        <w:rPr>
          <w:rFonts w:ascii="Times New Roman" w:hAnsi="Times New Roman" w:cs="Times New Roman"/>
        </w:rPr>
        <w:t>he does not propose serving additional customers in this case absent those changes</w:t>
      </w:r>
      <w:r w:rsidRPr="00957249">
        <w:rPr>
          <w:rFonts w:ascii="Times New Roman" w:hAnsi="Times New Roman" w:cs="Times New Roman"/>
        </w:rPr>
        <w:t>.  In fact, his testimony is quite clear on this point.  The Energy Project proposes allocating the entire 21% increase in LIBA funding proposed by PPL to increas</w:t>
      </w:r>
      <w:r w:rsidR="00402C3B" w:rsidRPr="00957249">
        <w:rPr>
          <w:rFonts w:ascii="Times New Roman" w:hAnsi="Times New Roman" w:cs="Times New Roman"/>
        </w:rPr>
        <w:t>e</w:t>
      </w:r>
      <w:r w:rsidRPr="00957249">
        <w:rPr>
          <w:rFonts w:ascii="Times New Roman" w:hAnsi="Times New Roman" w:cs="Times New Roman"/>
        </w:rPr>
        <w:t xml:space="preserve"> the discount received by existing customers, rather than use 30% of the increase to serve additional customers.</w:t>
      </w:r>
      <w:r w:rsidRPr="00957249">
        <w:rPr>
          <w:rStyle w:val="FootnoteReference"/>
          <w:rFonts w:ascii="Times New Roman" w:hAnsi="Times New Roman" w:cs="Times New Roman"/>
        </w:rPr>
        <w:footnoteReference w:id="4"/>
      </w:r>
      <w:r w:rsidR="007A7EC6" w:rsidRPr="00957249">
        <w:rPr>
          <w:rFonts w:ascii="Times New Roman" w:hAnsi="Times New Roman" w:cs="Times New Roman"/>
        </w:rPr>
        <w:t xml:space="preserve">  </w:t>
      </w:r>
    </w:p>
    <w:p w:rsidR="00402C3B" w:rsidRPr="00957249" w:rsidRDefault="00AD59CE" w:rsidP="005E7A6D">
      <w:pPr>
        <w:autoSpaceDE w:val="0"/>
        <w:autoSpaceDN w:val="0"/>
        <w:adjustRightInd w:val="0"/>
        <w:spacing w:line="480" w:lineRule="auto"/>
        <w:rPr>
          <w:rFonts w:ascii="Times New Roman" w:hAnsi="Times New Roman" w:cs="Times New Roman"/>
        </w:rPr>
      </w:pPr>
      <w:r w:rsidRPr="00957249">
        <w:rPr>
          <w:rFonts w:ascii="Times New Roman" w:hAnsi="Times New Roman" w:cs="Times New Roman"/>
        </w:rPr>
        <w:tab/>
      </w:r>
      <w:r w:rsidR="00CB4C70" w:rsidRPr="00957249">
        <w:rPr>
          <w:rFonts w:ascii="Times New Roman" w:hAnsi="Times New Roman" w:cs="Times New Roman"/>
        </w:rPr>
        <w:t>Staff</w:t>
      </w:r>
      <w:r w:rsidR="007A7EC6" w:rsidRPr="00957249">
        <w:rPr>
          <w:rFonts w:ascii="Times New Roman" w:hAnsi="Times New Roman" w:cs="Times New Roman"/>
        </w:rPr>
        <w:t>’s brief</w:t>
      </w:r>
      <w:r w:rsidR="00CB4C70" w:rsidRPr="00957249">
        <w:rPr>
          <w:rFonts w:ascii="Times New Roman" w:hAnsi="Times New Roman" w:cs="Times New Roman"/>
        </w:rPr>
        <w:t xml:space="preserve"> </w:t>
      </w:r>
      <w:r w:rsidR="00402C3B" w:rsidRPr="00957249">
        <w:rPr>
          <w:rFonts w:ascii="Times New Roman" w:hAnsi="Times New Roman" w:cs="Times New Roman"/>
        </w:rPr>
        <w:t xml:space="preserve">further </w:t>
      </w:r>
      <w:r w:rsidR="00CB4C70" w:rsidRPr="00957249">
        <w:rPr>
          <w:rFonts w:ascii="Times New Roman" w:hAnsi="Times New Roman" w:cs="Times New Roman"/>
        </w:rPr>
        <w:t>concludes that</w:t>
      </w:r>
      <w:r w:rsidR="007A7EC6" w:rsidRPr="00957249">
        <w:rPr>
          <w:rFonts w:ascii="Times New Roman" w:hAnsi="Times New Roman" w:cs="Times New Roman"/>
        </w:rPr>
        <w:t>:</w:t>
      </w:r>
      <w:r w:rsidR="00CB4C70" w:rsidRPr="00957249">
        <w:rPr>
          <w:rFonts w:ascii="Times New Roman" w:hAnsi="Times New Roman" w:cs="Times New Roman"/>
        </w:rPr>
        <w:t xml:space="preserve"> “the Commission should accept PacifiCorp’s proposal to increase the number of participants in the LIBA program.  More people in need will be served, and the rate subsidy will increase to 4.7 cents per kWh from the current 4.07 cents (a 15.5 percent increase), which is greater than Staff’s proposed overall revenue increase percentage.  This proposal is just, reasonable and more than fair, and the Commission should accept it.”</w:t>
      </w:r>
      <w:r w:rsidR="001D391D" w:rsidRPr="00957249">
        <w:rPr>
          <w:rStyle w:val="FootnoteReference"/>
          <w:rFonts w:ascii="Times New Roman" w:hAnsi="Times New Roman" w:cs="Times New Roman"/>
        </w:rPr>
        <w:footnoteReference w:id="5"/>
      </w:r>
      <w:r w:rsidR="00CB4C70" w:rsidRPr="00957249">
        <w:rPr>
          <w:rFonts w:ascii="Times New Roman" w:hAnsi="Times New Roman" w:cs="Times New Roman"/>
        </w:rPr>
        <w:t xml:space="preserve">  This </w:t>
      </w:r>
      <w:r w:rsidR="00402C3B" w:rsidRPr="00957249">
        <w:rPr>
          <w:rFonts w:ascii="Times New Roman" w:hAnsi="Times New Roman" w:cs="Times New Roman"/>
        </w:rPr>
        <w:t xml:space="preserve">is an obtuse statement loaded with assumptions and not put into fair context.  </w:t>
      </w:r>
    </w:p>
    <w:p w:rsidR="003E12A0" w:rsidRPr="00957249" w:rsidRDefault="00402C3B" w:rsidP="005E7A6D">
      <w:pPr>
        <w:autoSpaceDE w:val="0"/>
        <w:autoSpaceDN w:val="0"/>
        <w:adjustRightInd w:val="0"/>
        <w:spacing w:line="480" w:lineRule="auto"/>
        <w:rPr>
          <w:rFonts w:ascii="Times New Roman" w:hAnsi="Times New Roman" w:cs="Times New Roman"/>
        </w:rPr>
      </w:pPr>
      <w:r w:rsidRPr="00957249">
        <w:rPr>
          <w:rFonts w:ascii="Times New Roman" w:hAnsi="Times New Roman" w:cs="Times New Roman"/>
        </w:rPr>
        <w:lastRenderedPageBreak/>
        <w:tab/>
        <w:t xml:space="preserve">PPL </w:t>
      </w:r>
      <w:r w:rsidR="00870BB3">
        <w:rPr>
          <w:rFonts w:ascii="Times New Roman" w:hAnsi="Times New Roman" w:cs="Times New Roman"/>
        </w:rPr>
        <w:t>proposes increasing LIBA by 21% and</w:t>
      </w:r>
      <w:r w:rsidR="001B324E" w:rsidRPr="00957249">
        <w:rPr>
          <w:rFonts w:ascii="Times New Roman" w:hAnsi="Times New Roman" w:cs="Times New Roman"/>
        </w:rPr>
        <w:t xml:space="preserve"> has not</w:t>
      </w:r>
      <w:r w:rsidRPr="00957249">
        <w:rPr>
          <w:rFonts w:ascii="Times New Roman" w:hAnsi="Times New Roman" w:cs="Times New Roman"/>
        </w:rPr>
        <w:t xml:space="preserve"> conditioned</w:t>
      </w:r>
      <w:r w:rsidR="001B324E" w:rsidRPr="00957249">
        <w:rPr>
          <w:rFonts w:ascii="Times New Roman" w:hAnsi="Times New Roman" w:cs="Times New Roman"/>
        </w:rPr>
        <w:t xml:space="preserve"> this proposal on</w:t>
      </w:r>
      <w:r w:rsidRPr="00957249">
        <w:rPr>
          <w:rFonts w:ascii="Times New Roman" w:hAnsi="Times New Roman" w:cs="Times New Roman"/>
        </w:rPr>
        <w:t xml:space="preserve"> anything</w:t>
      </w:r>
      <w:r w:rsidR="00870BB3">
        <w:rPr>
          <w:rFonts w:ascii="Times New Roman" w:hAnsi="Times New Roman" w:cs="Times New Roman"/>
        </w:rPr>
        <w:t xml:space="preserve"> other than Commission approval.  T</w:t>
      </w:r>
      <w:r w:rsidRPr="00957249">
        <w:rPr>
          <w:rFonts w:ascii="Times New Roman" w:hAnsi="Times New Roman" w:cs="Times New Roman"/>
        </w:rPr>
        <w:t xml:space="preserve">he Company’s other proposals should be taken into consideration when assessing the </w:t>
      </w:r>
      <w:r w:rsidR="007A7EC6" w:rsidRPr="00957249">
        <w:rPr>
          <w:rFonts w:ascii="Times New Roman" w:hAnsi="Times New Roman" w:cs="Times New Roman"/>
        </w:rPr>
        <w:t>impact</w:t>
      </w:r>
      <w:r w:rsidRPr="00957249">
        <w:rPr>
          <w:rFonts w:ascii="Times New Roman" w:hAnsi="Times New Roman" w:cs="Times New Roman"/>
        </w:rPr>
        <w:t xml:space="preserve"> </w:t>
      </w:r>
      <w:r w:rsidR="007A7EC6" w:rsidRPr="00957249">
        <w:rPr>
          <w:rFonts w:ascii="Times New Roman" w:hAnsi="Times New Roman" w:cs="Times New Roman"/>
        </w:rPr>
        <w:t xml:space="preserve">and value </w:t>
      </w:r>
      <w:r w:rsidRPr="00957249">
        <w:rPr>
          <w:rFonts w:ascii="Times New Roman" w:hAnsi="Times New Roman" w:cs="Times New Roman"/>
        </w:rPr>
        <w:t>of this proposed increase.  First, PPL proposes increasing residential rates 20.2%,</w:t>
      </w:r>
      <w:r w:rsidR="002A5721">
        <w:rPr>
          <w:rStyle w:val="FootnoteReference"/>
          <w:rFonts w:ascii="Times New Roman" w:hAnsi="Times New Roman" w:cs="Times New Roman"/>
        </w:rPr>
        <w:footnoteReference w:id="6"/>
      </w:r>
      <w:r w:rsidRPr="00957249">
        <w:rPr>
          <w:rFonts w:ascii="Times New Roman" w:hAnsi="Times New Roman" w:cs="Times New Roman"/>
        </w:rPr>
        <w:t xml:space="preserve"> </w:t>
      </w:r>
      <w:r w:rsidR="00870BB3">
        <w:rPr>
          <w:rFonts w:ascii="Times New Roman" w:hAnsi="Times New Roman" w:cs="Times New Roman"/>
        </w:rPr>
        <w:t xml:space="preserve">countering </w:t>
      </w:r>
      <w:r w:rsidRPr="00957249">
        <w:rPr>
          <w:rFonts w:ascii="Times New Roman" w:hAnsi="Times New Roman" w:cs="Times New Roman"/>
        </w:rPr>
        <w:t xml:space="preserve">the effect of the increase to LIBA.  For </w:t>
      </w:r>
      <w:r w:rsidR="003E12A0" w:rsidRPr="00957249">
        <w:rPr>
          <w:rFonts w:ascii="Times New Roman" w:hAnsi="Times New Roman" w:cs="Times New Roman"/>
        </w:rPr>
        <w:t xml:space="preserve">eligible </w:t>
      </w:r>
      <w:r w:rsidRPr="00957249">
        <w:rPr>
          <w:rFonts w:ascii="Times New Roman" w:hAnsi="Times New Roman" w:cs="Times New Roman"/>
        </w:rPr>
        <w:t>low-income</w:t>
      </w:r>
      <w:r w:rsidR="00F43CA6" w:rsidRPr="00957249">
        <w:rPr>
          <w:rFonts w:ascii="Times New Roman" w:hAnsi="Times New Roman" w:cs="Times New Roman"/>
        </w:rPr>
        <w:t xml:space="preserve"> </w:t>
      </w:r>
      <w:r w:rsidRPr="00957249">
        <w:rPr>
          <w:rFonts w:ascii="Times New Roman" w:hAnsi="Times New Roman" w:cs="Times New Roman"/>
        </w:rPr>
        <w:t xml:space="preserve">customers who, for any number of reasons, do not receive LIBA benefits, the effect of PPL’s proposal </w:t>
      </w:r>
      <w:r w:rsidR="001D391D" w:rsidRPr="00957249">
        <w:rPr>
          <w:rFonts w:ascii="Times New Roman" w:hAnsi="Times New Roman" w:cs="Times New Roman"/>
        </w:rPr>
        <w:t xml:space="preserve">will be to </w:t>
      </w:r>
      <w:r w:rsidRPr="00957249">
        <w:rPr>
          <w:rFonts w:ascii="Times New Roman" w:hAnsi="Times New Roman" w:cs="Times New Roman"/>
        </w:rPr>
        <w:t xml:space="preserve">increase their rates </w:t>
      </w:r>
      <w:r w:rsidR="001D391D" w:rsidRPr="00957249">
        <w:rPr>
          <w:rFonts w:ascii="Times New Roman" w:hAnsi="Times New Roman" w:cs="Times New Roman"/>
        </w:rPr>
        <w:t xml:space="preserve">nearly 21%, a substantial increase by any measure.  </w:t>
      </w:r>
    </w:p>
    <w:p w:rsidR="0022334D" w:rsidRPr="00957249" w:rsidRDefault="003E12A0" w:rsidP="005E7A6D">
      <w:pPr>
        <w:autoSpaceDE w:val="0"/>
        <w:autoSpaceDN w:val="0"/>
        <w:adjustRightInd w:val="0"/>
        <w:spacing w:line="480" w:lineRule="auto"/>
        <w:rPr>
          <w:rFonts w:ascii="Times New Roman" w:hAnsi="Times New Roman" w:cs="Times New Roman"/>
        </w:rPr>
      </w:pPr>
      <w:r w:rsidRPr="00957249">
        <w:rPr>
          <w:rFonts w:ascii="Times New Roman" w:hAnsi="Times New Roman" w:cs="Times New Roman"/>
        </w:rPr>
        <w:tab/>
      </w:r>
      <w:r w:rsidR="00870BB3">
        <w:rPr>
          <w:rFonts w:ascii="Times New Roman" w:hAnsi="Times New Roman" w:cs="Times New Roman"/>
        </w:rPr>
        <w:t xml:space="preserve">Obviously, </w:t>
      </w:r>
      <w:r w:rsidR="007A7EC6" w:rsidRPr="00957249">
        <w:rPr>
          <w:rFonts w:ascii="Times New Roman" w:hAnsi="Times New Roman" w:cs="Times New Roman"/>
        </w:rPr>
        <w:t>L</w:t>
      </w:r>
      <w:r w:rsidR="001D391D" w:rsidRPr="00957249">
        <w:rPr>
          <w:rFonts w:ascii="Times New Roman" w:hAnsi="Times New Roman" w:cs="Times New Roman"/>
        </w:rPr>
        <w:t>IBA recipients</w:t>
      </w:r>
      <w:r w:rsidRPr="00957249">
        <w:rPr>
          <w:rFonts w:ascii="Times New Roman" w:hAnsi="Times New Roman" w:cs="Times New Roman"/>
        </w:rPr>
        <w:t xml:space="preserve"> will </w:t>
      </w:r>
      <w:r w:rsidR="00870BB3">
        <w:rPr>
          <w:rFonts w:ascii="Times New Roman" w:hAnsi="Times New Roman" w:cs="Times New Roman"/>
        </w:rPr>
        <w:t>also</w:t>
      </w:r>
      <w:r w:rsidRPr="00957249">
        <w:rPr>
          <w:rFonts w:ascii="Times New Roman" w:hAnsi="Times New Roman" w:cs="Times New Roman"/>
        </w:rPr>
        <w:t xml:space="preserve"> experience a 21% rate increase.  T</w:t>
      </w:r>
      <w:r w:rsidR="001D391D" w:rsidRPr="00957249">
        <w:rPr>
          <w:rFonts w:ascii="Times New Roman" w:hAnsi="Times New Roman" w:cs="Times New Roman"/>
        </w:rPr>
        <w:t>he</w:t>
      </w:r>
      <w:r w:rsidRPr="00957249">
        <w:rPr>
          <w:rFonts w:ascii="Times New Roman" w:hAnsi="Times New Roman" w:cs="Times New Roman"/>
        </w:rPr>
        <w:t xml:space="preserve"> LIBA funding increase simply offsets </w:t>
      </w:r>
      <w:r w:rsidR="001D391D" w:rsidRPr="00957249">
        <w:rPr>
          <w:rFonts w:ascii="Times New Roman" w:hAnsi="Times New Roman" w:cs="Times New Roman"/>
        </w:rPr>
        <w:t>the impact of the requested rate increase.</w:t>
      </w:r>
      <w:r w:rsidR="007A7EC6" w:rsidRPr="00957249">
        <w:rPr>
          <w:rFonts w:ascii="Times New Roman" w:hAnsi="Times New Roman" w:cs="Times New Roman"/>
        </w:rPr>
        <w:t xml:space="preserve">  LIBA rate discounts are only valid for six months of the year.  </w:t>
      </w:r>
      <w:r w:rsidRPr="00957249">
        <w:rPr>
          <w:rFonts w:ascii="Times New Roman" w:hAnsi="Times New Roman" w:cs="Times New Roman"/>
        </w:rPr>
        <w:t>Rate increases are obviously in effect all year</w:t>
      </w:r>
      <w:r w:rsidR="00453D1B" w:rsidRPr="00957249">
        <w:rPr>
          <w:rFonts w:ascii="Times New Roman" w:hAnsi="Times New Roman" w:cs="Times New Roman"/>
        </w:rPr>
        <w:t>.</w:t>
      </w:r>
      <w:r w:rsidRPr="00957249">
        <w:rPr>
          <w:rFonts w:ascii="Times New Roman" w:hAnsi="Times New Roman" w:cs="Times New Roman"/>
        </w:rPr>
        <w:t xml:space="preserve"> </w:t>
      </w:r>
      <w:r w:rsidR="00453D1B" w:rsidRPr="00957249">
        <w:rPr>
          <w:rFonts w:ascii="Times New Roman" w:hAnsi="Times New Roman" w:cs="Times New Roman"/>
        </w:rPr>
        <w:t xml:space="preserve"> </w:t>
      </w:r>
      <w:r w:rsidRPr="00957249">
        <w:rPr>
          <w:rFonts w:ascii="Times New Roman" w:hAnsi="Times New Roman" w:cs="Times New Roman"/>
        </w:rPr>
        <w:t>T</w:t>
      </w:r>
      <w:r w:rsidR="00453D1B" w:rsidRPr="00957249">
        <w:rPr>
          <w:rFonts w:ascii="Times New Roman" w:hAnsi="Times New Roman" w:cs="Times New Roman"/>
        </w:rPr>
        <w:t>o the extent that the LIBA increase “offsets” the rate increase for recipients,</w:t>
      </w:r>
      <w:r w:rsidRPr="00957249">
        <w:rPr>
          <w:rFonts w:ascii="Times New Roman" w:hAnsi="Times New Roman" w:cs="Times New Roman"/>
        </w:rPr>
        <w:t xml:space="preserve"> therefore,</w:t>
      </w:r>
      <w:r w:rsidR="00453D1B" w:rsidRPr="00957249">
        <w:rPr>
          <w:rFonts w:ascii="Times New Roman" w:hAnsi="Times New Roman" w:cs="Times New Roman"/>
        </w:rPr>
        <w:t xml:space="preserve"> it only does so 50% of the time.  </w:t>
      </w:r>
    </w:p>
    <w:p w:rsidR="001D391D" w:rsidRPr="00957249" w:rsidRDefault="001D391D" w:rsidP="005E7A6D">
      <w:pPr>
        <w:autoSpaceDE w:val="0"/>
        <w:autoSpaceDN w:val="0"/>
        <w:adjustRightInd w:val="0"/>
        <w:spacing w:line="480" w:lineRule="auto"/>
        <w:rPr>
          <w:rFonts w:ascii="Times New Roman" w:hAnsi="Times New Roman" w:cs="Times New Roman"/>
        </w:rPr>
      </w:pPr>
      <w:r w:rsidRPr="00957249">
        <w:rPr>
          <w:rFonts w:ascii="Times New Roman" w:hAnsi="Times New Roman" w:cs="Times New Roman"/>
        </w:rPr>
        <w:tab/>
      </w:r>
      <w:r w:rsidR="000C6131">
        <w:rPr>
          <w:rFonts w:ascii="Times New Roman" w:hAnsi="Times New Roman" w:cs="Times New Roman"/>
        </w:rPr>
        <w:t>B</w:t>
      </w:r>
      <w:r w:rsidRPr="00957249">
        <w:rPr>
          <w:rFonts w:ascii="Times New Roman" w:hAnsi="Times New Roman" w:cs="Times New Roman"/>
        </w:rPr>
        <w:t xml:space="preserve">ecause PPL proposes dedicating 30% of the LIBA funding increase to serving additional customers, existing </w:t>
      </w:r>
      <w:r w:rsidR="003E12A0" w:rsidRPr="00957249">
        <w:rPr>
          <w:rFonts w:ascii="Times New Roman" w:hAnsi="Times New Roman" w:cs="Times New Roman"/>
        </w:rPr>
        <w:t>LIBA recipients</w:t>
      </w:r>
      <w:r w:rsidR="002A5721">
        <w:rPr>
          <w:rFonts w:ascii="Times New Roman" w:hAnsi="Times New Roman" w:cs="Times New Roman"/>
        </w:rPr>
        <w:t xml:space="preserve"> will not realize a full 21% increase to their benefits.  If 30% of the 21% increase is dedicated to additional customers, only 14.7% of the increase goes to the discount level (70% of 21% equals 14.7%), </w:t>
      </w:r>
      <w:r w:rsidRPr="00957249">
        <w:rPr>
          <w:rFonts w:ascii="Times New Roman" w:hAnsi="Times New Roman" w:cs="Times New Roman"/>
        </w:rPr>
        <w:t>less than the 15.5% claimed in Staff’s brief.</w:t>
      </w:r>
      <w:r w:rsidR="00E45E46" w:rsidRPr="00957249">
        <w:rPr>
          <w:rStyle w:val="FootnoteReference"/>
          <w:rFonts w:ascii="Times New Roman" w:hAnsi="Times New Roman" w:cs="Times New Roman"/>
        </w:rPr>
        <w:footnoteReference w:id="7"/>
      </w:r>
      <w:r w:rsidR="009C0C89" w:rsidRPr="00957249">
        <w:rPr>
          <w:rFonts w:ascii="Times New Roman" w:hAnsi="Times New Roman" w:cs="Times New Roman"/>
        </w:rPr>
        <w:t xml:space="preserve">  Thus, </w:t>
      </w:r>
      <w:r w:rsidR="00015BF2">
        <w:rPr>
          <w:rFonts w:ascii="Times New Roman" w:hAnsi="Times New Roman" w:cs="Times New Roman"/>
        </w:rPr>
        <w:t xml:space="preserve">when the residential rate increase is taken into account, </w:t>
      </w:r>
      <w:r w:rsidR="00E45E46" w:rsidRPr="00957249">
        <w:rPr>
          <w:rFonts w:ascii="Times New Roman" w:hAnsi="Times New Roman" w:cs="Times New Roman"/>
        </w:rPr>
        <w:t>all low-income customers, including</w:t>
      </w:r>
      <w:r w:rsidR="009C0C89" w:rsidRPr="00957249">
        <w:rPr>
          <w:rFonts w:ascii="Times New Roman" w:hAnsi="Times New Roman" w:cs="Times New Roman"/>
        </w:rPr>
        <w:t xml:space="preserve"> LIBA recipients</w:t>
      </w:r>
      <w:r w:rsidR="00E45E46" w:rsidRPr="00957249">
        <w:rPr>
          <w:rFonts w:ascii="Times New Roman" w:hAnsi="Times New Roman" w:cs="Times New Roman"/>
        </w:rPr>
        <w:t>, will be</w:t>
      </w:r>
      <w:r w:rsidR="009C0C89" w:rsidRPr="00957249">
        <w:rPr>
          <w:rFonts w:ascii="Times New Roman" w:hAnsi="Times New Roman" w:cs="Times New Roman"/>
        </w:rPr>
        <w:t xml:space="preserve"> worse off under PPL’s proposal than they are today.</w:t>
      </w:r>
    </w:p>
    <w:p w:rsidR="0087676B" w:rsidRPr="00957249" w:rsidRDefault="008652D4" w:rsidP="005E7A6D">
      <w:pPr>
        <w:autoSpaceDE w:val="0"/>
        <w:autoSpaceDN w:val="0"/>
        <w:adjustRightInd w:val="0"/>
        <w:spacing w:line="480" w:lineRule="auto"/>
        <w:rPr>
          <w:rFonts w:ascii="Times New Roman" w:hAnsi="Times New Roman"/>
          <w:b/>
          <w:bCs/>
        </w:rPr>
      </w:pPr>
      <w:r w:rsidRPr="00957249">
        <w:rPr>
          <w:rFonts w:ascii="Times New Roman" w:hAnsi="Times New Roman"/>
          <w:b/>
          <w:bCs/>
        </w:rPr>
        <w:t>C.</w:t>
      </w:r>
      <w:r w:rsidRPr="00957249">
        <w:rPr>
          <w:rFonts w:ascii="Times New Roman" w:hAnsi="Times New Roman"/>
          <w:b/>
          <w:bCs/>
        </w:rPr>
        <w:tab/>
      </w:r>
      <w:r w:rsidR="009C7341" w:rsidRPr="00957249">
        <w:rPr>
          <w:rFonts w:ascii="Times New Roman" w:hAnsi="Times New Roman"/>
          <w:b/>
          <w:bCs/>
        </w:rPr>
        <w:t>Serve Additional Customers or Increase Discount Level</w:t>
      </w:r>
    </w:p>
    <w:p w:rsidR="0091558E" w:rsidRDefault="000D125D" w:rsidP="005E7A6D">
      <w:pPr>
        <w:autoSpaceDE w:val="0"/>
        <w:autoSpaceDN w:val="0"/>
        <w:adjustRightInd w:val="0"/>
        <w:spacing w:line="480" w:lineRule="auto"/>
        <w:rPr>
          <w:rFonts w:ascii="Times New Roman" w:hAnsi="Times New Roman"/>
        </w:rPr>
      </w:pPr>
      <w:r w:rsidRPr="00957249">
        <w:rPr>
          <w:rFonts w:ascii="Times New Roman" w:hAnsi="Times New Roman"/>
          <w:bCs/>
        </w:rPr>
        <w:tab/>
      </w:r>
      <w:r w:rsidRPr="00957249">
        <w:rPr>
          <w:rFonts w:ascii="Times New Roman" w:hAnsi="Times New Roman"/>
        </w:rPr>
        <w:t xml:space="preserve">The Energy Project appreciates both the Company’s willingness to fund the LIBA program with a 21% increase, </w:t>
      </w:r>
      <w:r w:rsidRPr="00957249">
        <w:rPr>
          <w:rFonts w:ascii="Times New Roman" w:hAnsi="Times New Roman"/>
          <w:u w:val="single"/>
        </w:rPr>
        <w:t>regardless</w:t>
      </w:r>
      <w:r w:rsidRPr="00957249">
        <w:rPr>
          <w:rFonts w:ascii="Times New Roman" w:hAnsi="Times New Roman"/>
        </w:rPr>
        <w:t xml:space="preserve"> of the actual rate increase</w:t>
      </w:r>
      <w:r w:rsidR="00FE4938" w:rsidRPr="00957249">
        <w:rPr>
          <w:rFonts w:ascii="Times New Roman" w:hAnsi="Times New Roman"/>
        </w:rPr>
        <w:t xml:space="preserve"> ultimately awarded</w:t>
      </w:r>
      <w:r w:rsidR="002A5721">
        <w:rPr>
          <w:rFonts w:ascii="Times New Roman" w:hAnsi="Times New Roman"/>
        </w:rPr>
        <w:t xml:space="preserve"> by the </w:t>
      </w:r>
      <w:r w:rsidR="002A5721">
        <w:rPr>
          <w:rFonts w:ascii="Times New Roman" w:hAnsi="Times New Roman"/>
        </w:rPr>
        <w:lastRenderedPageBreak/>
        <w:t>Commission</w:t>
      </w:r>
      <w:r w:rsidRPr="00957249">
        <w:rPr>
          <w:rFonts w:ascii="Times New Roman" w:hAnsi="Times New Roman"/>
        </w:rPr>
        <w:t xml:space="preserve">.  </w:t>
      </w:r>
      <w:r w:rsidR="002A5721">
        <w:rPr>
          <w:rFonts w:ascii="Times New Roman" w:hAnsi="Times New Roman"/>
        </w:rPr>
        <w:t>To put things in perspective, however,</w:t>
      </w:r>
      <w:r w:rsidRPr="00957249">
        <w:rPr>
          <w:rFonts w:ascii="Times New Roman" w:hAnsi="Times New Roman"/>
        </w:rPr>
        <w:t xml:space="preserve"> </w:t>
      </w:r>
      <w:r w:rsidR="009B7081" w:rsidRPr="00957249">
        <w:rPr>
          <w:rFonts w:ascii="Times New Roman" w:hAnsi="Times New Roman"/>
        </w:rPr>
        <w:t xml:space="preserve">as </w:t>
      </w:r>
      <w:r w:rsidR="0091558E" w:rsidRPr="00957249">
        <w:rPr>
          <w:rFonts w:ascii="Times New Roman" w:hAnsi="Times New Roman"/>
        </w:rPr>
        <w:t>pointed out</w:t>
      </w:r>
      <w:r w:rsidR="009B7081" w:rsidRPr="00957249">
        <w:rPr>
          <w:rFonts w:ascii="Times New Roman" w:hAnsi="Times New Roman"/>
        </w:rPr>
        <w:t xml:space="preserve"> low-income customers are worse off under the collective proposals made by PPL and Staff in this case.  </w:t>
      </w:r>
    </w:p>
    <w:p w:rsidR="000D125D" w:rsidRDefault="0091558E" w:rsidP="005E7A6D">
      <w:pPr>
        <w:autoSpaceDE w:val="0"/>
        <w:autoSpaceDN w:val="0"/>
        <w:adjustRightInd w:val="0"/>
        <w:spacing w:line="480" w:lineRule="auto"/>
        <w:rPr>
          <w:rFonts w:ascii="Times New Roman" w:hAnsi="Times New Roman"/>
        </w:rPr>
      </w:pPr>
      <w:r w:rsidRPr="00957249">
        <w:rPr>
          <w:rFonts w:ascii="Times New Roman" w:hAnsi="Times New Roman"/>
        </w:rPr>
        <w:tab/>
      </w:r>
      <w:r w:rsidR="009B7081" w:rsidRPr="00957249">
        <w:rPr>
          <w:rFonts w:ascii="Times New Roman" w:hAnsi="Times New Roman"/>
        </w:rPr>
        <w:t>Requiring the agencies to s</w:t>
      </w:r>
      <w:r w:rsidR="000D125D" w:rsidRPr="00957249">
        <w:rPr>
          <w:rFonts w:ascii="Times New Roman" w:hAnsi="Times New Roman"/>
        </w:rPr>
        <w:t>erv</w:t>
      </w:r>
      <w:r w:rsidR="009B7081" w:rsidRPr="00957249">
        <w:rPr>
          <w:rFonts w:ascii="Times New Roman" w:hAnsi="Times New Roman"/>
        </w:rPr>
        <w:t>e</w:t>
      </w:r>
      <w:r w:rsidR="000D125D" w:rsidRPr="00957249">
        <w:rPr>
          <w:rFonts w:ascii="Times New Roman" w:hAnsi="Times New Roman"/>
        </w:rPr>
        <w:t xml:space="preserve"> additional customers</w:t>
      </w:r>
      <w:r w:rsidR="009B7081" w:rsidRPr="00957249">
        <w:rPr>
          <w:rFonts w:ascii="Times New Roman" w:hAnsi="Times New Roman"/>
        </w:rPr>
        <w:t xml:space="preserve"> under the collective proposals</w:t>
      </w:r>
      <w:r w:rsidR="000D125D" w:rsidRPr="00957249">
        <w:rPr>
          <w:rFonts w:ascii="Times New Roman" w:hAnsi="Times New Roman"/>
        </w:rPr>
        <w:t xml:space="preserve"> </w:t>
      </w:r>
      <w:r w:rsidR="002A5721">
        <w:rPr>
          <w:rFonts w:ascii="Times New Roman" w:hAnsi="Times New Roman"/>
        </w:rPr>
        <w:t xml:space="preserve">also </w:t>
      </w:r>
      <w:r w:rsidR="000D125D" w:rsidRPr="00957249">
        <w:rPr>
          <w:rFonts w:ascii="Times New Roman" w:hAnsi="Times New Roman"/>
        </w:rPr>
        <w:t xml:space="preserve">lowers the relative impact </w:t>
      </w:r>
      <w:r w:rsidR="006612DA" w:rsidRPr="00957249">
        <w:rPr>
          <w:rFonts w:ascii="Times New Roman" w:hAnsi="Times New Roman"/>
        </w:rPr>
        <w:t xml:space="preserve">of </w:t>
      </w:r>
      <w:r w:rsidR="000D125D" w:rsidRPr="00957249">
        <w:rPr>
          <w:rFonts w:ascii="Times New Roman" w:hAnsi="Times New Roman"/>
        </w:rPr>
        <w:t>the LIBA benefit</w:t>
      </w:r>
      <w:r w:rsidR="00D96034">
        <w:rPr>
          <w:rFonts w:ascii="Times New Roman" w:hAnsi="Times New Roman"/>
        </w:rPr>
        <w:t>, thereby</w:t>
      </w:r>
      <w:r w:rsidR="000D125D" w:rsidRPr="00957249">
        <w:rPr>
          <w:rFonts w:ascii="Times New Roman" w:hAnsi="Times New Roman"/>
        </w:rPr>
        <w:t xml:space="preserve"> </w:t>
      </w:r>
      <w:r w:rsidR="009B7081" w:rsidRPr="00957249">
        <w:rPr>
          <w:rFonts w:ascii="Times New Roman" w:hAnsi="Times New Roman"/>
        </w:rPr>
        <w:t xml:space="preserve">exacerbating the disparity between need for the program and </w:t>
      </w:r>
      <w:r w:rsidR="002F5149" w:rsidRPr="00957249">
        <w:rPr>
          <w:rFonts w:ascii="Times New Roman" w:hAnsi="Times New Roman"/>
        </w:rPr>
        <w:t>resources</w:t>
      </w:r>
      <w:r w:rsidR="000D125D" w:rsidRPr="00957249">
        <w:rPr>
          <w:rFonts w:ascii="Times New Roman" w:hAnsi="Times New Roman"/>
        </w:rPr>
        <w:t>.</w:t>
      </w:r>
      <w:r w:rsidRPr="00957249">
        <w:rPr>
          <w:rFonts w:ascii="Times New Roman" w:hAnsi="Times New Roman"/>
        </w:rPr>
        <w:t xml:space="preserve">  </w:t>
      </w:r>
      <w:r w:rsidR="000D125D" w:rsidRPr="00957249">
        <w:rPr>
          <w:rFonts w:ascii="Times New Roman" w:hAnsi="Times New Roman"/>
        </w:rPr>
        <w:t>Given that LIBA participants are already at the bottom of the economic ladder, it is not wise to erode the available assistance further.   It is important to realize that the addition of participants with the same amount of funding exerts upward pressure on the funding required to implement the LIBA program.   This increase in implementation cost is significant because it further pulls funds away from the adequacy of the benefit level.</w:t>
      </w:r>
    </w:p>
    <w:p w:rsidR="000D125D" w:rsidRPr="00957249" w:rsidRDefault="009B7081" w:rsidP="005E7A6D">
      <w:pPr>
        <w:autoSpaceDE w:val="0"/>
        <w:autoSpaceDN w:val="0"/>
        <w:adjustRightInd w:val="0"/>
        <w:spacing w:line="480" w:lineRule="auto"/>
        <w:rPr>
          <w:rFonts w:ascii="Times New Roman" w:hAnsi="Times New Roman"/>
          <w:bCs/>
        </w:rPr>
      </w:pPr>
      <w:r w:rsidRPr="00957249">
        <w:rPr>
          <w:rFonts w:ascii="Times New Roman" w:hAnsi="Times New Roman"/>
          <w:b/>
        </w:rPr>
        <w:t>D.</w:t>
      </w:r>
      <w:r w:rsidRPr="00957249">
        <w:rPr>
          <w:rFonts w:ascii="Times New Roman" w:hAnsi="Times New Roman"/>
          <w:b/>
        </w:rPr>
        <w:tab/>
      </w:r>
      <w:r w:rsidR="00D96034">
        <w:rPr>
          <w:rFonts w:ascii="Times New Roman" w:hAnsi="Times New Roman"/>
          <w:b/>
        </w:rPr>
        <w:t>50% LIBA Certification Cut</w:t>
      </w:r>
      <w:r w:rsidR="00156185" w:rsidRPr="00957249">
        <w:rPr>
          <w:rFonts w:ascii="Times New Roman" w:hAnsi="Times New Roman"/>
          <w:b/>
        </w:rPr>
        <w:t>/Administrative Fee</w:t>
      </w:r>
    </w:p>
    <w:p w:rsidR="00454022" w:rsidRDefault="000D2ABC" w:rsidP="005E7A6D">
      <w:pPr>
        <w:autoSpaceDE w:val="0"/>
        <w:autoSpaceDN w:val="0"/>
        <w:adjustRightInd w:val="0"/>
        <w:spacing w:line="480" w:lineRule="auto"/>
        <w:rPr>
          <w:rFonts w:ascii="Times New Roman" w:hAnsi="Times New Roman"/>
          <w:bCs/>
        </w:rPr>
      </w:pPr>
      <w:r>
        <w:rPr>
          <w:rFonts w:ascii="Times New Roman" w:hAnsi="Times New Roman"/>
          <w:bCs/>
        </w:rPr>
        <w:tab/>
        <w:t xml:space="preserve">Reducing </w:t>
      </w:r>
      <w:r w:rsidR="00271D97">
        <w:rPr>
          <w:rFonts w:ascii="Times New Roman" w:hAnsi="Times New Roman"/>
          <w:bCs/>
        </w:rPr>
        <w:t xml:space="preserve">LIBA </w:t>
      </w:r>
      <w:r>
        <w:rPr>
          <w:rFonts w:ascii="Times New Roman" w:hAnsi="Times New Roman"/>
          <w:bCs/>
        </w:rPr>
        <w:t xml:space="preserve">certifications was originally </w:t>
      </w:r>
      <w:r w:rsidR="00454022">
        <w:rPr>
          <w:rFonts w:ascii="Times New Roman" w:hAnsi="Times New Roman"/>
          <w:bCs/>
        </w:rPr>
        <w:t>the Company’s proposal but, through collaboration with Staff</w:t>
      </w:r>
      <w:r>
        <w:rPr>
          <w:rFonts w:ascii="Times New Roman" w:hAnsi="Times New Roman"/>
          <w:bCs/>
        </w:rPr>
        <w:t xml:space="preserve">, </w:t>
      </w:r>
      <w:r w:rsidR="00873126">
        <w:rPr>
          <w:rFonts w:ascii="Times New Roman" w:hAnsi="Times New Roman"/>
          <w:bCs/>
        </w:rPr>
        <w:t xml:space="preserve">has been altered without much substantive </w:t>
      </w:r>
      <w:r>
        <w:rPr>
          <w:rFonts w:ascii="Times New Roman" w:hAnsi="Times New Roman"/>
          <w:bCs/>
        </w:rPr>
        <w:t>effect.</w:t>
      </w:r>
      <w:r w:rsidR="00271D97">
        <w:rPr>
          <w:rFonts w:ascii="Times New Roman" w:hAnsi="Times New Roman"/>
          <w:bCs/>
        </w:rPr>
        <w:t xml:space="preserve">  The two parties still propose reducing LIBA certifications by 50%.</w:t>
      </w:r>
      <w:r>
        <w:rPr>
          <w:rFonts w:ascii="Times New Roman" w:hAnsi="Times New Roman"/>
          <w:bCs/>
        </w:rPr>
        <w:t xml:space="preserve">  </w:t>
      </w:r>
      <w:r w:rsidR="00271D97">
        <w:rPr>
          <w:rFonts w:ascii="Times New Roman" w:hAnsi="Times New Roman"/>
          <w:bCs/>
        </w:rPr>
        <w:t>T</w:t>
      </w:r>
      <w:r>
        <w:rPr>
          <w:rFonts w:ascii="Times New Roman" w:hAnsi="Times New Roman"/>
          <w:bCs/>
        </w:rPr>
        <w:t xml:space="preserve">he burden of proof </w:t>
      </w:r>
      <w:r w:rsidR="00271D97">
        <w:rPr>
          <w:rFonts w:ascii="Times New Roman" w:hAnsi="Times New Roman"/>
          <w:bCs/>
        </w:rPr>
        <w:t xml:space="preserve">whether this proposal is reasonable </w:t>
      </w:r>
      <w:r>
        <w:rPr>
          <w:rFonts w:ascii="Times New Roman" w:hAnsi="Times New Roman"/>
          <w:bCs/>
        </w:rPr>
        <w:t>rests</w:t>
      </w:r>
      <w:r w:rsidR="00454022">
        <w:rPr>
          <w:rFonts w:ascii="Times New Roman" w:hAnsi="Times New Roman"/>
          <w:bCs/>
        </w:rPr>
        <w:t xml:space="preserve"> with both PP</w:t>
      </w:r>
      <w:r w:rsidR="00873126">
        <w:rPr>
          <w:rFonts w:ascii="Times New Roman" w:hAnsi="Times New Roman"/>
          <w:bCs/>
        </w:rPr>
        <w:t>L and Staff</w:t>
      </w:r>
      <w:r w:rsidR="00271D97">
        <w:rPr>
          <w:rFonts w:ascii="Times New Roman" w:hAnsi="Times New Roman"/>
          <w:bCs/>
        </w:rPr>
        <w:t xml:space="preserve"> who</w:t>
      </w:r>
      <w:r w:rsidR="00454022">
        <w:rPr>
          <w:rFonts w:ascii="Times New Roman" w:hAnsi="Times New Roman"/>
          <w:bCs/>
        </w:rPr>
        <w:t xml:space="preserve"> have offered no meaningful support for their proposal aside from blind faith and baseless assumptions.  The Energy Project’s Initial Brief</w:t>
      </w:r>
      <w:r w:rsidR="006205BD">
        <w:rPr>
          <w:rFonts w:ascii="Times New Roman" w:hAnsi="Times New Roman"/>
          <w:bCs/>
        </w:rPr>
        <w:t>, by contrast,</w:t>
      </w:r>
      <w:r w:rsidR="00454022">
        <w:rPr>
          <w:rFonts w:ascii="Times New Roman" w:hAnsi="Times New Roman"/>
          <w:bCs/>
        </w:rPr>
        <w:t xml:space="preserve"> critiqued and dissected the foundation for reducing LIBA certifications by 50% demonstrating this to be a one-sided proposal without a shred of thought given to the </w:t>
      </w:r>
      <w:r w:rsidR="006205BD">
        <w:rPr>
          <w:rFonts w:ascii="Times New Roman" w:hAnsi="Times New Roman"/>
          <w:bCs/>
        </w:rPr>
        <w:t xml:space="preserve">potentially negative consequences of adopting it.  </w:t>
      </w:r>
    </w:p>
    <w:p w:rsidR="006205BD" w:rsidRDefault="006205BD" w:rsidP="005E7A6D">
      <w:pPr>
        <w:autoSpaceDE w:val="0"/>
        <w:autoSpaceDN w:val="0"/>
        <w:adjustRightInd w:val="0"/>
        <w:spacing w:line="480" w:lineRule="auto"/>
        <w:rPr>
          <w:rFonts w:ascii="Times New Roman" w:hAnsi="Times New Roman" w:cs="Times New Roman"/>
        </w:rPr>
      </w:pPr>
      <w:r>
        <w:rPr>
          <w:rFonts w:ascii="Times New Roman" w:hAnsi="Times New Roman"/>
          <w:bCs/>
        </w:rPr>
        <w:tab/>
      </w:r>
      <w:r w:rsidRPr="00957249">
        <w:rPr>
          <w:rFonts w:ascii="Times New Roman" w:hAnsi="Times New Roman"/>
          <w:bCs/>
        </w:rPr>
        <w:t xml:space="preserve">Incidentally, </w:t>
      </w:r>
      <w:r w:rsidRPr="00957249">
        <w:rPr>
          <w:rFonts w:ascii="Times New Roman" w:hAnsi="Times New Roman" w:cs="Times New Roman"/>
        </w:rPr>
        <w:t>Staff makes a statement</w:t>
      </w:r>
      <w:r>
        <w:rPr>
          <w:rFonts w:ascii="Times New Roman" w:hAnsi="Times New Roman" w:cs="Times New Roman"/>
        </w:rPr>
        <w:t xml:space="preserve"> in its initial brief</w:t>
      </w:r>
      <w:r w:rsidRPr="00957249">
        <w:rPr>
          <w:rFonts w:ascii="Times New Roman" w:hAnsi="Times New Roman" w:cs="Times New Roman"/>
        </w:rPr>
        <w:t xml:space="preserve"> that requires correction.  Staff argues: “The Energy Project agrees more people would be served, but notes the increase in the bill discounts would be less.  </w:t>
      </w:r>
      <w:proofErr w:type="gramStart"/>
      <w:r w:rsidRPr="00957249">
        <w:rPr>
          <w:rFonts w:ascii="Times New Roman" w:hAnsi="Times New Roman" w:cs="Times New Roman"/>
        </w:rPr>
        <w:t>The Energy Project’s solution?</w:t>
      </w:r>
      <w:proofErr w:type="gramEnd"/>
      <w:r w:rsidRPr="00957249">
        <w:rPr>
          <w:rFonts w:ascii="Times New Roman" w:hAnsi="Times New Roman" w:cs="Times New Roman"/>
        </w:rPr>
        <w:t xml:space="preserve">  Use more ratepayer money to fund both an increase in participants and an increase in the level of subsidy.”</w:t>
      </w:r>
      <w:r w:rsidRPr="00957249">
        <w:rPr>
          <w:rStyle w:val="FootnoteReference"/>
          <w:rFonts w:ascii="Times New Roman" w:hAnsi="Times New Roman" w:cs="Times New Roman"/>
        </w:rPr>
        <w:footnoteReference w:id="8"/>
      </w:r>
    </w:p>
    <w:p w:rsidR="00271D97" w:rsidRPr="00957249" w:rsidRDefault="00271D97" w:rsidP="005E7A6D">
      <w:pPr>
        <w:autoSpaceDE w:val="0"/>
        <w:autoSpaceDN w:val="0"/>
        <w:adjustRightInd w:val="0"/>
        <w:spacing w:line="480" w:lineRule="auto"/>
        <w:rPr>
          <w:rFonts w:ascii="Times New Roman" w:hAnsi="Times New Roman" w:cs="Times New Roman"/>
        </w:rPr>
      </w:pPr>
      <w:r>
        <w:rPr>
          <w:rFonts w:ascii="Times New Roman" w:hAnsi="Times New Roman" w:cs="Times New Roman"/>
        </w:rPr>
        <w:lastRenderedPageBreak/>
        <w:tab/>
        <w:t xml:space="preserve">Though Mr. </w:t>
      </w:r>
      <w:proofErr w:type="spellStart"/>
      <w:r>
        <w:rPr>
          <w:rFonts w:ascii="Times New Roman" w:hAnsi="Times New Roman" w:cs="Times New Roman"/>
        </w:rPr>
        <w:t>Eberdt</w:t>
      </w:r>
      <w:proofErr w:type="spellEnd"/>
      <w:r>
        <w:rPr>
          <w:rFonts w:ascii="Times New Roman" w:hAnsi="Times New Roman" w:cs="Times New Roman"/>
        </w:rPr>
        <w:t xml:space="preserve"> identifies other conditions that would need to occur in order to justify serving more customers, nowhere in his testimony does he support serving additional customers under the proposals set forth by PPL and Staff.</w:t>
      </w:r>
    </w:p>
    <w:p w:rsidR="006612DA" w:rsidRPr="00957249" w:rsidRDefault="00156185" w:rsidP="005E7A6D">
      <w:pPr>
        <w:autoSpaceDE w:val="0"/>
        <w:autoSpaceDN w:val="0"/>
        <w:adjustRightInd w:val="0"/>
        <w:spacing w:line="480" w:lineRule="auto"/>
        <w:rPr>
          <w:rFonts w:ascii="Times New Roman" w:hAnsi="Times New Roman"/>
          <w:bCs/>
        </w:rPr>
      </w:pPr>
      <w:r w:rsidRPr="00957249">
        <w:rPr>
          <w:rFonts w:ascii="Times New Roman" w:hAnsi="Times New Roman"/>
          <w:bCs/>
        </w:rPr>
        <w:tab/>
      </w:r>
      <w:r w:rsidR="0060488F">
        <w:rPr>
          <w:rFonts w:ascii="Times New Roman" w:hAnsi="Times New Roman"/>
          <w:bCs/>
        </w:rPr>
        <w:t>Based on a comparison to bill assistance programs in California and Utah, PPL</w:t>
      </w:r>
      <w:r w:rsidRPr="00957249">
        <w:rPr>
          <w:rFonts w:ascii="Times New Roman" w:hAnsi="Times New Roman"/>
          <w:bCs/>
        </w:rPr>
        <w:t xml:space="preserve"> </w:t>
      </w:r>
      <w:r w:rsidR="0060488F">
        <w:rPr>
          <w:rFonts w:ascii="Times New Roman" w:hAnsi="Times New Roman"/>
          <w:bCs/>
        </w:rPr>
        <w:t>contends that LIBA administrative (implantation/certification) costs are excessive and, along with Staff, propose reducing certifications by 50%</w:t>
      </w:r>
      <w:r w:rsidR="003E3FCC">
        <w:rPr>
          <w:rFonts w:ascii="Times New Roman" w:hAnsi="Times New Roman"/>
          <w:bCs/>
        </w:rPr>
        <w:t xml:space="preserve"> while </w:t>
      </w:r>
      <w:r w:rsidR="0060488F">
        <w:rPr>
          <w:rFonts w:ascii="Times New Roman" w:hAnsi="Times New Roman"/>
          <w:bCs/>
        </w:rPr>
        <w:t>simultaneously proposing to increase</w:t>
      </w:r>
      <w:r w:rsidR="003E3FCC">
        <w:rPr>
          <w:rFonts w:ascii="Times New Roman" w:hAnsi="Times New Roman"/>
          <w:bCs/>
        </w:rPr>
        <w:t xml:space="preserve"> </w:t>
      </w:r>
      <w:r w:rsidRPr="00957249">
        <w:rPr>
          <w:rFonts w:ascii="Times New Roman" w:hAnsi="Times New Roman"/>
          <w:bCs/>
        </w:rPr>
        <w:t>program recipients</w:t>
      </w:r>
      <w:r w:rsidR="003E3FCC">
        <w:rPr>
          <w:rFonts w:ascii="Times New Roman" w:hAnsi="Times New Roman"/>
          <w:bCs/>
        </w:rPr>
        <w:t xml:space="preserve"> </w:t>
      </w:r>
      <w:r w:rsidR="0060488F">
        <w:rPr>
          <w:rFonts w:ascii="Times New Roman" w:hAnsi="Times New Roman"/>
          <w:bCs/>
        </w:rPr>
        <w:t>but</w:t>
      </w:r>
      <w:r w:rsidRPr="00957249">
        <w:rPr>
          <w:rFonts w:ascii="Times New Roman" w:hAnsi="Times New Roman"/>
          <w:bCs/>
        </w:rPr>
        <w:t xml:space="preserve"> strenuously opposing any attempt to increase the certification fee.  </w:t>
      </w:r>
      <w:r w:rsidR="0060488F">
        <w:rPr>
          <w:rFonts w:ascii="Times New Roman" w:hAnsi="Times New Roman"/>
          <w:bCs/>
        </w:rPr>
        <w:t>Staff claims that this substantial change in LIBA implementation will “free up dollars to provide greater benefits to those in need.”</w:t>
      </w:r>
      <w:r w:rsidR="0060488F">
        <w:rPr>
          <w:rStyle w:val="FootnoteReference"/>
          <w:rFonts w:ascii="Times New Roman" w:hAnsi="Times New Roman"/>
          <w:bCs/>
        </w:rPr>
        <w:footnoteReference w:id="9"/>
      </w:r>
      <w:r w:rsidR="0060488F">
        <w:rPr>
          <w:rFonts w:ascii="Times New Roman" w:hAnsi="Times New Roman"/>
          <w:bCs/>
        </w:rPr>
        <w:t xml:space="preserve">  Staff argues that the Commission should accept all of its program design changes “so the program can move forward more successfully.”</w:t>
      </w:r>
      <w:r w:rsidR="0060488F">
        <w:rPr>
          <w:rStyle w:val="FootnoteReference"/>
          <w:rFonts w:ascii="Times New Roman" w:hAnsi="Times New Roman"/>
          <w:bCs/>
        </w:rPr>
        <w:footnoteReference w:id="10"/>
      </w:r>
      <w:r w:rsidR="0060488F">
        <w:rPr>
          <w:rFonts w:ascii="Times New Roman" w:hAnsi="Times New Roman"/>
          <w:bCs/>
        </w:rPr>
        <w:t xml:space="preserve">  Staff fails to provide a single fact proving that the program is not already operating successfully.  Just the same, </w:t>
      </w:r>
      <w:r w:rsidR="0063508E">
        <w:rPr>
          <w:rFonts w:ascii="Times New Roman" w:hAnsi="Times New Roman"/>
          <w:bCs/>
        </w:rPr>
        <w:t>Staff asserts that the Energy Project’s position on these issues has no evidentiary support.</w:t>
      </w:r>
      <w:r w:rsidR="0063508E">
        <w:rPr>
          <w:rStyle w:val="FootnoteReference"/>
          <w:rFonts w:ascii="Times New Roman" w:hAnsi="Times New Roman"/>
          <w:bCs/>
        </w:rPr>
        <w:footnoteReference w:id="11"/>
      </w:r>
      <w:r w:rsidR="0063508E">
        <w:rPr>
          <w:rFonts w:ascii="Times New Roman" w:hAnsi="Times New Roman"/>
          <w:bCs/>
        </w:rPr>
        <w:t xml:space="preserve">  </w:t>
      </w:r>
      <w:r w:rsidR="000D2ABC">
        <w:rPr>
          <w:rFonts w:ascii="Times New Roman" w:hAnsi="Times New Roman"/>
          <w:bCs/>
        </w:rPr>
        <w:t>Again, it is Staff and PPL that carry the burden of proof on reducing LIBA certification</w:t>
      </w:r>
      <w:r w:rsidR="00A945D9">
        <w:rPr>
          <w:rFonts w:ascii="Times New Roman" w:hAnsi="Times New Roman"/>
          <w:bCs/>
        </w:rPr>
        <w:t xml:space="preserve">.  </w:t>
      </w:r>
      <w:r w:rsidR="000D2ABC">
        <w:rPr>
          <w:rFonts w:ascii="Times New Roman" w:hAnsi="Times New Roman"/>
          <w:bCs/>
        </w:rPr>
        <w:t>For reasons already briefed, those parties have failed to carry that burden of proof.</w:t>
      </w:r>
      <w:r w:rsidR="00A945D9">
        <w:rPr>
          <w:rFonts w:ascii="Times New Roman" w:hAnsi="Times New Roman"/>
          <w:bCs/>
        </w:rPr>
        <w:t xml:space="preserve">  </w:t>
      </w:r>
    </w:p>
    <w:p w:rsidR="00156185" w:rsidRDefault="006612DA" w:rsidP="005E7A6D">
      <w:pPr>
        <w:autoSpaceDE w:val="0"/>
        <w:autoSpaceDN w:val="0"/>
        <w:adjustRightInd w:val="0"/>
        <w:spacing w:line="480" w:lineRule="auto"/>
        <w:rPr>
          <w:rFonts w:ascii="Times New Roman" w:hAnsi="Times New Roman"/>
          <w:bCs/>
        </w:rPr>
      </w:pPr>
      <w:r w:rsidRPr="00957249">
        <w:rPr>
          <w:rFonts w:ascii="Times New Roman" w:hAnsi="Times New Roman"/>
          <w:bCs/>
        </w:rPr>
        <w:tab/>
      </w:r>
      <w:r w:rsidR="000D2ABC">
        <w:rPr>
          <w:rFonts w:ascii="Times New Roman" w:hAnsi="Times New Roman"/>
          <w:bCs/>
        </w:rPr>
        <w:t>PPL and Staff have demonstrated a lack of understanding of LIBA certification, and related costs and benefits, in Washington, California and Utah.  Neither PPL nor Staff conducted an analysis of the true “costs” of reducing LIBA certifications by half nor have they compared LIBA to the California and Utah programs on an “apples to apples” basis</w:t>
      </w:r>
      <w:r w:rsidR="00A317F8" w:rsidRPr="00957249">
        <w:rPr>
          <w:rFonts w:ascii="Times New Roman" w:hAnsi="Times New Roman" w:cs="Tahoma"/>
          <w:szCs w:val="18"/>
        </w:rPr>
        <w:t>.</w:t>
      </w:r>
      <w:r w:rsidR="0015003B">
        <w:rPr>
          <w:rStyle w:val="FootnoteReference"/>
          <w:rFonts w:ascii="Times New Roman" w:hAnsi="Times New Roman" w:cs="Tahoma"/>
          <w:szCs w:val="18"/>
        </w:rPr>
        <w:footnoteReference w:id="12"/>
      </w:r>
      <w:r w:rsidR="00A317F8" w:rsidRPr="00957249">
        <w:rPr>
          <w:rFonts w:ascii="Times New Roman" w:hAnsi="Times New Roman"/>
          <w:bCs/>
        </w:rPr>
        <w:t xml:space="preserve">  </w:t>
      </w:r>
    </w:p>
    <w:p w:rsidR="00BD32E2" w:rsidRPr="00957249" w:rsidRDefault="00BD32E2" w:rsidP="005E7A6D">
      <w:pPr>
        <w:autoSpaceDE w:val="0"/>
        <w:autoSpaceDN w:val="0"/>
        <w:adjustRightInd w:val="0"/>
        <w:spacing w:line="480" w:lineRule="auto"/>
        <w:rPr>
          <w:rFonts w:ascii="Times New Roman" w:hAnsi="Times New Roman"/>
        </w:rPr>
      </w:pPr>
      <w:r>
        <w:rPr>
          <w:rFonts w:ascii="Times New Roman" w:hAnsi="Times New Roman"/>
          <w:bCs/>
        </w:rPr>
        <w:tab/>
      </w:r>
      <w:r w:rsidRPr="00957249">
        <w:rPr>
          <w:rFonts w:ascii="Times New Roman" w:hAnsi="Times New Roman"/>
        </w:rPr>
        <w:t xml:space="preserve">PPL witness </w:t>
      </w:r>
      <w:proofErr w:type="spellStart"/>
      <w:r w:rsidRPr="00957249">
        <w:rPr>
          <w:rFonts w:ascii="Times New Roman" w:hAnsi="Times New Roman"/>
        </w:rPr>
        <w:t>Eberle</w:t>
      </w:r>
      <w:proofErr w:type="spellEnd"/>
      <w:r w:rsidRPr="00957249">
        <w:rPr>
          <w:rFonts w:ascii="Times New Roman" w:hAnsi="Times New Roman"/>
        </w:rPr>
        <w:t xml:space="preserve"> conceded that she did not know how many employees each agency needs to administer LIBA, how many employees are needed to complete the certification </w:t>
      </w:r>
      <w:r w:rsidRPr="00957249">
        <w:rPr>
          <w:rFonts w:ascii="Times New Roman" w:hAnsi="Times New Roman"/>
        </w:rPr>
        <w:lastRenderedPageBreak/>
        <w:t>process, how much of the employees’ time is expended each year performing LIBA certification,</w:t>
      </w:r>
      <w:r w:rsidR="000C6131">
        <w:rPr>
          <w:rFonts w:ascii="Times New Roman" w:hAnsi="Times New Roman"/>
        </w:rPr>
        <w:t xml:space="preserve"> </w:t>
      </w:r>
      <w:r w:rsidR="00A96406">
        <w:rPr>
          <w:rFonts w:ascii="Times New Roman" w:hAnsi="Times New Roman"/>
        </w:rPr>
        <w:t>or</w:t>
      </w:r>
      <w:r w:rsidRPr="00957249">
        <w:rPr>
          <w:rFonts w:ascii="Times New Roman" w:hAnsi="Times New Roman"/>
        </w:rPr>
        <w:t xml:space="preserve"> what those employees’ responsibilities are for the remainder of the year.</w:t>
      </w:r>
      <w:r w:rsidRPr="00957249">
        <w:rPr>
          <w:rStyle w:val="FootnoteReference"/>
          <w:rFonts w:ascii="Times New Roman" w:hAnsi="Times New Roman"/>
        </w:rPr>
        <w:footnoteReference w:id="13"/>
      </w:r>
    </w:p>
    <w:p w:rsidR="00BD32E2" w:rsidRPr="00957249" w:rsidRDefault="00BD32E2" w:rsidP="005E7A6D">
      <w:pPr>
        <w:autoSpaceDE w:val="0"/>
        <w:autoSpaceDN w:val="0"/>
        <w:adjustRightInd w:val="0"/>
        <w:spacing w:line="480" w:lineRule="auto"/>
        <w:rPr>
          <w:rFonts w:ascii="Times New Roman" w:hAnsi="Times New Roman"/>
        </w:rPr>
      </w:pPr>
      <w:r w:rsidRPr="00957249">
        <w:rPr>
          <w:rFonts w:ascii="Times New Roman" w:hAnsi="Times New Roman"/>
        </w:rPr>
        <w:tab/>
        <w:t xml:space="preserve">Ms. </w:t>
      </w:r>
      <w:proofErr w:type="spellStart"/>
      <w:r w:rsidRPr="00957249">
        <w:rPr>
          <w:rFonts w:ascii="Times New Roman" w:hAnsi="Times New Roman"/>
        </w:rPr>
        <w:t>Eberle</w:t>
      </w:r>
      <w:proofErr w:type="spellEnd"/>
      <w:r w:rsidRPr="00957249">
        <w:rPr>
          <w:rFonts w:ascii="Times New Roman" w:hAnsi="Times New Roman"/>
        </w:rPr>
        <w:t xml:space="preserve"> conceded that the programs and certification processes in </w:t>
      </w:r>
      <w:r>
        <w:rPr>
          <w:rFonts w:ascii="Times New Roman" w:hAnsi="Times New Roman"/>
        </w:rPr>
        <w:t>California and Utah differ</w:t>
      </w:r>
      <w:r w:rsidRPr="00957249">
        <w:rPr>
          <w:rFonts w:ascii="Times New Roman" w:hAnsi="Times New Roman"/>
        </w:rPr>
        <w:t xml:space="preserve"> </w:t>
      </w:r>
      <w:r>
        <w:rPr>
          <w:rFonts w:ascii="Times New Roman" w:hAnsi="Times New Roman"/>
        </w:rPr>
        <w:t>substantially</w:t>
      </w:r>
      <w:r w:rsidRPr="00957249">
        <w:rPr>
          <w:rFonts w:ascii="Times New Roman" w:hAnsi="Times New Roman"/>
        </w:rPr>
        <w:t xml:space="preserve"> from LIBA.  </w:t>
      </w:r>
      <w:r w:rsidR="00A96406">
        <w:rPr>
          <w:rFonts w:ascii="Times New Roman" w:hAnsi="Times New Roman"/>
        </w:rPr>
        <w:t>C</w:t>
      </w:r>
      <w:r w:rsidRPr="00957249">
        <w:rPr>
          <w:rFonts w:ascii="Times New Roman" w:hAnsi="Times New Roman"/>
        </w:rPr>
        <w:t xml:space="preserve">ertification in California consists of </w:t>
      </w:r>
      <w:r w:rsidR="00A96406">
        <w:rPr>
          <w:rFonts w:ascii="Times New Roman" w:hAnsi="Times New Roman"/>
        </w:rPr>
        <w:t xml:space="preserve">a </w:t>
      </w:r>
      <w:r w:rsidRPr="00957249">
        <w:rPr>
          <w:rFonts w:ascii="Times New Roman" w:hAnsi="Times New Roman"/>
        </w:rPr>
        <w:t xml:space="preserve">one-page </w:t>
      </w:r>
      <w:r w:rsidR="00A96406">
        <w:rPr>
          <w:rFonts w:ascii="Times New Roman" w:hAnsi="Times New Roman"/>
        </w:rPr>
        <w:t xml:space="preserve">application </w:t>
      </w:r>
      <w:r w:rsidRPr="00957249">
        <w:rPr>
          <w:rFonts w:ascii="Times New Roman" w:hAnsi="Times New Roman"/>
        </w:rPr>
        <w:t xml:space="preserve">filled out by customers spanning a two year period during which, both PPL and Staff agree, a given customer’s financial circumstances can change, making them no longer eligible for LIBA.  To address this latter problem, PacifiCorp relies on </w:t>
      </w:r>
      <w:r w:rsidR="000C6131">
        <w:rPr>
          <w:rFonts w:ascii="Times New Roman" w:hAnsi="Times New Roman"/>
        </w:rPr>
        <w:t xml:space="preserve">a </w:t>
      </w:r>
      <w:r w:rsidRPr="00957249">
        <w:rPr>
          <w:rFonts w:ascii="Times New Roman" w:hAnsi="Times New Roman"/>
        </w:rPr>
        <w:t>“voluntary” act of the customer to notify the company</w:t>
      </w:r>
      <w:r w:rsidR="00E52200">
        <w:rPr>
          <w:rFonts w:ascii="Times New Roman" w:hAnsi="Times New Roman"/>
        </w:rPr>
        <w:t>, not the agency,</w:t>
      </w:r>
      <w:r w:rsidRPr="00957249">
        <w:rPr>
          <w:rFonts w:ascii="Times New Roman" w:hAnsi="Times New Roman"/>
        </w:rPr>
        <w:t xml:space="preserve"> that they are no longer eligible; an “honor system.”</w:t>
      </w:r>
      <w:r w:rsidR="00643096">
        <w:rPr>
          <w:rStyle w:val="FootnoteReference"/>
          <w:rFonts w:ascii="Times New Roman" w:hAnsi="Times New Roman"/>
        </w:rPr>
        <w:footnoteReference w:id="14"/>
      </w:r>
      <w:r w:rsidRPr="00957249">
        <w:rPr>
          <w:rFonts w:ascii="Times New Roman" w:hAnsi="Times New Roman" w:cs="Times New Roman"/>
        </w:rPr>
        <w:t xml:space="preserve"> </w:t>
      </w:r>
    </w:p>
    <w:p w:rsidR="00E52200" w:rsidRDefault="00BD32E2" w:rsidP="005E7A6D">
      <w:pPr>
        <w:autoSpaceDE w:val="0"/>
        <w:autoSpaceDN w:val="0"/>
        <w:adjustRightInd w:val="0"/>
        <w:spacing w:line="480" w:lineRule="auto"/>
        <w:rPr>
          <w:rFonts w:ascii="Times New Roman" w:hAnsi="Times New Roman"/>
        </w:rPr>
      </w:pPr>
      <w:r w:rsidRPr="00957249">
        <w:rPr>
          <w:rFonts w:ascii="Times New Roman" w:hAnsi="Times New Roman"/>
        </w:rPr>
        <w:tab/>
      </w:r>
      <w:r w:rsidR="00863216">
        <w:rPr>
          <w:rFonts w:ascii="Times New Roman" w:hAnsi="Times New Roman"/>
        </w:rPr>
        <w:t>It is a significant difference that t</w:t>
      </w:r>
      <w:r w:rsidRPr="00957249">
        <w:rPr>
          <w:rFonts w:ascii="Times New Roman" w:hAnsi="Times New Roman"/>
        </w:rPr>
        <w:t xml:space="preserve">here is no cap on the total number of customers in California who can receive bill assistance, overall benefits are greater than in Washington, </w:t>
      </w:r>
      <w:r w:rsidR="004A7E3C">
        <w:rPr>
          <w:rFonts w:ascii="Times New Roman" w:hAnsi="Times New Roman"/>
        </w:rPr>
        <w:t xml:space="preserve">unlike California, </w:t>
      </w:r>
      <w:r w:rsidR="00334B00">
        <w:rPr>
          <w:rFonts w:ascii="Times New Roman" w:hAnsi="Times New Roman"/>
        </w:rPr>
        <w:t>Washington has a</w:t>
      </w:r>
      <w:r w:rsidRPr="00957249">
        <w:rPr>
          <w:rFonts w:ascii="Times New Roman" w:hAnsi="Times New Roman"/>
        </w:rPr>
        <w:t xml:space="preserve"> multi-tier</w:t>
      </w:r>
      <w:r w:rsidR="0063508E">
        <w:rPr>
          <w:rFonts w:ascii="Times New Roman" w:hAnsi="Times New Roman"/>
        </w:rPr>
        <w:t>ed</w:t>
      </w:r>
      <w:r w:rsidRPr="00957249">
        <w:rPr>
          <w:rFonts w:ascii="Times New Roman" w:hAnsi="Times New Roman"/>
        </w:rPr>
        <w:t>, income-based discount levels</w:t>
      </w:r>
      <w:r w:rsidR="00334B00">
        <w:rPr>
          <w:rFonts w:ascii="Times New Roman" w:hAnsi="Times New Roman"/>
        </w:rPr>
        <w:t xml:space="preserve"> which requires more work by the agencies and, finally,</w:t>
      </w:r>
      <w:r w:rsidRPr="00957249">
        <w:rPr>
          <w:rFonts w:ascii="Times New Roman" w:hAnsi="Times New Roman"/>
        </w:rPr>
        <w:t xml:space="preserve"> the California program provides benefits all year long, compared to LIBA’s six month effective period.</w:t>
      </w:r>
      <w:r w:rsidR="00643096">
        <w:rPr>
          <w:rStyle w:val="FootnoteReference"/>
          <w:rFonts w:ascii="Times New Roman" w:hAnsi="Times New Roman"/>
        </w:rPr>
        <w:footnoteReference w:id="15"/>
      </w:r>
      <w:r w:rsidR="00C55B23">
        <w:rPr>
          <w:rFonts w:ascii="Times New Roman" w:hAnsi="Times New Roman"/>
        </w:rPr>
        <w:t xml:space="preserve">  </w:t>
      </w:r>
    </w:p>
    <w:p w:rsidR="00BD32E2" w:rsidRPr="00A96406" w:rsidRDefault="00E52200" w:rsidP="005E7A6D">
      <w:pPr>
        <w:autoSpaceDE w:val="0"/>
        <w:autoSpaceDN w:val="0"/>
        <w:adjustRightInd w:val="0"/>
        <w:spacing w:line="480" w:lineRule="auto"/>
        <w:rPr>
          <w:rFonts w:ascii="Times New Roman" w:hAnsi="Times New Roman"/>
        </w:rPr>
      </w:pPr>
      <w:r>
        <w:rPr>
          <w:rFonts w:ascii="Times New Roman" w:hAnsi="Times New Roman"/>
        </w:rPr>
        <w:tab/>
      </w:r>
      <w:r w:rsidR="00C55B23">
        <w:rPr>
          <w:rFonts w:ascii="Times New Roman" w:hAnsi="Times New Roman"/>
        </w:rPr>
        <w:t>Clearly, California’s certification costs as a percentage of benefits are going to be lower given the highly expedited certification process and year</w:t>
      </w:r>
      <w:r>
        <w:rPr>
          <w:rFonts w:ascii="Times New Roman" w:hAnsi="Times New Roman"/>
        </w:rPr>
        <w:t>-</w:t>
      </w:r>
      <w:r w:rsidR="00C55B23">
        <w:rPr>
          <w:rFonts w:ascii="Times New Roman" w:hAnsi="Times New Roman"/>
        </w:rPr>
        <w:t xml:space="preserve">long benefits with unlimited participants which Ms. </w:t>
      </w:r>
      <w:proofErr w:type="spellStart"/>
      <w:r w:rsidR="00C55B23">
        <w:rPr>
          <w:rFonts w:ascii="Times New Roman" w:hAnsi="Times New Roman"/>
        </w:rPr>
        <w:t>Eberle</w:t>
      </w:r>
      <w:proofErr w:type="spellEnd"/>
      <w:r w:rsidR="00C55B23">
        <w:rPr>
          <w:rFonts w:ascii="Times New Roman" w:hAnsi="Times New Roman"/>
        </w:rPr>
        <w:t xml:space="preserve"> noted was due to state legislation.</w:t>
      </w:r>
      <w:r w:rsidR="00C55B23">
        <w:rPr>
          <w:rStyle w:val="FootnoteReference"/>
          <w:rFonts w:ascii="Times New Roman" w:hAnsi="Times New Roman"/>
        </w:rPr>
        <w:footnoteReference w:id="16"/>
      </w:r>
      <w:r w:rsidR="00873126">
        <w:rPr>
          <w:rFonts w:ascii="Times New Roman" w:hAnsi="Times New Roman"/>
        </w:rPr>
        <w:t xml:space="preserve"> </w:t>
      </w:r>
      <w:r w:rsidR="000C6131">
        <w:rPr>
          <w:rFonts w:ascii="Times New Roman" w:hAnsi="Times New Roman"/>
        </w:rPr>
        <w:t xml:space="preserve"> These profound differences between California’s and Washington’s programs render any comparison futile.  </w:t>
      </w:r>
      <w:r w:rsidR="00A96406">
        <w:rPr>
          <w:rFonts w:ascii="Times New Roman" w:hAnsi="Times New Roman"/>
        </w:rPr>
        <w:t>Thus, contrary to Staff’s initial brief, it is Staff and the Company who have failed to provide evidentiary support for their proposal.</w:t>
      </w:r>
    </w:p>
    <w:p w:rsidR="00BD32E2" w:rsidRPr="00957249" w:rsidRDefault="00BD32E2" w:rsidP="005E7A6D">
      <w:pPr>
        <w:autoSpaceDE w:val="0"/>
        <w:autoSpaceDN w:val="0"/>
        <w:adjustRightInd w:val="0"/>
        <w:spacing w:line="480" w:lineRule="auto"/>
        <w:rPr>
          <w:rFonts w:ascii="Times New Roman" w:hAnsi="Times New Roman"/>
        </w:rPr>
      </w:pPr>
      <w:r w:rsidRPr="00957249">
        <w:rPr>
          <w:rFonts w:ascii="Times New Roman" w:hAnsi="Times New Roman"/>
        </w:rPr>
        <w:tab/>
        <w:t xml:space="preserve">PPL offered little information about the Utah program other than to say that program costs are lower in that state than Washington because the CAAs certify LIBA and LIHEAP </w:t>
      </w:r>
      <w:r w:rsidRPr="00957249">
        <w:rPr>
          <w:rFonts w:ascii="Times New Roman" w:hAnsi="Times New Roman"/>
        </w:rPr>
        <w:lastRenderedPageBreak/>
        <w:t>simultaneously.</w:t>
      </w:r>
      <w:r w:rsidR="0063508E">
        <w:rPr>
          <w:rStyle w:val="FootnoteReference"/>
          <w:rFonts w:ascii="Times New Roman" w:hAnsi="Times New Roman"/>
        </w:rPr>
        <w:footnoteReference w:id="17"/>
      </w:r>
      <w:r w:rsidRPr="00957249">
        <w:rPr>
          <w:rFonts w:ascii="Times New Roman" w:hAnsi="Times New Roman"/>
        </w:rPr>
        <w:t xml:space="preserve">  PPL has not even proposed this program design characteristic in this case.  On cross-examination, Ms. </w:t>
      </w:r>
      <w:proofErr w:type="spellStart"/>
      <w:r w:rsidRPr="00957249">
        <w:rPr>
          <w:rFonts w:ascii="Times New Roman" w:hAnsi="Times New Roman"/>
        </w:rPr>
        <w:t>Eberle</w:t>
      </w:r>
      <w:proofErr w:type="spellEnd"/>
      <w:r w:rsidRPr="00957249">
        <w:rPr>
          <w:rFonts w:ascii="Times New Roman" w:hAnsi="Times New Roman"/>
        </w:rPr>
        <w:t xml:space="preserve"> conceded that, though she hasn’t actually read the relevant statute, she has “heard” that according to the Washington Department of Commerce, LIHEAP data is only effective for six months, after which it must be renewed.</w:t>
      </w:r>
      <w:r w:rsidR="0015003B">
        <w:rPr>
          <w:rStyle w:val="FootnoteReference"/>
          <w:rFonts w:ascii="Times New Roman" w:hAnsi="Times New Roman"/>
        </w:rPr>
        <w:footnoteReference w:id="18"/>
      </w:r>
      <w:r w:rsidR="00873126">
        <w:rPr>
          <w:rFonts w:ascii="Times New Roman" w:hAnsi="Times New Roman"/>
        </w:rPr>
        <w:t xml:space="preserve">  </w:t>
      </w:r>
      <w:r w:rsidR="00A96406">
        <w:rPr>
          <w:rFonts w:ascii="Times New Roman" w:hAnsi="Times New Roman"/>
        </w:rPr>
        <w:t>This raises the question of whether simultaneous LIBA/LIHEAP certification is feasible for the Washington agencies</w:t>
      </w:r>
      <w:r w:rsidR="007A66C9">
        <w:rPr>
          <w:rFonts w:ascii="Times New Roman" w:hAnsi="Times New Roman"/>
        </w:rPr>
        <w:t>.  T</w:t>
      </w:r>
      <w:r w:rsidR="00A96406">
        <w:rPr>
          <w:rFonts w:ascii="Times New Roman" w:hAnsi="Times New Roman"/>
        </w:rPr>
        <w:t xml:space="preserve">here was no discussion of it in other parties’ opening briefs.  </w:t>
      </w:r>
      <w:r w:rsidR="00873126">
        <w:rPr>
          <w:rFonts w:ascii="Times New Roman" w:hAnsi="Times New Roman"/>
        </w:rPr>
        <w:t>Absent a thorough analysis comparing the relative costs and benefits to LIBA, reliance on Utah’s program is equally unfounded and meaningless.</w:t>
      </w:r>
    </w:p>
    <w:p w:rsidR="00BD32E2" w:rsidRPr="00957249" w:rsidRDefault="0015003B" w:rsidP="005E7A6D">
      <w:pPr>
        <w:autoSpaceDE w:val="0"/>
        <w:autoSpaceDN w:val="0"/>
        <w:adjustRightInd w:val="0"/>
        <w:spacing w:line="480" w:lineRule="auto"/>
        <w:rPr>
          <w:rStyle w:val="IntenseEmphasis"/>
          <w:rFonts w:ascii="Times New Roman" w:hAnsi="Times New Roman"/>
        </w:rPr>
      </w:pPr>
      <w:r>
        <w:rPr>
          <w:rFonts w:ascii="Times New Roman" w:hAnsi="Times New Roman"/>
        </w:rPr>
        <w:tab/>
      </w:r>
      <w:r w:rsidR="00BD32E2" w:rsidRPr="00957249">
        <w:rPr>
          <w:rFonts w:ascii="Times New Roman" w:hAnsi="Times New Roman"/>
        </w:rPr>
        <w:t xml:space="preserve">Though Ms. </w:t>
      </w:r>
      <w:proofErr w:type="spellStart"/>
      <w:r w:rsidR="00BD32E2" w:rsidRPr="00957249">
        <w:rPr>
          <w:rFonts w:ascii="Times New Roman" w:hAnsi="Times New Roman"/>
        </w:rPr>
        <w:t>Eberle</w:t>
      </w:r>
      <w:proofErr w:type="spellEnd"/>
      <w:r w:rsidR="00BD32E2" w:rsidRPr="00957249">
        <w:rPr>
          <w:rFonts w:ascii="Times New Roman" w:hAnsi="Times New Roman"/>
        </w:rPr>
        <w:t xml:space="preserve"> agrees that the concerns expressed by Mr. </w:t>
      </w:r>
      <w:proofErr w:type="spellStart"/>
      <w:r w:rsidR="00BD32E2" w:rsidRPr="00957249">
        <w:rPr>
          <w:rFonts w:ascii="Times New Roman" w:hAnsi="Times New Roman"/>
        </w:rPr>
        <w:t>Eberdt</w:t>
      </w:r>
      <w:proofErr w:type="spellEnd"/>
      <w:r w:rsidR="00BD32E2" w:rsidRPr="00957249">
        <w:rPr>
          <w:rFonts w:ascii="Times New Roman" w:hAnsi="Times New Roman"/>
        </w:rPr>
        <w:t xml:space="preserve"> in his testimonies and summarized in the Energy Project’s Initial Brief “have merit,” the Company proposes </w:t>
      </w:r>
      <w:r>
        <w:rPr>
          <w:rFonts w:ascii="Times New Roman" w:hAnsi="Times New Roman"/>
        </w:rPr>
        <w:t>nothing to specifically a</w:t>
      </w:r>
      <w:r w:rsidR="00BD32E2" w:rsidRPr="00957249">
        <w:rPr>
          <w:rFonts w:ascii="Times New Roman" w:hAnsi="Times New Roman"/>
        </w:rPr>
        <w:t>ddress those concerns, or even to gain a better understanding of them.</w:t>
      </w:r>
      <w:r w:rsidR="00A96406">
        <w:rPr>
          <w:rStyle w:val="FootnoteReference"/>
          <w:rFonts w:ascii="Times New Roman" w:hAnsi="Times New Roman"/>
        </w:rPr>
        <w:footnoteReference w:id="19"/>
      </w:r>
      <w:r w:rsidR="00BD32E2" w:rsidRPr="00957249">
        <w:rPr>
          <w:rFonts w:ascii="Times New Roman" w:hAnsi="Times New Roman"/>
        </w:rPr>
        <w:t xml:space="preserve">  </w:t>
      </w:r>
    </w:p>
    <w:p w:rsidR="00BD32E2" w:rsidRDefault="00BD32E2" w:rsidP="005E7A6D">
      <w:pPr>
        <w:autoSpaceDE w:val="0"/>
        <w:autoSpaceDN w:val="0"/>
        <w:adjustRightInd w:val="0"/>
        <w:spacing w:line="480" w:lineRule="auto"/>
        <w:rPr>
          <w:rFonts w:ascii="Times New Roman" w:hAnsi="Times New Roman"/>
        </w:rPr>
      </w:pPr>
      <w:r w:rsidRPr="00957249">
        <w:rPr>
          <w:rFonts w:ascii="Times New Roman" w:hAnsi="Times New Roman"/>
        </w:rPr>
        <w:tab/>
        <w:t xml:space="preserve">Finally, </w:t>
      </w:r>
      <w:r w:rsidR="007E7DCA">
        <w:rPr>
          <w:rFonts w:ascii="Times New Roman" w:hAnsi="Times New Roman"/>
        </w:rPr>
        <w:t>PPL</w:t>
      </w:r>
      <w:r w:rsidRPr="00957249">
        <w:rPr>
          <w:rFonts w:ascii="Times New Roman" w:hAnsi="Times New Roman"/>
        </w:rPr>
        <w:t xml:space="preserve"> witness </w:t>
      </w:r>
      <w:proofErr w:type="spellStart"/>
      <w:r w:rsidRPr="00957249">
        <w:rPr>
          <w:rFonts w:ascii="Times New Roman" w:hAnsi="Times New Roman"/>
        </w:rPr>
        <w:t>Eberle</w:t>
      </w:r>
      <w:proofErr w:type="spellEnd"/>
      <w:r w:rsidRPr="00957249">
        <w:rPr>
          <w:rFonts w:ascii="Times New Roman" w:hAnsi="Times New Roman"/>
        </w:rPr>
        <w:t xml:space="preserve"> did not deny when asked during cross-examination whether the LIBA certification fee, which was lowered to its current level of $48 from $64.52 in the early 2000’s, that one reason LIBA administrative costs was due to a program design that resulted in some customers being certified twice in one year.  This problem was changed when PPL agreed to modify LIBA to extend the validity of certification intake data for an entire year.</w:t>
      </w:r>
      <w:r w:rsidRPr="00957249">
        <w:rPr>
          <w:rStyle w:val="FootnoteReference"/>
          <w:rFonts w:ascii="Times New Roman" w:hAnsi="Times New Roman"/>
        </w:rPr>
        <w:footnoteReference w:id="20"/>
      </w:r>
      <w:r w:rsidRPr="00957249">
        <w:rPr>
          <w:rFonts w:ascii="Times New Roman" w:hAnsi="Times New Roman"/>
        </w:rPr>
        <w:t xml:space="preserve">  There has been no recalculation by PPL or Staff of actual administrative costs following this program design change to determine what actual costs are</w:t>
      </w:r>
      <w:r w:rsidR="00873126">
        <w:rPr>
          <w:rFonts w:ascii="Times New Roman" w:hAnsi="Times New Roman"/>
        </w:rPr>
        <w:t xml:space="preserve"> today,</w:t>
      </w:r>
      <w:r w:rsidRPr="00957249">
        <w:rPr>
          <w:rFonts w:ascii="Times New Roman" w:hAnsi="Times New Roman"/>
        </w:rPr>
        <w:t xml:space="preserve"> whether the design change reduced them and by how much.</w:t>
      </w:r>
      <w:r w:rsidR="00A96406">
        <w:rPr>
          <w:rFonts w:ascii="Times New Roman" w:hAnsi="Times New Roman"/>
        </w:rPr>
        <w:t xml:space="preserve">  In its initial brief, PPL opposes increasing the certification fee, but proposes a </w:t>
      </w:r>
      <w:r w:rsidR="00A96406">
        <w:rPr>
          <w:rFonts w:ascii="Times New Roman" w:hAnsi="Times New Roman"/>
        </w:rPr>
        <w:lastRenderedPageBreak/>
        <w:t>“meeting of interested parties to evaluate how the certification process can be modified to lower agency costs</w:t>
      </w:r>
      <w:r w:rsidR="00D87D72">
        <w:rPr>
          <w:rFonts w:ascii="Times New Roman" w:hAnsi="Times New Roman"/>
        </w:rPr>
        <w:t>.”</w:t>
      </w:r>
      <w:r w:rsidR="00D87D72">
        <w:rPr>
          <w:rStyle w:val="FootnoteReference"/>
          <w:rFonts w:ascii="Times New Roman" w:hAnsi="Times New Roman"/>
        </w:rPr>
        <w:footnoteReference w:id="21"/>
      </w:r>
    </w:p>
    <w:p w:rsidR="00D87D72" w:rsidRDefault="00D87D72" w:rsidP="005E7A6D">
      <w:pPr>
        <w:autoSpaceDE w:val="0"/>
        <w:autoSpaceDN w:val="0"/>
        <w:adjustRightInd w:val="0"/>
        <w:spacing w:line="480" w:lineRule="auto"/>
        <w:rPr>
          <w:rFonts w:ascii="Times New Roman" w:hAnsi="Times New Roman"/>
          <w:bCs/>
        </w:rPr>
      </w:pPr>
      <w:r>
        <w:rPr>
          <w:rFonts w:ascii="Times New Roman" w:hAnsi="Times New Roman"/>
          <w:bCs/>
        </w:rPr>
        <w:tab/>
        <w:t>The Energy Project does not object to reasonable attempts to reduce LIBA costs, but the collective proposals made in this case would significantly increase the burden on agencies already under-compensated for implementing LIBA.  Proposing a meeting in the future to reduce LIBA costs does nothing to alter this fact.</w:t>
      </w:r>
    </w:p>
    <w:p w:rsidR="005C17F3" w:rsidRPr="00957249" w:rsidRDefault="00EF49B8" w:rsidP="005E7A6D">
      <w:pPr>
        <w:autoSpaceDE w:val="0"/>
        <w:autoSpaceDN w:val="0"/>
        <w:adjustRightInd w:val="0"/>
        <w:spacing w:line="480" w:lineRule="auto"/>
        <w:rPr>
          <w:rFonts w:ascii="Times New Roman" w:hAnsi="Times New Roman" w:cs="Tahoma"/>
          <w:szCs w:val="18"/>
        </w:rPr>
      </w:pPr>
      <w:r w:rsidRPr="00957249">
        <w:rPr>
          <w:rFonts w:ascii="Times New Roman" w:hAnsi="Times New Roman"/>
          <w:bCs/>
        </w:rPr>
        <w:tab/>
      </w:r>
      <w:r w:rsidR="00873126">
        <w:rPr>
          <w:rFonts w:ascii="Times New Roman" w:hAnsi="Times New Roman"/>
          <w:bCs/>
        </w:rPr>
        <w:t xml:space="preserve">For its part, </w:t>
      </w:r>
      <w:r w:rsidRPr="00957249">
        <w:rPr>
          <w:rFonts w:ascii="Times New Roman" w:hAnsi="Times New Roman"/>
          <w:bCs/>
        </w:rPr>
        <w:t>Staff</w:t>
      </w:r>
      <w:r w:rsidR="00D80C36" w:rsidRPr="00957249">
        <w:rPr>
          <w:rFonts w:ascii="Times New Roman" w:hAnsi="Times New Roman"/>
          <w:bCs/>
        </w:rPr>
        <w:t xml:space="preserve"> </w:t>
      </w:r>
      <w:r w:rsidRPr="00957249">
        <w:rPr>
          <w:rFonts w:ascii="Times New Roman" w:hAnsi="Times New Roman"/>
          <w:bCs/>
        </w:rPr>
        <w:t>concede</w:t>
      </w:r>
      <w:r w:rsidR="007A66C9">
        <w:rPr>
          <w:rFonts w:ascii="Times New Roman" w:hAnsi="Times New Roman"/>
          <w:bCs/>
        </w:rPr>
        <w:t>s</w:t>
      </w:r>
      <w:r w:rsidRPr="00957249">
        <w:rPr>
          <w:rFonts w:ascii="Times New Roman" w:hAnsi="Times New Roman"/>
          <w:bCs/>
        </w:rPr>
        <w:t xml:space="preserve"> that PPL’s proposal to certify LIBA recipients every other year would have negative financial repercussions to the agencies stating: </w:t>
      </w:r>
      <w:r w:rsidR="00604471" w:rsidRPr="00957249">
        <w:rPr>
          <w:rFonts w:ascii="Times New Roman" w:hAnsi="Times New Roman"/>
          <w:bCs/>
        </w:rPr>
        <w:t>“</w:t>
      </w:r>
      <w:r w:rsidRPr="00957249">
        <w:rPr>
          <w:rFonts w:ascii="Times New Roman" w:hAnsi="Times New Roman" w:cs="Times New Roman"/>
        </w:rPr>
        <w:t>Staff accepts the concept</w:t>
      </w:r>
      <w:r w:rsidR="00D80C36" w:rsidRPr="00957249">
        <w:rPr>
          <w:rFonts w:ascii="Times New Roman" w:hAnsi="Times New Roman" w:cs="Times New Roman"/>
        </w:rPr>
        <w:t xml:space="preserve"> [every other year certification]</w:t>
      </w:r>
      <w:r w:rsidRPr="00957249">
        <w:rPr>
          <w:rFonts w:ascii="Times New Roman" w:hAnsi="Times New Roman" w:cs="Times New Roman"/>
        </w:rPr>
        <w:t xml:space="preserve">, but recognizes </w:t>
      </w:r>
      <w:r w:rsidR="00D80C36" w:rsidRPr="00957249">
        <w:rPr>
          <w:rFonts w:ascii="Times New Roman" w:hAnsi="Times New Roman" w:cs="Times New Roman"/>
        </w:rPr>
        <w:t xml:space="preserve">that </w:t>
      </w:r>
      <w:r w:rsidRPr="00957249">
        <w:rPr>
          <w:rFonts w:ascii="Times New Roman" w:hAnsi="Times New Roman" w:cs="Times New Roman"/>
        </w:rPr>
        <w:t>the low income agencies would see a reduction in revenues.</w:t>
      </w:r>
      <w:r w:rsidR="00604471" w:rsidRPr="00957249">
        <w:rPr>
          <w:rFonts w:ascii="Times New Roman" w:hAnsi="Times New Roman" w:cs="Times New Roman"/>
        </w:rPr>
        <w:t>”</w:t>
      </w:r>
      <w:r w:rsidRPr="00957249">
        <w:rPr>
          <w:rStyle w:val="FootnoteReference"/>
          <w:rFonts w:ascii="Times New Roman" w:hAnsi="Times New Roman" w:cs="Times New Roman"/>
        </w:rPr>
        <w:footnoteReference w:id="22"/>
      </w:r>
      <w:r w:rsidRPr="00957249">
        <w:rPr>
          <w:rFonts w:ascii="Times New Roman" w:hAnsi="Times New Roman" w:cs="Times New Roman"/>
        </w:rPr>
        <w:t xml:space="preserve">  Though Staff </w:t>
      </w:r>
      <w:r w:rsidR="00604471" w:rsidRPr="00957249">
        <w:rPr>
          <w:rFonts w:ascii="Times New Roman" w:hAnsi="Times New Roman" w:cs="Times New Roman"/>
        </w:rPr>
        <w:t>debases and supposedly “ignored”</w:t>
      </w:r>
      <w:r w:rsidRPr="00957249">
        <w:rPr>
          <w:rFonts w:ascii="Times New Roman" w:hAnsi="Times New Roman" w:cs="Times New Roman"/>
        </w:rPr>
        <w:t xml:space="preserve"> as “hyperbole” the legitimate concerns articulated by Mr. </w:t>
      </w:r>
      <w:proofErr w:type="spellStart"/>
      <w:r w:rsidRPr="00957249">
        <w:rPr>
          <w:rFonts w:ascii="Times New Roman" w:hAnsi="Times New Roman" w:cs="Times New Roman"/>
        </w:rPr>
        <w:t>Eberdt</w:t>
      </w:r>
      <w:proofErr w:type="spellEnd"/>
      <w:r w:rsidRPr="00957249">
        <w:rPr>
          <w:rFonts w:ascii="Times New Roman" w:hAnsi="Times New Roman" w:cs="Times New Roman"/>
        </w:rPr>
        <w:t xml:space="preserve"> associated with every other year LIBA certification, it proclaims to “resolve” all of those problems with what it deems a “creative solution” under which the low income agencies would certify one-half the participants for two years in Year 1, and the other half for two years in Year 2.  Thereafter, each participant would be recertified every two years, thereby resolving the “nightmares” that seem to concern The Energy Project.</w:t>
      </w:r>
      <w:r w:rsidRPr="00957249">
        <w:rPr>
          <w:rStyle w:val="FootnoteReference"/>
          <w:rFonts w:ascii="Times New Roman" w:hAnsi="Times New Roman" w:cs="Times New Roman"/>
        </w:rPr>
        <w:footnoteReference w:id="23"/>
      </w:r>
      <w:r w:rsidR="007A66C9">
        <w:rPr>
          <w:rFonts w:ascii="Times New Roman" w:hAnsi="Times New Roman" w:cs="Times New Roman"/>
        </w:rPr>
        <w:t xml:space="preserve">  In spite of Staff’s perception of its “solution,” the fact remains that </w:t>
      </w:r>
      <w:r w:rsidR="00DC5BB7">
        <w:rPr>
          <w:rFonts w:ascii="Times New Roman" w:hAnsi="Times New Roman" w:cs="Times New Roman"/>
        </w:rPr>
        <w:t>it still requires eliminating one-half of LIBA certifications and</w:t>
      </w:r>
      <w:r w:rsidR="0087676B" w:rsidRPr="00957249">
        <w:rPr>
          <w:rFonts w:ascii="Times New Roman" w:hAnsi="Times New Roman" w:cs="Tahoma"/>
          <w:szCs w:val="18"/>
        </w:rPr>
        <w:t xml:space="preserve"> by no means "resolves" the potential problems the agencies </w:t>
      </w:r>
      <w:r w:rsidR="00081E9C" w:rsidRPr="00957249">
        <w:rPr>
          <w:rFonts w:ascii="Times New Roman" w:hAnsi="Times New Roman" w:cs="Tahoma"/>
          <w:szCs w:val="18"/>
        </w:rPr>
        <w:t>would experience</w:t>
      </w:r>
      <w:r w:rsidR="0087676B" w:rsidRPr="00957249">
        <w:rPr>
          <w:rFonts w:ascii="Times New Roman" w:hAnsi="Times New Roman" w:cs="Tahoma"/>
          <w:szCs w:val="18"/>
        </w:rPr>
        <w:t xml:space="preserve">.  As the data provided by </w:t>
      </w:r>
      <w:r w:rsidR="00604471" w:rsidRPr="00957249">
        <w:rPr>
          <w:rFonts w:ascii="Times New Roman" w:hAnsi="Times New Roman" w:cs="Tahoma"/>
          <w:szCs w:val="18"/>
        </w:rPr>
        <w:t xml:space="preserve">the </w:t>
      </w:r>
      <w:r w:rsidR="0087676B" w:rsidRPr="00957249">
        <w:rPr>
          <w:rFonts w:ascii="Times New Roman" w:hAnsi="Times New Roman" w:cs="Tahoma"/>
          <w:szCs w:val="18"/>
        </w:rPr>
        <w:t>Blue Mountain Action Council indicated</w:t>
      </w:r>
      <w:r w:rsidR="00D80C36" w:rsidRPr="00957249">
        <w:rPr>
          <w:rFonts w:ascii="Times New Roman" w:hAnsi="Times New Roman" w:cs="Tahoma"/>
          <w:szCs w:val="18"/>
        </w:rPr>
        <w:t>,</w:t>
      </w:r>
      <w:r w:rsidR="00B65E66" w:rsidRPr="00957249">
        <w:rPr>
          <w:rStyle w:val="FootnoteReference"/>
          <w:rFonts w:ascii="Times New Roman" w:hAnsi="Times New Roman" w:cs="Tahoma"/>
          <w:szCs w:val="18"/>
        </w:rPr>
        <w:footnoteReference w:id="24"/>
      </w:r>
      <w:r w:rsidR="0087676B" w:rsidRPr="00957249">
        <w:rPr>
          <w:rFonts w:ascii="Times New Roman" w:hAnsi="Times New Roman" w:cs="Tahoma"/>
          <w:szCs w:val="18"/>
        </w:rPr>
        <w:t xml:space="preserve"> implementing the LIBA program is not a full time job.  There is a minimal economic limit below which i</w:t>
      </w:r>
      <w:r w:rsidR="00604471" w:rsidRPr="00957249">
        <w:rPr>
          <w:rFonts w:ascii="Times New Roman" w:hAnsi="Times New Roman" w:cs="Tahoma"/>
          <w:szCs w:val="18"/>
        </w:rPr>
        <w:t>t</w:t>
      </w:r>
      <w:r w:rsidR="0087676B" w:rsidRPr="00957249">
        <w:rPr>
          <w:rFonts w:ascii="Times New Roman" w:hAnsi="Times New Roman" w:cs="Tahoma"/>
          <w:szCs w:val="18"/>
        </w:rPr>
        <w:t xml:space="preserve"> is not practical for an agency to incur the cost to hire and train staff or allocate space and equipment in order to run the program.  </w:t>
      </w:r>
      <w:r w:rsidR="00604471" w:rsidRPr="00957249">
        <w:rPr>
          <w:rFonts w:ascii="Times New Roman" w:hAnsi="Times New Roman" w:cs="Tahoma"/>
          <w:szCs w:val="18"/>
        </w:rPr>
        <w:t>The truth of Staff’s “solution” is that</w:t>
      </w:r>
      <w:r w:rsidR="005C17F3" w:rsidRPr="00957249">
        <w:rPr>
          <w:rFonts w:ascii="Times New Roman" w:hAnsi="Times New Roman" w:cs="Tahoma"/>
          <w:szCs w:val="18"/>
        </w:rPr>
        <w:t xml:space="preserve"> </w:t>
      </w:r>
      <w:r w:rsidR="005C17F3" w:rsidRPr="00957249">
        <w:rPr>
          <w:rFonts w:ascii="Times New Roman" w:hAnsi="Times New Roman" w:cs="Tahoma"/>
          <w:szCs w:val="18"/>
        </w:rPr>
        <w:lastRenderedPageBreak/>
        <w:t>Staff has unilaterally, and with</w:t>
      </w:r>
      <w:r w:rsidR="009A3C64" w:rsidRPr="00957249">
        <w:rPr>
          <w:rFonts w:ascii="Times New Roman" w:hAnsi="Times New Roman" w:cs="Tahoma"/>
          <w:szCs w:val="18"/>
        </w:rPr>
        <w:t xml:space="preserve"> little or no</w:t>
      </w:r>
      <w:r w:rsidR="005C17F3" w:rsidRPr="00957249">
        <w:rPr>
          <w:rFonts w:ascii="Times New Roman" w:hAnsi="Times New Roman" w:cs="Tahoma"/>
          <w:szCs w:val="18"/>
        </w:rPr>
        <w:t xml:space="preserve"> first-hand knowledge about the actual LIBA certification process, </w:t>
      </w:r>
      <w:r w:rsidR="0087676B" w:rsidRPr="00957249">
        <w:rPr>
          <w:rFonts w:ascii="Times New Roman" w:hAnsi="Times New Roman" w:cs="Tahoma"/>
          <w:szCs w:val="18"/>
        </w:rPr>
        <w:t xml:space="preserve">decided that </w:t>
      </w:r>
      <w:r w:rsidR="005C17F3" w:rsidRPr="00957249">
        <w:rPr>
          <w:rFonts w:ascii="Times New Roman" w:hAnsi="Times New Roman" w:cs="Tahoma"/>
          <w:szCs w:val="18"/>
        </w:rPr>
        <w:t>cutting</w:t>
      </w:r>
      <w:r w:rsidR="0087676B" w:rsidRPr="00957249">
        <w:rPr>
          <w:rFonts w:ascii="Times New Roman" w:hAnsi="Times New Roman" w:cs="Tahoma"/>
          <w:szCs w:val="18"/>
        </w:rPr>
        <w:t xml:space="preserve"> the </w:t>
      </w:r>
      <w:r w:rsidR="005C17F3" w:rsidRPr="00957249">
        <w:rPr>
          <w:rFonts w:ascii="Times New Roman" w:hAnsi="Times New Roman" w:cs="Tahoma"/>
          <w:szCs w:val="18"/>
        </w:rPr>
        <w:t>administrative compensation paid to the agencies i</w:t>
      </w:r>
      <w:r w:rsidR="0087676B" w:rsidRPr="00957249">
        <w:rPr>
          <w:rFonts w:ascii="Times New Roman" w:hAnsi="Times New Roman" w:cs="Tahoma"/>
          <w:szCs w:val="18"/>
        </w:rPr>
        <w:t>n half does not harm the agencies' ability to provide the service.  </w:t>
      </w:r>
    </w:p>
    <w:p w:rsidR="00873126" w:rsidRDefault="005C17F3" w:rsidP="005E7A6D">
      <w:pPr>
        <w:autoSpaceDE w:val="0"/>
        <w:autoSpaceDN w:val="0"/>
        <w:adjustRightInd w:val="0"/>
        <w:spacing w:line="480" w:lineRule="auto"/>
        <w:rPr>
          <w:rFonts w:ascii="Times New Roman" w:hAnsi="Times New Roman" w:cs="Tahoma"/>
          <w:szCs w:val="18"/>
        </w:rPr>
      </w:pPr>
      <w:r w:rsidRPr="00957249">
        <w:rPr>
          <w:rFonts w:ascii="Times New Roman" w:hAnsi="Times New Roman" w:cs="Tahoma"/>
          <w:szCs w:val="18"/>
        </w:rPr>
        <w:tab/>
        <w:t>Staff</w:t>
      </w:r>
      <w:r w:rsidR="0087676B" w:rsidRPr="00957249">
        <w:rPr>
          <w:rFonts w:ascii="Times New Roman" w:hAnsi="Times New Roman" w:cs="Tahoma"/>
          <w:szCs w:val="18"/>
        </w:rPr>
        <w:t xml:space="preserve"> </w:t>
      </w:r>
      <w:r w:rsidR="009A3C64" w:rsidRPr="00957249">
        <w:rPr>
          <w:rFonts w:ascii="Times New Roman" w:hAnsi="Times New Roman" w:cs="Tahoma"/>
          <w:szCs w:val="18"/>
        </w:rPr>
        <w:t>has</w:t>
      </w:r>
      <w:r w:rsidR="0087676B" w:rsidRPr="00957249">
        <w:rPr>
          <w:rFonts w:ascii="Times New Roman" w:hAnsi="Times New Roman" w:cs="Tahoma"/>
          <w:szCs w:val="18"/>
        </w:rPr>
        <w:t xml:space="preserve"> </w:t>
      </w:r>
      <w:r w:rsidR="00D80C36" w:rsidRPr="00957249">
        <w:rPr>
          <w:rFonts w:ascii="Times New Roman" w:hAnsi="Times New Roman" w:cs="Tahoma"/>
          <w:szCs w:val="18"/>
        </w:rPr>
        <w:t xml:space="preserve">clearly </w:t>
      </w:r>
      <w:r w:rsidR="0087676B" w:rsidRPr="00957249">
        <w:rPr>
          <w:rFonts w:ascii="Times New Roman" w:hAnsi="Times New Roman" w:cs="Tahoma"/>
          <w:szCs w:val="18"/>
        </w:rPr>
        <w:t xml:space="preserve">not consulted with the agencies about </w:t>
      </w:r>
      <w:r w:rsidR="001634CE" w:rsidRPr="00957249">
        <w:rPr>
          <w:rFonts w:ascii="Times New Roman" w:hAnsi="Times New Roman" w:cs="Tahoma"/>
          <w:szCs w:val="18"/>
        </w:rPr>
        <w:t>the proposal to certify one-half of all LIBA customers every year,</w:t>
      </w:r>
      <w:r w:rsidR="0087676B" w:rsidRPr="00957249">
        <w:rPr>
          <w:rFonts w:ascii="Times New Roman" w:hAnsi="Times New Roman" w:cs="Tahoma"/>
          <w:szCs w:val="18"/>
        </w:rPr>
        <w:t xml:space="preserve"> and ha</w:t>
      </w:r>
      <w:r w:rsidR="009A3C64" w:rsidRPr="00957249">
        <w:rPr>
          <w:rFonts w:ascii="Times New Roman" w:hAnsi="Times New Roman" w:cs="Tahoma"/>
          <w:szCs w:val="18"/>
        </w:rPr>
        <w:t>s</w:t>
      </w:r>
      <w:r w:rsidR="0087676B" w:rsidRPr="00957249">
        <w:rPr>
          <w:rFonts w:ascii="Times New Roman" w:hAnsi="Times New Roman" w:cs="Tahoma"/>
          <w:szCs w:val="18"/>
        </w:rPr>
        <w:t xml:space="preserve"> demonstrated that </w:t>
      </w:r>
      <w:r w:rsidR="009A3C64" w:rsidRPr="00957249">
        <w:rPr>
          <w:rFonts w:ascii="Times New Roman" w:hAnsi="Times New Roman" w:cs="Tahoma"/>
          <w:szCs w:val="18"/>
        </w:rPr>
        <w:t>it</w:t>
      </w:r>
      <w:r w:rsidR="0087676B" w:rsidRPr="00957249">
        <w:rPr>
          <w:rFonts w:ascii="Times New Roman" w:hAnsi="Times New Roman" w:cs="Tahoma"/>
          <w:szCs w:val="18"/>
        </w:rPr>
        <w:t xml:space="preserve"> do</w:t>
      </w:r>
      <w:r w:rsidR="001634CE" w:rsidRPr="00957249">
        <w:rPr>
          <w:rFonts w:ascii="Times New Roman" w:hAnsi="Times New Roman" w:cs="Tahoma"/>
          <w:szCs w:val="18"/>
        </w:rPr>
        <w:t>es</w:t>
      </w:r>
      <w:r w:rsidR="0087676B" w:rsidRPr="00957249">
        <w:rPr>
          <w:rFonts w:ascii="Times New Roman" w:hAnsi="Times New Roman" w:cs="Tahoma"/>
          <w:szCs w:val="18"/>
        </w:rPr>
        <w:t xml:space="preserve"> not understand what is required to run the program.  </w:t>
      </w:r>
      <w:r w:rsidR="00D80C36" w:rsidRPr="00957249">
        <w:rPr>
          <w:rFonts w:ascii="Times New Roman" w:hAnsi="Times New Roman" w:cs="Tahoma"/>
          <w:szCs w:val="18"/>
        </w:rPr>
        <w:t>Consequently</w:t>
      </w:r>
      <w:r w:rsidR="0087676B" w:rsidRPr="00957249">
        <w:rPr>
          <w:rFonts w:ascii="Times New Roman" w:hAnsi="Times New Roman" w:cs="Tahoma"/>
          <w:szCs w:val="18"/>
        </w:rPr>
        <w:t xml:space="preserve">, </w:t>
      </w:r>
      <w:r w:rsidR="001634CE" w:rsidRPr="00957249">
        <w:rPr>
          <w:rFonts w:ascii="Times New Roman" w:hAnsi="Times New Roman" w:cs="Tahoma"/>
          <w:szCs w:val="18"/>
        </w:rPr>
        <w:t>Staff’s</w:t>
      </w:r>
      <w:r w:rsidR="0087676B" w:rsidRPr="00957249">
        <w:rPr>
          <w:rFonts w:ascii="Times New Roman" w:hAnsi="Times New Roman" w:cs="Tahoma"/>
          <w:szCs w:val="18"/>
        </w:rPr>
        <w:t xml:space="preserve"> insistence that </w:t>
      </w:r>
      <w:r w:rsidR="001634CE" w:rsidRPr="00957249">
        <w:rPr>
          <w:rFonts w:ascii="Times New Roman" w:hAnsi="Times New Roman" w:cs="Tahoma"/>
          <w:szCs w:val="18"/>
        </w:rPr>
        <w:t>it has</w:t>
      </w:r>
      <w:r w:rsidR="0087676B" w:rsidRPr="00957249">
        <w:rPr>
          <w:rFonts w:ascii="Times New Roman" w:hAnsi="Times New Roman" w:cs="Tahoma"/>
          <w:szCs w:val="18"/>
        </w:rPr>
        <w:t xml:space="preserve"> resolved the concerns the agencies raise is presumptuous.  </w:t>
      </w:r>
      <w:r w:rsidR="001634CE" w:rsidRPr="00957249">
        <w:rPr>
          <w:rFonts w:ascii="Times New Roman" w:hAnsi="Times New Roman" w:cs="Tahoma"/>
          <w:szCs w:val="18"/>
        </w:rPr>
        <w:t xml:space="preserve">How can Staff possibly know that it has resolved the type of day-to-day operational concerns expressed by Mr. </w:t>
      </w:r>
      <w:proofErr w:type="spellStart"/>
      <w:r w:rsidR="001634CE" w:rsidRPr="00957249">
        <w:rPr>
          <w:rFonts w:ascii="Times New Roman" w:hAnsi="Times New Roman" w:cs="Tahoma"/>
          <w:szCs w:val="18"/>
        </w:rPr>
        <w:t>Eberdt</w:t>
      </w:r>
      <w:proofErr w:type="spellEnd"/>
      <w:r w:rsidR="001634CE" w:rsidRPr="00957249">
        <w:rPr>
          <w:rFonts w:ascii="Times New Roman" w:hAnsi="Times New Roman" w:cs="Tahoma"/>
          <w:szCs w:val="18"/>
        </w:rPr>
        <w:t xml:space="preserve"> regarding every other year certification?</w:t>
      </w:r>
    </w:p>
    <w:p w:rsidR="005C17F3" w:rsidRPr="00957249" w:rsidRDefault="00873126" w:rsidP="005E7A6D">
      <w:pPr>
        <w:autoSpaceDE w:val="0"/>
        <w:autoSpaceDN w:val="0"/>
        <w:adjustRightInd w:val="0"/>
        <w:spacing w:line="480" w:lineRule="auto"/>
        <w:rPr>
          <w:rFonts w:ascii="Times New Roman" w:hAnsi="Times New Roman"/>
          <w:i/>
        </w:rPr>
      </w:pPr>
      <w:r>
        <w:rPr>
          <w:rFonts w:ascii="Times New Roman" w:hAnsi="Times New Roman" w:cs="Tahoma"/>
          <w:szCs w:val="18"/>
        </w:rPr>
        <w:tab/>
        <w:t>Staff recognizes that its “creative solution” will leave the agencies financially short-handed requiring them to “approach the Commission and to file with the Commission changes to accomplish</w:t>
      </w:r>
      <w:r w:rsidR="00462402">
        <w:rPr>
          <w:rFonts w:ascii="Times New Roman" w:hAnsi="Times New Roman" w:cs="Tahoma"/>
          <w:szCs w:val="18"/>
        </w:rPr>
        <w:t xml:space="preserve"> that [serving more customers and receiving more compensation].</w:t>
      </w:r>
      <w:r w:rsidR="00462402">
        <w:rPr>
          <w:rStyle w:val="FootnoteReference"/>
          <w:rFonts w:ascii="Times New Roman" w:hAnsi="Times New Roman" w:cs="Tahoma"/>
          <w:szCs w:val="18"/>
        </w:rPr>
        <w:footnoteReference w:id="25"/>
      </w:r>
      <w:r w:rsidR="00462402">
        <w:rPr>
          <w:rFonts w:ascii="Times New Roman" w:hAnsi="Times New Roman" w:cs="Tahoma"/>
          <w:szCs w:val="18"/>
        </w:rPr>
        <w:t xml:space="preserve">  Mr. </w:t>
      </w:r>
      <w:proofErr w:type="spellStart"/>
      <w:r w:rsidR="00462402">
        <w:rPr>
          <w:rFonts w:ascii="Times New Roman" w:hAnsi="Times New Roman" w:cs="Tahoma"/>
          <w:szCs w:val="18"/>
        </w:rPr>
        <w:t>Schooley</w:t>
      </w:r>
      <w:proofErr w:type="spellEnd"/>
      <w:r w:rsidR="00462402">
        <w:rPr>
          <w:rFonts w:ascii="Times New Roman" w:hAnsi="Times New Roman" w:cs="Tahoma"/>
          <w:szCs w:val="18"/>
        </w:rPr>
        <w:t xml:space="preserve"> concludes that “it is not incumbent on the company to propose such things when the agencies may come forth with a program to substantially increase their operations.</w:t>
      </w:r>
      <w:r w:rsidR="00462402">
        <w:rPr>
          <w:rStyle w:val="FootnoteReference"/>
          <w:rFonts w:ascii="Times New Roman" w:hAnsi="Times New Roman" w:cs="Tahoma"/>
          <w:szCs w:val="18"/>
        </w:rPr>
        <w:footnoteReference w:id="26"/>
      </w:r>
      <w:r w:rsidR="00462402">
        <w:rPr>
          <w:rFonts w:ascii="Times New Roman" w:hAnsi="Times New Roman" w:cs="Tahoma"/>
          <w:szCs w:val="18"/>
        </w:rPr>
        <w:t xml:space="preserve">   Mr. </w:t>
      </w:r>
      <w:proofErr w:type="spellStart"/>
      <w:r w:rsidR="00462402">
        <w:rPr>
          <w:rFonts w:ascii="Times New Roman" w:hAnsi="Times New Roman" w:cs="Tahoma"/>
          <w:szCs w:val="18"/>
        </w:rPr>
        <w:t>Schooley</w:t>
      </w:r>
      <w:proofErr w:type="spellEnd"/>
      <w:r w:rsidR="00462402">
        <w:rPr>
          <w:rFonts w:ascii="Times New Roman" w:hAnsi="Times New Roman" w:cs="Tahoma"/>
          <w:szCs w:val="18"/>
        </w:rPr>
        <w:t xml:space="preserve"> does not dispute that his proposals would “necessitate a substantial increase in the LIBA funding surcharge.</w:t>
      </w:r>
      <w:r w:rsidR="00462402">
        <w:rPr>
          <w:rStyle w:val="FootnoteReference"/>
          <w:rFonts w:ascii="Times New Roman" w:hAnsi="Times New Roman" w:cs="Tahoma"/>
          <w:szCs w:val="18"/>
        </w:rPr>
        <w:footnoteReference w:id="27"/>
      </w:r>
      <w:r w:rsidR="00462402">
        <w:rPr>
          <w:rFonts w:ascii="Times New Roman" w:hAnsi="Times New Roman" w:cs="Tahoma"/>
          <w:szCs w:val="18"/>
        </w:rPr>
        <w:t xml:space="preserve">  </w:t>
      </w:r>
      <w:r w:rsidR="0016106F" w:rsidRPr="00957249">
        <w:rPr>
          <w:rFonts w:ascii="Times New Roman" w:hAnsi="Times New Roman"/>
        </w:rPr>
        <w:t xml:space="preserve">Mr. </w:t>
      </w:r>
      <w:proofErr w:type="spellStart"/>
      <w:r w:rsidR="0016106F" w:rsidRPr="00957249">
        <w:rPr>
          <w:rFonts w:ascii="Times New Roman" w:hAnsi="Times New Roman"/>
        </w:rPr>
        <w:t>Schooley</w:t>
      </w:r>
      <w:proofErr w:type="spellEnd"/>
      <w:r w:rsidR="0016106F" w:rsidRPr="00957249">
        <w:rPr>
          <w:rFonts w:ascii="Times New Roman" w:hAnsi="Times New Roman"/>
        </w:rPr>
        <w:t xml:space="preserve"> did concede that certifying LIBA every other year poses “a potential for disruptive work flow for the agencies.”</w:t>
      </w:r>
      <w:r w:rsidR="0016106F" w:rsidRPr="00957249">
        <w:rPr>
          <w:rStyle w:val="FootnoteReference"/>
          <w:rFonts w:ascii="Times New Roman" w:hAnsi="Times New Roman"/>
        </w:rPr>
        <w:footnoteReference w:id="28"/>
      </w:r>
    </w:p>
    <w:p w:rsidR="00A45449" w:rsidRDefault="00A45449" w:rsidP="005E7A6D">
      <w:pPr>
        <w:autoSpaceDE w:val="0"/>
        <w:autoSpaceDN w:val="0"/>
        <w:adjustRightInd w:val="0"/>
        <w:spacing w:line="480" w:lineRule="auto"/>
        <w:rPr>
          <w:rFonts w:ascii="Times New Roman" w:hAnsi="Times New Roman" w:cs="Tahoma"/>
          <w:szCs w:val="18"/>
        </w:rPr>
      </w:pPr>
      <w:r w:rsidRPr="00957249">
        <w:rPr>
          <w:rFonts w:ascii="Times New Roman" w:hAnsi="Times New Roman" w:cs="Tahoma"/>
          <w:szCs w:val="18"/>
        </w:rPr>
        <w:tab/>
        <w:t xml:space="preserve">Staff was asked why it doesn’t make more sense to resolve the issue of agency compensation in this case, </w:t>
      </w:r>
      <w:r w:rsidR="00462402">
        <w:rPr>
          <w:rFonts w:ascii="Times New Roman" w:hAnsi="Times New Roman" w:cs="Tahoma"/>
          <w:szCs w:val="18"/>
        </w:rPr>
        <w:t xml:space="preserve">Mr. </w:t>
      </w:r>
      <w:proofErr w:type="spellStart"/>
      <w:r w:rsidR="00462402">
        <w:rPr>
          <w:rFonts w:ascii="Times New Roman" w:hAnsi="Times New Roman" w:cs="Tahoma"/>
          <w:szCs w:val="18"/>
        </w:rPr>
        <w:t>Schooley</w:t>
      </w:r>
      <w:proofErr w:type="spellEnd"/>
      <w:r w:rsidR="00462402">
        <w:rPr>
          <w:rFonts w:ascii="Times New Roman" w:hAnsi="Times New Roman" w:cs="Tahoma"/>
          <w:szCs w:val="18"/>
        </w:rPr>
        <w:t xml:space="preserve"> responded that: ‘</w:t>
      </w:r>
      <w:r w:rsidRPr="00957249">
        <w:rPr>
          <w:rFonts w:ascii="Times New Roman" w:hAnsi="Times New Roman" w:cs="Tahoma"/>
          <w:szCs w:val="18"/>
        </w:rPr>
        <w:t xml:space="preserve">“the agencies need to take control of </w:t>
      </w:r>
      <w:r w:rsidRPr="00957249">
        <w:rPr>
          <w:rFonts w:ascii="Times New Roman" w:hAnsi="Times New Roman" w:cs="Tahoma"/>
          <w:szCs w:val="18"/>
        </w:rPr>
        <w:lastRenderedPageBreak/>
        <w:t>their own destinies and provide the rate of relief to their constituents that they would like to do so.”</w:t>
      </w:r>
      <w:r w:rsidRPr="00957249">
        <w:rPr>
          <w:rStyle w:val="FootnoteReference"/>
          <w:rFonts w:ascii="Times New Roman" w:hAnsi="Times New Roman" w:cs="Tahoma"/>
          <w:szCs w:val="18"/>
        </w:rPr>
        <w:footnoteReference w:id="29"/>
      </w:r>
      <w:r w:rsidR="007D75FB" w:rsidRPr="00957249">
        <w:rPr>
          <w:rFonts w:ascii="Times New Roman" w:hAnsi="Times New Roman" w:cs="Tahoma"/>
          <w:szCs w:val="18"/>
        </w:rPr>
        <w:t xml:space="preserve">  </w:t>
      </w:r>
    </w:p>
    <w:p w:rsidR="00B6757C" w:rsidRDefault="00B6757C" w:rsidP="005E7A6D">
      <w:pPr>
        <w:autoSpaceDE w:val="0"/>
        <w:autoSpaceDN w:val="0"/>
        <w:adjustRightInd w:val="0"/>
        <w:spacing w:line="480" w:lineRule="auto"/>
        <w:rPr>
          <w:rFonts w:ascii="Times New Roman" w:hAnsi="Times New Roman" w:cs="Tahoma"/>
          <w:szCs w:val="18"/>
        </w:rPr>
      </w:pPr>
      <w:r>
        <w:rPr>
          <w:rFonts w:ascii="Times New Roman" w:hAnsi="Times New Roman" w:cs="Tahoma"/>
          <w:szCs w:val="18"/>
        </w:rPr>
        <w:tab/>
        <w:t xml:space="preserve">This set of conclusions is difficult to understand when it is the Company proposing an increase in the number of customers served and the agencies are in fact doing what Mr. </w:t>
      </w:r>
      <w:proofErr w:type="spellStart"/>
      <w:r>
        <w:rPr>
          <w:rFonts w:ascii="Times New Roman" w:hAnsi="Times New Roman" w:cs="Tahoma"/>
          <w:szCs w:val="18"/>
        </w:rPr>
        <w:t>Schooley</w:t>
      </w:r>
      <w:proofErr w:type="spellEnd"/>
      <w:r>
        <w:rPr>
          <w:rFonts w:ascii="Times New Roman" w:hAnsi="Times New Roman" w:cs="Tahoma"/>
          <w:szCs w:val="18"/>
        </w:rPr>
        <w:t xml:space="preserve"> proposes which is to seek greater compensation for LIBA certification costs in this case.  It is unclear what Mr. </w:t>
      </w:r>
      <w:proofErr w:type="spellStart"/>
      <w:r>
        <w:rPr>
          <w:rFonts w:ascii="Times New Roman" w:hAnsi="Times New Roman" w:cs="Tahoma"/>
          <w:szCs w:val="18"/>
        </w:rPr>
        <w:t>Schooley</w:t>
      </w:r>
      <w:proofErr w:type="spellEnd"/>
      <w:r>
        <w:rPr>
          <w:rFonts w:ascii="Times New Roman" w:hAnsi="Times New Roman" w:cs="Tahoma"/>
          <w:szCs w:val="18"/>
        </w:rPr>
        <w:t xml:space="preserve"> would have the agencies do that they are not already doing in this case.</w:t>
      </w:r>
    </w:p>
    <w:p w:rsidR="00485696" w:rsidRPr="00957249" w:rsidRDefault="00485696" w:rsidP="005E7A6D">
      <w:pPr>
        <w:autoSpaceDE w:val="0"/>
        <w:autoSpaceDN w:val="0"/>
        <w:adjustRightInd w:val="0"/>
        <w:spacing w:line="480" w:lineRule="auto"/>
        <w:rPr>
          <w:rFonts w:ascii="Times New Roman" w:hAnsi="Times New Roman" w:cs="Tahoma"/>
          <w:szCs w:val="18"/>
        </w:rPr>
      </w:pPr>
      <w:r>
        <w:rPr>
          <w:rFonts w:ascii="Times New Roman" w:hAnsi="Times New Roman" w:cs="Tahoma"/>
          <w:szCs w:val="18"/>
        </w:rPr>
        <w:tab/>
      </w:r>
      <w:r w:rsidRPr="00511D2F">
        <w:rPr>
          <w:rFonts w:ascii="Times New Roman" w:hAnsi="Times New Roman" w:cs="Tahoma"/>
          <w:szCs w:val="18"/>
        </w:rPr>
        <w:t xml:space="preserve">What Mr. </w:t>
      </w:r>
      <w:proofErr w:type="spellStart"/>
      <w:r w:rsidRPr="00511D2F">
        <w:rPr>
          <w:rFonts w:ascii="Times New Roman" w:hAnsi="Times New Roman" w:cs="Tahoma"/>
          <w:szCs w:val="18"/>
        </w:rPr>
        <w:t>Schooley’s</w:t>
      </w:r>
      <w:proofErr w:type="spellEnd"/>
      <w:r w:rsidRPr="00511D2F">
        <w:rPr>
          <w:rFonts w:ascii="Times New Roman" w:hAnsi="Times New Roman" w:cs="Tahoma"/>
          <w:szCs w:val="18"/>
        </w:rPr>
        <w:t xml:space="preserve"> testimony makes clear is that Staff’s “creative solution” for LIBA certification, as well as its position on the adequacy of LIBA funding and the LIBA certification fee, is based on a stack of assumptions and conditions that, if accepted, would require the agencies to c</w:t>
      </w:r>
      <w:r>
        <w:rPr>
          <w:rFonts w:ascii="Times New Roman" w:hAnsi="Times New Roman" w:cs="Tahoma"/>
          <w:szCs w:val="18"/>
        </w:rPr>
        <w:t>o</w:t>
      </w:r>
      <w:r w:rsidRPr="00511D2F">
        <w:rPr>
          <w:rFonts w:ascii="Times New Roman" w:hAnsi="Times New Roman" w:cs="Tahoma"/>
          <w:szCs w:val="18"/>
        </w:rPr>
        <w:t>me back to this Commission seeking the necessary funding</w:t>
      </w:r>
      <w:r>
        <w:rPr>
          <w:rFonts w:ascii="Times New Roman" w:hAnsi="Times New Roman" w:cs="Tahoma"/>
          <w:szCs w:val="18"/>
        </w:rPr>
        <w:t xml:space="preserve"> to</w:t>
      </w:r>
      <w:r w:rsidRPr="00511D2F">
        <w:rPr>
          <w:rFonts w:ascii="Times New Roman" w:hAnsi="Times New Roman" w:cs="Tahoma"/>
          <w:szCs w:val="18"/>
        </w:rPr>
        <w:t xml:space="preserve"> accomplish.</w:t>
      </w:r>
    </w:p>
    <w:p w:rsidR="005C17F3" w:rsidRPr="00957249" w:rsidRDefault="001146B5" w:rsidP="005E7A6D">
      <w:pPr>
        <w:autoSpaceDE w:val="0"/>
        <w:autoSpaceDN w:val="0"/>
        <w:adjustRightInd w:val="0"/>
        <w:spacing w:line="480" w:lineRule="auto"/>
        <w:rPr>
          <w:rFonts w:ascii="Times New Roman" w:hAnsi="Times New Roman" w:cs="Tahoma"/>
          <w:szCs w:val="18"/>
        </w:rPr>
      </w:pPr>
      <w:r w:rsidRPr="00957249">
        <w:rPr>
          <w:rFonts w:ascii="Times New Roman" w:hAnsi="Times New Roman" w:cs="Tahoma"/>
          <w:szCs w:val="18"/>
        </w:rPr>
        <w:tab/>
      </w:r>
      <w:r w:rsidR="00A907BF" w:rsidRPr="00957249">
        <w:rPr>
          <w:rFonts w:ascii="Times New Roman" w:hAnsi="Times New Roman" w:cs="Tahoma"/>
          <w:szCs w:val="18"/>
        </w:rPr>
        <w:t xml:space="preserve">Given the harsh rhetoric employed by Mr. </w:t>
      </w:r>
      <w:proofErr w:type="spellStart"/>
      <w:r w:rsidR="00A907BF" w:rsidRPr="00957249">
        <w:rPr>
          <w:rFonts w:ascii="Times New Roman" w:hAnsi="Times New Roman" w:cs="Tahoma"/>
          <w:szCs w:val="18"/>
        </w:rPr>
        <w:t>Schooley</w:t>
      </w:r>
      <w:proofErr w:type="spellEnd"/>
      <w:r w:rsidR="00A907BF" w:rsidRPr="00957249">
        <w:rPr>
          <w:rFonts w:ascii="Times New Roman" w:hAnsi="Times New Roman" w:cs="Tahoma"/>
          <w:szCs w:val="18"/>
        </w:rPr>
        <w:t xml:space="preserve"> and Staff in this case regarding LIBA and the agencies’ implementation of that program, it would hardly be a stretch to presume that Staff</w:t>
      </w:r>
      <w:r w:rsidR="00AB3F7A" w:rsidRPr="00957249">
        <w:rPr>
          <w:rFonts w:ascii="Times New Roman" w:hAnsi="Times New Roman" w:cs="Tahoma"/>
          <w:szCs w:val="18"/>
        </w:rPr>
        <w:t>, and likely the Company,</w:t>
      </w:r>
      <w:r w:rsidR="00A907BF" w:rsidRPr="00957249">
        <w:rPr>
          <w:rFonts w:ascii="Times New Roman" w:hAnsi="Times New Roman" w:cs="Tahoma"/>
          <w:szCs w:val="18"/>
        </w:rPr>
        <w:t xml:space="preserve"> will vigorously oppose any future filings in which the agencies seek to “take control of their own destinies.”  </w:t>
      </w:r>
      <w:r w:rsidR="0016106F">
        <w:rPr>
          <w:rFonts w:ascii="Times New Roman" w:hAnsi="Times New Roman" w:cs="Tahoma"/>
          <w:szCs w:val="18"/>
        </w:rPr>
        <w:t>Meanwhile, w</w:t>
      </w:r>
      <w:r w:rsidR="00E8752C" w:rsidRPr="00957249">
        <w:rPr>
          <w:rFonts w:ascii="Times New Roman" w:hAnsi="Times New Roman" w:cs="Tahoma"/>
          <w:szCs w:val="18"/>
        </w:rPr>
        <w:t xml:space="preserve">hat does comport with logic is to </w:t>
      </w:r>
      <w:r w:rsidR="007D75FB" w:rsidRPr="00957249">
        <w:rPr>
          <w:rFonts w:ascii="Times New Roman" w:hAnsi="Times New Roman" w:cs="Tahoma"/>
          <w:szCs w:val="18"/>
        </w:rPr>
        <w:t>continue certifying LIBA annually</w:t>
      </w:r>
      <w:r w:rsidR="00E8752C" w:rsidRPr="00957249">
        <w:rPr>
          <w:rFonts w:ascii="Times New Roman" w:hAnsi="Times New Roman" w:cs="Tahoma"/>
          <w:szCs w:val="18"/>
        </w:rPr>
        <w:t xml:space="preserve"> until all of the negative consequences can be compared to the perceived benefits, rather than adopting Staff and PPL’s one-sided, unilateral, presumptive approach.</w:t>
      </w:r>
      <w:r w:rsidR="00AB3F7A" w:rsidRPr="00957249">
        <w:rPr>
          <w:rFonts w:ascii="Times New Roman" w:hAnsi="Times New Roman" w:cs="Tahoma"/>
          <w:szCs w:val="18"/>
        </w:rPr>
        <w:t xml:space="preserve">  </w:t>
      </w:r>
      <w:r w:rsidR="007D75FB" w:rsidRPr="00957249">
        <w:rPr>
          <w:rFonts w:ascii="Times New Roman" w:hAnsi="Times New Roman" w:cs="Tahoma"/>
          <w:szCs w:val="18"/>
        </w:rPr>
        <w:t xml:space="preserve">Meanwhile, the agencies should be compensated at a rate that </w:t>
      </w:r>
      <w:r w:rsidR="00A317F8" w:rsidRPr="00957249">
        <w:rPr>
          <w:rFonts w:ascii="Times New Roman" w:hAnsi="Times New Roman" w:cs="Tahoma"/>
          <w:szCs w:val="18"/>
        </w:rPr>
        <w:t xml:space="preserve">more closely matches their actual costs.  </w:t>
      </w:r>
    </w:p>
    <w:p w:rsidR="0016106F" w:rsidRPr="00957249" w:rsidRDefault="00834043" w:rsidP="005E7A6D">
      <w:pPr>
        <w:autoSpaceDE w:val="0"/>
        <w:autoSpaceDN w:val="0"/>
        <w:adjustRightInd w:val="0"/>
        <w:spacing w:line="480" w:lineRule="auto"/>
        <w:rPr>
          <w:rFonts w:ascii="Times New Roman" w:hAnsi="Times New Roman" w:cs="Times New Roman"/>
        </w:rPr>
      </w:pPr>
      <w:r w:rsidRPr="00957249">
        <w:rPr>
          <w:rFonts w:ascii="Times New Roman" w:hAnsi="Times New Roman"/>
        </w:rPr>
        <w:tab/>
        <w:t xml:space="preserve">Regarding </w:t>
      </w:r>
      <w:r w:rsidR="0016106F">
        <w:rPr>
          <w:rFonts w:ascii="Times New Roman" w:hAnsi="Times New Roman"/>
        </w:rPr>
        <w:t xml:space="preserve">the evidence presented by the Energy Project in support of its request for an increase to the certification fee, </w:t>
      </w:r>
      <w:r w:rsidRPr="00957249">
        <w:rPr>
          <w:rFonts w:ascii="Times New Roman" w:hAnsi="Times New Roman"/>
        </w:rPr>
        <w:t xml:space="preserve">Exhibit No. </w:t>
      </w:r>
      <w:proofErr w:type="gramStart"/>
      <w:r w:rsidRPr="00957249">
        <w:rPr>
          <w:rFonts w:ascii="Times New Roman" w:hAnsi="Times New Roman"/>
        </w:rPr>
        <w:t>CME-4</w:t>
      </w:r>
      <w:r w:rsidR="0016106F">
        <w:rPr>
          <w:rFonts w:ascii="Times New Roman" w:hAnsi="Times New Roman"/>
        </w:rPr>
        <w:t>, dismissed by Staff because it “</w:t>
      </w:r>
      <w:r w:rsidR="0016106F" w:rsidRPr="00AA7D2A">
        <w:rPr>
          <w:rFonts w:ascii="Times New Roman" w:hAnsi="Times New Roman" w:cs="Times New Roman"/>
        </w:rPr>
        <w:t xml:space="preserve">proves </w:t>
      </w:r>
      <w:r w:rsidR="0016106F" w:rsidRPr="00AA7D2A">
        <w:rPr>
          <w:rFonts w:ascii="Times New Roman" w:hAnsi="Times New Roman" w:cs="Times New Roman"/>
        </w:rPr>
        <w:lastRenderedPageBreak/>
        <w:t>nothing, because it reflect</w:t>
      </w:r>
      <w:r w:rsidR="0016106F" w:rsidRPr="00C31DB6">
        <w:rPr>
          <w:rFonts w:ascii="Times New Roman" w:hAnsi="Times New Roman" w:cs="Times New Roman"/>
        </w:rPr>
        <w:t>s</w:t>
      </w:r>
      <w:r w:rsidR="0016106F" w:rsidRPr="00AA7D2A">
        <w:rPr>
          <w:rFonts w:ascii="Times New Roman" w:hAnsi="Times New Roman" w:cs="Times New Roman"/>
        </w:rPr>
        <w:t xml:space="preserve"> just one month of expense for just one of the three low income agencies</w:t>
      </w:r>
      <w:r w:rsidR="0016106F">
        <w:rPr>
          <w:rFonts w:ascii="Times New Roman" w:hAnsi="Times New Roman" w:cs="Times New Roman"/>
        </w:rPr>
        <w:t>.”</w:t>
      </w:r>
      <w:proofErr w:type="gramEnd"/>
      <w:r w:rsidR="0016106F">
        <w:rPr>
          <w:rStyle w:val="FootnoteReference"/>
          <w:rFonts w:ascii="Times New Roman" w:hAnsi="Times New Roman" w:cs="Times New Roman"/>
        </w:rPr>
        <w:footnoteReference w:id="30"/>
      </w:r>
      <w:r w:rsidR="0016106F">
        <w:rPr>
          <w:rFonts w:ascii="Times New Roman" w:hAnsi="Times New Roman" w:cs="Times New Roman"/>
        </w:rPr>
        <w:t xml:space="preserve"> </w:t>
      </w:r>
    </w:p>
    <w:p w:rsidR="0016106F" w:rsidRDefault="00944C1F" w:rsidP="005E7A6D">
      <w:pPr>
        <w:autoSpaceDE w:val="0"/>
        <w:autoSpaceDN w:val="0"/>
        <w:adjustRightInd w:val="0"/>
        <w:spacing w:line="480" w:lineRule="auto"/>
        <w:rPr>
          <w:rFonts w:ascii="Times New Roman" w:hAnsi="Times New Roman" w:cs="Times New Roman"/>
        </w:rPr>
      </w:pPr>
      <w:r w:rsidRPr="00957249">
        <w:rPr>
          <w:rFonts w:ascii="Times New Roman" w:hAnsi="Times New Roman" w:cs="Times New Roman"/>
        </w:rPr>
        <w:tab/>
        <w:t xml:space="preserve">Had Staff paid closer attention to Exhibit CME-4, it would have noted the following explanatory text located conspicuously at the bottom of the page: </w:t>
      </w:r>
    </w:p>
    <w:p w:rsidR="0016106F" w:rsidRDefault="00944C1F" w:rsidP="00526D97">
      <w:pPr>
        <w:autoSpaceDE w:val="0"/>
        <w:autoSpaceDN w:val="0"/>
        <w:adjustRightInd w:val="0"/>
        <w:ind w:left="720" w:right="720"/>
        <w:rPr>
          <w:rFonts w:ascii="Times New Roman" w:hAnsi="Times New Roman" w:cs="Times New Roman"/>
        </w:rPr>
      </w:pPr>
      <w:r w:rsidRPr="00957249">
        <w:rPr>
          <w:rFonts w:ascii="Times New Roman" w:hAnsi="Times New Roman" w:cs="Times New Roman"/>
        </w:rPr>
        <w:t xml:space="preserve">“It takes 2 staff members 13 weeks (1040 hours) to certify 805 customers for the </w:t>
      </w:r>
      <w:proofErr w:type="spellStart"/>
      <w:r w:rsidRPr="00957249">
        <w:rPr>
          <w:rFonts w:ascii="Times New Roman" w:hAnsi="Times New Roman" w:cs="Times New Roman"/>
        </w:rPr>
        <w:t>Liba</w:t>
      </w:r>
      <w:proofErr w:type="spellEnd"/>
      <w:r w:rsidRPr="00957249">
        <w:rPr>
          <w:rFonts w:ascii="Times New Roman" w:hAnsi="Times New Roman" w:cs="Times New Roman"/>
        </w:rPr>
        <w:t xml:space="preserve"> program.  This includes prep time to advertise, schedule appointments, interview customers and procure needed documentation, calculate input </w:t>
      </w:r>
      <w:r w:rsidR="005567F5" w:rsidRPr="00957249">
        <w:rPr>
          <w:rFonts w:ascii="Times New Roman" w:hAnsi="Times New Roman" w:cs="Times New Roman"/>
        </w:rPr>
        <w:t xml:space="preserve">income tier level, input </w:t>
      </w:r>
      <w:r w:rsidRPr="00957249">
        <w:rPr>
          <w:rFonts w:ascii="Times New Roman" w:hAnsi="Times New Roman" w:cs="Times New Roman"/>
        </w:rPr>
        <w:t xml:space="preserve">data on Pacific Power’s spreadsheet and send to Pacific Power.  </w:t>
      </w:r>
      <w:r w:rsidRPr="00957249">
        <w:rPr>
          <w:rFonts w:ascii="Times New Roman" w:hAnsi="Times New Roman" w:cs="Times New Roman"/>
          <w:b/>
        </w:rPr>
        <w:t>1040 hours @ $56.61 = $58,874.40 or $73.14 per customer.</w:t>
      </w:r>
      <w:r w:rsidR="009A5AAC" w:rsidRPr="00957249">
        <w:rPr>
          <w:rFonts w:ascii="Times New Roman" w:hAnsi="Times New Roman" w:cs="Times New Roman"/>
          <w:b/>
        </w:rPr>
        <w:t>”</w:t>
      </w:r>
      <w:r w:rsidR="0098535C" w:rsidRPr="00957249">
        <w:rPr>
          <w:rFonts w:ascii="Times New Roman" w:hAnsi="Times New Roman" w:cs="Times New Roman"/>
          <w:b/>
        </w:rPr>
        <w:t xml:space="preserve"> </w:t>
      </w:r>
      <w:proofErr w:type="gramStart"/>
      <w:r w:rsidR="0098535C" w:rsidRPr="00957249">
        <w:rPr>
          <w:rFonts w:ascii="Times New Roman" w:hAnsi="Times New Roman" w:cs="Times New Roman"/>
        </w:rPr>
        <w:t>[Emphasis original].</w:t>
      </w:r>
      <w:proofErr w:type="gramEnd"/>
      <w:r w:rsidR="001203C1" w:rsidRPr="00957249">
        <w:rPr>
          <w:rFonts w:ascii="Times New Roman" w:hAnsi="Times New Roman" w:cs="Times New Roman"/>
        </w:rPr>
        <w:t xml:space="preserve">  </w:t>
      </w:r>
    </w:p>
    <w:p w:rsidR="0016106F" w:rsidRDefault="0016106F" w:rsidP="005E7A6D">
      <w:pPr>
        <w:autoSpaceDE w:val="0"/>
        <w:autoSpaceDN w:val="0"/>
        <w:adjustRightInd w:val="0"/>
        <w:rPr>
          <w:rFonts w:ascii="Times New Roman" w:hAnsi="Times New Roman" w:cs="Times New Roman"/>
        </w:rPr>
      </w:pPr>
    </w:p>
    <w:p w:rsidR="00240D06" w:rsidRDefault="0016106F" w:rsidP="005E7A6D">
      <w:pPr>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240D06">
        <w:rPr>
          <w:rFonts w:ascii="Times New Roman" w:hAnsi="Times New Roman" w:cs="Times New Roman"/>
        </w:rPr>
        <w:t>Staff’s objection to Exhibit CME-4 is irrelevant.  I</w:t>
      </w:r>
      <w:r w:rsidR="001203C1" w:rsidRPr="00957249">
        <w:rPr>
          <w:rFonts w:ascii="Times New Roman" w:hAnsi="Times New Roman" w:cs="Times New Roman"/>
        </w:rPr>
        <w:t>t does not matter what particular month this data pertains to because it is a calculation of all costs incurred in certifying LIBA</w:t>
      </w:r>
      <w:r w:rsidR="003B6331" w:rsidRPr="00957249">
        <w:rPr>
          <w:rFonts w:ascii="Times New Roman" w:hAnsi="Times New Roman" w:cs="Times New Roman"/>
        </w:rPr>
        <w:t xml:space="preserve"> ($56.51 per employee) multiplied by the total time required every year to perform certification (1040 hours) divided by total customers certified by Blue Mountain (805).  </w:t>
      </w:r>
      <w:r w:rsidR="00240D06">
        <w:rPr>
          <w:rFonts w:ascii="Times New Roman" w:hAnsi="Times New Roman" w:cs="Times New Roman"/>
        </w:rPr>
        <w:t xml:space="preserve">No party disputes that LIBA certification fees are paid to the agencies for every household certified.  Exhibit CME-4 demonstrates that for Blue Mountain, those costs are far in excess of what the agencies are actually paid.  </w:t>
      </w:r>
    </w:p>
    <w:p w:rsidR="003B6331" w:rsidRPr="00957249" w:rsidRDefault="003B6331" w:rsidP="005E7A6D">
      <w:pPr>
        <w:autoSpaceDE w:val="0"/>
        <w:autoSpaceDN w:val="0"/>
        <w:adjustRightInd w:val="0"/>
        <w:spacing w:line="480" w:lineRule="auto"/>
        <w:rPr>
          <w:rFonts w:ascii="Times New Roman" w:hAnsi="Times New Roman" w:cs="Times New Roman"/>
        </w:rPr>
      </w:pPr>
      <w:r w:rsidRPr="00957249">
        <w:rPr>
          <w:rFonts w:ascii="Times New Roman" w:hAnsi="Times New Roman"/>
        </w:rPr>
        <w:tab/>
        <w:t xml:space="preserve">Thus, the fact is that the cost to determine eligibility is </w:t>
      </w:r>
      <w:r w:rsidR="006231D9" w:rsidRPr="00957249">
        <w:rPr>
          <w:rFonts w:ascii="Times New Roman" w:hAnsi="Times New Roman"/>
        </w:rPr>
        <w:t xml:space="preserve">substantially </w:t>
      </w:r>
      <w:r w:rsidRPr="00957249">
        <w:rPr>
          <w:rFonts w:ascii="Times New Roman" w:hAnsi="Times New Roman"/>
        </w:rPr>
        <w:t xml:space="preserve">greater than </w:t>
      </w:r>
      <w:r w:rsidR="006231D9" w:rsidRPr="00957249">
        <w:rPr>
          <w:rFonts w:ascii="Times New Roman" w:hAnsi="Times New Roman"/>
        </w:rPr>
        <w:t xml:space="preserve">what </w:t>
      </w:r>
      <w:r w:rsidRPr="00957249">
        <w:rPr>
          <w:rFonts w:ascii="Times New Roman" w:hAnsi="Times New Roman"/>
        </w:rPr>
        <w:t>the Company pays</w:t>
      </w:r>
      <w:r w:rsidR="006231D9" w:rsidRPr="00957249">
        <w:rPr>
          <w:rFonts w:ascii="Times New Roman" w:hAnsi="Times New Roman"/>
        </w:rPr>
        <w:t xml:space="preserve"> the agencies who are implementing the program at a loss</w:t>
      </w:r>
      <w:r w:rsidRPr="00957249">
        <w:rPr>
          <w:rFonts w:ascii="Times New Roman" w:hAnsi="Times New Roman"/>
        </w:rPr>
        <w:t>.  Increasing the number of households to be served</w:t>
      </w:r>
      <w:r w:rsidR="006231D9" w:rsidRPr="00957249">
        <w:rPr>
          <w:rFonts w:ascii="Times New Roman" w:hAnsi="Times New Roman"/>
        </w:rPr>
        <w:t>, therefore,</w:t>
      </w:r>
      <w:r w:rsidRPr="00957249">
        <w:rPr>
          <w:rFonts w:ascii="Times New Roman" w:hAnsi="Times New Roman"/>
        </w:rPr>
        <w:t xml:space="preserve"> only </w:t>
      </w:r>
      <w:r w:rsidR="006231D9" w:rsidRPr="00957249">
        <w:rPr>
          <w:rFonts w:ascii="Times New Roman" w:hAnsi="Times New Roman"/>
        </w:rPr>
        <w:t>exacerbates</w:t>
      </w:r>
      <w:r w:rsidRPr="00957249">
        <w:rPr>
          <w:rFonts w:ascii="Times New Roman" w:hAnsi="Times New Roman"/>
        </w:rPr>
        <w:t xml:space="preserve"> this loss for the agencies, forcing greater reliance on some other funding source to carry the Company’s program.  Halving the number of customers served in one year may </w:t>
      </w:r>
      <w:r w:rsidR="00240D06">
        <w:rPr>
          <w:rFonts w:ascii="Times New Roman" w:hAnsi="Times New Roman"/>
        </w:rPr>
        <w:t>satisfy</w:t>
      </w:r>
      <w:r w:rsidRPr="00957249">
        <w:rPr>
          <w:rFonts w:ascii="Times New Roman" w:hAnsi="Times New Roman"/>
        </w:rPr>
        <w:t xml:space="preserve"> the Company’s desire to divert more funds from implementation to direct service and possibly to serve more customers, but it does not respond to the inadequacy of the existing certification fee</w:t>
      </w:r>
      <w:r w:rsidR="006231D9" w:rsidRPr="00957249">
        <w:rPr>
          <w:rFonts w:ascii="Times New Roman" w:hAnsi="Times New Roman"/>
        </w:rPr>
        <w:t xml:space="preserve"> and places the future of the program in jeopardy.</w:t>
      </w:r>
      <w:r w:rsidRPr="00957249">
        <w:rPr>
          <w:rFonts w:ascii="Times New Roman" w:hAnsi="Times New Roman"/>
        </w:rPr>
        <w:t xml:space="preserve">  </w:t>
      </w:r>
      <w:r w:rsidR="006231D9" w:rsidRPr="00957249">
        <w:rPr>
          <w:rFonts w:ascii="Times New Roman" w:hAnsi="Times New Roman"/>
        </w:rPr>
        <w:t xml:space="preserve">Although Exhibit CME-4 shows that Blue Mountain’s certification costs are $73.14 per </w:t>
      </w:r>
      <w:r w:rsidR="006231D9" w:rsidRPr="00957249">
        <w:rPr>
          <w:rFonts w:ascii="Times New Roman" w:hAnsi="Times New Roman"/>
        </w:rPr>
        <w:lastRenderedPageBreak/>
        <w:t>customer, the Energy Project only seeks an increase to the preexisting level of $64.52, a reasonable compromise.</w:t>
      </w:r>
    </w:p>
    <w:p w:rsidR="00B6057C" w:rsidRPr="00957249" w:rsidRDefault="000B5840" w:rsidP="005E7A6D">
      <w:pPr>
        <w:autoSpaceDE w:val="0"/>
        <w:autoSpaceDN w:val="0"/>
        <w:adjustRightInd w:val="0"/>
        <w:spacing w:line="480" w:lineRule="auto"/>
        <w:rPr>
          <w:rFonts w:ascii="Times New Roman" w:hAnsi="Times New Roman" w:cs="Times New Roman"/>
        </w:rPr>
      </w:pPr>
      <w:r w:rsidRPr="00957249">
        <w:rPr>
          <w:rFonts w:ascii="Times New Roman" w:hAnsi="Times New Roman" w:cs="Times New Roman"/>
        </w:rPr>
        <w:tab/>
      </w:r>
      <w:r w:rsidR="00B6057C" w:rsidRPr="00957249">
        <w:rPr>
          <w:rFonts w:ascii="Times New Roman" w:hAnsi="Times New Roman" w:cs="Times New Roman"/>
        </w:rPr>
        <w:t xml:space="preserve">While the Energy Project appreciates any and all good faith efforts by </w:t>
      </w:r>
      <w:r w:rsidR="004A7E3C">
        <w:rPr>
          <w:rFonts w:ascii="Times New Roman" w:hAnsi="Times New Roman" w:cs="Times New Roman"/>
        </w:rPr>
        <w:t>others</w:t>
      </w:r>
      <w:r w:rsidR="00B6057C" w:rsidRPr="00957249">
        <w:rPr>
          <w:rFonts w:ascii="Times New Roman" w:hAnsi="Times New Roman" w:cs="Times New Roman"/>
        </w:rPr>
        <w:t xml:space="preserve"> to make LIBA a program that accomplishes not only the social objectives codified in RCW 80.28.068, but provides tangible, system-wide financial benefits to all customers, the proposals made by the Company and whole-heartedly embraced by Staff in this case will do nothing to further LIBA’s success.  At the end of the day, the collective recommendations of PPL and Staff are more likely to set LIBA back, not advance it as those parties claim.</w:t>
      </w:r>
    </w:p>
    <w:p w:rsidR="002C73D2" w:rsidRPr="00957249" w:rsidRDefault="000B53CA" w:rsidP="005E7A6D">
      <w:pPr>
        <w:autoSpaceDE w:val="0"/>
        <w:autoSpaceDN w:val="0"/>
        <w:adjustRightInd w:val="0"/>
        <w:spacing w:line="480" w:lineRule="auto"/>
        <w:rPr>
          <w:rFonts w:ascii="Times New Roman" w:hAnsi="Times New Roman"/>
          <w:b/>
        </w:rPr>
      </w:pPr>
      <w:r w:rsidRPr="00957249">
        <w:rPr>
          <w:rFonts w:ascii="Times New Roman" w:hAnsi="Times New Roman"/>
          <w:b/>
        </w:rPr>
        <w:t>E</w:t>
      </w:r>
      <w:r w:rsidR="002C73D2" w:rsidRPr="00957249">
        <w:rPr>
          <w:rFonts w:ascii="Times New Roman" w:hAnsi="Times New Roman"/>
          <w:b/>
        </w:rPr>
        <w:t>.</w:t>
      </w:r>
      <w:r w:rsidR="002C73D2" w:rsidRPr="00957249">
        <w:rPr>
          <w:rFonts w:ascii="Times New Roman" w:hAnsi="Times New Roman"/>
          <w:b/>
        </w:rPr>
        <w:tab/>
        <w:t>L</w:t>
      </w:r>
      <w:r w:rsidRPr="00957249">
        <w:rPr>
          <w:rFonts w:ascii="Times New Roman" w:hAnsi="Times New Roman"/>
          <w:b/>
        </w:rPr>
        <w:t>ow-Income Weatherization</w:t>
      </w:r>
    </w:p>
    <w:p w:rsidR="00E970D2" w:rsidRPr="00957249" w:rsidRDefault="00E970D2" w:rsidP="005E7A6D">
      <w:pPr>
        <w:autoSpaceDE w:val="0"/>
        <w:autoSpaceDN w:val="0"/>
        <w:adjustRightInd w:val="0"/>
        <w:spacing w:line="480" w:lineRule="auto"/>
        <w:rPr>
          <w:rFonts w:ascii="Times New Roman" w:hAnsi="Times New Roman"/>
        </w:rPr>
      </w:pPr>
      <w:r w:rsidRPr="00957249">
        <w:rPr>
          <w:rFonts w:ascii="Times New Roman" w:hAnsi="Times New Roman"/>
        </w:rPr>
        <w:tab/>
        <w:t xml:space="preserve">During the hearing in this matter, Commissioner </w:t>
      </w:r>
      <w:proofErr w:type="spellStart"/>
      <w:r w:rsidRPr="00957249">
        <w:rPr>
          <w:rFonts w:ascii="Times New Roman" w:hAnsi="Times New Roman"/>
        </w:rPr>
        <w:t>Goltz</w:t>
      </w:r>
      <w:proofErr w:type="spellEnd"/>
      <w:r w:rsidRPr="00957249">
        <w:rPr>
          <w:rFonts w:ascii="Times New Roman" w:hAnsi="Times New Roman"/>
        </w:rPr>
        <w:t xml:space="preserve"> asked that the </w:t>
      </w:r>
      <w:r w:rsidR="00802C63">
        <w:rPr>
          <w:rFonts w:ascii="Times New Roman" w:hAnsi="Times New Roman"/>
        </w:rPr>
        <w:t>basis</w:t>
      </w:r>
      <w:r w:rsidRPr="00957249">
        <w:rPr>
          <w:rFonts w:ascii="Times New Roman" w:hAnsi="Times New Roman"/>
        </w:rPr>
        <w:t xml:space="preserve"> for Staff’s position that PPL’s Low-Income Weatherization Assistance (LIWA) program funding cannot be addressed and ruled upon by the Commission because, as stated by Staff witness Thomas </w:t>
      </w:r>
      <w:proofErr w:type="spellStart"/>
      <w:r w:rsidRPr="00957249">
        <w:rPr>
          <w:rFonts w:ascii="Times New Roman" w:hAnsi="Times New Roman"/>
        </w:rPr>
        <w:t>Schooley</w:t>
      </w:r>
      <w:proofErr w:type="spellEnd"/>
      <w:r w:rsidRPr="00957249">
        <w:rPr>
          <w:rFonts w:ascii="Times New Roman" w:hAnsi="Times New Roman"/>
        </w:rPr>
        <w:t xml:space="preserve">, modification to LIWA funding was not part of the Company’s initial filing and there were no related tariffs filed or suspended by the Commission.  </w:t>
      </w:r>
      <w:r w:rsidR="0015171B">
        <w:rPr>
          <w:rFonts w:ascii="Times New Roman" w:hAnsi="Times New Roman"/>
        </w:rPr>
        <w:t xml:space="preserve">Prior to its initial brief, Staff had not explained its theory that LIWA cannot be addressed in this case.  </w:t>
      </w:r>
      <w:r w:rsidRPr="00957249">
        <w:rPr>
          <w:rFonts w:ascii="Times New Roman" w:hAnsi="Times New Roman"/>
        </w:rPr>
        <w:t>PPL chose not to address this aspect of LIWA, but simply objects to increasing LIWA “on the basis that the current budgeted amount of $1million is not being fully used.”</w:t>
      </w:r>
      <w:r w:rsidRPr="00957249">
        <w:rPr>
          <w:rStyle w:val="FootnoteReference"/>
          <w:rFonts w:ascii="Times New Roman" w:hAnsi="Times New Roman"/>
        </w:rPr>
        <w:footnoteReference w:id="31"/>
      </w:r>
    </w:p>
    <w:p w:rsidR="00E970D2" w:rsidRPr="00957249" w:rsidRDefault="004A34D3" w:rsidP="005E7A6D">
      <w:pPr>
        <w:autoSpaceDE w:val="0"/>
        <w:autoSpaceDN w:val="0"/>
        <w:adjustRightInd w:val="0"/>
        <w:spacing w:line="480" w:lineRule="auto"/>
        <w:rPr>
          <w:rFonts w:ascii="Times New Roman" w:hAnsi="Times New Roman"/>
        </w:rPr>
      </w:pPr>
      <w:r w:rsidRPr="00957249">
        <w:rPr>
          <w:rFonts w:ascii="Times New Roman" w:hAnsi="Times New Roman"/>
        </w:rPr>
        <w:tab/>
      </w:r>
      <w:r w:rsidR="0015171B">
        <w:rPr>
          <w:rFonts w:ascii="Times New Roman" w:hAnsi="Times New Roman"/>
        </w:rPr>
        <w:t xml:space="preserve">In its brief, </w:t>
      </w:r>
      <w:r w:rsidRPr="00957249">
        <w:rPr>
          <w:rFonts w:ascii="Times New Roman" w:hAnsi="Times New Roman"/>
        </w:rPr>
        <w:t xml:space="preserve">Staff </w:t>
      </w:r>
      <w:r w:rsidR="0015171B">
        <w:rPr>
          <w:rFonts w:ascii="Times New Roman" w:hAnsi="Times New Roman"/>
        </w:rPr>
        <w:t>based its legal theory</w:t>
      </w:r>
      <w:r w:rsidRPr="00957249">
        <w:rPr>
          <w:rFonts w:ascii="Times New Roman" w:hAnsi="Times New Roman"/>
        </w:rPr>
        <w:t xml:space="preserve"> entirely</w:t>
      </w:r>
      <w:r w:rsidR="00E970D2" w:rsidRPr="00957249">
        <w:rPr>
          <w:rFonts w:ascii="Times New Roman" w:hAnsi="Times New Roman"/>
        </w:rPr>
        <w:t xml:space="preserve"> on</w:t>
      </w:r>
      <w:r w:rsidRPr="00957249">
        <w:rPr>
          <w:rFonts w:ascii="Times New Roman" w:hAnsi="Times New Roman"/>
        </w:rPr>
        <w:t xml:space="preserve"> one statute,</w:t>
      </w:r>
      <w:r w:rsidR="00E970D2" w:rsidRPr="00957249">
        <w:rPr>
          <w:rFonts w:ascii="Times New Roman" w:hAnsi="Times New Roman"/>
        </w:rPr>
        <w:t xml:space="preserve"> RCW 80.04.130(1) (the tariff suspension statute)</w:t>
      </w:r>
      <w:r w:rsidRPr="00957249">
        <w:rPr>
          <w:rFonts w:ascii="Times New Roman" w:hAnsi="Times New Roman"/>
        </w:rPr>
        <w:t>,</w:t>
      </w:r>
      <w:r w:rsidR="00E970D2" w:rsidRPr="00957249">
        <w:rPr>
          <w:rFonts w:ascii="Times New Roman" w:hAnsi="Times New Roman"/>
        </w:rPr>
        <w:t xml:space="preserve"> and a prior ruling made in Docket No. UE-090704 (occasionally referred to herein as the “PSE case”).</w:t>
      </w:r>
    </w:p>
    <w:p w:rsidR="004A34D3" w:rsidRPr="00957249" w:rsidRDefault="004A34D3" w:rsidP="005E7A6D">
      <w:pPr>
        <w:autoSpaceDE w:val="0"/>
        <w:autoSpaceDN w:val="0"/>
        <w:adjustRightInd w:val="0"/>
        <w:spacing w:line="480" w:lineRule="auto"/>
        <w:rPr>
          <w:rFonts w:ascii="Times New Roman" w:hAnsi="Times New Roman"/>
          <w:b/>
        </w:rPr>
      </w:pPr>
      <w:r w:rsidRPr="00957249">
        <w:rPr>
          <w:rFonts w:ascii="Times New Roman" w:hAnsi="Times New Roman"/>
        </w:rPr>
        <w:tab/>
      </w:r>
      <w:r w:rsidR="008652D4" w:rsidRPr="00957249">
        <w:rPr>
          <w:rFonts w:ascii="Times New Roman" w:hAnsi="Times New Roman"/>
          <w:b/>
        </w:rPr>
        <w:t>1</w:t>
      </w:r>
      <w:r w:rsidRPr="00957249">
        <w:rPr>
          <w:rFonts w:ascii="Times New Roman" w:hAnsi="Times New Roman"/>
          <w:b/>
        </w:rPr>
        <w:t>.</w:t>
      </w:r>
      <w:r w:rsidRPr="00957249">
        <w:rPr>
          <w:rFonts w:ascii="Times New Roman" w:hAnsi="Times New Roman"/>
          <w:b/>
        </w:rPr>
        <w:tab/>
        <w:t>Statutory Law</w:t>
      </w:r>
    </w:p>
    <w:p w:rsidR="004E35D1" w:rsidRPr="00957249" w:rsidRDefault="00944C1F" w:rsidP="005E7A6D">
      <w:pPr>
        <w:autoSpaceDE w:val="0"/>
        <w:autoSpaceDN w:val="0"/>
        <w:adjustRightInd w:val="0"/>
        <w:spacing w:line="480" w:lineRule="auto"/>
        <w:rPr>
          <w:rFonts w:ascii="Times New Roman" w:hAnsi="Times New Roman"/>
        </w:rPr>
      </w:pPr>
      <w:r w:rsidRPr="00957249">
        <w:rPr>
          <w:rFonts w:ascii="Times New Roman" w:hAnsi="Times New Roman"/>
        </w:rPr>
        <w:lastRenderedPageBreak/>
        <w:tab/>
      </w:r>
      <w:r w:rsidR="0015171B">
        <w:rPr>
          <w:rFonts w:ascii="Times New Roman" w:hAnsi="Times New Roman"/>
        </w:rPr>
        <w:t>The analysis should begin with</w:t>
      </w:r>
      <w:r w:rsidR="004A34D3" w:rsidRPr="00957249">
        <w:rPr>
          <w:rFonts w:ascii="Times New Roman" w:hAnsi="Times New Roman"/>
        </w:rPr>
        <w:t xml:space="preserve"> fundamental logic.  Utilities file changes to tariffs for one of two reasons; they are somehow required to or they want to.   Tariffs that are not suspended go into effect.  Thus, in cases where the Commission deems it appropriate to thoroughly analyze the proposed tariff changes and allow Staff and interested persons to do the same and weigh in, the tariff is suspended, solely to keep it from going into effect.</w:t>
      </w:r>
    </w:p>
    <w:p w:rsidR="00951BC6" w:rsidRPr="00957249" w:rsidRDefault="00951BC6" w:rsidP="005E7A6D">
      <w:pPr>
        <w:autoSpaceDE w:val="0"/>
        <w:autoSpaceDN w:val="0"/>
        <w:adjustRightInd w:val="0"/>
        <w:spacing w:line="480" w:lineRule="auto"/>
        <w:rPr>
          <w:rFonts w:ascii="Times New Roman" w:hAnsi="Times New Roman"/>
        </w:rPr>
      </w:pPr>
      <w:r w:rsidRPr="00957249">
        <w:rPr>
          <w:rFonts w:ascii="Times New Roman" w:hAnsi="Times New Roman"/>
        </w:rPr>
        <w:tab/>
      </w:r>
      <w:r w:rsidRPr="00957249">
        <w:rPr>
          <w:rFonts w:ascii="Times New Roman" w:hAnsi="Times New Roman" w:cs="Times New Roman"/>
        </w:rPr>
        <w:t xml:space="preserve">Absent some sort of legal mandate, a utility is not obligated to, and will not, propose changes to any given tariff or to file those tariffs as part of a general rate case, that it does not wish to change.  The question being addressed, therefore, is whether a utility </w:t>
      </w:r>
      <w:r w:rsidR="0015171B">
        <w:rPr>
          <w:rFonts w:ascii="Times New Roman" w:hAnsi="Times New Roman" w:cs="Times New Roman"/>
        </w:rPr>
        <w:t xml:space="preserve">has the power to </w:t>
      </w:r>
      <w:r w:rsidRPr="00957249">
        <w:rPr>
          <w:rFonts w:ascii="Times New Roman" w:hAnsi="Times New Roman" w:cs="Times New Roman"/>
        </w:rPr>
        <w:t>dictate to the Commission and all interested persons what issues will or will not be addressed in the course of a general rate case.  For the reasons outlined below, the answer must be that a utility does not have this considerable power.  Indeed, such a notion, if put into effect, would render public utility regulation meaningless.</w:t>
      </w:r>
    </w:p>
    <w:p w:rsidR="004A34D3" w:rsidRPr="00957249" w:rsidRDefault="004A34D3" w:rsidP="005E7A6D">
      <w:pPr>
        <w:autoSpaceDE w:val="0"/>
        <w:autoSpaceDN w:val="0"/>
        <w:adjustRightInd w:val="0"/>
        <w:spacing w:line="480" w:lineRule="auto"/>
        <w:rPr>
          <w:rFonts w:ascii="Times New Roman" w:hAnsi="Times New Roman" w:cs="Times New Roman"/>
        </w:rPr>
      </w:pPr>
      <w:r w:rsidRPr="00957249">
        <w:rPr>
          <w:rFonts w:ascii="Times New Roman" w:hAnsi="Times New Roman"/>
        </w:rPr>
        <w:tab/>
      </w:r>
      <w:r w:rsidRPr="00957249">
        <w:rPr>
          <w:rFonts w:ascii="Times New Roman" w:hAnsi="Times New Roman" w:cs="Times New Roman"/>
        </w:rPr>
        <w:t xml:space="preserve">In its interpretation of 80.04.130(1), Staff grasps for a nuance </w:t>
      </w:r>
      <w:r w:rsidR="00951BC6" w:rsidRPr="00957249">
        <w:rPr>
          <w:rFonts w:ascii="Times New Roman" w:hAnsi="Times New Roman" w:cs="Times New Roman"/>
        </w:rPr>
        <w:t>based on the fact that the</w:t>
      </w:r>
      <w:r w:rsidRPr="00957249">
        <w:rPr>
          <w:rFonts w:ascii="Times New Roman" w:hAnsi="Times New Roman" w:cs="Times New Roman"/>
        </w:rPr>
        <w:t xml:space="preserve"> statute</w:t>
      </w:r>
      <w:r w:rsidR="00951BC6" w:rsidRPr="00957249">
        <w:rPr>
          <w:rFonts w:ascii="Times New Roman" w:hAnsi="Times New Roman" w:cs="Times New Roman"/>
        </w:rPr>
        <w:t xml:space="preserve"> authorizes</w:t>
      </w:r>
      <w:r w:rsidRPr="00957249">
        <w:rPr>
          <w:rFonts w:ascii="Times New Roman" w:hAnsi="Times New Roman" w:cs="Times New Roman"/>
        </w:rPr>
        <w:t xml:space="preserve"> the Commission</w:t>
      </w:r>
      <w:r w:rsidR="00951BC6" w:rsidRPr="00957249">
        <w:rPr>
          <w:rFonts w:ascii="Times New Roman" w:hAnsi="Times New Roman" w:cs="Times New Roman"/>
        </w:rPr>
        <w:t xml:space="preserve"> to</w:t>
      </w:r>
      <w:r w:rsidRPr="00957249">
        <w:rPr>
          <w:rFonts w:ascii="Times New Roman" w:hAnsi="Times New Roman" w:cs="Times New Roman"/>
        </w:rPr>
        <w:t xml:space="preserve"> suspend a proposed “change” to a tariff filed by a utility.  By inference, Staff interprets this statute to mean that only issues raised by a utility in its direct case resulting in a tariff </w:t>
      </w:r>
      <w:r w:rsidRPr="00957249">
        <w:rPr>
          <w:rFonts w:ascii="Times New Roman" w:hAnsi="Times New Roman" w:cs="Times New Roman"/>
          <w:u w:val="single"/>
        </w:rPr>
        <w:t>change</w:t>
      </w:r>
      <w:r w:rsidRPr="00957249">
        <w:rPr>
          <w:rFonts w:ascii="Times New Roman" w:hAnsi="Times New Roman" w:cs="Times New Roman"/>
        </w:rPr>
        <w:t xml:space="preserve"> filed with the Commission</w:t>
      </w:r>
      <w:r w:rsidR="00951BC6" w:rsidRPr="00957249">
        <w:rPr>
          <w:rFonts w:ascii="Times New Roman" w:hAnsi="Times New Roman" w:cs="Times New Roman"/>
        </w:rPr>
        <w:t>, and then suspended,</w:t>
      </w:r>
      <w:r w:rsidRPr="00957249">
        <w:rPr>
          <w:rFonts w:ascii="Times New Roman" w:hAnsi="Times New Roman" w:cs="Times New Roman"/>
        </w:rPr>
        <w:t xml:space="preserve"> are eligible for and subject to Commission consideration and ruling.  By logical extension, any proposal raised by Staff or any </w:t>
      </w:r>
      <w:proofErr w:type="spellStart"/>
      <w:r w:rsidRPr="00957249">
        <w:rPr>
          <w:rFonts w:ascii="Times New Roman" w:hAnsi="Times New Roman" w:cs="Times New Roman"/>
        </w:rPr>
        <w:t>intervenor</w:t>
      </w:r>
      <w:proofErr w:type="spellEnd"/>
      <w:r w:rsidRPr="00957249">
        <w:rPr>
          <w:rFonts w:ascii="Times New Roman" w:hAnsi="Times New Roman" w:cs="Times New Roman"/>
        </w:rPr>
        <w:t xml:space="preserve"> to a general rate case falls outside the jurisdiction of the Commission</w:t>
      </w:r>
      <w:r w:rsidR="00951BC6" w:rsidRPr="00957249">
        <w:rPr>
          <w:rFonts w:ascii="Times New Roman" w:hAnsi="Times New Roman" w:cs="Times New Roman"/>
        </w:rPr>
        <w:t xml:space="preserve"> unless the utility unilaterally chose to incorporate the proposal into its direct filing</w:t>
      </w:r>
      <w:r w:rsidRPr="00957249">
        <w:rPr>
          <w:rFonts w:ascii="Times New Roman" w:hAnsi="Times New Roman" w:cs="Times New Roman"/>
        </w:rPr>
        <w:t>.</w:t>
      </w:r>
    </w:p>
    <w:p w:rsidR="004A34D3" w:rsidRPr="00957249" w:rsidRDefault="004A34D3" w:rsidP="005E7A6D">
      <w:pPr>
        <w:autoSpaceDE w:val="0"/>
        <w:autoSpaceDN w:val="0"/>
        <w:adjustRightInd w:val="0"/>
        <w:spacing w:line="480" w:lineRule="auto"/>
        <w:rPr>
          <w:rFonts w:ascii="Times New Roman" w:hAnsi="Times New Roman" w:cs="Times New Roman"/>
        </w:rPr>
      </w:pPr>
      <w:r w:rsidRPr="00957249">
        <w:rPr>
          <w:rFonts w:ascii="Times New Roman" w:hAnsi="Times New Roman" w:cs="Times New Roman"/>
        </w:rPr>
        <w:tab/>
        <w:t xml:space="preserve">In reality, RCW 80.04.130(1) simply authorizes the Commission to suspend proposed tariff changes for a period of ten (10) months pending review through hearing by the Commission.  The statute reads: </w:t>
      </w:r>
    </w:p>
    <w:p w:rsidR="004A34D3" w:rsidRPr="00957249" w:rsidRDefault="004A34D3" w:rsidP="00F3694F">
      <w:pPr>
        <w:autoSpaceDE w:val="0"/>
        <w:autoSpaceDN w:val="0"/>
        <w:adjustRightInd w:val="0"/>
        <w:ind w:left="720" w:right="720"/>
        <w:rPr>
          <w:rFonts w:ascii="Times New Roman" w:hAnsi="Times New Roman" w:cs="Times New Roman"/>
        </w:rPr>
      </w:pPr>
      <w:r w:rsidRPr="00957249">
        <w:rPr>
          <w:rFonts w:ascii="Times New Roman" w:hAnsi="Times New Roman" w:cs="Times New Roman"/>
        </w:rPr>
        <w:t>“</w:t>
      </w:r>
      <w:r w:rsidRPr="00957249">
        <w:rPr>
          <w:rFonts w:ascii="Times New Roman" w:hAnsi="Times New Roman" w:cs="Arial"/>
          <w:szCs w:val="18"/>
        </w:rPr>
        <w:t xml:space="preserve">(1) Except as provided in subsection (2) of this section, whenever any public service company shall file with the commission any schedule, classification, rule, </w:t>
      </w:r>
      <w:r w:rsidRPr="00957249">
        <w:rPr>
          <w:rFonts w:ascii="Times New Roman" w:hAnsi="Times New Roman" w:cs="Arial"/>
          <w:szCs w:val="18"/>
        </w:rPr>
        <w:lastRenderedPageBreak/>
        <w:t>or regulation, the effect of which is to change any rate, charge, rental, or toll theretofore charged, the commission shall have power, either upon its own motion or upon complaint, upon notice, to enter upon a hearing concerning such proposed change and the reasonableness and justness thereof. Pending such hearing and the decision thereon, the commission may suspend the operation of such rate, charge, rental, or toll for a period not exceeding ten months from the time the same would otherwise go into effect. After a full hearing, the commission may make such order in reference thereto as would be provided in a hearing initiated after the same had become effective.</w:t>
      </w:r>
    </w:p>
    <w:p w:rsidR="004A34D3" w:rsidRPr="00957249" w:rsidRDefault="004A34D3" w:rsidP="005E7A6D">
      <w:pPr>
        <w:autoSpaceDE w:val="0"/>
        <w:autoSpaceDN w:val="0"/>
        <w:adjustRightInd w:val="0"/>
        <w:spacing w:line="480" w:lineRule="auto"/>
        <w:rPr>
          <w:rFonts w:ascii="Times New Roman" w:hAnsi="Times New Roman" w:cs="Times New Roman"/>
        </w:rPr>
      </w:pPr>
    </w:p>
    <w:p w:rsidR="004A34D3" w:rsidRPr="00957249" w:rsidRDefault="004A34D3" w:rsidP="005E7A6D">
      <w:pPr>
        <w:autoSpaceDE w:val="0"/>
        <w:autoSpaceDN w:val="0"/>
        <w:adjustRightInd w:val="0"/>
        <w:spacing w:line="480" w:lineRule="auto"/>
        <w:rPr>
          <w:rFonts w:ascii="Times New Roman" w:hAnsi="Times New Roman" w:cs="Times New Roman"/>
        </w:rPr>
      </w:pPr>
      <w:r w:rsidRPr="00957249">
        <w:rPr>
          <w:rFonts w:ascii="Times New Roman" w:hAnsi="Times New Roman" w:cs="Times New Roman"/>
        </w:rPr>
        <w:tab/>
        <w:t>The suspension statute above is essential for the Commission to</w:t>
      </w:r>
      <w:r w:rsidR="00611143" w:rsidRPr="00957249">
        <w:rPr>
          <w:rFonts w:ascii="Times New Roman" w:hAnsi="Times New Roman" w:cs="Times New Roman"/>
        </w:rPr>
        <w:t xml:space="preserve"> perform its statutory mandate </w:t>
      </w:r>
      <w:r w:rsidR="00F3694F">
        <w:rPr>
          <w:rFonts w:ascii="Times New Roman" w:hAnsi="Times New Roman" w:cs="Times New Roman"/>
        </w:rPr>
        <w:t>to ensure</w:t>
      </w:r>
      <w:r w:rsidRPr="00957249">
        <w:rPr>
          <w:rFonts w:ascii="Times New Roman" w:hAnsi="Times New Roman" w:cs="Times New Roman"/>
        </w:rPr>
        <w:t xml:space="preserve"> that</w:t>
      </w:r>
      <w:r w:rsidR="00611143" w:rsidRPr="00957249">
        <w:rPr>
          <w:rFonts w:ascii="Times New Roman" w:hAnsi="Times New Roman" w:cs="Times New Roman"/>
        </w:rPr>
        <w:t xml:space="preserve"> the</w:t>
      </w:r>
      <w:r w:rsidRPr="00957249">
        <w:rPr>
          <w:rFonts w:ascii="Times New Roman" w:hAnsi="Times New Roman" w:cs="Times New Roman"/>
        </w:rPr>
        <w:t xml:space="preserve"> rates and charges of an electric public utility are “just, fair, reasonable and sufficient.”  </w:t>
      </w:r>
      <w:proofErr w:type="gramStart"/>
      <w:r w:rsidRPr="00957249">
        <w:rPr>
          <w:rFonts w:ascii="Times New Roman" w:hAnsi="Times New Roman" w:cs="Times New Roman"/>
        </w:rPr>
        <w:t>RCW 80.28.010.</w:t>
      </w:r>
      <w:proofErr w:type="gramEnd"/>
      <w:r w:rsidRPr="00957249">
        <w:rPr>
          <w:rFonts w:ascii="Times New Roman" w:hAnsi="Times New Roman" w:cs="Times New Roman"/>
        </w:rPr>
        <w:t xml:space="preserve">  In no respect</w:t>
      </w:r>
      <w:r w:rsidR="004E51AB">
        <w:rPr>
          <w:rFonts w:ascii="Times New Roman" w:hAnsi="Times New Roman" w:cs="Times New Roman"/>
        </w:rPr>
        <w:t>, however,</w:t>
      </w:r>
      <w:r w:rsidRPr="00957249">
        <w:rPr>
          <w:rFonts w:ascii="Times New Roman" w:hAnsi="Times New Roman" w:cs="Times New Roman"/>
        </w:rPr>
        <w:t xml:space="preserve"> does this statute bar the Commission from ruling on issues raised by </w:t>
      </w:r>
      <w:r w:rsidR="00951BC6" w:rsidRPr="00957249">
        <w:rPr>
          <w:rFonts w:ascii="Times New Roman" w:hAnsi="Times New Roman" w:cs="Times New Roman"/>
        </w:rPr>
        <w:t xml:space="preserve">non-utility </w:t>
      </w:r>
      <w:r w:rsidRPr="00957249">
        <w:rPr>
          <w:rFonts w:ascii="Times New Roman" w:hAnsi="Times New Roman" w:cs="Times New Roman"/>
        </w:rPr>
        <w:t>parties to the general rate case proceeding</w:t>
      </w:r>
      <w:r w:rsidR="00951BC6" w:rsidRPr="00957249">
        <w:rPr>
          <w:rFonts w:ascii="Times New Roman" w:hAnsi="Times New Roman" w:cs="Times New Roman"/>
        </w:rPr>
        <w:t xml:space="preserve"> even though no related tariffs were filed</w:t>
      </w:r>
      <w:r w:rsidRPr="00957249">
        <w:rPr>
          <w:rFonts w:ascii="Times New Roman" w:hAnsi="Times New Roman" w:cs="Times New Roman"/>
        </w:rPr>
        <w:t>.</w:t>
      </w:r>
    </w:p>
    <w:p w:rsidR="004E51AB" w:rsidRDefault="004A34D3" w:rsidP="005E7A6D">
      <w:pPr>
        <w:autoSpaceDE w:val="0"/>
        <w:autoSpaceDN w:val="0"/>
        <w:adjustRightInd w:val="0"/>
        <w:spacing w:line="480" w:lineRule="auto"/>
        <w:rPr>
          <w:rFonts w:ascii="Times New Roman" w:hAnsi="Times New Roman" w:cs="Times New Roman"/>
        </w:rPr>
      </w:pPr>
      <w:r w:rsidRPr="00957249">
        <w:rPr>
          <w:rFonts w:ascii="Times New Roman" w:hAnsi="Times New Roman" w:cs="Times New Roman"/>
        </w:rPr>
        <w:tab/>
        <w:t>Staff is well aware</w:t>
      </w:r>
      <w:r w:rsidR="00951BC6" w:rsidRPr="00957249">
        <w:rPr>
          <w:rFonts w:ascii="Times New Roman" w:hAnsi="Times New Roman" w:cs="Times New Roman"/>
        </w:rPr>
        <w:t>, but fails to mention,</w:t>
      </w:r>
      <w:r w:rsidRPr="00957249">
        <w:rPr>
          <w:rFonts w:ascii="Times New Roman" w:hAnsi="Times New Roman" w:cs="Times New Roman"/>
        </w:rPr>
        <w:t xml:space="preserve"> that the Washington Legisl</w:t>
      </w:r>
      <w:r w:rsidR="00951BC6" w:rsidRPr="00957249">
        <w:rPr>
          <w:rFonts w:ascii="Times New Roman" w:hAnsi="Times New Roman" w:cs="Times New Roman"/>
        </w:rPr>
        <w:t>ature has spoken to this issue</w:t>
      </w:r>
      <w:r w:rsidRPr="00957249">
        <w:rPr>
          <w:rFonts w:ascii="Times New Roman" w:hAnsi="Times New Roman" w:cs="Times New Roman"/>
        </w:rPr>
        <w:t>.  RCW 80.28.068</w:t>
      </w:r>
      <w:r w:rsidR="00951BC6" w:rsidRPr="00957249">
        <w:rPr>
          <w:rFonts w:ascii="Times New Roman" w:hAnsi="Times New Roman" w:cs="Times New Roman"/>
        </w:rPr>
        <w:t>, effective in 2009,</w:t>
      </w:r>
      <w:r w:rsidRPr="00957249">
        <w:rPr>
          <w:rFonts w:ascii="Times New Roman" w:hAnsi="Times New Roman" w:cs="Times New Roman"/>
        </w:rPr>
        <w:t xml:space="preserve"> </w:t>
      </w:r>
      <w:r w:rsidR="00951BC6" w:rsidRPr="00957249">
        <w:rPr>
          <w:rFonts w:ascii="Times New Roman" w:hAnsi="Times New Roman" w:cs="Times New Roman"/>
        </w:rPr>
        <w:t xml:space="preserve">long before this proceeding was filed on May </w:t>
      </w:r>
      <w:r w:rsidR="00747377" w:rsidRPr="00957249">
        <w:rPr>
          <w:rFonts w:ascii="Times New Roman" w:hAnsi="Times New Roman" w:cs="Times New Roman"/>
        </w:rPr>
        <w:t xml:space="preserve">24, 2010, </w:t>
      </w:r>
      <w:r w:rsidRPr="00957249">
        <w:rPr>
          <w:rFonts w:ascii="Times New Roman" w:hAnsi="Times New Roman" w:cs="Times New Roman"/>
        </w:rPr>
        <w:t xml:space="preserve">provides that </w:t>
      </w:r>
    </w:p>
    <w:p w:rsidR="004A34D3" w:rsidRDefault="004A34D3" w:rsidP="004E51AB">
      <w:pPr>
        <w:autoSpaceDE w:val="0"/>
        <w:autoSpaceDN w:val="0"/>
        <w:adjustRightInd w:val="0"/>
        <w:ind w:left="720" w:right="720"/>
        <w:rPr>
          <w:rFonts w:ascii="Times New Roman" w:hAnsi="Times New Roman" w:cs="Times New Roman"/>
        </w:rPr>
      </w:pPr>
      <w:r w:rsidRPr="00957249">
        <w:rPr>
          <w:rFonts w:ascii="Times New Roman" w:hAnsi="Times New Roman" w:cs="Times New Roman"/>
        </w:rPr>
        <w:t xml:space="preserve">Upon request by an electrical or </w:t>
      </w:r>
      <w:proofErr w:type="gramStart"/>
      <w:r w:rsidRPr="00957249">
        <w:rPr>
          <w:rFonts w:ascii="Times New Roman" w:hAnsi="Times New Roman" w:cs="Times New Roman"/>
        </w:rPr>
        <w:t>gas company</w:t>
      </w:r>
      <w:proofErr w:type="gramEnd"/>
      <w:r w:rsidRPr="00957249">
        <w:rPr>
          <w:rFonts w:ascii="Times New Roman" w:hAnsi="Times New Roman" w:cs="Times New Roman"/>
        </w:rPr>
        <w:t>, or other party to a general rate case hearing, the commission may approve rates, charges, services, and/or physical facilities at a discount for low-income senior customers and low-income customers.  Expenses and lost revenues as a result of these discounts shall be included in the company’s cost of service and recovered in rates to other customers.</w:t>
      </w:r>
    </w:p>
    <w:p w:rsidR="004E51AB" w:rsidRPr="00957249" w:rsidRDefault="004E51AB" w:rsidP="004E51AB">
      <w:pPr>
        <w:autoSpaceDE w:val="0"/>
        <w:autoSpaceDN w:val="0"/>
        <w:adjustRightInd w:val="0"/>
        <w:ind w:left="720" w:right="720"/>
        <w:rPr>
          <w:rFonts w:ascii="Times New Roman" w:hAnsi="Times New Roman" w:cs="Times New Roman"/>
        </w:rPr>
      </w:pPr>
    </w:p>
    <w:p w:rsidR="004A34D3" w:rsidRPr="00957249" w:rsidRDefault="00170C27" w:rsidP="005E7A6D">
      <w:pPr>
        <w:autoSpaceDE w:val="0"/>
        <w:autoSpaceDN w:val="0"/>
        <w:adjustRightInd w:val="0"/>
        <w:spacing w:line="480" w:lineRule="auto"/>
        <w:rPr>
          <w:rFonts w:ascii="Times New Roman" w:hAnsi="Times New Roman" w:cs="Times New Roman"/>
        </w:rPr>
      </w:pPr>
      <w:r>
        <w:rPr>
          <w:rFonts w:ascii="Times New Roman" w:hAnsi="Times New Roman" w:cs="Times New Roman"/>
        </w:rPr>
        <w:tab/>
        <w:t>Staff has not</w:t>
      </w:r>
      <w:r w:rsidR="006E067C" w:rsidRPr="00957249">
        <w:rPr>
          <w:rFonts w:ascii="Times New Roman" w:hAnsi="Times New Roman" w:cs="Times New Roman"/>
        </w:rPr>
        <w:t xml:space="preserve"> taken the position</w:t>
      </w:r>
      <w:r w:rsidR="004A34D3" w:rsidRPr="00957249">
        <w:rPr>
          <w:rFonts w:ascii="Times New Roman" w:hAnsi="Times New Roman" w:cs="Times New Roman"/>
        </w:rPr>
        <w:t xml:space="preserve"> that the LIWA program does not constitute rates, charges, services, and/or physical facilities at a discount for low-income customers</w:t>
      </w:r>
      <w:r w:rsidR="00BB41F8" w:rsidRPr="00957249">
        <w:rPr>
          <w:rFonts w:ascii="Times New Roman" w:hAnsi="Times New Roman" w:cs="Times New Roman"/>
        </w:rPr>
        <w:t xml:space="preserve"> and, therefore, falls within the letter and intent of 80.28.068.</w:t>
      </w:r>
      <w:r w:rsidR="004A34D3" w:rsidRPr="00957249">
        <w:rPr>
          <w:rFonts w:ascii="Times New Roman" w:hAnsi="Times New Roman" w:cs="Times New Roman"/>
        </w:rPr>
        <w:t xml:space="preserve">  </w:t>
      </w:r>
      <w:r w:rsidR="008E752A" w:rsidRPr="00957249">
        <w:rPr>
          <w:rFonts w:ascii="Times New Roman" w:hAnsi="Times New Roman" w:cs="Times New Roman"/>
        </w:rPr>
        <w:t>This is logical</w:t>
      </w:r>
      <w:r w:rsidR="004E51AB">
        <w:rPr>
          <w:rFonts w:ascii="Times New Roman" w:hAnsi="Times New Roman" w:cs="Times New Roman"/>
        </w:rPr>
        <w:t>.</w:t>
      </w:r>
      <w:r w:rsidR="008E752A" w:rsidRPr="00957249">
        <w:rPr>
          <w:rFonts w:ascii="Times New Roman" w:hAnsi="Times New Roman" w:cs="Times New Roman"/>
        </w:rPr>
        <w:t xml:space="preserve"> </w:t>
      </w:r>
      <w:r w:rsidR="004E51AB">
        <w:rPr>
          <w:rFonts w:ascii="Times New Roman" w:hAnsi="Times New Roman" w:cs="Times New Roman"/>
        </w:rPr>
        <w:t xml:space="preserve"> Low-income weatherization</w:t>
      </w:r>
      <w:r w:rsidR="004A34D3" w:rsidRPr="00957249">
        <w:rPr>
          <w:rFonts w:ascii="Times New Roman" w:hAnsi="Times New Roman" w:cs="Times New Roman"/>
        </w:rPr>
        <w:t xml:space="preserve"> is an important service</w:t>
      </w:r>
      <w:r>
        <w:rPr>
          <w:rFonts w:ascii="Times New Roman" w:hAnsi="Times New Roman" w:cs="Times New Roman"/>
        </w:rPr>
        <w:t>, affecting rate and charges,</w:t>
      </w:r>
      <w:r w:rsidR="004A34D3" w:rsidRPr="00957249">
        <w:rPr>
          <w:rFonts w:ascii="Times New Roman" w:hAnsi="Times New Roman" w:cs="Times New Roman"/>
        </w:rPr>
        <w:t xml:space="preserve"> provided by the utility to those who are financially unable to implement basic weatherization measures to avoid unnecessary consumption of electricity and to reduce their bills.</w:t>
      </w:r>
    </w:p>
    <w:p w:rsidR="00B061AF" w:rsidRDefault="004A34D3" w:rsidP="005E7A6D">
      <w:pPr>
        <w:autoSpaceDE w:val="0"/>
        <w:autoSpaceDN w:val="0"/>
        <w:adjustRightInd w:val="0"/>
        <w:spacing w:line="480" w:lineRule="auto"/>
        <w:rPr>
          <w:rFonts w:ascii="Times New Roman" w:hAnsi="Times New Roman" w:cs="Times New Roman"/>
        </w:rPr>
      </w:pPr>
      <w:r w:rsidRPr="00957249">
        <w:rPr>
          <w:rFonts w:ascii="Times New Roman" w:hAnsi="Times New Roman" w:cs="Times New Roman"/>
        </w:rPr>
        <w:lastRenderedPageBreak/>
        <w:tab/>
        <w:t>If Staff’s interpretation of the suspension statute forbids the Commission from even considering proposals by non-utility parties unless the utility first chose to address that proposal in its initial filing and include related tariffs, then the effect and intent of 80.28.068 is completely thwarted.</w:t>
      </w:r>
      <w:r w:rsidR="009467E1" w:rsidRPr="00957249">
        <w:rPr>
          <w:rFonts w:ascii="Times New Roman" w:hAnsi="Times New Roman" w:cs="Times New Roman"/>
        </w:rPr>
        <w:t xml:space="preserve">  Staff’s interpretation creates a “Catch 22” for The Energy Project. </w:t>
      </w:r>
      <w:r w:rsidR="004E51AB">
        <w:rPr>
          <w:rFonts w:ascii="Times New Roman" w:hAnsi="Times New Roman" w:cs="Times New Roman"/>
        </w:rPr>
        <w:t>Staff’s theory means that t</w:t>
      </w:r>
      <w:r w:rsidR="009467E1" w:rsidRPr="00957249">
        <w:rPr>
          <w:rFonts w:ascii="Times New Roman" w:hAnsi="Times New Roman" w:cs="Times New Roman"/>
        </w:rPr>
        <w:t xml:space="preserve">he Company alone decides whether to file a tariff which covers </w:t>
      </w:r>
      <w:r w:rsidR="004E51AB">
        <w:rPr>
          <w:rFonts w:ascii="Times New Roman" w:hAnsi="Times New Roman" w:cs="Times New Roman"/>
        </w:rPr>
        <w:t>its</w:t>
      </w:r>
      <w:r w:rsidR="009467E1" w:rsidRPr="00957249">
        <w:rPr>
          <w:rFonts w:ascii="Times New Roman" w:hAnsi="Times New Roman" w:cs="Times New Roman"/>
        </w:rPr>
        <w:t xml:space="preserve"> low income programs and The Energy Project could never advance a change to these programs unless the Company does so</w:t>
      </w:r>
      <w:r w:rsidR="004E51AB">
        <w:rPr>
          <w:rFonts w:ascii="Times New Roman" w:hAnsi="Times New Roman" w:cs="Times New Roman"/>
        </w:rPr>
        <w:t xml:space="preserve"> in its filing</w:t>
      </w:r>
      <w:r w:rsidR="009467E1" w:rsidRPr="00957249">
        <w:rPr>
          <w:rFonts w:ascii="Times New Roman" w:hAnsi="Times New Roman" w:cs="Times New Roman"/>
        </w:rPr>
        <w:t>.</w:t>
      </w:r>
    </w:p>
    <w:p w:rsidR="0081145A" w:rsidRPr="00957249" w:rsidRDefault="00170C27" w:rsidP="005E7A6D">
      <w:pPr>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This would mean, of course, that settlement discussions could not logically include issues not included in a utility’s initial filing, yet this occurs frequently, and has for years.  </w:t>
      </w:r>
      <w:r w:rsidR="0081145A" w:rsidRPr="00957249">
        <w:rPr>
          <w:rFonts w:ascii="Times New Roman" w:hAnsi="Times New Roman" w:cs="Times New Roman"/>
        </w:rPr>
        <w:t xml:space="preserve">In fact, the very scenario just outlined recently occurred.  </w:t>
      </w:r>
      <w:proofErr w:type="gramStart"/>
      <w:r w:rsidR="0081145A" w:rsidRPr="00957249">
        <w:rPr>
          <w:rFonts w:ascii="Times New Roman" w:hAnsi="Times New Roman" w:cs="Times New Roman"/>
        </w:rPr>
        <w:t>In Docket No.</w:t>
      </w:r>
      <w:proofErr w:type="gramEnd"/>
      <w:r w:rsidR="0081145A" w:rsidRPr="00957249">
        <w:rPr>
          <w:rFonts w:ascii="Times New Roman" w:hAnsi="Times New Roman" w:cs="Times New Roman"/>
        </w:rPr>
        <w:t xml:space="preserve"> UE-100467, </w:t>
      </w:r>
      <w:proofErr w:type="spellStart"/>
      <w:r w:rsidR="0081145A" w:rsidRPr="00957249">
        <w:rPr>
          <w:rFonts w:ascii="Times New Roman" w:hAnsi="Times New Roman" w:cs="Times New Roman"/>
        </w:rPr>
        <w:t>A</w:t>
      </w:r>
      <w:r w:rsidR="00F44900" w:rsidRPr="00957249">
        <w:rPr>
          <w:rFonts w:ascii="Times New Roman" w:hAnsi="Times New Roman" w:cs="Times New Roman"/>
        </w:rPr>
        <w:t>vista</w:t>
      </w:r>
      <w:proofErr w:type="spellEnd"/>
      <w:r w:rsidR="0081145A" w:rsidRPr="00957249">
        <w:rPr>
          <w:rFonts w:ascii="Times New Roman" w:hAnsi="Times New Roman" w:cs="Times New Roman"/>
        </w:rPr>
        <w:t xml:space="preserve"> filed a general rate case but did not propose increasing its bill assistance program (LIRAP)</w:t>
      </w:r>
      <w:r w:rsidR="00AC2057" w:rsidRPr="00957249">
        <w:rPr>
          <w:rFonts w:ascii="Times New Roman" w:hAnsi="Times New Roman" w:cs="Times New Roman"/>
        </w:rPr>
        <w:t xml:space="preserve"> or low-income DSM assistance</w:t>
      </w:r>
      <w:r w:rsidR="0081145A" w:rsidRPr="00957249">
        <w:rPr>
          <w:rFonts w:ascii="Times New Roman" w:hAnsi="Times New Roman" w:cs="Times New Roman"/>
        </w:rPr>
        <w:t xml:space="preserve"> in testimony or exhibits.  Thus, no related tariff was included with the initial filing and subsequently suspended.  All parties to the case, </w:t>
      </w:r>
      <w:r w:rsidR="0081145A" w:rsidRPr="00957249">
        <w:rPr>
          <w:rFonts w:ascii="Times New Roman" w:hAnsi="Times New Roman" w:cs="Times New Roman"/>
          <w:u w:val="single"/>
        </w:rPr>
        <w:t>including Staff</w:t>
      </w:r>
      <w:r w:rsidR="0081145A" w:rsidRPr="00957249">
        <w:rPr>
          <w:rFonts w:ascii="Times New Roman" w:hAnsi="Times New Roman" w:cs="Times New Roman"/>
        </w:rPr>
        <w:t>, subsequently reached a full settlement which included, among other things, reallocating “</w:t>
      </w:r>
      <w:proofErr w:type="spellStart"/>
      <w:r w:rsidR="0081145A" w:rsidRPr="00957249">
        <w:rPr>
          <w:rFonts w:ascii="Times New Roman" w:hAnsi="Times New Roman" w:cs="Times New Roman"/>
        </w:rPr>
        <w:t>Avista’s</w:t>
      </w:r>
      <w:proofErr w:type="spellEnd"/>
      <w:r w:rsidR="0081145A" w:rsidRPr="00957249">
        <w:rPr>
          <w:rFonts w:ascii="Times New Roman" w:hAnsi="Times New Roman" w:cs="Times New Roman"/>
        </w:rPr>
        <w:t xml:space="preserve"> existing levels of demand side management (DSM) funding under Schedules 91 and 191 in order to increase low income DSM by another $500,000.”</w:t>
      </w:r>
      <w:r w:rsidR="0081145A" w:rsidRPr="00957249">
        <w:rPr>
          <w:rStyle w:val="FootnoteReference"/>
          <w:rFonts w:ascii="Times New Roman" w:hAnsi="Times New Roman" w:cs="Times New Roman"/>
        </w:rPr>
        <w:footnoteReference w:id="32"/>
      </w:r>
    </w:p>
    <w:p w:rsidR="0081145A" w:rsidRPr="00957249" w:rsidRDefault="0081145A" w:rsidP="005E7A6D">
      <w:pPr>
        <w:autoSpaceDE w:val="0"/>
        <w:autoSpaceDN w:val="0"/>
        <w:adjustRightInd w:val="0"/>
        <w:spacing w:line="480" w:lineRule="auto"/>
        <w:rPr>
          <w:rFonts w:ascii="Times New Roman" w:hAnsi="Times New Roman" w:cs="Times New Roman"/>
        </w:rPr>
      </w:pPr>
      <w:r w:rsidRPr="00957249">
        <w:rPr>
          <w:rFonts w:ascii="Times New Roman" w:hAnsi="Times New Roman" w:cs="Times New Roman"/>
        </w:rPr>
        <w:tab/>
        <w:t xml:space="preserve">In spite of the fact that no related tariff was filed, the Commission approved and adopted the proposed settlement.  Order No. 07 states: </w:t>
      </w:r>
    </w:p>
    <w:p w:rsidR="0081145A" w:rsidRPr="00957249" w:rsidRDefault="0081145A" w:rsidP="00170C27">
      <w:pPr>
        <w:autoSpaceDE w:val="0"/>
        <w:autoSpaceDN w:val="0"/>
        <w:adjustRightInd w:val="0"/>
        <w:ind w:left="720" w:right="720"/>
        <w:rPr>
          <w:rFonts w:ascii="Times New Roman" w:hAnsi="Times New Roman" w:cs="Times New Roman"/>
        </w:rPr>
      </w:pPr>
      <w:r w:rsidRPr="00957249">
        <w:rPr>
          <w:rFonts w:ascii="Times New Roman" w:hAnsi="Times New Roman" w:cs="Times New Roman"/>
        </w:rPr>
        <w:t>While approving increased rates in recognition of our obligation to ensure rates that are fair, just, reasonable and sufficient, we remain mindful of the impact rate increases have on the utility’s customers, particularly those least able to afford it.  We commend the parties for their attention to this important issue and approve the Settlement’s increa</w:t>
      </w:r>
      <w:r w:rsidR="00AC2057" w:rsidRPr="00957249">
        <w:rPr>
          <w:rFonts w:ascii="Times New Roman" w:hAnsi="Times New Roman" w:cs="Times New Roman"/>
        </w:rPr>
        <w:t xml:space="preserve">se in Low Income Ratepayer Assistance Program (LIRAP) funding </w:t>
      </w:r>
      <w:r w:rsidR="00AC2057" w:rsidRPr="00957249">
        <w:rPr>
          <w:rFonts w:ascii="Times New Roman" w:hAnsi="Times New Roman" w:cs="Times New Roman"/>
          <w:u w:val="single"/>
        </w:rPr>
        <w:t>and low-income DSM assistance</w:t>
      </w:r>
      <w:r w:rsidR="00AC2057" w:rsidRPr="00957249">
        <w:rPr>
          <w:rFonts w:ascii="Times New Roman" w:hAnsi="Times New Roman" w:cs="Times New Roman"/>
        </w:rPr>
        <w:t xml:space="preserve">.”  However, testimony at hearing indicated that these increases in assistance programs may not be keeping pace </w:t>
      </w:r>
      <w:r w:rsidR="00AC2057" w:rsidRPr="00957249">
        <w:rPr>
          <w:rFonts w:ascii="Times New Roman" w:hAnsi="Times New Roman" w:cs="Times New Roman"/>
        </w:rPr>
        <w:lastRenderedPageBreak/>
        <w:t xml:space="preserve">with customer needs [citing the testimony of Mr. </w:t>
      </w:r>
      <w:proofErr w:type="spellStart"/>
      <w:r w:rsidR="00AC2057" w:rsidRPr="00957249">
        <w:rPr>
          <w:rFonts w:ascii="Times New Roman" w:hAnsi="Times New Roman" w:cs="Times New Roman"/>
        </w:rPr>
        <w:t>Eberdt</w:t>
      </w:r>
      <w:proofErr w:type="spellEnd"/>
      <w:r w:rsidR="00AC2057" w:rsidRPr="00957249">
        <w:rPr>
          <w:rFonts w:ascii="Times New Roman" w:hAnsi="Times New Roman" w:cs="Times New Roman"/>
        </w:rPr>
        <w:t xml:space="preserve">].  </w:t>
      </w:r>
      <w:r w:rsidR="00AC2057" w:rsidRPr="00957249">
        <w:rPr>
          <w:rFonts w:ascii="Times New Roman" w:hAnsi="Times New Roman" w:cs="Times New Roman"/>
          <w:u w:val="single"/>
        </w:rPr>
        <w:t>We appreciate the continued involvement of the Energy Project in rate cases</w:t>
      </w:r>
      <w:r w:rsidR="00AC2057" w:rsidRPr="00957249">
        <w:rPr>
          <w:rFonts w:ascii="Times New Roman" w:hAnsi="Times New Roman" w:cs="Times New Roman"/>
        </w:rPr>
        <w:t>….</w:t>
      </w:r>
      <w:r w:rsidR="00AC2057" w:rsidRPr="00957249">
        <w:rPr>
          <w:rStyle w:val="FootnoteReference"/>
          <w:rFonts w:ascii="Times New Roman" w:hAnsi="Times New Roman" w:cs="Times New Roman"/>
        </w:rPr>
        <w:footnoteReference w:id="33"/>
      </w:r>
      <w:r w:rsidR="00AC2057" w:rsidRPr="00957249">
        <w:rPr>
          <w:rFonts w:ascii="Times New Roman" w:hAnsi="Times New Roman" w:cs="Times New Roman"/>
        </w:rPr>
        <w:t xml:space="preserve">  </w:t>
      </w:r>
    </w:p>
    <w:p w:rsidR="00AC2057" w:rsidRPr="00957249" w:rsidRDefault="00AC2057" w:rsidP="005E7A6D">
      <w:pPr>
        <w:autoSpaceDE w:val="0"/>
        <w:autoSpaceDN w:val="0"/>
        <w:adjustRightInd w:val="0"/>
        <w:spacing w:line="480" w:lineRule="auto"/>
        <w:rPr>
          <w:rFonts w:ascii="Times New Roman" w:hAnsi="Times New Roman" w:cs="Times New Roman"/>
        </w:rPr>
      </w:pPr>
    </w:p>
    <w:p w:rsidR="000B12B7" w:rsidRPr="00957249" w:rsidRDefault="000B12B7" w:rsidP="005E7A6D">
      <w:pPr>
        <w:autoSpaceDE w:val="0"/>
        <w:autoSpaceDN w:val="0"/>
        <w:adjustRightInd w:val="0"/>
        <w:spacing w:line="480" w:lineRule="auto"/>
        <w:rPr>
          <w:rFonts w:ascii="Times New Roman" w:hAnsi="Times New Roman" w:cs="Times New Roman"/>
        </w:rPr>
      </w:pPr>
      <w:r w:rsidRPr="00957249">
        <w:rPr>
          <w:rFonts w:ascii="Times New Roman" w:hAnsi="Times New Roman" w:cs="Times New Roman"/>
        </w:rPr>
        <w:tab/>
        <w:t xml:space="preserve">Incidentally, the Energy Project did not file testimony in Docket 100647, but participated in settlement negotiations.  </w:t>
      </w:r>
      <w:r w:rsidR="004705A4">
        <w:rPr>
          <w:rFonts w:ascii="Times New Roman" w:hAnsi="Times New Roman" w:cs="Times New Roman"/>
        </w:rPr>
        <w:t xml:space="preserve">The PSE </w:t>
      </w:r>
      <w:r w:rsidR="00B56C39">
        <w:rPr>
          <w:rFonts w:ascii="Times New Roman" w:hAnsi="Times New Roman" w:cs="Times New Roman"/>
        </w:rPr>
        <w:t xml:space="preserve">case </w:t>
      </w:r>
      <w:r w:rsidR="004705A4">
        <w:rPr>
          <w:rFonts w:ascii="Times New Roman" w:hAnsi="Times New Roman" w:cs="Times New Roman"/>
        </w:rPr>
        <w:t>is certainly not the only case in which issues not reflected in a utility’s direct filing and tariffs were raised by other parties, settled on, and approved by the Commission.</w:t>
      </w:r>
      <w:r w:rsidRPr="00957249">
        <w:rPr>
          <w:rStyle w:val="FootnoteReference"/>
          <w:rFonts w:ascii="Times New Roman" w:hAnsi="Times New Roman" w:cs="Times New Roman"/>
        </w:rPr>
        <w:footnoteReference w:id="34"/>
      </w:r>
      <w:r w:rsidR="004A34D3" w:rsidRPr="00957249">
        <w:rPr>
          <w:rFonts w:ascii="Times New Roman" w:hAnsi="Times New Roman" w:cs="Times New Roman"/>
        </w:rPr>
        <w:tab/>
      </w:r>
    </w:p>
    <w:p w:rsidR="004A34D3" w:rsidRPr="00957249" w:rsidRDefault="004A34D3" w:rsidP="005E7A6D">
      <w:pPr>
        <w:autoSpaceDE w:val="0"/>
        <w:autoSpaceDN w:val="0"/>
        <w:adjustRightInd w:val="0"/>
        <w:spacing w:line="480" w:lineRule="auto"/>
        <w:rPr>
          <w:rFonts w:ascii="Times New Roman" w:hAnsi="Times New Roman"/>
          <w:b/>
        </w:rPr>
      </w:pPr>
      <w:r w:rsidRPr="00957249">
        <w:rPr>
          <w:rFonts w:ascii="Times New Roman" w:hAnsi="Times New Roman"/>
        </w:rPr>
        <w:tab/>
      </w:r>
      <w:r w:rsidRPr="00957249">
        <w:rPr>
          <w:rFonts w:ascii="Times New Roman" w:hAnsi="Times New Roman"/>
          <w:b/>
        </w:rPr>
        <w:t>2.</w:t>
      </w:r>
      <w:r w:rsidRPr="00957249">
        <w:rPr>
          <w:rFonts w:ascii="Times New Roman" w:hAnsi="Times New Roman"/>
          <w:b/>
        </w:rPr>
        <w:tab/>
        <w:t>Prior Commission Ruling (the “PSE Case”</w:t>
      </w:r>
      <w:r w:rsidR="00D36BA5" w:rsidRPr="00957249">
        <w:rPr>
          <w:rFonts w:ascii="Times New Roman" w:hAnsi="Times New Roman"/>
          <w:b/>
        </w:rPr>
        <w:t xml:space="preserve"> – Docket No. 090704)</w:t>
      </w:r>
      <w:r w:rsidRPr="00957249">
        <w:rPr>
          <w:rFonts w:ascii="Times New Roman" w:hAnsi="Times New Roman"/>
          <w:b/>
        </w:rPr>
        <w:t>.</w:t>
      </w:r>
    </w:p>
    <w:p w:rsidR="000B53CA" w:rsidRDefault="004A34D3" w:rsidP="005E7A6D">
      <w:pPr>
        <w:autoSpaceDE w:val="0"/>
        <w:autoSpaceDN w:val="0"/>
        <w:adjustRightInd w:val="0"/>
        <w:spacing w:line="480" w:lineRule="auto"/>
        <w:rPr>
          <w:rFonts w:ascii="Times New Roman" w:hAnsi="Times New Roman"/>
        </w:rPr>
      </w:pPr>
      <w:r w:rsidRPr="00957249">
        <w:rPr>
          <w:rFonts w:ascii="Times New Roman" w:hAnsi="Times New Roman"/>
        </w:rPr>
        <w:tab/>
        <w:t>In the PSE case</w:t>
      </w:r>
      <w:r w:rsidR="00057682">
        <w:rPr>
          <w:rFonts w:ascii="Times New Roman" w:hAnsi="Times New Roman"/>
        </w:rPr>
        <w:t>, to which</w:t>
      </w:r>
      <w:r w:rsidR="00D36BA5" w:rsidRPr="00957249">
        <w:rPr>
          <w:rFonts w:ascii="Times New Roman" w:hAnsi="Times New Roman"/>
        </w:rPr>
        <w:t xml:space="preserve"> </w:t>
      </w:r>
      <w:r w:rsidRPr="00957249">
        <w:rPr>
          <w:rFonts w:ascii="Times New Roman" w:hAnsi="Times New Roman"/>
        </w:rPr>
        <w:t xml:space="preserve">the Energy Project was not a party, PSE had of its own volition, proposed an increase to its bill assistance program to match whatever rate increase was ultimately granted by the Commission.  PSE supported its proposal with the testimony of witness </w:t>
      </w:r>
      <w:proofErr w:type="spellStart"/>
      <w:r w:rsidRPr="00957249">
        <w:rPr>
          <w:rFonts w:ascii="Times New Roman" w:hAnsi="Times New Roman"/>
        </w:rPr>
        <w:t>Markell</w:t>
      </w:r>
      <w:proofErr w:type="spellEnd"/>
      <w:r w:rsidRPr="00957249">
        <w:rPr>
          <w:rFonts w:ascii="Times New Roman" w:hAnsi="Times New Roman"/>
        </w:rPr>
        <w:t xml:space="preserve"> </w:t>
      </w:r>
      <w:r w:rsidR="00057682">
        <w:rPr>
          <w:rFonts w:ascii="Times New Roman" w:hAnsi="Times New Roman"/>
        </w:rPr>
        <w:t>consisting of two sentences related to PSE’s low-income bill assistance program</w:t>
      </w:r>
      <w:r w:rsidRPr="00957249">
        <w:rPr>
          <w:rStyle w:val="FootnoteReference"/>
          <w:rFonts w:ascii="Times New Roman" w:hAnsi="Times New Roman"/>
        </w:rPr>
        <w:footnoteReference w:id="35"/>
      </w:r>
      <w:r w:rsidRPr="00957249">
        <w:rPr>
          <w:rFonts w:ascii="Times New Roman" w:hAnsi="Times New Roman"/>
        </w:rPr>
        <w:t xml:space="preserve"> but failed to file the related tariff (PSE Schedule 129).  </w:t>
      </w:r>
    </w:p>
    <w:p w:rsidR="004A34D3" w:rsidRDefault="00057682" w:rsidP="005E7A6D">
      <w:pPr>
        <w:autoSpaceDE w:val="0"/>
        <w:autoSpaceDN w:val="0"/>
        <w:adjustRightInd w:val="0"/>
        <w:spacing w:line="480" w:lineRule="auto"/>
        <w:rPr>
          <w:rFonts w:ascii="Times New Roman" w:hAnsi="Times New Roman"/>
        </w:rPr>
      </w:pPr>
      <w:r>
        <w:rPr>
          <w:rFonts w:ascii="Times New Roman" w:hAnsi="Times New Roman"/>
        </w:rPr>
        <w:tab/>
        <w:t xml:space="preserve">Staff argued in a post-hearing reply brief that the Commission could not approve any change to low-income bill assistance because PSE had failed to file the related tariff.  </w:t>
      </w:r>
      <w:r w:rsidR="00F34A2C">
        <w:rPr>
          <w:rFonts w:ascii="Times New Roman" w:hAnsi="Times New Roman"/>
        </w:rPr>
        <w:t xml:space="preserve">The Commission did not address the issue in its first Order No. 07.  Consequently, PSE moved for reconsideration seeking approval of its proposal to increase low-income bill assistance funding.  On reconsideration, PSE justified its failure to file related tariffs on the basis that </w:t>
      </w:r>
      <w:r>
        <w:rPr>
          <w:rFonts w:ascii="Times New Roman" w:hAnsi="Times New Roman"/>
        </w:rPr>
        <w:t>“</w:t>
      </w:r>
      <w:r w:rsidR="004A34D3" w:rsidRPr="00957249">
        <w:rPr>
          <w:rFonts w:ascii="Times New Roman" w:hAnsi="Times New Roman"/>
        </w:rPr>
        <w:t xml:space="preserve">PSE did not request to increase its current low income tariff; rather, PSE requested that the Commission approve an increase so that PSE could apply such increase to its new low income tariff at the </w:t>
      </w:r>
      <w:r w:rsidR="004A34D3" w:rsidRPr="00957249">
        <w:rPr>
          <w:rFonts w:ascii="Times New Roman" w:hAnsi="Times New Roman"/>
        </w:rPr>
        <w:lastRenderedPageBreak/>
        <w:t>next program year.  Accordingly, it is irrelevant whether PSE’s low income tariff was suspended during this proceeding.”</w:t>
      </w:r>
      <w:r w:rsidR="004A34D3" w:rsidRPr="00957249">
        <w:rPr>
          <w:rStyle w:val="FootnoteReference"/>
          <w:rFonts w:ascii="Times New Roman" w:hAnsi="Times New Roman"/>
        </w:rPr>
        <w:footnoteReference w:id="36"/>
      </w:r>
    </w:p>
    <w:p w:rsidR="001311F6" w:rsidRPr="00957249" w:rsidRDefault="00B7261E" w:rsidP="005E7A6D">
      <w:pPr>
        <w:autoSpaceDE w:val="0"/>
        <w:autoSpaceDN w:val="0"/>
        <w:adjustRightInd w:val="0"/>
        <w:spacing w:line="480" w:lineRule="auto"/>
        <w:rPr>
          <w:rFonts w:ascii="Times New Roman" w:hAnsi="Times New Roman"/>
        </w:rPr>
      </w:pPr>
      <w:r>
        <w:rPr>
          <w:rFonts w:ascii="Times New Roman" w:hAnsi="Times New Roman"/>
        </w:rPr>
        <w:tab/>
      </w:r>
      <w:r w:rsidR="001311F6" w:rsidRPr="00957249">
        <w:rPr>
          <w:rFonts w:ascii="Times New Roman" w:hAnsi="Times New Roman" w:cs="Times New Roman"/>
        </w:rPr>
        <w:t>Staff objected for the first time in its post-hearing reply brief to any increase in PSE’s bill assistance program on the basis that related Schedule 129 had not been filed with proposed changes.</w:t>
      </w:r>
      <w:r w:rsidR="001311F6" w:rsidRPr="00957249">
        <w:rPr>
          <w:rStyle w:val="FootnoteReference"/>
          <w:rFonts w:ascii="Times New Roman" w:hAnsi="Times New Roman" w:cs="Times New Roman"/>
        </w:rPr>
        <w:footnoteReference w:id="37"/>
      </w:r>
      <w:r w:rsidR="001311F6" w:rsidRPr="00957249">
        <w:rPr>
          <w:rFonts w:ascii="Times New Roman" w:hAnsi="Times New Roman" w:cs="Times New Roman"/>
        </w:rPr>
        <w:t xml:space="preserve">  When the Commission issued Order No. 11, it failed to rule upon the issue of PSE’s proposed increase to the Company’s low-income bill assistance program.  PSE filed a Motion for Reconsideration seeking, among other things, that the Commission reconsider Order No. 11 and approve the proposed changes to Schedule 129.  PSE noted that RCW 80.28.060 did not preclude an order granting an increase to low-income bill assistance because PSE was not requesting a change to its existing Schedule 129.  Rather, all that PSE proposed in the case was that Schedule 129 be increased at the next program year.</w:t>
      </w:r>
      <w:r w:rsidR="001311F6">
        <w:rPr>
          <w:rFonts w:ascii="Times New Roman" w:hAnsi="Times New Roman" w:cs="Times New Roman"/>
        </w:rPr>
        <w:t xml:space="preserve"> </w:t>
      </w:r>
      <w:r w:rsidR="001311F6" w:rsidRPr="00957249">
        <w:rPr>
          <w:rFonts w:ascii="Times New Roman" w:hAnsi="Times New Roman" w:cs="Times New Roman"/>
        </w:rPr>
        <w:t xml:space="preserve"> Thus, PSE argued, it was irrelevant whether it had filed a tariff</w:t>
      </w:r>
      <w:r w:rsidR="001311F6">
        <w:rPr>
          <w:rFonts w:ascii="Times New Roman" w:hAnsi="Times New Roman" w:cs="Times New Roman"/>
        </w:rPr>
        <w:t xml:space="preserve"> at that point in time</w:t>
      </w:r>
      <w:r w:rsidR="001311F6" w:rsidRPr="00957249">
        <w:rPr>
          <w:rFonts w:ascii="Times New Roman" w:hAnsi="Times New Roman" w:cs="Times New Roman"/>
        </w:rPr>
        <w:t>.</w:t>
      </w:r>
      <w:r w:rsidR="001311F6" w:rsidRPr="00957249">
        <w:rPr>
          <w:rStyle w:val="FootnoteReference"/>
          <w:rFonts w:ascii="Times New Roman" w:hAnsi="Times New Roman" w:cs="Times New Roman"/>
        </w:rPr>
        <w:footnoteReference w:id="38"/>
      </w:r>
    </w:p>
    <w:p w:rsidR="004A34D3" w:rsidRPr="00957249" w:rsidRDefault="004A34D3" w:rsidP="005E7A6D">
      <w:pPr>
        <w:autoSpaceDE w:val="0"/>
        <w:autoSpaceDN w:val="0"/>
        <w:adjustRightInd w:val="0"/>
        <w:spacing w:line="480" w:lineRule="auto"/>
        <w:rPr>
          <w:rFonts w:ascii="Times New Roman" w:hAnsi="Times New Roman" w:cs="Times New Roman"/>
        </w:rPr>
      </w:pPr>
      <w:r w:rsidRPr="00957249">
        <w:rPr>
          <w:rFonts w:ascii="Times New Roman" w:hAnsi="Times New Roman"/>
        </w:rPr>
        <w:tab/>
        <w:t>I</w:t>
      </w:r>
      <w:r w:rsidRPr="00957249">
        <w:rPr>
          <w:rFonts w:ascii="Times New Roman" w:hAnsi="Times New Roman" w:cs="Times New Roman"/>
        </w:rPr>
        <w:t xml:space="preserve">n Order No. 13 issued April 29, 2010, the Commission rejected PSE’s Petition for </w:t>
      </w:r>
      <w:r w:rsidR="00F34A2C">
        <w:rPr>
          <w:rFonts w:ascii="Times New Roman" w:hAnsi="Times New Roman" w:cs="Times New Roman"/>
        </w:rPr>
        <w:t>Reconsideration</w:t>
      </w:r>
      <w:r w:rsidRPr="00957249">
        <w:rPr>
          <w:rFonts w:ascii="Times New Roman" w:hAnsi="Times New Roman" w:cs="Times New Roman"/>
        </w:rPr>
        <w:t xml:space="preserve"> suggesting that PSE was effectively asking the Commission to “pre-approve” a tariff change, something the Commission does not do.  The Commission ruled: </w:t>
      </w:r>
    </w:p>
    <w:p w:rsidR="004A34D3" w:rsidRDefault="004A34D3" w:rsidP="00F34A2C">
      <w:pPr>
        <w:autoSpaceDE w:val="0"/>
        <w:autoSpaceDN w:val="0"/>
        <w:adjustRightInd w:val="0"/>
        <w:ind w:left="720" w:right="720"/>
        <w:rPr>
          <w:rFonts w:ascii="Times New Roman" w:hAnsi="Times New Roman"/>
          <w:szCs w:val="25"/>
        </w:rPr>
      </w:pPr>
      <w:r w:rsidRPr="00957249">
        <w:rPr>
          <w:rFonts w:ascii="Times New Roman" w:hAnsi="Times New Roman" w:cs="Times New Roman"/>
        </w:rPr>
        <w:t>“</w:t>
      </w:r>
      <w:r w:rsidRPr="00957249">
        <w:rPr>
          <w:rFonts w:ascii="Times New Roman" w:hAnsi="Times New Roman"/>
          <w:szCs w:val="25"/>
        </w:rPr>
        <w:t>The Commission does not pre-approve tariff changes; it should not do so here. While we acknowledge the importance of low income programs, it is necessary and important to ensure that all potentially interested persons are on notice and given an opportunity to participate when the subject of their funding is an issue. PSE did not file any proposed revisions to Schedule 129 and, therefore, the Commission’s suspension order and notice of hearing cannot be considered to have given due and proper notice that it might make a determination in this proceeding that would lead to a change in that tariff schedule either now or in the future.</w:t>
      </w:r>
      <w:r w:rsidRPr="00957249">
        <w:rPr>
          <w:rStyle w:val="FootnoteReference"/>
          <w:rFonts w:ascii="Times New Roman" w:hAnsi="Times New Roman"/>
          <w:szCs w:val="25"/>
        </w:rPr>
        <w:footnoteReference w:id="39"/>
      </w:r>
    </w:p>
    <w:p w:rsidR="00F34A2C" w:rsidRPr="00957249" w:rsidRDefault="00F34A2C" w:rsidP="00F34A2C">
      <w:pPr>
        <w:autoSpaceDE w:val="0"/>
        <w:autoSpaceDN w:val="0"/>
        <w:adjustRightInd w:val="0"/>
        <w:ind w:left="720" w:right="720"/>
        <w:rPr>
          <w:rFonts w:ascii="Times New Roman" w:hAnsi="Times New Roman"/>
        </w:rPr>
      </w:pPr>
    </w:p>
    <w:p w:rsidR="00666AEC" w:rsidRDefault="004A34D3" w:rsidP="005E7A6D">
      <w:pPr>
        <w:autoSpaceDE w:val="0"/>
        <w:autoSpaceDN w:val="0"/>
        <w:adjustRightInd w:val="0"/>
        <w:spacing w:line="480" w:lineRule="auto"/>
        <w:rPr>
          <w:rFonts w:ascii="Times New Roman" w:hAnsi="Times New Roman"/>
        </w:rPr>
      </w:pPr>
      <w:r w:rsidRPr="00957249">
        <w:rPr>
          <w:rFonts w:ascii="Times New Roman" w:hAnsi="Times New Roman"/>
        </w:rPr>
        <w:lastRenderedPageBreak/>
        <w:tab/>
      </w:r>
      <w:r w:rsidR="00F34A2C">
        <w:rPr>
          <w:rFonts w:ascii="Times New Roman" w:hAnsi="Times New Roman"/>
        </w:rPr>
        <w:t xml:space="preserve">The case at hand is factually distinguishable from the PSE case.  </w:t>
      </w:r>
      <w:r w:rsidRPr="00957249">
        <w:rPr>
          <w:rFonts w:ascii="Times New Roman" w:hAnsi="Times New Roman"/>
        </w:rPr>
        <w:t>In the case at hand, PPL did not file tariff changes to its weatherization program because the Company proposes no changes to that program.</w:t>
      </w:r>
      <w:r w:rsidR="00F34A2C">
        <w:rPr>
          <w:rFonts w:ascii="Times New Roman" w:hAnsi="Times New Roman"/>
        </w:rPr>
        <w:t xml:space="preserve"> </w:t>
      </w:r>
      <w:r w:rsidRPr="00957249">
        <w:rPr>
          <w:rFonts w:ascii="Times New Roman" w:hAnsi="Times New Roman"/>
        </w:rPr>
        <w:t xml:space="preserve"> </w:t>
      </w:r>
      <w:r w:rsidR="00F34A2C">
        <w:rPr>
          <w:rFonts w:ascii="Times New Roman" w:hAnsi="Times New Roman"/>
        </w:rPr>
        <w:t xml:space="preserve">Unlike the PSE case, therefore, </w:t>
      </w:r>
      <w:r w:rsidR="001311F6">
        <w:rPr>
          <w:rFonts w:ascii="Times New Roman" w:hAnsi="Times New Roman"/>
        </w:rPr>
        <w:t>PPL did not make a proposal that would affect rates, but</w:t>
      </w:r>
      <w:r w:rsidRPr="00957249">
        <w:rPr>
          <w:rFonts w:ascii="Times New Roman" w:hAnsi="Times New Roman"/>
        </w:rPr>
        <w:t xml:space="preserve"> then fail to file related tariffs.  </w:t>
      </w:r>
      <w:r w:rsidR="00666AEC">
        <w:rPr>
          <w:rFonts w:ascii="Times New Roman" w:hAnsi="Times New Roman"/>
        </w:rPr>
        <w:t>As Order No. 13 issued in the PSE case notes, the failure of PSE to file the actual tariff through which bill assistance would be increased, resulted in a sufficient lack of notice to the public effectively denying interested persons the “opportunity to participate.”  In this case, though PPL did not propose increasing LIWA, the Energy Project most certainly did in its initial testimony</w:t>
      </w:r>
      <w:r w:rsidR="00F669B9">
        <w:rPr>
          <w:rFonts w:ascii="Times New Roman" w:hAnsi="Times New Roman"/>
        </w:rPr>
        <w:t xml:space="preserve"> and has fully participated in this case from intervention through the present</w:t>
      </w:r>
      <w:r w:rsidR="00666AEC">
        <w:rPr>
          <w:rFonts w:ascii="Times New Roman" w:hAnsi="Times New Roman"/>
        </w:rPr>
        <w:t>.  Thus, the issue has been fully litigated in this case and no party was denied the opportunity to participate as a result of a claimed procedural mistake on the part of the utility.</w:t>
      </w:r>
      <w:r w:rsidR="00BE7FCF">
        <w:rPr>
          <w:rFonts w:ascii="Times New Roman" w:hAnsi="Times New Roman"/>
        </w:rPr>
        <w:t xml:space="preserve">  </w:t>
      </w:r>
    </w:p>
    <w:p w:rsidR="00B7261E" w:rsidRPr="00957249" w:rsidRDefault="00B7261E" w:rsidP="00B7261E">
      <w:pPr>
        <w:autoSpaceDE w:val="0"/>
        <w:autoSpaceDN w:val="0"/>
        <w:adjustRightInd w:val="0"/>
        <w:spacing w:line="480" w:lineRule="auto"/>
        <w:rPr>
          <w:rFonts w:ascii="Times New Roman" w:hAnsi="Times New Roman" w:cs="Times New Roman"/>
        </w:rPr>
      </w:pPr>
      <w:r>
        <w:rPr>
          <w:rFonts w:ascii="Times New Roman" w:hAnsi="Times New Roman"/>
        </w:rPr>
        <w:tab/>
      </w:r>
      <w:r w:rsidRPr="00957249">
        <w:rPr>
          <w:rFonts w:ascii="Times New Roman" w:hAnsi="Times New Roman" w:cs="Times New Roman"/>
        </w:rPr>
        <w:t>The Energy Project, in a timely fashion compliant with all applicable scheduling orders, administrative rules and state statutes, properly raised the issue of low-income weatherization, a “service” provided by PPL that affects “rates” and “charges,” fully argued the issue during hearing, and has briefed it post-hearing.  Because PPL chose to not file a tariff reflecting to changes to low-income weatherization, and resulting changes in rates, there was nothing for the Commission to suspend in this case regarding this issue.  But, as RCW 80.28.060 makes clear, this does not prohibit the Energy Project from raising the issue, nor does it prohibit the Commission from ruling upon it.</w:t>
      </w:r>
    </w:p>
    <w:p w:rsidR="0037458A" w:rsidRPr="00957249" w:rsidRDefault="004A34D3" w:rsidP="005E7A6D">
      <w:pPr>
        <w:autoSpaceDE w:val="0"/>
        <w:autoSpaceDN w:val="0"/>
        <w:adjustRightInd w:val="0"/>
        <w:spacing w:line="480" w:lineRule="auto"/>
        <w:rPr>
          <w:rFonts w:ascii="Times New Roman" w:hAnsi="Times New Roman" w:cs="Times New Roman"/>
        </w:rPr>
      </w:pPr>
      <w:r w:rsidRPr="00957249">
        <w:rPr>
          <w:rFonts w:ascii="Times New Roman" w:hAnsi="Times New Roman" w:cs="Times New Roman"/>
        </w:rPr>
        <w:tab/>
      </w:r>
      <w:r w:rsidR="00F21C79" w:rsidRPr="00957249">
        <w:rPr>
          <w:rFonts w:ascii="Times New Roman" w:hAnsi="Times New Roman"/>
          <w:szCs w:val="25"/>
        </w:rPr>
        <w:t>Wh</w:t>
      </w:r>
      <w:r w:rsidR="00242A5F" w:rsidRPr="00957249">
        <w:rPr>
          <w:rFonts w:ascii="Times New Roman" w:hAnsi="Times New Roman"/>
          <w:szCs w:val="25"/>
        </w:rPr>
        <w:t>at is relevant here</w:t>
      </w:r>
      <w:r w:rsidR="0037458A" w:rsidRPr="00957249">
        <w:rPr>
          <w:rFonts w:ascii="Times New Roman" w:hAnsi="Times New Roman"/>
          <w:szCs w:val="25"/>
        </w:rPr>
        <w:t xml:space="preserve"> is that, pursuant to RCW 80.28.068, the Energy Project properly raised the issue and state law allows the Commission to address and rule upon that issue.  To require a utility to have previously filed tariffs related to proposals subsequently made by an </w:t>
      </w:r>
      <w:proofErr w:type="spellStart"/>
      <w:r w:rsidR="0037458A" w:rsidRPr="00957249">
        <w:rPr>
          <w:rFonts w:ascii="Times New Roman" w:hAnsi="Times New Roman"/>
          <w:szCs w:val="25"/>
        </w:rPr>
        <w:t>intervenor</w:t>
      </w:r>
      <w:proofErr w:type="spellEnd"/>
      <w:r w:rsidR="0037458A" w:rsidRPr="00957249">
        <w:rPr>
          <w:rFonts w:ascii="Times New Roman" w:hAnsi="Times New Roman"/>
          <w:szCs w:val="25"/>
        </w:rPr>
        <w:t xml:space="preserve"> would emasculate RCW 80.28.068 and, as argued, effectively give iron-fisted control </w:t>
      </w:r>
      <w:r w:rsidR="0037458A" w:rsidRPr="00957249">
        <w:rPr>
          <w:rFonts w:ascii="Times New Roman" w:hAnsi="Times New Roman"/>
          <w:szCs w:val="25"/>
        </w:rPr>
        <w:lastRenderedPageBreak/>
        <w:t>over the scope of general rate cases to utilities, thereby minimizing public input.  The Energy Project respectfully submits that the Commission should not set such far-reaching and potentially dangerous precedent.</w:t>
      </w:r>
    </w:p>
    <w:p w:rsidR="00281990" w:rsidRDefault="00824948" w:rsidP="005E7A6D">
      <w:pPr>
        <w:autoSpaceDE w:val="0"/>
        <w:autoSpaceDN w:val="0"/>
        <w:adjustRightInd w:val="0"/>
        <w:spacing w:line="480" w:lineRule="auto"/>
        <w:rPr>
          <w:rFonts w:ascii="Times New Roman" w:hAnsi="Times New Roman"/>
        </w:rPr>
      </w:pPr>
      <w:r w:rsidRPr="00957249">
        <w:rPr>
          <w:rFonts w:ascii="Times New Roman" w:hAnsi="Times New Roman" w:cs="Times New Roman"/>
        </w:rPr>
        <w:tab/>
      </w:r>
      <w:r w:rsidR="00F95A26" w:rsidRPr="00957249">
        <w:rPr>
          <w:rFonts w:ascii="Times New Roman" w:hAnsi="Times New Roman"/>
        </w:rPr>
        <w:t xml:space="preserve">Cases are settled and approved by the commission on issues not raised in company’s direct filing.  Thus, by inference, </w:t>
      </w:r>
      <w:r w:rsidR="00F83E38" w:rsidRPr="00957249">
        <w:rPr>
          <w:rFonts w:ascii="Times New Roman" w:hAnsi="Times New Roman"/>
        </w:rPr>
        <w:t>suspension of tariffs related to issues ultimately ruled upon by the Commission is not required in every case.</w:t>
      </w:r>
    </w:p>
    <w:p w:rsidR="00D4400B" w:rsidRPr="00957249" w:rsidRDefault="00D4400B" w:rsidP="005E7A6D">
      <w:pPr>
        <w:autoSpaceDE w:val="0"/>
        <w:autoSpaceDN w:val="0"/>
        <w:adjustRightInd w:val="0"/>
        <w:spacing w:line="480" w:lineRule="auto"/>
        <w:rPr>
          <w:rFonts w:ascii="Times New Roman" w:hAnsi="Times New Roman"/>
        </w:rPr>
      </w:pPr>
      <w:r>
        <w:rPr>
          <w:rFonts w:ascii="Times New Roman" w:hAnsi="Times New Roman"/>
        </w:rPr>
        <w:tab/>
      </w:r>
      <w:r>
        <w:rPr>
          <w:rFonts w:ascii="Times New Roman" w:hAnsi="Times New Roman"/>
        </w:rPr>
        <w:tab/>
        <w:t xml:space="preserve"> Because the PSE case is obviously distinguishable from this one, </w:t>
      </w:r>
      <w:r w:rsidRPr="00957249">
        <w:rPr>
          <w:rFonts w:ascii="Times New Roman" w:hAnsi="Times New Roman"/>
        </w:rPr>
        <w:t>what Staff is really proposing</w:t>
      </w:r>
      <w:r>
        <w:rPr>
          <w:rFonts w:ascii="Times New Roman" w:hAnsi="Times New Roman"/>
        </w:rPr>
        <w:t xml:space="preserve"> in this case</w:t>
      </w:r>
      <w:r w:rsidRPr="00957249">
        <w:rPr>
          <w:rFonts w:ascii="Times New Roman" w:hAnsi="Times New Roman"/>
        </w:rPr>
        <w:t>, is that the Commission issue a ruling allowing utilities unfettered control over the scope of issues addressed in any given general rate case.  To say the least, this would have a chilling effect on intervention and public input in future cases before this Commission and for that reason alone, Staff’s position on this issue should be soundly rejected.</w:t>
      </w:r>
    </w:p>
    <w:p w:rsidR="005E38A5" w:rsidRPr="00957249" w:rsidRDefault="00164D0B" w:rsidP="007E4267">
      <w:pPr>
        <w:autoSpaceDE w:val="0"/>
        <w:autoSpaceDN w:val="0"/>
        <w:adjustRightInd w:val="0"/>
        <w:spacing w:line="480" w:lineRule="auto"/>
        <w:jc w:val="center"/>
        <w:rPr>
          <w:rFonts w:ascii="Times New Roman" w:hAnsi="Times New Roman"/>
          <w:bCs/>
        </w:rPr>
      </w:pPr>
      <w:r w:rsidRPr="00957249">
        <w:rPr>
          <w:rFonts w:ascii="Times New Roman" w:hAnsi="Times New Roman"/>
          <w:b/>
          <w:bCs/>
        </w:rPr>
        <w:t>III.</w:t>
      </w:r>
      <w:r w:rsidRPr="00957249">
        <w:rPr>
          <w:rFonts w:ascii="Times New Roman" w:hAnsi="Times New Roman"/>
          <w:b/>
          <w:bCs/>
        </w:rPr>
        <w:tab/>
        <w:t>CONCLUSION</w:t>
      </w:r>
    </w:p>
    <w:p w:rsidR="005E38A5" w:rsidRDefault="00B7261E" w:rsidP="005E7A6D">
      <w:pPr>
        <w:spacing w:line="480" w:lineRule="auto"/>
        <w:jc w:val="both"/>
        <w:rPr>
          <w:rFonts w:ascii="Times New Roman" w:hAnsi="Times New Roman" w:cs="Tahoma"/>
          <w:szCs w:val="18"/>
        </w:rPr>
      </w:pPr>
      <w:r>
        <w:rPr>
          <w:rFonts w:ascii="Times New Roman" w:hAnsi="Times New Roman" w:cs="Tahoma"/>
          <w:color w:val="FF0038"/>
          <w:szCs w:val="18"/>
        </w:rPr>
        <w:tab/>
      </w:r>
      <w:r>
        <w:rPr>
          <w:rFonts w:ascii="Times New Roman" w:hAnsi="Times New Roman" w:cs="Tahoma"/>
          <w:szCs w:val="18"/>
        </w:rPr>
        <w:t xml:space="preserve">The initial briefs filed by PPL and Staff offer little or no substantive basis to challenge the Energy Project’s positions in this case that: 1) the existing LIBA benefit level is insufficient to begin with; 2) serving additional customers under LIBA would lower the relative benefit </w:t>
      </w:r>
      <w:r w:rsidR="008271D2">
        <w:rPr>
          <w:rFonts w:ascii="Times New Roman" w:hAnsi="Times New Roman" w:cs="Tahoma"/>
          <w:szCs w:val="18"/>
        </w:rPr>
        <w:t>level; 3) there is insufficient data</w:t>
      </w:r>
      <w:r w:rsidR="00B56C39">
        <w:rPr>
          <w:rFonts w:ascii="Times New Roman" w:hAnsi="Times New Roman" w:cs="Tahoma"/>
          <w:szCs w:val="18"/>
        </w:rPr>
        <w:t xml:space="preserve"> </w:t>
      </w:r>
      <w:r w:rsidR="00B56C39" w:rsidRPr="00B56C39">
        <w:rPr>
          <w:rFonts w:ascii="Times New Roman" w:hAnsi="Times New Roman" w:cs="Tahoma"/>
          <w:szCs w:val="18"/>
        </w:rPr>
        <w:t>to demonstrate that significant savings will occur from the change from annual certification without endangering the ability of agencies to implement the program</w:t>
      </w:r>
      <w:r w:rsidR="008271D2">
        <w:rPr>
          <w:rFonts w:ascii="Times New Roman" w:hAnsi="Times New Roman" w:cs="Tahoma"/>
          <w:szCs w:val="18"/>
        </w:rPr>
        <w:t>; 4) the agencies are not currently receiving sufficient compensation to recover the costs of implementing LIBA and the fee should be increased, and 5) the issue of low-income weatherization may be addressed by the Commission.</w:t>
      </w:r>
    </w:p>
    <w:p w:rsidR="00C63551" w:rsidRPr="00B7261E" w:rsidRDefault="00C63551" w:rsidP="005E7A6D">
      <w:pPr>
        <w:spacing w:line="480" w:lineRule="auto"/>
        <w:jc w:val="both"/>
        <w:rPr>
          <w:rFonts w:ascii="Times New Roman" w:hAnsi="Times New Roman" w:cs="Tahoma"/>
          <w:szCs w:val="18"/>
        </w:rPr>
      </w:pPr>
      <w:r>
        <w:rPr>
          <w:rFonts w:ascii="Times New Roman" w:hAnsi="Times New Roman" w:cs="Tahoma"/>
          <w:szCs w:val="18"/>
        </w:rPr>
        <w:tab/>
        <w:t xml:space="preserve">The Energy Project has cited to numerous instances where witnesses </w:t>
      </w:r>
      <w:proofErr w:type="spellStart"/>
      <w:r>
        <w:rPr>
          <w:rFonts w:ascii="Times New Roman" w:hAnsi="Times New Roman" w:cs="Tahoma"/>
          <w:szCs w:val="18"/>
        </w:rPr>
        <w:t>Eberle</w:t>
      </w:r>
      <w:proofErr w:type="spellEnd"/>
      <w:r>
        <w:rPr>
          <w:rFonts w:ascii="Times New Roman" w:hAnsi="Times New Roman" w:cs="Tahoma"/>
          <w:szCs w:val="18"/>
        </w:rPr>
        <w:t xml:space="preserve"> or </w:t>
      </w:r>
      <w:proofErr w:type="spellStart"/>
      <w:r>
        <w:rPr>
          <w:rFonts w:ascii="Times New Roman" w:hAnsi="Times New Roman" w:cs="Tahoma"/>
          <w:szCs w:val="18"/>
        </w:rPr>
        <w:t>Schooley</w:t>
      </w:r>
      <w:proofErr w:type="spellEnd"/>
      <w:r>
        <w:rPr>
          <w:rFonts w:ascii="Times New Roman" w:hAnsi="Times New Roman" w:cs="Tahoma"/>
          <w:szCs w:val="18"/>
        </w:rPr>
        <w:t xml:space="preserve"> admit, explicitly and implicitly, that Mr. </w:t>
      </w:r>
      <w:proofErr w:type="spellStart"/>
      <w:r>
        <w:rPr>
          <w:rFonts w:ascii="Times New Roman" w:hAnsi="Times New Roman" w:cs="Tahoma"/>
          <w:szCs w:val="18"/>
        </w:rPr>
        <w:t>Eberd’t</w:t>
      </w:r>
      <w:proofErr w:type="spellEnd"/>
      <w:r>
        <w:rPr>
          <w:rFonts w:ascii="Times New Roman" w:hAnsi="Times New Roman" w:cs="Tahoma"/>
          <w:szCs w:val="18"/>
        </w:rPr>
        <w:t xml:space="preserve"> concerns about the proposed LIBA changes, particularly eliminating half the LIBA certifications, have merit.  Mr. </w:t>
      </w:r>
      <w:proofErr w:type="spellStart"/>
      <w:r>
        <w:rPr>
          <w:rFonts w:ascii="Times New Roman" w:hAnsi="Times New Roman" w:cs="Tahoma"/>
          <w:szCs w:val="18"/>
        </w:rPr>
        <w:t>Schooley</w:t>
      </w:r>
      <w:proofErr w:type="spellEnd"/>
      <w:r>
        <w:rPr>
          <w:rFonts w:ascii="Times New Roman" w:hAnsi="Times New Roman" w:cs="Tahoma"/>
          <w:szCs w:val="18"/>
        </w:rPr>
        <w:t xml:space="preserve"> admits that his </w:t>
      </w:r>
      <w:r>
        <w:rPr>
          <w:rFonts w:ascii="Times New Roman" w:hAnsi="Times New Roman" w:cs="Tahoma"/>
          <w:szCs w:val="18"/>
        </w:rPr>
        <w:lastRenderedPageBreak/>
        <w:t>proposals will require the agencies to take control of their own destinies by seeking additional funding, but fails to explain how it is that the agencies aren’t already doing that very thing in this case.  All of their concessions notwithstanding, both the Company and Staff insist that the Commission accept vague references to programs from other states, and ignor</w:t>
      </w:r>
      <w:r w:rsidR="007E4267">
        <w:rPr>
          <w:rFonts w:ascii="Times New Roman" w:hAnsi="Times New Roman" w:cs="Tahoma"/>
          <w:szCs w:val="18"/>
        </w:rPr>
        <w:t>e</w:t>
      </w:r>
      <w:r>
        <w:rPr>
          <w:rFonts w:ascii="Times New Roman" w:hAnsi="Times New Roman" w:cs="Tahoma"/>
          <w:szCs w:val="18"/>
        </w:rPr>
        <w:t xml:space="preserve"> the merits of Mr. </w:t>
      </w:r>
      <w:proofErr w:type="spellStart"/>
      <w:r>
        <w:rPr>
          <w:rFonts w:ascii="Times New Roman" w:hAnsi="Times New Roman" w:cs="Tahoma"/>
          <w:szCs w:val="18"/>
        </w:rPr>
        <w:t>Eberdt’s</w:t>
      </w:r>
      <w:proofErr w:type="spellEnd"/>
      <w:r>
        <w:rPr>
          <w:rFonts w:ascii="Times New Roman" w:hAnsi="Times New Roman" w:cs="Tahoma"/>
          <w:szCs w:val="18"/>
        </w:rPr>
        <w:t xml:space="preserve"> concerns, which Staff oddly dismiss</w:t>
      </w:r>
      <w:r w:rsidR="007E4267">
        <w:rPr>
          <w:rFonts w:ascii="Times New Roman" w:hAnsi="Times New Roman" w:cs="Tahoma"/>
          <w:szCs w:val="18"/>
        </w:rPr>
        <w:t>es</w:t>
      </w:r>
      <w:r>
        <w:rPr>
          <w:rFonts w:ascii="Times New Roman" w:hAnsi="Times New Roman" w:cs="Tahoma"/>
          <w:szCs w:val="18"/>
        </w:rPr>
        <w:t xml:space="preserve"> as “hyperbole,” and order program design changes without conducting the very analysis that Staff claims is missing from the Energy Project’s request for increased certification fees.  In other words, PPL and Staff’s positions </w:t>
      </w:r>
      <w:r w:rsidR="007E4267">
        <w:rPr>
          <w:rFonts w:ascii="Times New Roman" w:hAnsi="Times New Roman" w:cs="Tahoma"/>
          <w:szCs w:val="18"/>
        </w:rPr>
        <w:t>are</w:t>
      </w:r>
      <w:r>
        <w:rPr>
          <w:rFonts w:ascii="Times New Roman" w:hAnsi="Times New Roman" w:cs="Tahoma"/>
          <w:szCs w:val="18"/>
        </w:rPr>
        <w:t xml:space="preserve"> self-contradictory</w:t>
      </w:r>
      <w:r w:rsidR="00B56C39">
        <w:rPr>
          <w:rFonts w:ascii="Times New Roman" w:hAnsi="Times New Roman" w:cs="Tahoma"/>
          <w:szCs w:val="18"/>
        </w:rPr>
        <w:t xml:space="preserve"> and should be rejected</w:t>
      </w:r>
      <w:r>
        <w:rPr>
          <w:rFonts w:ascii="Times New Roman" w:hAnsi="Times New Roman" w:cs="Tahoma"/>
          <w:szCs w:val="18"/>
        </w:rPr>
        <w:t>.</w:t>
      </w:r>
    </w:p>
    <w:p w:rsidR="007E7DCA" w:rsidRDefault="007E7DCA" w:rsidP="005E7A6D">
      <w:pPr>
        <w:spacing w:line="480" w:lineRule="auto"/>
        <w:jc w:val="both"/>
        <w:rPr>
          <w:rFonts w:ascii="Times New Roman" w:hAnsi="Times New Roman" w:cs="Tahoma"/>
          <w:color w:val="FF0038"/>
          <w:szCs w:val="18"/>
        </w:rPr>
      </w:pPr>
    </w:p>
    <w:p w:rsidR="00164D0B" w:rsidRPr="00957249" w:rsidRDefault="00164D0B" w:rsidP="005E7A6D">
      <w:pPr>
        <w:rPr>
          <w:rFonts w:ascii="Times New Roman" w:hAnsi="Times New Roman"/>
        </w:rPr>
      </w:pPr>
      <w:r w:rsidRPr="00957249">
        <w:rPr>
          <w:rFonts w:ascii="Times New Roman" w:hAnsi="Times New Roman"/>
        </w:rPr>
        <w:t xml:space="preserve">RESPECTFULLY SUBMITTED, this </w:t>
      </w:r>
      <w:r w:rsidR="00942958" w:rsidRPr="00957249">
        <w:rPr>
          <w:rFonts w:ascii="Times New Roman" w:hAnsi="Times New Roman"/>
        </w:rPr>
        <w:t>18TH</w:t>
      </w:r>
      <w:r w:rsidRPr="00957249">
        <w:rPr>
          <w:rFonts w:ascii="Times New Roman" w:hAnsi="Times New Roman"/>
        </w:rPr>
        <w:t xml:space="preserve"> day of February, 2011,</w:t>
      </w:r>
    </w:p>
    <w:p w:rsidR="00164D0B" w:rsidRPr="00957249" w:rsidRDefault="00164D0B" w:rsidP="005E7A6D">
      <w:pPr>
        <w:rPr>
          <w:rFonts w:ascii="Times New Roman" w:hAnsi="Times New Roman"/>
        </w:rPr>
      </w:pPr>
    </w:p>
    <w:p w:rsidR="00164D0B" w:rsidRPr="00957249" w:rsidRDefault="00164D0B" w:rsidP="005E7A6D">
      <w:pPr>
        <w:rPr>
          <w:rFonts w:ascii="Times New Roman" w:hAnsi="Times New Roman"/>
        </w:rPr>
      </w:pPr>
    </w:p>
    <w:p w:rsidR="00164D0B" w:rsidRPr="00957249" w:rsidRDefault="00164D0B" w:rsidP="005E7A6D">
      <w:pPr>
        <w:rPr>
          <w:rFonts w:ascii="Times New Roman" w:hAnsi="Times New Roman"/>
        </w:rPr>
      </w:pPr>
    </w:p>
    <w:p w:rsidR="00164D0B" w:rsidRPr="00957249" w:rsidRDefault="00164D0B" w:rsidP="005E7A6D">
      <w:pPr>
        <w:rPr>
          <w:rFonts w:ascii="Times New Roman" w:hAnsi="Times New Roman"/>
        </w:rPr>
      </w:pPr>
    </w:p>
    <w:p w:rsidR="00164D0B" w:rsidRPr="00957249" w:rsidRDefault="00164D0B" w:rsidP="005E7A6D">
      <w:pPr>
        <w:rPr>
          <w:rFonts w:ascii="Times New Roman" w:hAnsi="Times New Roman"/>
        </w:rPr>
      </w:pP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t>_____________________________________</w:t>
      </w:r>
    </w:p>
    <w:p w:rsidR="00164D0B" w:rsidRPr="00957249" w:rsidRDefault="00164D0B" w:rsidP="005E7A6D">
      <w:pPr>
        <w:rPr>
          <w:rFonts w:ascii="Times New Roman" w:hAnsi="Times New Roman"/>
        </w:rPr>
      </w:pP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t>Brad M. Purdy</w:t>
      </w:r>
    </w:p>
    <w:p w:rsidR="00164D0B" w:rsidRPr="00957249" w:rsidRDefault="00164D0B" w:rsidP="005E7A6D">
      <w:pPr>
        <w:rPr>
          <w:rFonts w:ascii="Times New Roman" w:hAnsi="Times New Roman"/>
        </w:rPr>
      </w:pP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t>Attorney for the Energy Project</w:t>
      </w:r>
    </w:p>
    <w:p w:rsidR="00164D0B" w:rsidRPr="00957249" w:rsidRDefault="00164D0B" w:rsidP="00164D0B">
      <w:pPr>
        <w:rPr>
          <w:rFonts w:ascii="Times New Roman" w:hAnsi="Times New Roman"/>
        </w:rPr>
      </w:pPr>
      <w:r w:rsidRPr="00957249">
        <w:rPr>
          <w:rFonts w:ascii="Times New Roman" w:hAnsi="Times New Roman"/>
        </w:rPr>
        <w:br w:type="page"/>
      </w:r>
    </w:p>
    <w:p w:rsidR="00164D0B" w:rsidRPr="00957249" w:rsidRDefault="00164D0B" w:rsidP="00164D0B">
      <w:pPr>
        <w:jc w:val="center"/>
        <w:rPr>
          <w:rFonts w:ascii="Times New Roman" w:hAnsi="Times New Roman"/>
        </w:rPr>
      </w:pPr>
      <w:r w:rsidRPr="00957249">
        <w:rPr>
          <w:rFonts w:ascii="Times New Roman" w:hAnsi="Times New Roman"/>
        </w:rPr>
        <w:lastRenderedPageBreak/>
        <w:t>CERTIFICATE OF SERVICE</w:t>
      </w:r>
    </w:p>
    <w:p w:rsidR="00164D0B" w:rsidRPr="00957249" w:rsidRDefault="00164D0B" w:rsidP="00164D0B">
      <w:pPr>
        <w:rPr>
          <w:rFonts w:ascii="Times New Roman" w:hAnsi="Times New Roman"/>
        </w:rPr>
      </w:pPr>
    </w:p>
    <w:p w:rsidR="00164D0B" w:rsidRPr="00957249" w:rsidRDefault="00164D0B" w:rsidP="00164D0B">
      <w:pPr>
        <w:spacing w:line="480" w:lineRule="auto"/>
        <w:rPr>
          <w:rFonts w:ascii="Times New Roman" w:hAnsi="Times New Roman"/>
        </w:rPr>
      </w:pPr>
      <w:r w:rsidRPr="00957249">
        <w:rPr>
          <w:rFonts w:ascii="Times New Roman" w:hAnsi="Times New Roman"/>
        </w:rPr>
        <w:tab/>
        <w:t>I hereby certify that on the 1</w:t>
      </w:r>
      <w:r w:rsidR="00942958" w:rsidRPr="00957249">
        <w:rPr>
          <w:rFonts w:ascii="Times New Roman" w:hAnsi="Times New Roman"/>
        </w:rPr>
        <w:t>8</w:t>
      </w:r>
      <w:r w:rsidRPr="00957249">
        <w:rPr>
          <w:rFonts w:ascii="Times New Roman" w:hAnsi="Times New Roman"/>
        </w:rPr>
        <w:t>th day of February, 2011, I served the foregoing document on the following individuals via email and U.S. Mail at the addresses shown.</w:t>
      </w:r>
    </w:p>
    <w:p w:rsidR="00164D0B" w:rsidRPr="00957249" w:rsidRDefault="00164D0B" w:rsidP="00164D0B">
      <w:pPr>
        <w:rPr>
          <w:rFonts w:ascii="Times New Roman" w:hAnsi="Times New Roman"/>
        </w:rPr>
      </w:pPr>
      <w:r w:rsidRPr="00957249">
        <w:rPr>
          <w:rFonts w:ascii="Times New Roman" w:hAnsi="Times New Roman"/>
        </w:rPr>
        <w:t>WUTC</w:t>
      </w:r>
    </w:p>
    <w:p w:rsidR="00164D0B" w:rsidRPr="00957249" w:rsidRDefault="00164D0B" w:rsidP="00164D0B">
      <w:pPr>
        <w:rPr>
          <w:rFonts w:ascii="Times New Roman" w:hAnsi="Times New Roman"/>
        </w:rPr>
      </w:pPr>
      <w:r w:rsidRPr="00957249">
        <w:rPr>
          <w:rFonts w:ascii="Times New Roman" w:hAnsi="Times New Roman"/>
        </w:rPr>
        <w:t>Records Center</w:t>
      </w:r>
    </w:p>
    <w:p w:rsidR="00164D0B" w:rsidRPr="00957249" w:rsidRDefault="00164D0B" w:rsidP="00164D0B">
      <w:pPr>
        <w:rPr>
          <w:rFonts w:ascii="Times New Roman" w:hAnsi="Times New Roman"/>
        </w:rPr>
      </w:pPr>
      <w:r w:rsidRPr="00957249">
        <w:rPr>
          <w:rFonts w:ascii="Times New Roman" w:hAnsi="Times New Roman"/>
        </w:rPr>
        <w:t>1300 S. Evergreen Dr. SW</w:t>
      </w:r>
    </w:p>
    <w:p w:rsidR="00164D0B" w:rsidRPr="00957249" w:rsidRDefault="00164D0B" w:rsidP="00164D0B">
      <w:pPr>
        <w:rPr>
          <w:rFonts w:ascii="Times New Roman" w:hAnsi="Times New Roman"/>
        </w:rPr>
      </w:pPr>
      <w:r w:rsidRPr="00957249">
        <w:rPr>
          <w:rFonts w:ascii="Times New Roman" w:hAnsi="Times New Roman"/>
        </w:rPr>
        <w:t>Olympia, WA 98504-7250</w:t>
      </w:r>
    </w:p>
    <w:p w:rsidR="00164D0B" w:rsidRPr="00957249" w:rsidRDefault="00D845E6" w:rsidP="00164D0B">
      <w:pPr>
        <w:rPr>
          <w:rFonts w:ascii="Times New Roman" w:hAnsi="Times New Roman"/>
        </w:rPr>
      </w:pPr>
      <w:hyperlink r:id="rId7" w:history="1">
        <w:r w:rsidR="00164D0B" w:rsidRPr="00957249">
          <w:rPr>
            <w:rStyle w:val="Hyperlink"/>
            <w:rFonts w:ascii="Times New Roman" w:hAnsi="Times New Roman"/>
          </w:rPr>
          <w:t>records@utc.wa.gov</w:t>
        </w:r>
      </w:hyperlink>
    </w:p>
    <w:p w:rsidR="00164D0B" w:rsidRPr="00957249" w:rsidRDefault="00164D0B" w:rsidP="00164D0B">
      <w:pPr>
        <w:rPr>
          <w:rFonts w:ascii="Times New Roman" w:hAnsi="Times New Roman"/>
        </w:rPr>
      </w:pPr>
    </w:p>
    <w:p w:rsidR="00164D0B" w:rsidRPr="00957249" w:rsidRDefault="00164D0B" w:rsidP="00164D0B">
      <w:pPr>
        <w:rPr>
          <w:rFonts w:ascii="Times New Roman" w:hAnsi="Times New Roman"/>
        </w:rPr>
      </w:pPr>
      <w:r w:rsidRPr="00957249">
        <w:rPr>
          <w:rFonts w:ascii="Times New Roman" w:hAnsi="Times New Roman"/>
        </w:rPr>
        <w:t>Cathie Allen</w:t>
      </w:r>
    </w:p>
    <w:p w:rsidR="00164D0B" w:rsidRPr="00957249" w:rsidRDefault="00164D0B" w:rsidP="00164D0B">
      <w:pPr>
        <w:rPr>
          <w:rFonts w:ascii="Times New Roman" w:hAnsi="Times New Roman"/>
        </w:rPr>
      </w:pPr>
      <w:r w:rsidRPr="00957249">
        <w:rPr>
          <w:rFonts w:ascii="Times New Roman" w:hAnsi="Times New Roman"/>
        </w:rPr>
        <w:t>PacifiCorp</w:t>
      </w:r>
    </w:p>
    <w:p w:rsidR="00164D0B" w:rsidRPr="00957249" w:rsidRDefault="00164D0B" w:rsidP="00164D0B">
      <w:pPr>
        <w:rPr>
          <w:rFonts w:ascii="Times New Roman" w:hAnsi="Times New Roman"/>
        </w:rPr>
      </w:pPr>
      <w:r w:rsidRPr="00957249">
        <w:rPr>
          <w:rFonts w:ascii="Times New Roman" w:hAnsi="Times New Roman"/>
        </w:rPr>
        <w:t>825 NE Multnomah Street</w:t>
      </w:r>
    </w:p>
    <w:p w:rsidR="00164D0B" w:rsidRPr="00957249" w:rsidRDefault="00164D0B" w:rsidP="00164D0B">
      <w:pPr>
        <w:rPr>
          <w:rFonts w:ascii="Times New Roman" w:hAnsi="Times New Roman"/>
        </w:rPr>
      </w:pPr>
      <w:r w:rsidRPr="00957249">
        <w:rPr>
          <w:rFonts w:ascii="Times New Roman" w:hAnsi="Times New Roman"/>
        </w:rPr>
        <w:t>Suite 2000</w:t>
      </w:r>
    </w:p>
    <w:p w:rsidR="00164D0B" w:rsidRPr="00957249" w:rsidRDefault="00164D0B" w:rsidP="00164D0B">
      <w:pPr>
        <w:rPr>
          <w:rFonts w:ascii="Times New Roman" w:hAnsi="Times New Roman"/>
        </w:rPr>
      </w:pPr>
      <w:r w:rsidRPr="00957249">
        <w:rPr>
          <w:rFonts w:ascii="Times New Roman" w:hAnsi="Times New Roman"/>
        </w:rPr>
        <w:t>Portland, OR 97232</w:t>
      </w:r>
    </w:p>
    <w:p w:rsidR="00164D0B" w:rsidRPr="00957249" w:rsidRDefault="00D845E6" w:rsidP="00164D0B">
      <w:pPr>
        <w:rPr>
          <w:rFonts w:ascii="Times New Roman" w:hAnsi="Times New Roman"/>
        </w:rPr>
      </w:pPr>
      <w:hyperlink r:id="rId8" w:history="1">
        <w:r w:rsidR="00164D0B" w:rsidRPr="00957249">
          <w:rPr>
            <w:rStyle w:val="Hyperlink"/>
            <w:rFonts w:ascii="Times New Roman" w:hAnsi="Times New Roman"/>
          </w:rPr>
          <w:t>Cathie.allen@pacificorp.com</w:t>
        </w:r>
      </w:hyperlink>
    </w:p>
    <w:p w:rsidR="00164D0B" w:rsidRPr="00957249" w:rsidRDefault="00164D0B" w:rsidP="00164D0B">
      <w:pPr>
        <w:rPr>
          <w:rFonts w:ascii="Times New Roman" w:hAnsi="Times New Roman"/>
        </w:rPr>
      </w:pPr>
    </w:p>
    <w:p w:rsidR="00164D0B" w:rsidRPr="00957249" w:rsidRDefault="00164D0B" w:rsidP="00164D0B">
      <w:pPr>
        <w:rPr>
          <w:rFonts w:ascii="Times New Roman" w:hAnsi="Times New Roman"/>
        </w:rPr>
      </w:pPr>
      <w:r w:rsidRPr="00957249">
        <w:rPr>
          <w:rFonts w:ascii="Times New Roman" w:hAnsi="Times New Roman"/>
        </w:rPr>
        <w:t>Katherine McDowell</w:t>
      </w:r>
    </w:p>
    <w:p w:rsidR="00164D0B" w:rsidRPr="00957249" w:rsidRDefault="00164D0B" w:rsidP="00164D0B">
      <w:pPr>
        <w:rPr>
          <w:rFonts w:ascii="Times New Roman" w:hAnsi="Times New Roman"/>
        </w:rPr>
      </w:pPr>
      <w:r w:rsidRPr="00957249">
        <w:rPr>
          <w:rFonts w:ascii="Times New Roman" w:hAnsi="Times New Roman"/>
        </w:rPr>
        <w:t>Pacific Power &amp; Light</w:t>
      </w:r>
    </w:p>
    <w:p w:rsidR="00164D0B" w:rsidRPr="00957249" w:rsidRDefault="00164D0B" w:rsidP="00164D0B">
      <w:pPr>
        <w:rPr>
          <w:rFonts w:ascii="Times New Roman" w:hAnsi="Times New Roman"/>
        </w:rPr>
      </w:pPr>
      <w:r w:rsidRPr="00957249">
        <w:rPr>
          <w:rFonts w:ascii="Times New Roman" w:hAnsi="Times New Roman"/>
        </w:rPr>
        <w:t>520 SW 6</w:t>
      </w:r>
      <w:r w:rsidRPr="00957249">
        <w:rPr>
          <w:rFonts w:ascii="Times New Roman" w:hAnsi="Times New Roman"/>
          <w:vertAlign w:val="superscript"/>
        </w:rPr>
        <w:t>th</w:t>
      </w:r>
      <w:r w:rsidRPr="00957249">
        <w:rPr>
          <w:rFonts w:ascii="Times New Roman" w:hAnsi="Times New Roman"/>
        </w:rPr>
        <w:t xml:space="preserve"> Avenue</w:t>
      </w:r>
    </w:p>
    <w:p w:rsidR="00164D0B" w:rsidRPr="00957249" w:rsidRDefault="00164D0B" w:rsidP="00164D0B">
      <w:pPr>
        <w:rPr>
          <w:rFonts w:ascii="Times New Roman" w:hAnsi="Times New Roman"/>
        </w:rPr>
      </w:pPr>
      <w:r w:rsidRPr="00957249">
        <w:rPr>
          <w:rFonts w:ascii="Times New Roman" w:hAnsi="Times New Roman"/>
        </w:rPr>
        <w:t>Suite 830</w:t>
      </w:r>
    </w:p>
    <w:p w:rsidR="00164D0B" w:rsidRPr="00957249" w:rsidRDefault="00164D0B" w:rsidP="00164D0B">
      <w:pPr>
        <w:rPr>
          <w:rFonts w:ascii="Times New Roman" w:hAnsi="Times New Roman"/>
        </w:rPr>
      </w:pPr>
      <w:r w:rsidRPr="00957249">
        <w:rPr>
          <w:rFonts w:ascii="Times New Roman" w:hAnsi="Times New Roman"/>
        </w:rPr>
        <w:t>Portland, OR 97204</w:t>
      </w:r>
    </w:p>
    <w:p w:rsidR="00164D0B" w:rsidRPr="00957249" w:rsidRDefault="00D845E6" w:rsidP="00164D0B">
      <w:pPr>
        <w:rPr>
          <w:rFonts w:ascii="Times New Roman" w:hAnsi="Times New Roman"/>
        </w:rPr>
      </w:pPr>
      <w:hyperlink r:id="rId9" w:history="1">
        <w:r w:rsidR="00164D0B" w:rsidRPr="00957249">
          <w:rPr>
            <w:rStyle w:val="Hyperlink"/>
            <w:rFonts w:ascii="Times New Roman" w:hAnsi="Times New Roman"/>
          </w:rPr>
          <w:t>Katherine@mcd-law.com</w:t>
        </w:r>
      </w:hyperlink>
    </w:p>
    <w:p w:rsidR="00164D0B" w:rsidRPr="00957249" w:rsidRDefault="00164D0B" w:rsidP="00164D0B">
      <w:pPr>
        <w:rPr>
          <w:rFonts w:ascii="Times New Roman" w:hAnsi="Times New Roman"/>
        </w:rPr>
      </w:pPr>
    </w:p>
    <w:p w:rsidR="00164D0B" w:rsidRPr="00957249" w:rsidRDefault="00164D0B" w:rsidP="00164D0B">
      <w:pPr>
        <w:rPr>
          <w:rFonts w:ascii="Times New Roman" w:hAnsi="Times New Roman"/>
        </w:rPr>
      </w:pPr>
      <w:r w:rsidRPr="00957249">
        <w:rPr>
          <w:rFonts w:ascii="Times New Roman" w:hAnsi="Times New Roman"/>
        </w:rPr>
        <w:t>Amy Jamison</w:t>
      </w:r>
    </w:p>
    <w:p w:rsidR="00164D0B" w:rsidRPr="00957249" w:rsidRDefault="00164D0B" w:rsidP="00164D0B">
      <w:pPr>
        <w:rPr>
          <w:rFonts w:ascii="Times New Roman" w:hAnsi="Times New Roman"/>
        </w:rPr>
      </w:pPr>
      <w:proofErr w:type="spellStart"/>
      <w:r w:rsidRPr="00957249">
        <w:rPr>
          <w:rFonts w:ascii="Times New Roman" w:hAnsi="Times New Roman"/>
        </w:rPr>
        <w:t>Pacificorp</w:t>
      </w:r>
      <w:proofErr w:type="spellEnd"/>
      <w:r w:rsidRPr="00957249">
        <w:rPr>
          <w:rFonts w:ascii="Times New Roman" w:hAnsi="Times New Roman"/>
        </w:rPr>
        <w:t xml:space="preserve"> d/b/a PPL</w:t>
      </w:r>
    </w:p>
    <w:p w:rsidR="00164D0B" w:rsidRPr="00957249" w:rsidRDefault="00164D0B" w:rsidP="00164D0B">
      <w:pPr>
        <w:rPr>
          <w:rFonts w:ascii="Times New Roman" w:hAnsi="Times New Roman"/>
        </w:rPr>
      </w:pPr>
      <w:r w:rsidRPr="00957249">
        <w:rPr>
          <w:rFonts w:ascii="Times New Roman" w:hAnsi="Times New Roman"/>
        </w:rPr>
        <w:t>825 NE Multnomah, Suite 1800</w:t>
      </w:r>
    </w:p>
    <w:p w:rsidR="00164D0B" w:rsidRPr="00957249" w:rsidRDefault="00164D0B" w:rsidP="00164D0B">
      <w:pPr>
        <w:rPr>
          <w:rFonts w:ascii="Times New Roman" w:hAnsi="Times New Roman"/>
        </w:rPr>
      </w:pPr>
      <w:r w:rsidRPr="00957249">
        <w:rPr>
          <w:rFonts w:ascii="Times New Roman" w:hAnsi="Times New Roman"/>
        </w:rPr>
        <w:t>Portland, OR 97232</w:t>
      </w:r>
    </w:p>
    <w:p w:rsidR="00164D0B" w:rsidRPr="00957249" w:rsidRDefault="00164D0B" w:rsidP="00164D0B">
      <w:pPr>
        <w:rPr>
          <w:rFonts w:ascii="Times New Roman" w:hAnsi="Times New Roman"/>
        </w:rPr>
      </w:pPr>
    </w:p>
    <w:p w:rsidR="00164D0B" w:rsidRPr="00957249" w:rsidRDefault="00164D0B" w:rsidP="00164D0B">
      <w:pPr>
        <w:rPr>
          <w:rFonts w:ascii="Times New Roman" w:hAnsi="Times New Roman"/>
        </w:rPr>
      </w:pPr>
      <w:r w:rsidRPr="00957249">
        <w:rPr>
          <w:rFonts w:ascii="Times New Roman" w:hAnsi="Times New Roman"/>
        </w:rPr>
        <w:t>Melinda Davison</w:t>
      </w:r>
    </w:p>
    <w:p w:rsidR="00164D0B" w:rsidRPr="00957249" w:rsidRDefault="00164D0B" w:rsidP="00164D0B">
      <w:pPr>
        <w:rPr>
          <w:rFonts w:ascii="Times New Roman" w:hAnsi="Times New Roman"/>
        </w:rPr>
      </w:pPr>
      <w:r w:rsidRPr="00957249">
        <w:rPr>
          <w:rFonts w:ascii="Times New Roman" w:hAnsi="Times New Roman"/>
        </w:rPr>
        <w:t>333 SW Taylor</w:t>
      </w:r>
    </w:p>
    <w:p w:rsidR="00164D0B" w:rsidRPr="00957249" w:rsidRDefault="00164D0B" w:rsidP="00164D0B">
      <w:pPr>
        <w:rPr>
          <w:rFonts w:ascii="Times New Roman" w:hAnsi="Times New Roman"/>
        </w:rPr>
      </w:pPr>
      <w:r w:rsidRPr="00957249">
        <w:rPr>
          <w:rFonts w:ascii="Times New Roman" w:hAnsi="Times New Roman"/>
        </w:rPr>
        <w:t>Suite 400</w:t>
      </w:r>
    </w:p>
    <w:p w:rsidR="00164D0B" w:rsidRPr="00957249" w:rsidRDefault="00164D0B" w:rsidP="00164D0B">
      <w:pPr>
        <w:rPr>
          <w:rFonts w:ascii="Times New Roman" w:hAnsi="Times New Roman"/>
        </w:rPr>
      </w:pPr>
      <w:r w:rsidRPr="00957249">
        <w:rPr>
          <w:rFonts w:ascii="Times New Roman" w:hAnsi="Times New Roman"/>
        </w:rPr>
        <w:t>Portland, OR 97204</w:t>
      </w:r>
    </w:p>
    <w:p w:rsidR="00164D0B" w:rsidRPr="00957249" w:rsidRDefault="00D845E6" w:rsidP="00164D0B">
      <w:pPr>
        <w:rPr>
          <w:rFonts w:ascii="Times New Roman" w:hAnsi="Times New Roman"/>
        </w:rPr>
      </w:pPr>
      <w:hyperlink r:id="rId10" w:history="1">
        <w:r w:rsidR="00164D0B" w:rsidRPr="00957249">
          <w:rPr>
            <w:rStyle w:val="Hyperlink"/>
            <w:rFonts w:ascii="Times New Roman" w:hAnsi="Times New Roman"/>
          </w:rPr>
          <w:t>mail@dvclaw.com</w:t>
        </w:r>
      </w:hyperlink>
    </w:p>
    <w:p w:rsidR="00164D0B" w:rsidRPr="00957249" w:rsidRDefault="00164D0B" w:rsidP="00164D0B">
      <w:pPr>
        <w:rPr>
          <w:rFonts w:ascii="Times New Roman" w:hAnsi="Times New Roman"/>
        </w:rPr>
      </w:pPr>
    </w:p>
    <w:p w:rsidR="00164D0B" w:rsidRPr="00957249" w:rsidRDefault="00164D0B" w:rsidP="00164D0B">
      <w:pPr>
        <w:rPr>
          <w:rFonts w:ascii="Times New Roman" w:hAnsi="Times New Roman"/>
        </w:rPr>
      </w:pPr>
      <w:r w:rsidRPr="00957249">
        <w:rPr>
          <w:rFonts w:ascii="Times New Roman" w:hAnsi="Times New Roman"/>
        </w:rPr>
        <w:t>Irion A. Sanger</w:t>
      </w:r>
    </w:p>
    <w:p w:rsidR="00164D0B" w:rsidRPr="00957249" w:rsidRDefault="00164D0B" w:rsidP="00164D0B">
      <w:pPr>
        <w:rPr>
          <w:rFonts w:ascii="Times New Roman" w:hAnsi="Times New Roman"/>
        </w:rPr>
      </w:pPr>
      <w:r w:rsidRPr="00957249">
        <w:rPr>
          <w:rFonts w:ascii="Times New Roman" w:hAnsi="Times New Roman"/>
        </w:rPr>
        <w:t>333 SW Taylor</w:t>
      </w:r>
    </w:p>
    <w:p w:rsidR="00164D0B" w:rsidRPr="00957249" w:rsidRDefault="00164D0B" w:rsidP="00164D0B">
      <w:pPr>
        <w:rPr>
          <w:rFonts w:ascii="Times New Roman" w:hAnsi="Times New Roman"/>
        </w:rPr>
      </w:pPr>
      <w:r w:rsidRPr="00957249">
        <w:rPr>
          <w:rFonts w:ascii="Times New Roman" w:hAnsi="Times New Roman"/>
        </w:rPr>
        <w:t>Suite 400</w:t>
      </w:r>
    </w:p>
    <w:p w:rsidR="00164D0B" w:rsidRPr="00957249" w:rsidRDefault="00164D0B" w:rsidP="00164D0B">
      <w:pPr>
        <w:rPr>
          <w:rFonts w:ascii="Times New Roman" w:hAnsi="Times New Roman"/>
        </w:rPr>
      </w:pPr>
      <w:r w:rsidRPr="00957249">
        <w:rPr>
          <w:rFonts w:ascii="Times New Roman" w:hAnsi="Times New Roman"/>
        </w:rPr>
        <w:t>Portland, OR 97204</w:t>
      </w:r>
    </w:p>
    <w:p w:rsidR="00164D0B" w:rsidRPr="00957249" w:rsidRDefault="00D845E6" w:rsidP="00164D0B">
      <w:pPr>
        <w:rPr>
          <w:rFonts w:ascii="Times New Roman" w:hAnsi="Times New Roman"/>
        </w:rPr>
      </w:pPr>
      <w:hyperlink r:id="rId11" w:history="1">
        <w:r w:rsidR="00164D0B" w:rsidRPr="00957249">
          <w:rPr>
            <w:rStyle w:val="Hyperlink"/>
            <w:rFonts w:ascii="Times New Roman" w:hAnsi="Times New Roman"/>
          </w:rPr>
          <w:t>mail@dvclaw.com</w:t>
        </w:r>
      </w:hyperlink>
    </w:p>
    <w:p w:rsidR="00164D0B" w:rsidRPr="00957249" w:rsidRDefault="00164D0B" w:rsidP="00164D0B">
      <w:pPr>
        <w:rPr>
          <w:rFonts w:ascii="Times New Roman" w:hAnsi="Times New Roman"/>
        </w:rPr>
      </w:pPr>
    </w:p>
    <w:p w:rsidR="00164D0B" w:rsidRPr="00957249" w:rsidRDefault="00164D0B" w:rsidP="00164D0B">
      <w:pPr>
        <w:rPr>
          <w:rFonts w:ascii="Times New Roman" w:hAnsi="Times New Roman"/>
        </w:rPr>
      </w:pPr>
      <w:r w:rsidRPr="00957249">
        <w:rPr>
          <w:rFonts w:ascii="Times New Roman" w:hAnsi="Times New Roman"/>
        </w:rPr>
        <w:t>Don Trotter</w:t>
      </w:r>
    </w:p>
    <w:p w:rsidR="00164D0B" w:rsidRPr="00957249" w:rsidRDefault="00164D0B" w:rsidP="00164D0B">
      <w:pPr>
        <w:rPr>
          <w:rFonts w:ascii="Times New Roman" w:hAnsi="Times New Roman"/>
        </w:rPr>
      </w:pPr>
      <w:r w:rsidRPr="00957249">
        <w:rPr>
          <w:rFonts w:ascii="Times New Roman" w:hAnsi="Times New Roman"/>
        </w:rPr>
        <w:t>WUTC</w:t>
      </w:r>
    </w:p>
    <w:p w:rsidR="00164D0B" w:rsidRPr="00957249" w:rsidRDefault="00164D0B" w:rsidP="00164D0B">
      <w:pPr>
        <w:rPr>
          <w:rFonts w:ascii="Times New Roman" w:hAnsi="Times New Roman"/>
        </w:rPr>
      </w:pPr>
      <w:r w:rsidRPr="00957249">
        <w:rPr>
          <w:rFonts w:ascii="Times New Roman" w:hAnsi="Times New Roman"/>
        </w:rPr>
        <w:t>Attorney General Section</w:t>
      </w:r>
    </w:p>
    <w:p w:rsidR="00164D0B" w:rsidRPr="00957249" w:rsidRDefault="00164D0B" w:rsidP="00164D0B">
      <w:pPr>
        <w:rPr>
          <w:rFonts w:ascii="Times New Roman" w:hAnsi="Times New Roman"/>
        </w:rPr>
      </w:pPr>
      <w:r w:rsidRPr="00957249">
        <w:rPr>
          <w:rFonts w:ascii="Times New Roman" w:hAnsi="Times New Roman"/>
        </w:rPr>
        <w:lastRenderedPageBreak/>
        <w:t>1400 S. Evergreen Park Dr. SW</w:t>
      </w:r>
    </w:p>
    <w:p w:rsidR="00164D0B" w:rsidRPr="00957249" w:rsidRDefault="00164D0B" w:rsidP="00164D0B">
      <w:pPr>
        <w:rPr>
          <w:rFonts w:ascii="Times New Roman" w:hAnsi="Times New Roman"/>
        </w:rPr>
      </w:pPr>
      <w:r w:rsidRPr="00957249">
        <w:rPr>
          <w:rFonts w:ascii="Times New Roman" w:hAnsi="Times New Roman"/>
        </w:rPr>
        <w:t>Olympia, WA 98504-7250</w:t>
      </w:r>
    </w:p>
    <w:p w:rsidR="00164D0B" w:rsidRPr="00957249" w:rsidRDefault="00D845E6" w:rsidP="00164D0B">
      <w:pPr>
        <w:rPr>
          <w:rFonts w:ascii="Times New Roman" w:hAnsi="Times New Roman"/>
        </w:rPr>
      </w:pPr>
      <w:hyperlink r:id="rId12" w:history="1">
        <w:r w:rsidR="00164D0B" w:rsidRPr="00957249">
          <w:rPr>
            <w:rStyle w:val="Hyperlink"/>
            <w:rFonts w:ascii="Times New Roman" w:hAnsi="Times New Roman"/>
          </w:rPr>
          <w:t>dtrotter@utc.wa.gov</w:t>
        </w:r>
      </w:hyperlink>
    </w:p>
    <w:p w:rsidR="00164D0B" w:rsidRPr="00957249" w:rsidRDefault="00164D0B" w:rsidP="00164D0B">
      <w:pPr>
        <w:rPr>
          <w:rFonts w:ascii="Times New Roman" w:hAnsi="Times New Roman"/>
        </w:rPr>
      </w:pPr>
    </w:p>
    <w:p w:rsidR="00164D0B" w:rsidRPr="00957249" w:rsidRDefault="00164D0B" w:rsidP="00164D0B">
      <w:pPr>
        <w:rPr>
          <w:rFonts w:ascii="Times New Roman" w:hAnsi="Times New Roman"/>
        </w:rPr>
      </w:pPr>
      <w:r w:rsidRPr="00957249">
        <w:rPr>
          <w:rFonts w:ascii="Times New Roman" w:hAnsi="Times New Roman"/>
        </w:rPr>
        <w:t xml:space="preserve">Sarah </w:t>
      </w:r>
      <w:proofErr w:type="spellStart"/>
      <w:r w:rsidRPr="00957249">
        <w:rPr>
          <w:rFonts w:ascii="Times New Roman" w:hAnsi="Times New Roman"/>
        </w:rPr>
        <w:t>Shifley</w:t>
      </w:r>
      <w:proofErr w:type="spellEnd"/>
    </w:p>
    <w:p w:rsidR="00164D0B" w:rsidRPr="00957249" w:rsidRDefault="00164D0B" w:rsidP="00164D0B">
      <w:pPr>
        <w:rPr>
          <w:rFonts w:ascii="Times New Roman" w:hAnsi="Times New Roman"/>
        </w:rPr>
      </w:pPr>
      <w:r w:rsidRPr="00957249">
        <w:rPr>
          <w:rFonts w:ascii="Times New Roman" w:hAnsi="Times New Roman"/>
        </w:rPr>
        <w:t>Public Counsel</w:t>
      </w:r>
    </w:p>
    <w:p w:rsidR="00164D0B" w:rsidRPr="00957249" w:rsidRDefault="00164D0B" w:rsidP="00164D0B">
      <w:pPr>
        <w:rPr>
          <w:rFonts w:ascii="Times New Roman" w:hAnsi="Times New Roman"/>
        </w:rPr>
      </w:pPr>
      <w:r w:rsidRPr="00957249">
        <w:rPr>
          <w:rFonts w:ascii="Times New Roman" w:hAnsi="Times New Roman"/>
        </w:rPr>
        <w:t>800 5</w:t>
      </w:r>
      <w:r w:rsidRPr="00957249">
        <w:rPr>
          <w:rFonts w:ascii="Times New Roman" w:hAnsi="Times New Roman"/>
          <w:vertAlign w:val="superscript"/>
        </w:rPr>
        <w:t>th</w:t>
      </w:r>
      <w:r w:rsidRPr="00957249">
        <w:rPr>
          <w:rFonts w:ascii="Times New Roman" w:hAnsi="Times New Roman"/>
        </w:rPr>
        <w:t xml:space="preserve"> Ave</w:t>
      </w:r>
    </w:p>
    <w:p w:rsidR="00164D0B" w:rsidRPr="00957249" w:rsidRDefault="00164D0B" w:rsidP="00164D0B">
      <w:pPr>
        <w:rPr>
          <w:rFonts w:ascii="Times New Roman" w:hAnsi="Times New Roman"/>
        </w:rPr>
      </w:pPr>
      <w:r w:rsidRPr="00957249">
        <w:rPr>
          <w:rFonts w:ascii="Times New Roman" w:hAnsi="Times New Roman"/>
        </w:rPr>
        <w:t>Suite 2000</w:t>
      </w:r>
    </w:p>
    <w:p w:rsidR="00164D0B" w:rsidRPr="00957249" w:rsidRDefault="00164D0B" w:rsidP="00164D0B">
      <w:pPr>
        <w:rPr>
          <w:rFonts w:ascii="Times New Roman" w:hAnsi="Times New Roman"/>
        </w:rPr>
      </w:pPr>
      <w:r w:rsidRPr="00957249">
        <w:rPr>
          <w:rFonts w:ascii="Times New Roman" w:hAnsi="Times New Roman"/>
        </w:rPr>
        <w:t>Seattle, WA 98104-3188</w:t>
      </w:r>
    </w:p>
    <w:p w:rsidR="00164D0B" w:rsidRPr="00957249" w:rsidRDefault="00D845E6" w:rsidP="00164D0B">
      <w:pPr>
        <w:rPr>
          <w:rFonts w:ascii="Times New Roman" w:hAnsi="Times New Roman"/>
        </w:rPr>
      </w:pPr>
      <w:hyperlink r:id="rId13" w:history="1">
        <w:r w:rsidR="00164D0B" w:rsidRPr="00957249">
          <w:rPr>
            <w:rStyle w:val="Hyperlink"/>
            <w:rFonts w:ascii="Times New Roman" w:hAnsi="Times New Roman"/>
          </w:rPr>
          <w:t>Sarah.Shifley@atg.wa.gov</w:t>
        </w:r>
      </w:hyperlink>
    </w:p>
    <w:p w:rsidR="00164D0B" w:rsidRPr="00957249" w:rsidRDefault="00164D0B" w:rsidP="00164D0B">
      <w:pPr>
        <w:rPr>
          <w:rFonts w:ascii="Times New Roman" w:hAnsi="Times New Roman"/>
        </w:rPr>
      </w:pPr>
    </w:p>
    <w:p w:rsidR="00164D0B" w:rsidRPr="00957249" w:rsidRDefault="00164D0B" w:rsidP="00164D0B">
      <w:pPr>
        <w:rPr>
          <w:rFonts w:ascii="Times New Roman" w:hAnsi="Times New Roman"/>
          <w:szCs w:val="20"/>
        </w:rPr>
      </w:pPr>
      <w:r w:rsidRPr="00957249">
        <w:rPr>
          <w:rFonts w:ascii="Times New Roman" w:hAnsi="Times New Roman"/>
          <w:szCs w:val="20"/>
        </w:rPr>
        <w:t>Arthur A. Butler</w:t>
      </w:r>
    </w:p>
    <w:p w:rsidR="00164D0B" w:rsidRPr="00957249" w:rsidRDefault="00164D0B" w:rsidP="00164D0B">
      <w:pPr>
        <w:rPr>
          <w:rFonts w:ascii="Times New Roman" w:hAnsi="Times New Roman"/>
          <w:szCs w:val="20"/>
        </w:rPr>
      </w:pPr>
      <w:proofErr w:type="spellStart"/>
      <w:r w:rsidRPr="00957249">
        <w:rPr>
          <w:rFonts w:ascii="Times New Roman" w:hAnsi="Times New Roman"/>
          <w:szCs w:val="20"/>
        </w:rPr>
        <w:t>Ater</w:t>
      </w:r>
      <w:proofErr w:type="spellEnd"/>
      <w:r w:rsidRPr="00957249">
        <w:rPr>
          <w:rFonts w:ascii="Times New Roman" w:hAnsi="Times New Roman"/>
          <w:szCs w:val="20"/>
        </w:rPr>
        <w:t xml:space="preserve"> Wynne LLP</w:t>
      </w:r>
    </w:p>
    <w:p w:rsidR="00164D0B" w:rsidRPr="00957249" w:rsidRDefault="00164D0B" w:rsidP="00164D0B">
      <w:pPr>
        <w:rPr>
          <w:rFonts w:ascii="Times New Roman" w:hAnsi="Times New Roman"/>
          <w:szCs w:val="20"/>
        </w:rPr>
      </w:pPr>
      <w:r w:rsidRPr="00957249">
        <w:rPr>
          <w:rFonts w:ascii="Times New Roman" w:hAnsi="Times New Roman"/>
          <w:szCs w:val="20"/>
        </w:rPr>
        <w:t>601 Union Street, Suite 1501</w:t>
      </w:r>
    </w:p>
    <w:p w:rsidR="00164D0B" w:rsidRPr="00957249" w:rsidRDefault="00164D0B" w:rsidP="00164D0B">
      <w:pPr>
        <w:rPr>
          <w:rFonts w:ascii="Times New Roman" w:hAnsi="Times New Roman"/>
          <w:szCs w:val="20"/>
        </w:rPr>
      </w:pPr>
      <w:r w:rsidRPr="00957249">
        <w:rPr>
          <w:rFonts w:ascii="Times New Roman" w:hAnsi="Times New Roman"/>
          <w:szCs w:val="20"/>
        </w:rPr>
        <w:t>Seattle, WA 98101-3981</w:t>
      </w:r>
    </w:p>
    <w:p w:rsidR="00164D0B" w:rsidRPr="00957249" w:rsidRDefault="00D845E6" w:rsidP="00164D0B">
      <w:pPr>
        <w:rPr>
          <w:rFonts w:ascii="Times New Roman" w:hAnsi="Times New Roman"/>
        </w:rPr>
      </w:pPr>
      <w:hyperlink r:id="rId14" w:history="1">
        <w:r w:rsidR="00164D0B" w:rsidRPr="00957249">
          <w:rPr>
            <w:rStyle w:val="Hyperlink"/>
            <w:rFonts w:ascii="Times New Roman" w:hAnsi="Times New Roman"/>
            <w:b/>
            <w:bCs/>
            <w:szCs w:val="20"/>
          </w:rPr>
          <w:t>aab@aterwynne.com</w:t>
        </w:r>
      </w:hyperlink>
    </w:p>
    <w:p w:rsidR="00164D0B" w:rsidRPr="00957249" w:rsidRDefault="00164D0B" w:rsidP="00164D0B">
      <w:pPr>
        <w:rPr>
          <w:rFonts w:ascii="Times New Roman" w:hAnsi="Times New Roman"/>
        </w:rPr>
      </w:pPr>
    </w:p>
    <w:p w:rsidR="00164D0B" w:rsidRPr="00957249" w:rsidRDefault="00164D0B" w:rsidP="00164D0B">
      <w:pPr>
        <w:rPr>
          <w:rFonts w:ascii="Times New Roman" w:hAnsi="Times New Roman"/>
        </w:rPr>
      </w:pP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p>
    <w:p w:rsidR="00164D0B" w:rsidRPr="00957249" w:rsidRDefault="00164D0B" w:rsidP="00164D0B">
      <w:pPr>
        <w:rPr>
          <w:rFonts w:ascii="Times New Roman" w:hAnsi="Times New Roman"/>
        </w:rPr>
      </w:pP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t>______________________________</w:t>
      </w:r>
    </w:p>
    <w:p w:rsidR="00164D0B" w:rsidRPr="00957249" w:rsidRDefault="00164D0B" w:rsidP="00164D0B">
      <w:pPr>
        <w:rPr>
          <w:rFonts w:ascii="Times New Roman" w:hAnsi="Times New Roman"/>
        </w:rPr>
      </w:pP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t>Brad M. Purdy</w:t>
      </w:r>
    </w:p>
    <w:p w:rsidR="00164D0B" w:rsidRPr="00957249" w:rsidRDefault="00164D0B" w:rsidP="00164D0B">
      <w:pPr>
        <w:rPr>
          <w:rFonts w:ascii="Times New Roman" w:hAnsi="Times New Roman"/>
        </w:rPr>
      </w:pP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r>
      <w:r w:rsidRPr="00957249">
        <w:rPr>
          <w:rFonts w:ascii="Times New Roman" w:hAnsi="Times New Roman"/>
        </w:rPr>
        <w:tab/>
        <w:t>Attorney for the Energy Project</w:t>
      </w:r>
    </w:p>
    <w:p w:rsidR="00164D0B" w:rsidRPr="00957249" w:rsidRDefault="00164D0B" w:rsidP="00164D0B">
      <w:pPr>
        <w:rPr>
          <w:rFonts w:ascii="Times New Roman" w:hAnsi="Times New Roman"/>
        </w:rPr>
      </w:pPr>
    </w:p>
    <w:p w:rsidR="00164D0B" w:rsidRPr="00957249" w:rsidRDefault="00164D0B" w:rsidP="00164D0B">
      <w:pPr>
        <w:rPr>
          <w:rFonts w:ascii="Times New Roman" w:hAnsi="Times New Roman"/>
        </w:rPr>
      </w:pPr>
    </w:p>
    <w:p w:rsidR="00164D0B" w:rsidRPr="00957249" w:rsidRDefault="00164D0B" w:rsidP="00164D0B">
      <w:pPr>
        <w:rPr>
          <w:rFonts w:ascii="Times New Roman" w:hAnsi="Times New Roman" w:cs="TimesNewRomanPS-BoldMT"/>
        </w:rPr>
      </w:pPr>
    </w:p>
    <w:p w:rsidR="00910C3A" w:rsidRPr="00957249" w:rsidRDefault="00910C3A">
      <w:pPr>
        <w:rPr>
          <w:rFonts w:ascii="Times New Roman" w:hAnsi="Times New Roman"/>
        </w:rPr>
      </w:pPr>
    </w:p>
    <w:sectPr w:rsidR="00910C3A" w:rsidRPr="00957249" w:rsidSect="00974C62">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3FC" w:rsidRDefault="00AD63FC" w:rsidP="00164D0B">
      <w:r>
        <w:separator/>
      </w:r>
    </w:p>
  </w:endnote>
  <w:endnote w:type="continuationSeparator" w:id="0">
    <w:p w:rsidR="00AD63FC" w:rsidRDefault="00AD63FC" w:rsidP="00164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7731121"/>
      <w:docPartObj>
        <w:docPartGallery w:val="Page Numbers (Bottom of Page)"/>
        <w:docPartUnique/>
      </w:docPartObj>
    </w:sdtPr>
    <w:sdtContent>
      <w:p w:rsidR="00453A27" w:rsidRPr="00942958" w:rsidRDefault="00453A27">
        <w:pPr>
          <w:pStyle w:val="Footer"/>
          <w:rPr>
            <w:rFonts w:ascii="Times New Roman" w:hAnsi="Times New Roman"/>
          </w:rPr>
        </w:pPr>
        <w:r w:rsidRPr="00942958">
          <w:rPr>
            <w:rFonts w:ascii="Times New Roman" w:hAnsi="Times New Roman"/>
          </w:rPr>
          <w:t>ENERGY PROJECT POST-HEARING REPLY BRIEF</w:t>
        </w:r>
        <w:r w:rsidRPr="00942958">
          <w:rPr>
            <w:rFonts w:ascii="Times New Roman" w:hAnsi="Times New Roman"/>
          </w:rPr>
          <w:tab/>
        </w:r>
        <w:r w:rsidRPr="00942958">
          <w:rPr>
            <w:rFonts w:ascii="Times New Roman" w:hAnsi="Times New Roman"/>
          </w:rPr>
          <w:tab/>
        </w:r>
        <w:r w:rsidR="00D845E6" w:rsidRPr="00942958">
          <w:rPr>
            <w:rFonts w:ascii="Times New Roman" w:hAnsi="Times New Roman"/>
          </w:rPr>
          <w:fldChar w:fldCharType="begin"/>
        </w:r>
        <w:r w:rsidRPr="00942958">
          <w:rPr>
            <w:rFonts w:ascii="Times New Roman" w:hAnsi="Times New Roman"/>
          </w:rPr>
          <w:instrText xml:space="preserve"> PAGE   \* MERGEFORMAT </w:instrText>
        </w:r>
        <w:r w:rsidR="00D845E6" w:rsidRPr="00942958">
          <w:rPr>
            <w:rFonts w:ascii="Times New Roman" w:hAnsi="Times New Roman"/>
          </w:rPr>
          <w:fldChar w:fldCharType="separate"/>
        </w:r>
        <w:r w:rsidR="00F669B9">
          <w:rPr>
            <w:rFonts w:ascii="Times New Roman" w:hAnsi="Times New Roman"/>
            <w:noProof/>
          </w:rPr>
          <w:t>20</w:t>
        </w:r>
        <w:r w:rsidR="00D845E6" w:rsidRPr="00942958">
          <w:rPr>
            <w:rFonts w:ascii="Times New Roman" w:hAnsi="Times New Roman"/>
          </w:rPr>
          <w:fldChar w:fldCharType="end"/>
        </w:r>
      </w:p>
    </w:sdtContent>
  </w:sdt>
  <w:p w:rsidR="00453A27" w:rsidRDefault="00453A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3FC" w:rsidRDefault="00AD63FC" w:rsidP="00164D0B">
      <w:r>
        <w:separator/>
      </w:r>
    </w:p>
  </w:footnote>
  <w:footnote w:type="continuationSeparator" w:id="0">
    <w:p w:rsidR="00AD63FC" w:rsidRDefault="00AD63FC" w:rsidP="00164D0B">
      <w:r>
        <w:continuationSeparator/>
      </w:r>
    </w:p>
  </w:footnote>
  <w:footnote w:id="1">
    <w:p w:rsidR="00453A27" w:rsidRDefault="00453A27">
      <w:pPr>
        <w:pStyle w:val="FootnoteText"/>
      </w:pPr>
      <w:r>
        <w:rPr>
          <w:rStyle w:val="FootnoteReference"/>
        </w:rPr>
        <w:footnoteRef/>
      </w:r>
      <w:r>
        <w:t xml:space="preserve"> Tr. p. 522: </w:t>
      </w:r>
      <w:proofErr w:type="spellStart"/>
      <w:r>
        <w:t>lns</w:t>
      </w:r>
      <w:proofErr w:type="spellEnd"/>
      <w:r>
        <w:t xml:space="preserve">. 24-25 – p. 523: </w:t>
      </w:r>
      <w:proofErr w:type="spellStart"/>
      <w:r>
        <w:t>lns</w:t>
      </w:r>
      <w:proofErr w:type="spellEnd"/>
      <w:r>
        <w:t xml:space="preserve">. </w:t>
      </w:r>
      <w:proofErr w:type="gramStart"/>
      <w:r>
        <w:t xml:space="preserve">1-3, </w:t>
      </w:r>
      <w:proofErr w:type="spellStart"/>
      <w:r>
        <w:t>Eberle</w:t>
      </w:r>
      <w:proofErr w:type="spellEnd"/>
      <w:r>
        <w:t xml:space="preserve"> Cross.</w:t>
      </w:r>
      <w:proofErr w:type="gramEnd"/>
      <w:r>
        <w:t xml:space="preserve"> (Ms. </w:t>
      </w:r>
      <w:proofErr w:type="spellStart"/>
      <w:r>
        <w:t>Eberle’s</w:t>
      </w:r>
      <w:proofErr w:type="spellEnd"/>
      <w:r>
        <w:t xml:space="preserve"> purported informal discussions with agency representatives during the Toppenish, WA meeting regarding their positions on whether to serve additional LIBA customers).</w:t>
      </w:r>
    </w:p>
  </w:footnote>
  <w:footnote w:id="2">
    <w:p w:rsidR="00453A27" w:rsidRPr="00081E9C" w:rsidRDefault="00453A27">
      <w:pPr>
        <w:pStyle w:val="FootnoteText"/>
      </w:pPr>
      <w:r>
        <w:rPr>
          <w:rStyle w:val="FootnoteReference"/>
        </w:rPr>
        <w:footnoteRef/>
      </w:r>
      <w:r>
        <w:t xml:space="preserve"> </w:t>
      </w:r>
      <w:r>
        <w:rPr>
          <w:i/>
        </w:rPr>
        <w:t>See,</w:t>
      </w:r>
      <w:r>
        <w:t xml:space="preserve"> Section </w:t>
      </w:r>
      <w:proofErr w:type="gramStart"/>
      <w:r>
        <w:t>II(</w:t>
      </w:r>
      <w:proofErr w:type="gramEnd"/>
      <w:r>
        <w:t>D) of this brief.</w:t>
      </w:r>
    </w:p>
  </w:footnote>
  <w:footnote w:id="3">
    <w:p w:rsidR="00453A27" w:rsidRDefault="00453A27" w:rsidP="00E8307C">
      <w:pPr>
        <w:pStyle w:val="FootnoteText"/>
      </w:pPr>
      <w:r>
        <w:rPr>
          <w:rStyle w:val="FootnoteReference"/>
        </w:rPr>
        <w:footnoteRef/>
      </w:r>
      <w:r>
        <w:t xml:space="preserve"> Staff Br. P. 57.</w:t>
      </w:r>
    </w:p>
  </w:footnote>
  <w:footnote w:id="4">
    <w:p w:rsidR="00453A27" w:rsidRDefault="00453A27">
      <w:pPr>
        <w:pStyle w:val="FootnoteText"/>
      </w:pPr>
      <w:r>
        <w:rPr>
          <w:rStyle w:val="FootnoteReference"/>
        </w:rPr>
        <w:footnoteRef/>
      </w:r>
      <w:r>
        <w:t xml:space="preserve"> </w:t>
      </w:r>
      <w:proofErr w:type="spellStart"/>
      <w:r>
        <w:t>Eberdt</w:t>
      </w:r>
      <w:proofErr w:type="spellEnd"/>
      <w:r>
        <w:t xml:space="preserve">, Exhibit No. CME-1T, p. 4: </w:t>
      </w:r>
      <w:proofErr w:type="spellStart"/>
      <w:r>
        <w:t>lns</w:t>
      </w:r>
      <w:proofErr w:type="spellEnd"/>
      <w:r>
        <w:t xml:space="preserve"> 4-9.</w:t>
      </w:r>
    </w:p>
  </w:footnote>
  <w:footnote w:id="5">
    <w:p w:rsidR="00453A27" w:rsidRDefault="00453A27">
      <w:pPr>
        <w:pStyle w:val="FootnoteText"/>
      </w:pPr>
      <w:r>
        <w:rPr>
          <w:rStyle w:val="FootnoteReference"/>
        </w:rPr>
        <w:footnoteRef/>
      </w:r>
      <w:r>
        <w:t xml:space="preserve"> Staff Br. </w:t>
      </w:r>
      <w:proofErr w:type="gramStart"/>
      <w:r>
        <w:t>p</w:t>
      </w:r>
      <w:proofErr w:type="gramEnd"/>
      <w:r>
        <w:t>. 57.</w:t>
      </w:r>
    </w:p>
  </w:footnote>
  <w:footnote w:id="6">
    <w:p w:rsidR="002A5721" w:rsidRDefault="002A5721">
      <w:pPr>
        <w:pStyle w:val="FootnoteText"/>
      </w:pPr>
      <w:r>
        <w:rPr>
          <w:rStyle w:val="FootnoteReference"/>
        </w:rPr>
        <w:footnoteRef/>
      </w:r>
      <w:r>
        <w:t xml:space="preserve"> Tr. p. 777: </w:t>
      </w:r>
      <w:proofErr w:type="spellStart"/>
      <w:r>
        <w:t>ln</w:t>
      </w:r>
      <w:proofErr w:type="spellEnd"/>
      <w:r>
        <w:t xml:space="preserve">. </w:t>
      </w:r>
      <w:proofErr w:type="gramStart"/>
      <w:r>
        <w:t xml:space="preserve">7, </w:t>
      </w:r>
      <w:proofErr w:type="spellStart"/>
      <w:r>
        <w:t>Schooley</w:t>
      </w:r>
      <w:proofErr w:type="spellEnd"/>
      <w:r>
        <w:t xml:space="preserve"> Cross.</w:t>
      </w:r>
      <w:proofErr w:type="gramEnd"/>
    </w:p>
  </w:footnote>
  <w:footnote w:id="7">
    <w:p w:rsidR="00453A27" w:rsidRDefault="00453A27">
      <w:pPr>
        <w:pStyle w:val="FootnoteText"/>
      </w:pPr>
      <w:r>
        <w:rPr>
          <w:rStyle w:val="FootnoteReference"/>
        </w:rPr>
        <w:footnoteRef/>
      </w:r>
      <w:r>
        <w:t xml:space="preserve"> Staff br. p. 57, par. 230.</w:t>
      </w:r>
    </w:p>
  </w:footnote>
  <w:footnote w:id="8">
    <w:p w:rsidR="00453A27" w:rsidRDefault="00453A27" w:rsidP="006205BD">
      <w:pPr>
        <w:pStyle w:val="FootnoteText"/>
      </w:pPr>
      <w:r>
        <w:rPr>
          <w:rStyle w:val="FootnoteReference"/>
        </w:rPr>
        <w:footnoteRef/>
      </w:r>
      <w:r>
        <w:t xml:space="preserve"> Staff Br. P. 57.</w:t>
      </w:r>
    </w:p>
  </w:footnote>
  <w:footnote w:id="9">
    <w:p w:rsidR="0060488F" w:rsidRDefault="0060488F">
      <w:pPr>
        <w:pStyle w:val="FootnoteText"/>
      </w:pPr>
      <w:r>
        <w:rPr>
          <w:rStyle w:val="FootnoteReference"/>
        </w:rPr>
        <w:footnoteRef/>
      </w:r>
      <w:r>
        <w:t xml:space="preserve"> Staff Br. </w:t>
      </w:r>
      <w:proofErr w:type="gramStart"/>
      <w:r>
        <w:t>p.57</w:t>
      </w:r>
      <w:proofErr w:type="gramEnd"/>
      <w:r>
        <w:t>.</w:t>
      </w:r>
    </w:p>
  </w:footnote>
  <w:footnote w:id="10">
    <w:p w:rsidR="0060488F" w:rsidRDefault="0060488F">
      <w:pPr>
        <w:pStyle w:val="FootnoteText"/>
      </w:pPr>
      <w:r>
        <w:rPr>
          <w:rStyle w:val="FootnoteReference"/>
        </w:rPr>
        <w:footnoteRef/>
      </w:r>
      <w:r>
        <w:t xml:space="preserve"> </w:t>
      </w:r>
      <w:proofErr w:type="gramStart"/>
      <w:r>
        <w:t>Staff.</w:t>
      </w:r>
      <w:proofErr w:type="gramEnd"/>
      <w:r>
        <w:t xml:space="preserve"> Br. </w:t>
      </w:r>
      <w:proofErr w:type="gramStart"/>
      <w:r>
        <w:t>p</w:t>
      </w:r>
      <w:proofErr w:type="gramEnd"/>
      <w:r>
        <w:t>. 58.</w:t>
      </w:r>
    </w:p>
  </w:footnote>
  <w:footnote w:id="11">
    <w:p w:rsidR="00453A27" w:rsidRDefault="00453A27">
      <w:pPr>
        <w:pStyle w:val="FootnoteText"/>
      </w:pPr>
      <w:r>
        <w:rPr>
          <w:rStyle w:val="FootnoteReference"/>
        </w:rPr>
        <w:footnoteRef/>
      </w:r>
      <w:r>
        <w:t xml:space="preserve"> Staff Br. </w:t>
      </w:r>
      <w:proofErr w:type="gramStart"/>
      <w:r>
        <w:t>p</w:t>
      </w:r>
      <w:proofErr w:type="gramEnd"/>
      <w:r>
        <w:t>. 56, par. 227.</w:t>
      </w:r>
    </w:p>
  </w:footnote>
  <w:footnote w:id="12">
    <w:p w:rsidR="00453A27" w:rsidRDefault="00453A27">
      <w:pPr>
        <w:pStyle w:val="FootnoteText"/>
      </w:pPr>
      <w:r>
        <w:rPr>
          <w:rStyle w:val="FootnoteReference"/>
        </w:rPr>
        <w:footnoteRef/>
      </w:r>
      <w:r>
        <w:t xml:space="preserve"> Tr. p. 527: </w:t>
      </w:r>
      <w:proofErr w:type="spellStart"/>
      <w:r>
        <w:t>lns</w:t>
      </w:r>
      <w:proofErr w:type="spellEnd"/>
      <w:r>
        <w:t>. 9-15.</w:t>
      </w:r>
    </w:p>
  </w:footnote>
  <w:footnote w:id="13">
    <w:p w:rsidR="00453A27" w:rsidRDefault="00453A27" w:rsidP="00BD32E2">
      <w:pPr>
        <w:pStyle w:val="FootnoteText"/>
      </w:pPr>
      <w:r>
        <w:rPr>
          <w:rStyle w:val="FootnoteReference"/>
        </w:rPr>
        <w:footnoteRef/>
      </w:r>
      <w:r>
        <w:t xml:space="preserve"> Tr. p. 525: </w:t>
      </w:r>
      <w:proofErr w:type="spellStart"/>
      <w:r>
        <w:t>lns</w:t>
      </w:r>
      <w:proofErr w:type="spellEnd"/>
      <w:r>
        <w:t xml:space="preserve"> 22-25 – p. 526: </w:t>
      </w:r>
      <w:proofErr w:type="spellStart"/>
      <w:r>
        <w:t>lns</w:t>
      </w:r>
      <w:proofErr w:type="spellEnd"/>
      <w:r>
        <w:t xml:space="preserve">. </w:t>
      </w:r>
      <w:proofErr w:type="gramStart"/>
      <w:r>
        <w:t xml:space="preserve">1-10, </w:t>
      </w:r>
      <w:proofErr w:type="spellStart"/>
      <w:r>
        <w:t>Eberle</w:t>
      </w:r>
      <w:proofErr w:type="spellEnd"/>
      <w:r>
        <w:t xml:space="preserve"> Cross.</w:t>
      </w:r>
      <w:proofErr w:type="gramEnd"/>
    </w:p>
  </w:footnote>
  <w:footnote w:id="14">
    <w:p w:rsidR="00453A27" w:rsidRDefault="00453A27">
      <w:pPr>
        <w:pStyle w:val="FootnoteText"/>
      </w:pPr>
      <w:r>
        <w:rPr>
          <w:rStyle w:val="FootnoteReference"/>
        </w:rPr>
        <w:footnoteRef/>
      </w:r>
      <w:r>
        <w:t xml:space="preserve"> Tr. p. 528: </w:t>
      </w:r>
      <w:proofErr w:type="spellStart"/>
      <w:r>
        <w:t>lns</w:t>
      </w:r>
      <w:proofErr w:type="spellEnd"/>
      <w:r>
        <w:t xml:space="preserve">. </w:t>
      </w:r>
      <w:proofErr w:type="gramStart"/>
      <w:r>
        <w:t xml:space="preserve">23-25, </w:t>
      </w:r>
      <w:proofErr w:type="spellStart"/>
      <w:r>
        <w:t>Eberle</w:t>
      </w:r>
      <w:proofErr w:type="spellEnd"/>
      <w:r>
        <w:t xml:space="preserve"> Cross.</w:t>
      </w:r>
      <w:proofErr w:type="gramEnd"/>
    </w:p>
  </w:footnote>
  <w:footnote w:id="15">
    <w:p w:rsidR="00453A27" w:rsidRDefault="00453A27">
      <w:pPr>
        <w:pStyle w:val="FootnoteText"/>
      </w:pPr>
      <w:r>
        <w:rPr>
          <w:rStyle w:val="FootnoteReference"/>
        </w:rPr>
        <w:footnoteRef/>
      </w:r>
      <w:r>
        <w:t xml:space="preserve"> Tr. p. 531: </w:t>
      </w:r>
      <w:proofErr w:type="spellStart"/>
      <w:r>
        <w:t>lns</w:t>
      </w:r>
      <w:proofErr w:type="spellEnd"/>
      <w:r>
        <w:t xml:space="preserve">. </w:t>
      </w:r>
      <w:proofErr w:type="gramStart"/>
      <w:r>
        <w:t xml:space="preserve">7-13, </w:t>
      </w:r>
      <w:proofErr w:type="spellStart"/>
      <w:r>
        <w:t>Eberle</w:t>
      </w:r>
      <w:proofErr w:type="spellEnd"/>
      <w:r>
        <w:t xml:space="preserve"> Cross.</w:t>
      </w:r>
      <w:proofErr w:type="gramEnd"/>
    </w:p>
  </w:footnote>
  <w:footnote w:id="16">
    <w:p w:rsidR="00453A27" w:rsidRDefault="00453A27">
      <w:pPr>
        <w:pStyle w:val="FootnoteText"/>
      </w:pPr>
      <w:r>
        <w:rPr>
          <w:rStyle w:val="FootnoteReference"/>
        </w:rPr>
        <w:footnoteRef/>
      </w:r>
      <w:r>
        <w:t xml:space="preserve"> Tr. p. 530: </w:t>
      </w:r>
      <w:proofErr w:type="spellStart"/>
      <w:r>
        <w:t>ln</w:t>
      </w:r>
      <w:proofErr w:type="spellEnd"/>
      <w:r>
        <w:t>. 19.</w:t>
      </w:r>
    </w:p>
  </w:footnote>
  <w:footnote w:id="17">
    <w:p w:rsidR="00453A27" w:rsidRDefault="00453A27">
      <w:pPr>
        <w:pStyle w:val="FootnoteText"/>
      </w:pPr>
      <w:r>
        <w:rPr>
          <w:rStyle w:val="FootnoteReference"/>
        </w:rPr>
        <w:footnoteRef/>
      </w:r>
      <w:r>
        <w:t xml:space="preserve"> </w:t>
      </w:r>
      <w:proofErr w:type="spellStart"/>
      <w:proofErr w:type="gramStart"/>
      <w:r>
        <w:t>Exh</w:t>
      </w:r>
      <w:proofErr w:type="spellEnd"/>
      <w:r>
        <w:t>.</w:t>
      </w:r>
      <w:proofErr w:type="gramEnd"/>
      <w:r>
        <w:t xml:space="preserve"> No. RME-1T, p. 7: </w:t>
      </w:r>
      <w:proofErr w:type="spellStart"/>
      <w:r>
        <w:t>lns</w:t>
      </w:r>
      <w:proofErr w:type="spellEnd"/>
      <w:r>
        <w:t xml:space="preserve">. </w:t>
      </w:r>
      <w:proofErr w:type="gramStart"/>
      <w:r>
        <w:t xml:space="preserve">2-5, </w:t>
      </w:r>
      <w:proofErr w:type="spellStart"/>
      <w:r>
        <w:t>Eberle</w:t>
      </w:r>
      <w:proofErr w:type="spellEnd"/>
      <w:r>
        <w:t xml:space="preserve"> Rebuttal.</w:t>
      </w:r>
      <w:proofErr w:type="gramEnd"/>
    </w:p>
  </w:footnote>
  <w:footnote w:id="18">
    <w:p w:rsidR="00453A27" w:rsidRDefault="00453A27">
      <w:pPr>
        <w:pStyle w:val="FootnoteText"/>
      </w:pPr>
      <w:r>
        <w:rPr>
          <w:rStyle w:val="FootnoteReference"/>
        </w:rPr>
        <w:footnoteRef/>
      </w:r>
      <w:r>
        <w:t xml:space="preserve"> Tr. p. 529: </w:t>
      </w:r>
      <w:proofErr w:type="spellStart"/>
      <w:r>
        <w:t>lns</w:t>
      </w:r>
      <w:proofErr w:type="spellEnd"/>
      <w:r>
        <w:t xml:space="preserve">. </w:t>
      </w:r>
      <w:proofErr w:type="gramStart"/>
      <w:r>
        <w:t xml:space="preserve">15-19, </w:t>
      </w:r>
      <w:proofErr w:type="spellStart"/>
      <w:r>
        <w:t>Eberle</w:t>
      </w:r>
      <w:proofErr w:type="spellEnd"/>
      <w:r>
        <w:t xml:space="preserve"> Cross.</w:t>
      </w:r>
      <w:proofErr w:type="gramEnd"/>
    </w:p>
  </w:footnote>
  <w:footnote w:id="19">
    <w:p w:rsidR="00453A27" w:rsidRDefault="00453A27">
      <w:pPr>
        <w:pStyle w:val="FootnoteText"/>
      </w:pPr>
      <w:r>
        <w:rPr>
          <w:rStyle w:val="FootnoteReference"/>
        </w:rPr>
        <w:footnoteRef/>
      </w:r>
      <w:r>
        <w:t xml:space="preserve"> Tr. p. 527: </w:t>
      </w:r>
      <w:proofErr w:type="spellStart"/>
      <w:r>
        <w:t>lns</w:t>
      </w:r>
      <w:proofErr w:type="spellEnd"/>
      <w:r>
        <w:t xml:space="preserve">. </w:t>
      </w:r>
      <w:proofErr w:type="gramStart"/>
      <w:r>
        <w:t xml:space="preserve">1-4, </w:t>
      </w:r>
      <w:proofErr w:type="spellStart"/>
      <w:r>
        <w:t>Eberle</w:t>
      </w:r>
      <w:proofErr w:type="spellEnd"/>
      <w:r>
        <w:t xml:space="preserve"> Cross.</w:t>
      </w:r>
      <w:proofErr w:type="gramEnd"/>
    </w:p>
  </w:footnote>
  <w:footnote w:id="20">
    <w:p w:rsidR="00453A27" w:rsidRDefault="00453A27" w:rsidP="00BD32E2">
      <w:pPr>
        <w:pStyle w:val="FootnoteText"/>
      </w:pPr>
      <w:r>
        <w:rPr>
          <w:rStyle w:val="FootnoteReference"/>
        </w:rPr>
        <w:footnoteRef/>
      </w:r>
      <w:r>
        <w:t xml:space="preserve"> Tr. p. 533: </w:t>
      </w:r>
      <w:proofErr w:type="spellStart"/>
      <w:r>
        <w:t>lns</w:t>
      </w:r>
      <w:proofErr w:type="spellEnd"/>
      <w:r>
        <w:t xml:space="preserve">. 23-25 – p. 534: </w:t>
      </w:r>
      <w:proofErr w:type="spellStart"/>
      <w:r>
        <w:t>lns</w:t>
      </w:r>
      <w:proofErr w:type="spellEnd"/>
      <w:r>
        <w:t>. 1-12.</w:t>
      </w:r>
    </w:p>
  </w:footnote>
  <w:footnote w:id="21">
    <w:p w:rsidR="00453A27" w:rsidRDefault="00453A27">
      <w:pPr>
        <w:pStyle w:val="FootnoteText"/>
      </w:pPr>
      <w:r>
        <w:rPr>
          <w:rStyle w:val="FootnoteReference"/>
        </w:rPr>
        <w:footnoteRef/>
      </w:r>
      <w:r>
        <w:t xml:space="preserve"> </w:t>
      </w:r>
      <w:proofErr w:type="gramStart"/>
      <w:r>
        <w:t>PPL Br. p. 59.</w:t>
      </w:r>
      <w:proofErr w:type="gramEnd"/>
    </w:p>
  </w:footnote>
  <w:footnote w:id="22">
    <w:p w:rsidR="00453A27" w:rsidRDefault="00453A27">
      <w:pPr>
        <w:pStyle w:val="FootnoteText"/>
      </w:pPr>
      <w:r>
        <w:rPr>
          <w:rStyle w:val="FootnoteReference"/>
        </w:rPr>
        <w:footnoteRef/>
      </w:r>
      <w:r>
        <w:t xml:space="preserve"> Staff Br. P. 57.</w:t>
      </w:r>
    </w:p>
  </w:footnote>
  <w:footnote w:id="23">
    <w:p w:rsidR="00453A27" w:rsidRDefault="00453A27">
      <w:pPr>
        <w:pStyle w:val="FootnoteText"/>
      </w:pPr>
      <w:r>
        <w:rPr>
          <w:rStyle w:val="FootnoteReference"/>
        </w:rPr>
        <w:footnoteRef/>
      </w:r>
      <w:r>
        <w:t xml:space="preserve"> Br. P. 58.</w:t>
      </w:r>
    </w:p>
  </w:footnote>
  <w:footnote w:id="24">
    <w:p w:rsidR="00453A27" w:rsidRDefault="00453A27">
      <w:pPr>
        <w:pStyle w:val="FootnoteText"/>
      </w:pPr>
      <w:r>
        <w:rPr>
          <w:rStyle w:val="FootnoteReference"/>
        </w:rPr>
        <w:footnoteRef/>
      </w:r>
      <w:r>
        <w:t xml:space="preserve"> Exhibit No. </w:t>
      </w:r>
      <w:proofErr w:type="gramStart"/>
      <w:r>
        <w:t>CME-4.</w:t>
      </w:r>
      <w:proofErr w:type="gramEnd"/>
    </w:p>
  </w:footnote>
  <w:footnote w:id="25">
    <w:p w:rsidR="00453A27" w:rsidRDefault="00453A27">
      <w:pPr>
        <w:pStyle w:val="FootnoteText"/>
      </w:pPr>
      <w:r>
        <w:rPr>
          <w:rStyle w:val="FootnoteReference"/>
        </w:rPr>
        <w:footnoteRef/>
      </w:r>
      <w:r>
        <w:t xml:space="preserve"> Tr. p. 787: </w:t>
      </w:r>
      <w:proofErr w:type="spellStart"/>
      <w:r>
        <w:t>lns</w:t>
      </w:r>
      <w:proofErr w:type="spellEnd"/>
      <w:r>
        <w:t xml:space="preserve">. </w:t>
      </w:r>
      <w:proofErr w:type="gramStart"/>
      <w:r>
        <w:t xml:space="preserve">1-7, </w:t>
      </w:r>
      <w:proofErr w:type="spellStart"/>
      <w:r>
        <w:t>Schooley</w:t>
      </w:r>
      <w:proofErr w:type="spellEnd"/>
      <w:r>
        <w:t xml:space="preserve"> Cross.</w:t>
      </w:r>
      <w:proofErr w:type="gramEnd"/>
    </w:p>
  </w:footnote>
  <w:footnote w:id="26">
    <w:p w:rsidR="00453A27" w:rsidRPr="00462402" w:rsidRDefault="00453A27">
      <w:pPr>
        <w:pStyle w:val="FootnoteText"/>
        <w:rPr>
          <w:i/>
        </w:rPr>
      </w:pPr>
      <w:r>
        <w:rPr>
          <w:rStyle w:val="FootnoteReference"/>
        </w:rPr>
        <w:footnoteRef/>
      </w:r>
      <w:r>
        <w:t xml:space="preserve"> </w:t>
      </w:r>
      <w:r>
        <w:rPr>
          <w:i/>
        </w:rPr>
        <w:t>Id.</w:t>
      </w:r>
    </w:p>
  </w:footnote>
  <w:footnote w:id="27">
    <w:p w:rsidR="00453A27" w:rsidRDefault="00453A27">
      <w:pPr>
        <w:pStyle w:val="FootnoteText"/>
      </w:pPr>
      <w:r>
        <w:rPr>
          <w:rStyle w:val="FootnoteReference"/>
        </w:rPr>
        <w:footnoteRef/>
      </w:r>
      <w:r>
        <w:t xml:space="preserve"> Tr. p. 787: </w:t>
      </w:r>
      <w:proofErr w:type="spellStart"/>
      <w:r>
        <w:t>lns</w:t>
      </w:r>
      <w:proofErr w:type="spellEnd"/>
      <w:r>
        <w:t xml:space="preserve">. </w:t>
      </w:r>
      <w:proofErr w:type="gramStart"/>
      <w:r>
        <w:t xml:space="preserve">8-11, </w:t>
      </w:r>
      <w:proofErr w:type="spellStart"/>
      <w:r>
        <w:t>Schooley</w:t>
      </w:r>
      <w:proofErr w:type="spellEnd"/>
      <w:r>
        <w:t xml:space="preserve"> Cross.</w:t>
      </w:r>
      <w:proofErr w:type="gramEnd"/>
    </w:p>
  </w:footnote>
  <w:footnote w:id="28">
    <w:p w:rsidR="00453A27" w:rsidRDefault="00453A27" w:rsidP="0016106F">
      <w:pPr>
        <w:pStyle w:val="FootnoteText"/>
      </w:pPr>
      <w:r>
        <w:rPr>
          <w:rStyle w:val="FootnoteReference"/>
        </w:rPr>
        <w:footnoteRef/>
      </w:r>
      <w:r>
        <w:t xml:space="preserve"> Tr. p. 783: </w:t>
      </w:r>
      <w:proofErr w:type="spellStart"/>
      <w:r>
        <w:t>lns</w:t>
      </w:r>
      <w:proofErr w:type="spellEnd"/>
      <w:r>
        <w:t xml:space="preserve">. 22-25 – p. 784: </w:t>
      </w:r>
      <w:proofErr w:type="spellStart"/>
      <w:r>
        <w:t>lns</w:t>
      </w:r>
      <w:proofErr w:type="spellEnd"/>
      <w:r>
        <w:t xml:space="preserve">. </w:t>
      </w:r>
      <w:proofErr w:type="gramStart"/>
      <w:r>
        <w:t xml:space="preserve">1-4. </w:t>
      </w:r>
      <w:proofErr w:type="spellStart"/>
      <w:r>
        <w:t>Schooley</w:t>
      </w:r>
      <w:proofErr w:type="spellEnd"/>
      <w:r>
        <w:t xml:space="preserve"> Cross.</w:t>
      </w:r>
      <w:proofErr w:type="gramEnd"/>
    </w:p>
  </w:footnote>
  <w:footnote w:id="29">
    <w:p w:rsidR="00453A27" w:rsidRDefault="00453A27">
      <w:pPr>
        <w:pStyle w:val="FootnoteText"/>
      </w:pPr>
      <w:r>
        <w:rPr>
          <w:rStyle w:val="FootnoteReference"/>
        </w:rPr>
        <w:footnoteRef/>
      </w:r>
      <w:r>
        <w:t xml:space="preserve"> Tr. p. 787: </w:t>
      </w:r>
      <w:proofErr w:type="spellStart"/>
      <w:r>
        <w:t>lns</w:t>
      </w:r>
      <w:proofErr w:type="spellEnd"/>
      <w:r>
        <w:t xml:space="preserve">. 22-25, </w:t>
      </w:r>
      <w:proofErr w:type="spellStart"/>
      <w:r>
        <w:t>Schooley</w:t>
      </w:r>
      <w:proofErr w:type="spellEnd"/>
      <w:r>
        <w:t xml:space="preserve"> cross.</w:t>
      </w:r>
    </w:p>
  </w:footnote>
  <w:footnote w:id="30">
    <w:p w:rsidR="00453A27" w:rsidRDefault="00453A27">
      <w:pPr>
        <w:pStyle w:val="FootnoteText"/>
      </w:pPr>
      <w:r>
        <w:rPr>
          <w:rStyle w:val="FootnoteReference"/>
        </w:rPr>
        <w:footnoteRef/>
      </w:r>
      <w:r>
        <w:t xml:space="preserve"> Staff br. p. 54, par. 234.</w:t>
      </w:r>
    </w:p>
  </w:footnote>
  <w:footnote w:id="31">
    <w:p w:rsidR="00453A27" w:rsidRDefault="00453A27">
      <w:pPr>
        <w:pStyle w:val="FootnoteText"/>
      </w:pPr>
      <w:r>
        <w:rPr>
          <w:rStyle w:val="FootnoteReference"/>
        </w:rPr>
        <w:footnoteRef/>
      </w:r>
      <w:r>
        <w:t xml:space="preserve"> </w:t>
      </w:r>
      <w:proofErr w:type="gramStart"/>
      <w:r>
        <w:t>PPL Br. p. 59.</w:t>
      </w:r>
      <w:proofErr w:type="gramEnd"/>
    </w:p>
  </w:footnote>
  <w:footnote w:id="32">
    <w:p w:rsidR="00453A27" w:rsidRDefault="00453A27">
      <w:pPr>
        <w:pStyle w:val="FootnoteText"/>
      </w:pPr>
      <w:r>
        <w:rPr>
          <w:rStyle w:val="FootnoteReference"/>
        </w:rPr>
        <w:footnoteRef/>
      </w:r>
      <w:r>
        <w:t xml:space="preserve"> Order 07, p. 6: par. 15 (Docket UE-100647), issued November 19, 2010.</w:t>
      </w:r>
    </w:p>
  </w:footnote>
  <w:footnote w:id="33">
    <w:p w:rsidR="00453A27" w:rsidRDefault="00453A27">
      <w:pPr>
        <w:pStyle w:val="FootnoteText"/>
      </w:pPr>
      <w:r>
        <w:rPr>
          <w:rStyle w:val="FootnoteReference"/>
        </w:rPr>
        <w:footnoteRef/>
      </w:r>
      <w:r>
        <w:t xml:space="preserve"> Order No. 07 at pp. 12-13, par. 35 [Emphasis added].</w:t>
      </w:r>
    </w:p>
  </w:footnote>
  <w:footnote w:id="34">
    <w:p w:rsidR="00453A27" w:rsidRPr="000B12B7" w:rsidRDefault="00453A27">
      <w:pPr>
        <w:pStyle w:val="FootnoteText"/>
      </w:pPr>
      <w:r>
        <w:rPr>
          <w:rStyle w:val="FootnoteReference"/>
        </w:rPr>
        <w:footnoteRef/>
      </w:r>
      <w:r>
        <w:t xml:space="preserve"> </w:t>
      </w:r>
      <w:r>
        <w:rPr>
          <w:i/>
        </w:rPr>
        <w:t>See, e.g.</w:t>
      </w:r>
      <w:r>
        <w:t>, Docket 090134 (increased LIRAP funding for AVISTA); 080416 (increased low-income DSM for AVISTA); 070804 (increased AVISTA LIRAP funding); 050482 (increased funding to both LIRAP and low-income DSM for AVISTA).</w:t>
      </w:r>
    </w:p>
  </w:footnote>
  <w:footnote w:id="35">
    <w:p w:rsidR="00453A27" w:rsidRDefault="00453A27" w:rsidP="004A34D3">
      <w:pPr>
        <w:pStyle w:val="FootnoteText"/>
      </w:pPr>
      <w:r>
        <w:rPr>
          <w:rStyle w:val="FootnoteReference"/>
        </w:rPr>
        <w:footnoteRef/>
      </w:r>
      <w:r>
        <w:t xml:space="preserve"> Order 13, p. 2, section 4.</w:t>
      </w:r>
    </w:p>
  </w:footnote>
  <w:footnote w:id="36">
    <w:p w:rsidR="00453A27" w:rsidRDefault="00453A27" w:rsidP="004A34D3">
      <w:pPr>
        <w:pStyle w:val="FootnoteText"/>
      </w:pPr>
      <w:r>
        <w:rPr>
          <w:rStyle w:val="FootnoteReference"/>
        </w:rPr>
        <w:footnoteRef/>
      </w:r>
      <w:r>
        <w:t xml:space="preserve"> PSE Mtn. for Reconsideration, p. 3.</w:t>
      </w:r>
    </w:p>
  </w:footnote>
  <w:footnote w:id="37">
    <w:p w:rsidR="00453A27" w:rsidRDefault="00453A27" w:rsidP="001311F6">
      <w:pPr>
        <w:pStyle w:val="FootnoteText"/>
      </w:pPr>
      <w:r>
        <w:rPr>
          <w:rStyle w:val="FootnoteReference"/>
        </w:rPr>
        <w:footnoteRef/>
      </w:r>
      <w:r>
        <w:t xml:space="preserve"> Staff Reply br. P. 9.</w:t>
      </w:r>
    </w:p>
  </w:footnote>
  <w:footnote w:id="38">
    <w:p w:rsidR="00453A27" w:rsidRPr="00B7261E" w:rsidRDefault="00453A27" w:rsidP="001311F6">
      <w:pPr>
        <w:pStyle w:val="FootnoteText"/>
      </w:pPr>
      <w:r>
        <w:rPr>
          <w:rStyle w:val="FootnoteReference"/>
        </w:rPr>
        <w:footnoteRef/>
      </w:r>
      <w:r>
        <w:t xml:space="preserve"> </w:t>
      </w:r>
      <w:proofErr w:type="gramStart"/>
      <w:r>
        <w:t>Petition for reconsideration at p. 3.</w:t>
      </w:r>
      <w:proofErr w:type="gramEnd"/>
    </w:p>
  </w:footnote>
  <w:footnote w:id="39">
    <w:p w:rsidR="00453A27" w:rsidRDefault="00453A27" w:rsidP="004A34D3">
      <w:pPr>
        <w:pStyle w:val="FootnoteText"/>
      </w:pPr>
      <w:r>
        <w:rPr>
          <w:rStyle w:val="FootnoteReference"/>
        </w:rPr>
        <w:footnoteRef/>
      </w:r>
      <w:r>
        <w:t xml:space="preserve"> Order 13, p. 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64D0B"/>
    <w:rsid w:val="0000270A"/>
    <w:rsid w:val="00015BF2"/>
    <w:rsid w:val="00020BAB"/>
    <w:rsid w:val="00021F3C"/>
    <w:rsid w:val="00026536"/>
    <w:rsid w:val="00030B69"/>
    <w:rsid w:val="00052C19"/>
    <w:rsid w:val="00057682"/>
    <w:rsid w:val="00081E9C"/>
    <w:rsid w:val="00090B66"/>
    <w:rsid w:val="000B12B7"/>
    <w:rsid w:val="000B356A"/>
    <w:rsid w:val="000B53CA"/>
    <w:rsid w:val="000B5840"/>
    <w:rsid w:val="000C6131"/>
    <w:rsid w:val="000D125D"/>
    <w:rsid w:val="000D2ABC"/>
    <w:rsid w:val="000E0C71"/>
    <w:rsid w:val="000F6752"/>
    <w:rsid w:val="001146B5"/>
    <w:rsid w:val="001203C1"/>
    <w:rsid w:val="00123F33"/>
    <w:rsid w:val="001311F6"/>
    <w:rsid w:val="0015003B"/>
    <w:rsid w:val="0015171B"/>
    <w:rsid w:val="00156185"/>
    <w:rsid w:val="0016106F"/>
    <w:rsid w:val="001634CE"/>
    <w:rsid w:val="00164D0B"/>
    <w:rsid w:val="00164F07"/>
    <w:rsid w:val="00165BA6"/>
    <w:rsid w:val="00170C27"/>
    <w:rsid w:val="0019536E"/>
    <w:rsid w:val="001B324E"/>
    <w:rsid w:val="001D391D"/>
    <w:rsid w:val="001E0FB9"/>
    <w:rsid w:val="001F4BBA"/>
    <w:rsid w:val="0022334D"/>
    <w:rsid w:val="00233EAA"/>
    <w:rsid w:val="00234911"/>
    <w:rsid w:val="00240D06"/>
    <w:rsid w:val="00242A5F"/>
    <w:rsid w:val="00253AD9"/>
    <w:rsid w:val="00271D97"/>
    <w:rsid w:val="002769EC"/>
    <w:rsid w:val="00281990"/>
    <w:rsid w:val="002A5721"/>
    <w:rsid w:val="002C692C"/>
    <w:rsid w:val="002C73D2"/>
    <w:rsid w:val="002E4E05"/>
    <w:rsid w:val="002F1637"/>
    <w:rsid w:val="002F5149"/>
    <w:rsid w:val="00312EEF"/>
    <w:rsid w:val="003169FA"/>
    <w:rsid w:val="00334B00"/>
    <w:rsid w:val="0035287D"/>
    <w:rsid w:val="0036073A"/>
    <w:rsid w:val="0037458A"/>
    <w:rsid w:val="003968AC"/>
    <w:rsid w:val="003B6331"/>
    <w:rsid w:val="003D02CB"/>
    <w:rsid w:val="003E12A0"/>
    <w:rsid w:val="003E3FCC"/>
    <w:rsid w:val="00401E38"/>
    <w:rsid w:val="00402C3B"/>
    <w:rsid w:val="00411014"/>
    <w:rsid w:val="00435F8B"/>
    <w:rsid w:val="00441E41"/>
    <w:rsid w:val="004500F3"/>
    <w:rsid w:val="00453A27"/>
    <w:rsid w:val="00453D1B"/>
    <w:rsid w:val="00454022"/>
    <w:rsid w:val="00462402"/>
    <w:rsid w:val="00466944"/>
    <w:rsid w:val="004705A4"/>
    <w:rsid w:val="00485696"/>
    <w:rsid w:val="004A34D3"/>
    <w:rsid w:val="004A7E3C"/>
    <w:rsid w:val="004C17AE"/>
    <w:rsid w:val="004D3C35"/>
    <w:rsid w:val="004D4D8C"/>
    <w:rsid w:val="004E35D1"/>
    <w:rsid w:val="004E426D"/>
    <w:rsid w:val="004E51AB"/>
    <w:rsid w:val="00511D2F"/>
    <w:rsid w:val="0051607D"/>
    <w:rsid w:val="00526D97"/>
    <w:rsid w:val="00530A87"/>
    <w:rsid w:val="005404BE"/>
    <w:rsid w:val="00542555"/>
    <w:rsid w:val="005567F5"/>
    <w:rsid w:val="00565404"/>
    <w:rsid w:val="005A6E1D"/>
    <w:rsid w:val="005B03E7"/>
    <w:rsid w:val="005C17F3"/>
    <w:rsid w:val="005C2E72"/>
    <w:rsid w:val="005E38A5"/>
    <w:rsid w:val="005E7A6D"/>
    <w:rsid w:val="005F221B"/>
    <w:rsid w:val="005F4232"/>
    <w:rsid w:val="00604471"/>
    <w:rsid w:val="0060488F"/>
    <w:rsid w:val="00605B61"/>
    <w:rsid w:val="00611143"/>
    <w:rsid w:val="006205BD"/>
    <w:rsid w:val="006231D9"/>
    <w:rsid w:val="00625C24"/>
    <w:rsid w:val="0063508E"/>
    <w:rsid w:val="00643096"/>
    <w:rsid w:val="006612DA"/>
    <w:rsid w:val="00662A08"/>
    <w:rsid w:val="00662EBC"/>
    <w:rsid w:val="00666AEC"/>
    <w:rsid w:val="006938B7"/>
    <w:rsid w:val="006D029D"/>
    <w:rsid w:val="006D274C"/>
    <w:rsid w:val="006D4F1E"/>
    <w:rsid w:val="006E067C"/>
    <w:rsid w:val="0072327F"/>
    <w:rsid w:val="00747377"/>
    <w:rsid w:val="00747863"/>
    <w:rsid w:val="00750DBE"/>
    <w:rsid w:val="00753EF9"/>
    <w:rsid w:val="00760FBA"/>
    <w:rsid w:val="00796E8A"/>
    <w:rsid w:val="007A585C"/>
    <w:rsid w:val="007A66C9"/>
    <w:rsid w:val="007A7EC6"/>
    <w:rsid w:val="007D75FB"/>
    <w:rsid w:val="007E4267"/>
    <w:rsid w:val="007E7DCA"/>
    <w:rsid w:val="00802C63"/>
    <w:rsid w:val="0081145A"/>
    <w:rsid w:val="00824948"/>
    <w:rsid w:val="008271D2"/>
    <w:rsid w:val="00834043"/>
    <w:rsid w:val="0085230D"/>
    <w:rsid w:val="00863216"/>
    <w:rsid w:val="008652D4"/>
    <w:rsid w:val="00870BB3"/>
    <w:rsid w:val="00873126"/>
    <w:rsid w:val="0087676B"/>
    <w:rsid w:val="00876B06"/>
    <w:rsid w:val="00886FB7"/>
    <w:rsid w:val="008C66EE"/>
    <w:rsid w:val="008D0344"/>
    <w:rsid w:val="008E661B"/>
    <w:rsid w:val="008E752A"/>
    <w:rsid w:val="009015BB"/>
    <w:rsid w:val="00910C3A"/>
    <w:rsid w:val="0091558E"/>
    <w:rsid w:val="00916404"/>
    <w:rsid w:val="009200DF"/>
    <w:rsid w:val="00923A49"/>
    <w:rsid w:val="009367B3"/>
    <w:rsid w:val="00940295"/>
    <w:rsid w:val="00942958"/>
    <w:rsid w:val="00944C1F"/>
    <w:rsid w:val="009467E1"/>
    <w:rsid w:val="00951BC6"/>
    <w:rsid w:val="00957249"/>
    <w:rsid w:val="00974C62"/>
    <w:rsid w:val="0098535C"/>
    <w:rsid w:val="009A3C64"/>
    <w:rsid w:val="009A5AAC"/>
    <w:rsid w:val="009B4A2F"/>
    <w:rsid w:val="009B7081"/>
    <w:rsid w:val="009C0C89"/>
    <w:rsid w:val="009C7341"/>
    <w:rsid w:val="009D46EB"/>
    <w:rsid w:val="009E2C56"/>
    <w:rsid w:val="00A27740"/>
    <w:rsid w:val="00A317F8"/>
    <w:rsid w:val="00A4038F"/>
    <w:rsid w:val="00A45449"/>
    <w:rsid w:val="00A53752"/>
    <w:rsid w:val="00A55034"/>
    <w:rsid w:val="00A57C8F"/>
    <w:rsid w:val="00A62F0F"/>
    <w:rsid w:val="00A87821"/>
    <w:rsid w:val="00A907BF"/>
    <w:rsid w:val="00A945D9"/>
    <w:rsid w:val="00A96406"/>
    <w:rsid w:val="00AA51BE"/>
    <w:rsid w:val="00AB3F7A"/>
    <w:rsid w:val="00AC2057"/>
    <w:rsid w:val="00AC6C6A"/>
    <w:rsid w:val="00AD59CE"/>
    <w:rsid w:val="00AD63FC"/>
    <w:rsid w:val="00AF2B9F"/>
    <w:rsid w:val="00AF4B51"/>
    <w:rsid w:val="00AF69E0"/>
    <w:rsid w:val="00B00AC3"/>
    <w:rsid w:val="00B038DA"/>
    <w:rsid w:val="00B061AF"/>
    <w:rsid w:val="00B14F68"/>
    <w:rsid w:val="00B20A57"/>
    <w:rsid w:val="00B37D49"/>
    <w:rsid w:val="00B56C39"/>
    <w:rsid w:val="00B6057C"/>
    <w:rsid w:val="00B65E66"/>
    <w:rsid w:val="00B6757C"/>
    <w:rsid w:val="00B7261E"/>
    <w:rsid w:val="00B759B4"/>
    <w:rsid w:val="00B843CA"/>
    <w:rsid w:val="00BB41F8"/>
    <w:rsid w:val="00BD1F46"/>
    <w:rsid w:val="00BD32E2"/>
    <w:rsid w:val="00BE0534"/>
    <w:rsid w:val="00BE0DB5"/>
    <w:rsid w:val="00BE7FCF"/>
    <w:rsid w:val="00BF05C6"/>
    <w:rsid w:val="00BF7392"/>
    <w:rsid w:val="00C21191"/>
    <w:rsid w:val="00C276D1"/>
    <w:rsid w:val="00C326DD"/>
    <w:rsid w:val="00C437C3"/>
    <w:rsid w:val="00C46BE0"/>
    <w:rsid w:val="00C55B23"/>
    <w:rsid w:val="00C63551"/>
    <w:rsid w:val="00C8602B"/>
    <w:rsid w:val="00CA44F0"/>
    <w:rsid w:val="00CB4C70"/>
    <w:rsid w:val="00CD7D51"/>
    <w:rsid w:val="00CE3DCB"/>
    <w:rsid w:val="00CF0C75"/>
    <w:rsid w:val="00D16DF6"/>
    <w:rsid w:val="00D36BA5"/>
    <w:rsid w:val="00D41CEF"/>
    <w:rsid w:val="00D4400B"/>
    <w:rsid w:val="00D63810"/>
    <w:rsid w:val="00D80C36"/>
    <w:rsid w:val="00D82073"/>
    <w:rsid w:val="00D845E6"/>
    <w:rsid w:val="00D85409"/>
    <w:rsid w:val="00D87D72"/>
    <w:rsid w:val="00D9577C"/>
    <w:rsid w:val="00D96034"/>
    <w:rsid w:val="00DB21EE"/>
    <w:rsid w:val="00DB512A"/>
    <w:rsid w:val="00DC3FC7"/>
    <w:rsid w:val="00DC5BB7"/>
    <w:rsid w:val="00DC7939"/>
    <w:rsid w:val="00DE29B3"/>
    <w:rsid w:val="00DF6A23"/>
    <w:rsid w:val="00E01E33"/>
    <w:rsid w:val="00E45E46"/>
    <w:rsid w:val="00E52200"/>
    <w:rsid w:val="00E74AF8"/>
    <w:rsid w:val="00E82BC2"/>
    <w:rsid w:val="00E8307C"/>
    <w:rsid w:val="00E845D5"/>
    <w:rsid w:val="00E85F2F"/>
    <w:rsid w:val="00E8752C"/>
    <w:rsid w:val="00E91A5B"/>
    <w:rsid w:val="00E970D2"/>
    <w:rsid w:val="00E979CE"/>
    <w:rsid w:val="00EA2C22"/>
    <w:rsid w:val="00EA3520"/>
    <w:rsid w:val="00EA68F6"/>
    <w:rsid w:val="00EB100D"/>
    <w:rsid w:val="00ED6701"/>
    <w:rsid w:val="00EF49B8"/>
    <w:rsid w:val="00F024CA"/>
    <w:rsid w:val="00F21C79"/>
    <w:rsid w:val="00F34A2C"/>
    <w:rsid w:val="00F3694F"/>
    <w:rsid w:val="00F43CA6"/>
    <w:rsid w:val="00F44900"/>
    <w:rsid w:val="00F45D4A"/>
    <w:rsid w:val="00F50069"/>
    <w:rsid w:val="00F538C7"/>
    <w:rsid w:val="00F64765"/>
    <w:rsid w:val="00F65EF7"/>
    <w:rsid w:val="00F669B9"/>
    <w:rsid w:val="00F83E38"/>
    <w:rsid w:val="00F913A5"/>
    <w:rsid w:val="00F95A26"/>
    <w:rsid w:val="00FC4756"/>
    <w:rsid w:val="00FC5AFE"/>
    <w:rsid w:val="00FD2E68"/>
    <w:rsid w:val="00FE49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0B"/>
    <w:rPr>
      <w:rFonts w:asciiTheme="minorHAnsi" w:hAnsiTheme="minorHAnsi"/>
      <w:szCs w:val="24"/>
    </w:rPr>
  </w:style>
  <w:style w:type="paragraph" w:styleId="Heading1">
    <w:name w:val="heading 1"/>
    <w:basedOn w:val="Normal"/>
    <w:link w:val="Heading1Char"/>
    <w:uiPriority w:val="9"/>
    <w:qFormat/>
    <w:rsid w:val="003169FA"/>
    <w:pPr>
      <w:spacing w:after="150"/>
      <w:outlineLvl w:val="0"/>
    </w:pPr>
    <w:rPr>
      <w:rFonts w:ascii="Arial Black" w:eastAsia="Times New Roman" w:hAnsi="Arial Black" w:cs="Times New Roman"/>
      <w:color w:val="000000"/>
      <w:kern w:val="36"/>
      <w:sz w:val="36"/>
      <w:szCs w:val="36"/>
    </w:rPr>
  </w:style>
  <w:style w:type="paragraph" w:styleId="Heading2">
    <w:name w:val="heading 2"/>
    <w:basedOn w:val="Normal"/>
    <w:next w:val="Normal"/>
    <w:link w:val="Heading2Char"/>
    <w:uiPriority w:val="9"/>
    <w:semiHidden/>
    <w:unhideWhenUsed/>
    <w:qFormat/>
    <w:rsid w:val="00923A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4D0B"/>
    <w:rPr>
      <w:color w:val="0000FF" w:themeColor="hyperlink"/>
      <w:u w:val="single"/>
    </w:rPr>
  </w:style>
  <w:style w:type="paragraph" w:styleId="FootnoteText">
    <w:name w:val="footnote text"/>
    <w:basedOn w:val="Normal"/>
    <w:link w:val="FootnoteTextChar"/>
    <w:uiPriority w:val="99"/>
    <w:unhideWhenUsed/>
    <w:rsid w:val="00164D0B"/>
  </w:style>
  <w:style w:type="character" w:customStyle="1" w:styleId="FootnoteTextChar">
    <w:name w:val="Footnote Text Char"/>
    <w:basedOn w:val="DefaultParagraphFont"/>
    <w:link w:val="FootnoteText"/>
    <w:uiPriority w:val="99"/>
    <w:rsid w:val="00164D0B"/>
    <w:rPr>
      <w:rFonts w:asciiTheme="minorHAnsi" w:hAnsiTheme="minorHAnsi"/>
      <w:szCs w:val="24"/>
    </w:rPr>
  </w:style>
  <w:style w:type="paragraph" w:styleId="Title">
    <w:name w:val="Title"/>
    <w:basedOn w:val="Normal"/>
    <w:link w:val="TitleChar"/>
    <w:uiPriority w:val="99"/>
    <w:qFormat/>
    <w:rsid w:val="00164D0B"/>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99"/>
    <w:rsid w:val="00164D0B"/>
    <w:rPr>
      <w:rFonts w:eastAsia="Times New Roman" w:cs="Times New Roman"/>
      <w:b/>
      <w:bCs/>
      <w:szCs w:val="24"/>
    </w:rPr>
  </w:style>
  <w:style w:type="character" w:styleId="FootnoteReference">
    <w:name w:val="footnote reference"/>
    <w:basedOn w:val="DefaultParagraphFont"/>
    <w:uiPriority w:val="99"/>
    <w:unhideWhenUsed/>
    <w:rsid w:val="00164D0B"/>
    <w:rPr>
      <w:vertAlign w:val="superscript"/>
    </w:rPr>
  </w:style>
  <w:style w:type="paragraph" w:styleId="Header">
    <w:name w:val="header"/>
    <w:basedOn w:val="Normal"/>
    <w:link w:val="HeaderChar"/>
    <w:uiPriority w:val="99"/>
    <w:semiHidden/>
    <w:unhideWhenUsed/>
    <w:rsid w:val="00942958"/>
    <w:pPr>
      <w:tabs>
        <w:tab w:val="center" w:pos="4680"/>
        <w:tab w:val="right" w:pos="9360"/>
      </w:tabs>
    </w:pPr>
  </w:style>
  <w:style w:type="character" w:customStyle="1" w:styleId="HeaderChar">
    <w:name w:val="Header Char"/>
    <w:basedOn w:val="DefaultParagraphFont"/>
    <w:link w:val="Header"/>
    <w:uiPriority w:val="99"/>
    <w:semiHidden/>
    <w:rsid w:val="00942958"/>
    <w:rPr>
      <w:rFonts w:asciiTheme="minorHAnsi" w:hAnsiTheme="minorHAnsi"/>
      <w:szCs w:val="24"/>
    </w:rPr>
  </w:style>
  <w:style w:type="paragraph" w:styleId="Footer">
    <w:name w:val="footer"/>
    <w:basedOn w:val="Normal"/>
    <w:link w:val="FooterChar"/>
    <w:uiPriority w:val="99"/>
    <w:unhideWhenUsed/>
    <w:rsid w:val="00942958"/>
    <w:pPr>
      <w:tabs>
        <w:tab w:val="center" w:pos="4680"/>
        <w:tab w:val="right" w:pos="9360"/>
      </w:tabs>
    </w:pPr>
  </w:style>
  <w:style w:type="character" w:customStyle="1" w:styleId="FooterChar">
    <w:name w:val="Footer Char"/>
    <w:basedOn w:val="DefaultParagraphFont"/>
    <w:link w:val="Footer"/>
    <w:uiPriority w:val="99"/>
    <w:rsid w:val="00942958"/>
    <w:rPr>
      <w:rFonts w:asciiTheme="minorHAnsi" w:hAnsiTheme="minorHAnsi"/>
      <w:szCs w:val="24"/>
    </w:rPr>
  </w:style>
  <w:style w:type="character" w:customStyle="1" w:styleId="Heading1Char">
    <w:name w:val="Heading 1 Char"/>
    <w:basedOn w:val="DefaultParagraphFont"/>
    <w:link w:val="Heading1"/>
    <w:uiPriority w:val="9"/>
    <w:rsid w:val="003169FA"/>
    <w:rPr>
      <w:rFonts w:ascii="Arial Black" w:eastAsia="Times New Roman" w:hAnsi="Arial Black" w:cs="Times New Roman"/>
      <w:color w:val="000000"/>
      <w:kern w:val="36"/>
      <w:sz w:val="36"/>
      <w:szCs w:val="36"/>
    </w:rPr>
  </w:style>
  <w:style w:type="paragraph" w:styleId="NormalWeb">
    <w:name w:val="Normal (Web)"/>
    <w:basedOn w:val="Normal"/>
    <w:uiPriority w:val="99"/>
    <w:semiHidden/>
    <w:unhideWhenUsed/>
    <w:rsid w:val="003169F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923A49"/>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165BA6"/>
    <w:rPr>
      <w:b/>
      <w:bCs/>
      <w:i/>
      <w:iCs/>
      <w:color w:val="4F81BD" w:themeColor="accent1"/>
    </w:rPr>
  </w:style>
  <w:style w:type="paragraph" w:styleId="Subtitle">
    <w:name w:val="Subtitle"/>
    <w:basedOn w:val="Normal"/>
    <w:next w:val="Normal"/>
    <w:link w:val="SubtitleChar"/>
    <w:uiPriority w:val="11"/>
    <w:qFormat/>
    <w:rsid w:val="00435F8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35F8B"/>
    <w:rPr>
      <w:rFonts w:asciiTheme="majorHAnsi" w:eastAsiaTheme="majorEastAsia" w:hAnsiTheme="majorHAnsi" w:cstheme="majorBidi"/>
      <w:i/>
      <w:iCs/>
      <w:color w:val="4F81BD" w:themeColor="accent1"/>
      <w:spacing w:val="15"/>
      <w:szCs w:val="24"/>
    </w:rPr>
  </w:style>
</w:styles>
</file>

<file path=word/webSettings.xml><?xml version="1.0" encoding="utf-8"?>
<w:webSettings xmlns:r="http://schemas.openxmlformats.org/officeDocument/2006/relationships" xmlns:w="http://schemas.openxmlformats.org/wordprocessingml/2006/main">
  <w:divs>
    <w:div w:id="124007846">
      <w:bodyDiv w:val="1"/>
      <w:marLeft w:val="0"/>
      <w:marRight w:val="0"/>
      <w:marTop w:val="0"/>
      <w:marBottom w:val="0"/>
      <w:divBdr>
        <w:top w:val="none" w:sz="0" w:space="0" w:color="auto"/>
        <w:left w:val="none" w:sz="0" w:space="0" w:color="auto"/>
        <w:bottom w:val="none" w:sz="0" w:space="0" w:color="auto"/>
        <w:right w:val="none" w:sz="0" w:space="0" w:color="auto"/>
      </w:divBdr>
    </w:div>
    <w:div w:id="1030565867">
      <w:bodyDiv w:val="1"/>
      <w:marLeft w:val="0"/>
      <w:marRight w:val="0"/>
      <w:marTop w:val="0"/>
      <w:marBottom w:val="0"/>
      <w:divBdr>
        <w:top w:val="none" w:sz="0" w:space="0" w:color="auto"/>
        <w:left w:val="none" w:sz="0" w:space="0" w:color="auto"/>
        <w:bottom w:val="none" w:sz="0" w:space="0" w:color="auto"/>
        <w:right w:val="none" w:sz="0" w:space="0" w:color="auto"/>
      </w:divBdr>
      <w:divsChild>
        <w:div w:id="1335375727">
          <w:marLeft w:val="0"/>
          <w:marRight w:val="0"/>
          <w:marTop w:val="0"/>
          <w:marBottom w:val="0"/>
          <w:divBdr>
            <w:top w:val="none" w:sz="0" w:space="0" w:color="auto"/>
            <w:left w:val="none" w:sz="0" w:space="0" w:color="auto"/>
            <w:bottom w:val="none" w:sz="0" w:space="0" w:color="auto"/>
            <w:right w:val="none" w:sz="0" w:space="0" w:color="auto"/>
          </w:divBdr>
          <w:divsChild>
            <w:div w:id="99183405">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35317885">
      <w:bodyDiv w:val="1"/>
      <w:marLeft w:val="0"/>
      <w:marRight w:val="0"/>
      <w:marTop w:val="0"/>
      <w:marBottom w:val="0"/>
      <w:divBdr>
        <w:top w:val="none" w:sz="0" w:space="0" w:color="auto"/>
        <w:left w:val="none" w:sz="0" w:space="0" w:color="auto"/>
        <w:bottom w:val="none" w:sz="0" w:space="0" w:color="auto"/>
        <w:right w:val="none" w:sz="0" w:space="0" w:color="auto"/>
      </w:divBdr>
      <w:divsChild>
        <w:div w:id="1975865218">
          <w:marLeft w:val="0"/>
          <w:marRight w:val="0"/>
          <w:marTop w:val="0"/>
          <w:marBottom w:val="0"/>
          <w:divBdr>
            <w:top w:val="none" w:sz="0" w:space="0" w:color="auto"/>
            <w:left w:val="none" w:sz="0" w:space="0" w:color="auto"/>
            <w:bottom w:val="none" w:sz="0" w:space="0" w:color="auto"/>
            <w:right w:val="none" w:sz="0" w:space="0" w:color="auto"/>
          </w:divBdr>
          <w:divsChild>
            <w:div w:id="1697193205">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athie.allen@pacificorp.com" TargetMode="External"/><Relationship Id="rId13" Type="http://schemas.openxmlformats.org/officeDocument/2006/relationships/hyperlink" Target="mailto:Sarah.Shifley@atg.wa.gov" TargetMode="External"/><Relationship Id="rId18"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customXml" Target="../customXml/item5.xml"/><Relationship Id="rId7" Type="http://schemas.openxmlformats.org/officeDocument/2006/relationships/hyperlink" Target="mailto:records@utc.wa.gov" TargetMode="External"/><Relationship Id="rId12" Type="http://schemas.openxmlformats.org/officeDocument/2006/relationships/hyperlink" Target="mailto:dtrotter@utc.w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il@dvclaw.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il@dvclaw.com"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Katherine@mcd-law.com" TargetMode="External"/><Relationship Id="rId14" Type="http://schemas.openxmlformats.org/officeDocument/2006/relationships/hyperlink" Target="file:///C:/Users/Brad/Desktop/aab@aterwyn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2011-02-18T08:00:00+00:00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C678DC8-03DA-422D-92F3-5346F292B445}"/>
</file>

<file path=customXml/itemProps2.xml><?xml version="1.0" encoding="utf-8"?>
<ds:datastoreItem xmlns:ds="http://schemas.openxmlformats.org/officeDocument/2006/customXml" ds:itemID="{60AED87B-D8B9-450C-9CE3-B9F3D9F74465}"/>
</file>

<file path=customXml/itemProps3.xml><?xml version="1.0" encoding="utf-8"?>
<ds:datastoreItem xmlns:ds="http://schemas.openxmlformats.org/officeDocument/2006/customXml" ds:itemID="{D9E289FE-BF65-47D4-9C7B-08318FF227D8}"/>
</file>

<file path=customXml/itemProps4.xml><?xml version="1.0" encoding="utf-8"?>
<ds:datastoreItem xmlns:ds="http://schemas.openxmlformats.org/officeDocument/2006/customXml" ds:itemID="{7E118989-85C4-4506-A6A9-B7BA1209D782}"/>
</file>

<file path=customXml/itemProps5.xml><?xml version="1.0" encoding="utf-8"?>
<ds:datastoreItem xmlns:ds="http://schemas.openxmlformats.org/officeDocument/2006/customXml" ds:itemID="{B9919223-549D-4B72-9647-3FEE39525CB9}"/>
</file>

<file path=docProps/app.xml><?xml version="1.0" encoding="utf-8"?>
<Properties xmlns="http://schemas.openxmlformats.org/officeDocument/2006/extended-properties" xmlns:vt="http://schemas.openxmlformats.org/officeDocument/2006/docPropsVTypes">
  <Template>Normal</Template>
  <TotalTime>1573</TotalTime>
  <Pages>24</Pages>
  <Words>5901</Words>
  <Characters>33641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Brad</cp:lastModifiedBy>
  <cp:revision>155</cp:revision>
  <dcterms:created xsi:type="dcterms:W3CDTF">2011-02-16T02:51:00Z</dcterms:created>
  <dcterms:modified xsi:type="dcterms:W3CDTF">2011-02-18T22:00:00Z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