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A6584" w14:textId="77777777" w:rsidR="00F27132" w:rsidRPr="001246D3" w:rsidRDefault="00F27132">
      <w:pPr>
        <w:pStyle w:val="Title"/>
        <w:rPr>
          <w:rFonts w:ascii="Times New Roman" w:hAnsi="Times New Roman"/>
          <w:sz w:val="25"/>
          <w:szCs w:val="25"/>
        </w:rPr>
      </w:pPr>
      <w:r w:rsidRPr="001246D3">
        <w:rPr>
          <w:rFonts w:ascii="Times New Roman" w:hAnsi="Times New Roman"/>
          <w:sz w:val="25"/>
          <w:szCs w:val="25"/>
        </w:rPr>
        <w:t>BEFORE THE WASHINGTON</w:t>
      </w:r>
      <w:bookmarkStart w:id="0" w:name="_GoBack"/>
      <w:bookmarkEnd w:id="0"/>
    </w:p>
    <w:p w14:paraId="75052B61" w14:textId="77777777" w:rsidR="00F27132" w:rsidRPr="001246D3" w:rsidRDefault="00F27132">
      <w:pPr>
        <w:jc w:val="center"/>
        <w:rPr>
          <w:b/>
          <w:sz w:val="25"/>
          <w:szCs w:val="25"/>
        </w:rPr>
      </w:pPr>
      <w:r w:rsidRPr="001246D3">
        <w:rPr>
          <w:b/>
          <w:sz w:val="25"/>
          <w:szCs w:val="25"/>
        </w:rPr>
        <w:t>UTILITIES AND TRANSPORTATION COMMISSION</w:t>
      </w:r>
    </w:p>
    <w:p w14:paraId="625E0B71" w14:textId="77777777" w:rsidR="00F27132" w:rsidRPr="001246D3" w:rsidRDefault="00F27132">
      <w:pPr>
        <w:jc w:val="center"/>
        <w:rPr>
          <w:sz w:val="25"/>
          <w:szCs w:val="25"/>
        </w:rPr>
      </w:pPr>
    </w:p>
    <w:p w14:paraId="4CE9DAC5" w14:textId="77777777" w:rsidR="0028219C" w:rsidRPr="001246D3" w:rsidRDefault="0028219C">
      <w:pPr>
        <w:jc w:val="center"/>
        <w:rPr>
          <w:sz w:val="25"/>
          <w:szCs w:val="25"/>
        </w:rPr>
      </w:pPr>
    </w:p>
    <w:tbl>
      <w:tblPr>
        <w:tblW w:w="8497" w:type="dxa"/>
        <w:tblLayout w:type="fixed"/>
        <w:tblLook w:val="01E0" w:firstRow="1" w:lastRow="1" w:firstColumn="1" w:lastColumn="1" w:noHBand="0" w:noVBand="0"/>
      </w:tblPr>
      <w:tblGrid>
        <w:gridCol w:w="4260"/>
        <w:gridCol w:w="240"/>
        <w:gridCol w:w="3997"/>
      </w:tblGrid>
      <w:tr w:rsidR="00DE0D92" w:rsidRPr="001246D3" w14:paraId="42C10EE1" w14:textId="77777777" w:rsidTr="00000B79">
        <w:trPr>
          <w:trHeight w:val="3840"/>
        </w:trPr>
        <w:tc>
          <w:tcPr>
            <w:tcW w:w="4260" w:type="dxa"/>
          </w:tcPr>
          <w:p w14:paraId="427AA6E9" w14:textId="77777777" w:rsidR="00DE0D92" w:rsidRPr="001246D3" w:rsidRDefault="00470D0C" w:rsidP="0028219C">
            <w:pPr>
              <w:spacing w:line="264" w:lineRule="auto"/>
              <w:rPr>
                <w:sz w:val="25"/>
                <w:szCs w:val="25"/>
              </w:rPr>
            </w:pPr>
            <w:r w:rsidRPr="001246D3">
              <w:rPr>
                <w:sz w:val="25"/>
                <w:szCs w:val="25"/>
              </w:rPr>
              <w:t>WASHINGTON UTILITIES AND TRANSPORTATION COMMISSION,</w:t>
            </w:r>
          </w:p>
          <w:p w14:paraId="76620F55" w14:textId="77777777" w:rsidR="00470D0C" w:rsidRPr="001246D3" w:rsidRDefault="00470D0C" w:rsidP="0028219C">
            <w:pPr>
              <w:spacing w:line="264" w:lineRule="auto"/>
              <w:rPr>
                <w:sz w:val="25"/>
                <w:szCs w:val="25"/>
              </w:rPr>
            </w:pPr>
          </w:p>
          <w:p w14:paraId="2AF33627" w14:textId="77777777" w:rsidR="00470D0C" w:rsidRPr="001246D3" w:rsidRDefault="00470D0C" w:rsidP="00470D0C">
            <w:pPr>
              <w:tabs>
                <w:tab w:val="left" w:pos="2145"/>
              </w:tabs>
              <w:spacing w:line="264" w:lineRule="auto"/>
              <w:rPr>
                <w:sz w:val="25"/>
                <w:szCs w:val="25"/>
              </w:rPr>
            </w:pPr>
            <w:r w:rsidRPr="001246D3">
              <w:rPr>
                <w:sz w:val="25"/>
                <w:szCs w:val="25"/>
              </w:rPr>
              <w:tab/>
              <w:t>Complainant,</w:t>
            </w:r>
          </w:p>
          <w:p w14:paraId="4F713CD3" w14:textId="77777777" w:rsidR="00470D0C" w:rsidRPr="001246D3" w:rsidRDefault="00470D0C" w:rsidP="00470D0C">
            <w:pPr>
              <w:tabs>
                <w:tab w:val="left" w:pos="2145"/>
              </w:tabs>
              <w:spacing w:line="264" w:lineRule="auto"/>
              <w:rPr>
                <w:sz w:val="25"/>
                <w:szCs w:val="25"/>
              </w:rPr>
            </w:pPr>
          </w:p>
          <w:p w14:paraId="46374F81" w14:textId="77777777" w:rsidR="00470D0C" w:rsidRPr="001246D3" w:rsidRDefault="00470D0C" w:rsidP="00470D0C">
            <w:pPr>
              <w:tabs>
                <w:tab w:val="left" w:pos="2145"/>
              </w:tabs>
              <w:spacing w:line="264" w:lineRule="auto"/>
              <w:rPr>
                <w:sz w:val="25"/>
                <w:szCs w:val="25"/>
              </w:rPr>
            </w:pPr>
            <w:r w:rsidRPr="001246D3">
              <w:rPr>
                <w:sz w:val="25"/>
                <w:szCs w:val="25"/>
              </w:rPr>
              <w:t>v.</w:t>
            </w:r>
          </w:p>
          <w:p w14:paraId="52F1F46F" w14:textId="77777777" w:rsidR="00470D0C" w:rsidRPr="001246D3" w:rsidRDefault="00470D0C" w:rsidP="00470D0C">
            <w:pPr>
              <w:tabs>
                <w:tab w:val="left" w:pos="2145"/>
              </w:tabs>
              <w:spacing w:line="264" w:lineRule="auto"/>
              <w:rPr>
                <w:sz w:val="25"/>
                <w:szCs w:val="25"/>
              </w:rPr>
            </w:pPr>
          </w:p>
          <w:p w14:paraId="273B27BC" w14:textId="77777777" w:rsidR="00470D0C" w:rsidRPr="001246D3" w:rsidRDefault="00470D0C" w:rsidP="00470D0C">
            <w:pPr>
              <w:tabs>
                <w:tab w:val="left" w:pos="2145"/>
              </w:tabs>
              <w:spacing w:line="264" w:lineRule="auto"/>
              <w:rPr>
                <w:sz w:val="25"/>
                <w:szCs w:val="25"/>
              </w:rPr>
            </w:pPr>
            <w:r w:rsidRPr="001246D3">
              <w:rPr>
                <w:sz w:val="25"/>
                <w:szCs w:val="25"/>
              </w:rPr>
              <w:t>PACIFIC POWER &amp; LIGHT COMPANY,</w:t>
            </w:r>
          </w:p>
          <w:p w14:paraId="23700FDF" w14:textId="77777777" w:rsidR="00470D0C" w:rsidRPr="001246D3" w:rsidRDefault="00470D0C" w:rsidP="00470D0C">
            <w:pPr>
              <w:tabs>
                <w:tab w:val="left" w:pos="2145"/>
              </w:tabs>
              <w:spacing w:line="264" w:lineRule="auto"/>
              <w:rPr>
                <w:sz w:val="25"/>
                <w:szCs w:val="25"/>
              </w:rPr>
            </w:pPr>
          </w:p>
          <w:p w14:paraId="1D1D96CF" w14:textId="77777777" w:rsidR="00000B79" w:rsidRDefault="00470D0C" w:rsidP="00000B79">
            <w:pPr>
              <w:tabs>
                <w:tab w:val="left" w:pos="2145"/>
              </w:tabs>
              <w:spacing w:line="264" w:lineRule="auto"/>
              <w:rPr>
                <w:sz w:val="25"/>
                <w:szCs w:val="25"/>
              </w:rPr>
            </w:pPr>
            <w:r w:rsidRPr="001246D3">
              <w:rPr>
                <w:sz w:val="25"/>
                <w:szCs w:val="25"/>
              </w:rPr>
              <w:tab/>
              <w:t>Respondent.</w:t>
            </w:r>
            <w:r w:rsidR="009D0E94">
              <w:rPr>
                <w:sz w:val="25"/>
                <w:szCs w:val="25"/>
              </w:rPr>
              <w:t xml:space="preserve">     </w:t>
            </w:r>
            <w:r w:rsidR="00F27132" w:rsidRPr="001246D3">
              <w:rPr>
                <w:sz w:val="25"/>
                <w:szCs w:val="25"/>
              </w:rPr>
              <w:t xml:space="preserve"> </w:t>
            </w:r>
          </w:p>
          <w:p w14:paraId="132F50E7" w14:textId="77777777" w:rsidR="00F27132" w:rsidRPr="001246D3" w:rsidRDefault="00F27132" w:rsidP="00000B79">
            <w:pPr>
              <w:tabs>
                <w:tab w:val="left" w:pos="2145"/>
              </w:tabs>
              <w:spacing w:line="264" w:lineRule="auto"/>
              <w:ind w:right="-258"/>
              <w:rPr>
                <w:sz w:val="25"/>
                <w:szCs w:val="25"/>
              </w:rPr>
            </w:pPr>
            <w:r w:rsidRPr="001246D3">
              <w:rPr>
                <w:sz w:val="25"/>
                <w:szCs w:val="25"/>
              </w:rPr>
              <w:t xml:space="preserve">. . . . . . . . . . . . . . . . . . . . . . </w:t>
            </w:r>
            <w:r w:rsidR="00000B79">
              <w:rPr>
                <w:sz w:val="25"/>
                <w:szCs w:val="25"/>
              </w:rPr>
              <w:t xml:space="preserve">. . . . . . . . . . . </w:t>
            </w:r>
          </w:p>
        </w:tc>
        <w:tc>
          <w:tcPr>
            <w:tcW w:w="240" w:type="dxa"/>
          </w:tcPr>
          <w:p w14:paraId="193F6F42" w14:textId="77777777" w:rsidR="00F27132" w:rsidRPr="001246D3" w:rsidRDefault="00F27132" w:rsidP="0028219C">
            <w:pPr>
              <w:pStyle w:val="BodyText"/>
              <w:spacing w:line="264" w:lineRule="auto"/>
              <w:rPr>
                <w:rFonts w:ascii="Times New Roman" w:hAnsi="Times New Roman"/>
                <w:sz w:val="25"/>
                <w:szCs w:val="25"/>
              </w:rPr>
            </w:pPr>
            <w:r w:rsidRPr="001246D3">
              <w:rPr>
                <w:rFonts w:ascii="Times New Roman" w:hAnsi="Times New Roman"/>
                <w:sz w:val="25"/>
                <w:szCs w:val="25"/>
              </w:rP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r w:rsidRPr="001246D3">
              <w:rPr>
                <w:rFonts w:ascii="Times New Roman" w:hAnsi="Times New Roman"/>
                <w:sz w:val="25"/>
                <w:szCs w:val="25"/>
              </w:rPr>
              <w:br/>
              <w:t>)</w:t>
            </w:r>
          </w:p>
          <w:p w14:paraId="319BF970" w14:textId="77777777" w:rsidR="009D0E94" w:rsidRDefault="00470D0C" w:rsidP="00000B79">
            <w:pPr>
              <w:pStyle w:val="BodyText"/>
              <w:spacing w:line="264" w:lineRule="auto"/>
              <w:rPr>
                <w:rFonts w:ascii="Times New Roman" w:hAnsi="Times New Roman"/>
                <w:sz w:val="25"/>
                <w:szCs w:val="25"/>
              </w:rPr>
            </w:pPr>
            <w:r w:rsidRPr="001246D3">
              <w:rPr>
                <w:rFonts w:ascii="Times New Roman" w:hAnsi="Times New Roman"/>
                <w:sz w:val="25"/>
                <w:szCs w:val="25"/>
              </w:rPr>
              <w:t>)</w:t>
            </w:r>
          </w:p>
          <w:p w14:paraId="47BD1BF2" w14:textId="77777777" w:rsidR="00000B79" w:rsidRPr="001246D3" w:rsidRDefault="00000B79" w:rsidP="009D0E94">
            <w:pPr>
              <w:pStyle w:val="BodyText"/>
              <w:spacing w:line="264" w:lineRule="auto"/>
              <w:rPr>
                <w:rFonts w:ascii="Times New Roman" w:hAnsi="Times New Roman"/>
                <w:sz w:val="25"/>
                <w:szCs w:val="25"/>
              </w:rPr>
            </w:pPr>
            <w:r>
              <w:rPr>
                <w:rFonts w:ascii="Times New Roman" w:hAnsi="Times New Roman"/>
                <w:sz w:val="25"/>
                <w:szCs w:val="25"/>
              </w:rPr>
              <w:t>)</w:t>
            </w:r>
          </w:p>
        </w:tc>
        <w:tc>
          <w:tcPr>
            <w:tcW w:w="3997" w:type="dxa"/>
          </w:tcPr>
          <w:p w14:paraId="3CE60016" w14:textId="77777777" w:rsidR="00F27132" w:rsidRDefault="003F2878" w:rsidP="0028219C">
            <w:pPr>
              <w:spacing w:line="264" w:lineRule="auto"/>
              <w:rPr>
                <w:sz w:val="25"/>
                <w:szCs w:val="25"/>
              </w:rPr>
            </w:pPr>
            <w:r w:rsidRPr="001246D3">
              <w:rPr>
                <w:sz w:val="25"/>
                <w:szCs w:val="25"/>
              </w:rPr>
              <w:t>DOCKET</w:t>
            </w:r>
            <w:r w:rsidR="0061551C">
              <w:rPr>
                <w:sz w:val="25"/>
                <w:szCs w:val="25"/>
              </w:rPr>
              <w:t>S</w:t>
            </w:r>
            <w:r w:rsidR="00F27132" w:rsidRPr="001246D3">
              <w:rPr>
                <w:sz w:val="25"/>
                <w:szCs w:val="25"/>
              </w:rPr>
              <w:t xml:space="preserve"> </w:t>
            </w:r>
            <w:r w:rsidR="00DE0D92" w:rsidRPr="001246D3">
              <w:rPr>
                <w:sz w:val="25"/>
                <w:szCs w:val="25"/>
              </w:rPr>
              <w:t>UE-</w:t>
            </w:r>
            <w:r w:rsidR="003D6FD9">
              <w:rPr>
                <w:sz w:val="25"/>
                <w:szCs w:val="25"/>
              </w:rPr>
              <w:t>1</w:t>
            </w:r>
            <w:r w:rsidR="00C83234">
              <w:rPr>
                <w:sz w:val="25"/>
                <w:szCs w:val="25"/>
              </w:rPr>
              <w:t>40762</w:t>
            </w:r>
            <w:r w:rsidR="000B111C">
              <w:rPr>
                <w:sz w:val="25"/>
                <w:szCs w:val="25"/>
              </w:rPr>
              <w:t>,</w:t>
            </w:r>
            <w:r w:rsidR="007855E4">
              <w:rPr>
                <w:sz w:val="25"/>
                <w:szCs w:val="25"/>
              </w:rPr>
              <w:t xml:space="preserve"> </w:t>
            </w:r>
            <w:r w:rsidR="008A0E7F">
              <w:rPr>
                <w:sz w:val="25"/>
                <w:szCs w:val="25"/>
              </w:rPr>
              <w:t>UE-140617</w:t>
            </w:r>
            <w:r w:rsidR="000B111C">
              <w:rPr>
                <w:sz w:val="25"/>
                <w:szCs w:val="25"/>
              </w:rPr>
              <w:t>, UE-131384, and UE-140094</w:t>
            </w:r>
            <w:r w:rsidR="0061551C">
              <w:rPr>
                <w:sz w:val="25"/>
                <w:szCs w:val="25"/>
              </w:rPr>
              <w:t xml:space="preserve"> (consolidated)</w:t>
            </w:r>
          </w:p>
          <w:p w14:paraId="5E9E186B" w14:textId="77777777" w:rsidR="008A0E7F" w:rsidRDefault="008A0E7F" w:rsidP="0028219C">
            <w:pPr>
              <w:spacing w:line="264" w:lineRule="auto"/>
              <w:rPr>
                <w:sz w:val="25"/>
                <w:szCs w:val="25"/>
              </w:rPr>
            </w:pPr>
          </w:p>
          <w:p w14:paraId="721BA533" w14:textId="77777777" w:rsidR="0061551C" w:rsidRDefault="0061551C" w:rsidP="0028219C">
            <w:pPr>
              <w:spacing w:line="264" w:lineRule="auto"/>
              <w:rPr>
                <w:sz w:val="25"/>
                <w:szCs w:val="25"/>
              </w:rPr>
            </w:pPr>
          </w:p>
          <w:p w14:paraId="299D77AF" w14:textId="77777777" w:rsidR="008A0E7F" w:rsidRDefault="008A0E7F" w:rsidP="0028219C">
            <w:pPr>
              <w:spacing w:line="264" w:lineRule="auto"/>
              <w:rPr>
                <w:sz w:val="25"/>
                <w:szCs w:val="25"/>
              </w:rPr>
            </w:pPr>
            <w:r>
              <w:rPr>
                <w:sz w:val="25"/>
                <w:szCs w:val="25"/>
              </w:rPr>
              <w:t>ORDER 0</w:t>
            </w:r>
            <w:r w:rsidR="002441C0">
              <w:rPr>
                <w:sz w:val="25"/>
                <w:szCs w:val="25"/>
              </w:rPr>
              <w:t>7</w:t>
            </w:r>
          </w:p>
          <w:p w14:paraId="19054C9E" w14:textId="77777777" w:rsidR="008A0E7F" w:rsidRPr="001246D3" w:rsidRDefault="008A0E7F" w:rsidP="0028219C">
            <w:pPr>
              <w:spacing w:line="264" w:lineRule="auto"/>
              <w:rPr>
                <w:sz w:val="25"/>
                <w:szCs w:val="25"/>
              </w:rPr>
            </w:pPr>
          </w:p>
          <w:p w14:paraId="7B590D48" w14:textId="77777777" w:rsidR="0061551C" w:rsidRDefault="0061551C" w:rsidP="008B18B3">
            <w:pPr>
              <w:spacing w:line="264" w:lineRule="auto"/>
              <w:rPr>
                <w:sz w:val="25"/>
                <w:szCs w:val="25"/>
              </w:rPr>
            </w:pPr>
          </w:p>
          <w:p w14:paraId="225F72BA" w14:textId="77777777" w:rsidR="00F27132" w:rsidRPr="001246D3" w:rsidRDefault="007B1F57" w:rsidP="007B1F57">
            <w:pPr>
              <w:spacing w:line="264" w:lineRule="auto"/>
              <w:rPr>
                <w:sz w:val="25"/>
                <w:szCs w:val="25"/>
              </w:rPr>
            </w:pPr>
            <w:r>
              <w:rPr>
                <w:sz w:val="25"/>
                <w:szCs w:val="25"/>
              </w:rPr>
              <w:t>DENYING BOISE WHITE PAPER L.L.C</w:t>
            </w:r>
            <w:r w:rsidR="0061551C">
              <w:rPr>
                <w:sz w:val="25"/>
                <w:szCs w:val="25"/>
              </w:rPr>
              <w:t>’S</w:t>
            </w:r>
            <w:r w:rsidR="009D0E94">
              <w:rPr>
                <w:sz w:val="25"/>
                <w:szCs w:val="25"/>
              </w:rPr>
              <w:t xml:space="preserve"> MOTION </w:t>
            </w:r>
            <w:r>
              <w:rPr>
                <w:sz w:val="25"/>
                <w:szCs w:val="25"/>
              </w:rPr>
              <w:t>TO STRIKE</w:t>
            </w:r>
            <w:r w:rsidR="009D0E94">
              <w:rPr>
                <w:sz w:val="25"/>
                <w:szCs w:val="25"/>
              </w:rPr>
              <w:t xml:space="preserve"> TESTIMONY</w:t>
            </w:r>
          </w:p>
        </w:tc>
      </w:tr>
    </w:tbl>
    <w:p w14:paraId="0364A841" w14:textId="77777777" w:rsidR="007E60F8" w:rsidRPr="001246D3" w:rsidRDefault="007E60F8">
      <w:pPr>
        <w:jc w:val="center"/>
        <w:rPr>
          <w:sz w:val="25"/>
          <w:szCs w:val="25"/>
        </w:rPr>
      </w:pPr>
    </w:p>
    <w:p w14:paraId="47978946" w14:textId="77777777" w:rsidR="00F27132" w:rsidRPr="00D706D0" w:rsidRDefault="009D0E94" w:rsidP="00855C53">
      <w:pPr>
        <w:spacing w:line="264" w:lineRule="auto"/>
        <w:jc w:val="center"/>
        <w:rPr>
          <w:b/>
          <w:sz w:val="25"/>
          <w:szCs w:val="25"/>
          <w:u w:val="single"/>
        </w:rPr>
      </w:pPr>
      <w:r w:rsidRPr="00D706D0">
        <w:rPr>
          <w:b/>
          <w:sz w:val="25"/>
          <w:szCs w:val="25"/>
          <w:u w:val="single"/>
        </w:rPr>
        <w:t>MEMORANDUM</w:t>
      </w:r>
    </w:p>
    <w:p w14:paraId="1B7A1D18" w14:textId="77777777" w:rsidR="00F27132" w:rsidRDefault="00F27132" w:rsidP="00855C53">
      <w:pPr>
        <w:spacing w:line="264" w:lineRule="auto"/>
        <w:jc w:val="center"/>
        <w:rPr>
          <w:sz w:val="25"/>
          <w:szCs w:val="25"/>
        </w:rPr>
      </w:pPr>
    </w:p>
    <w:p w14:paraId="36BAF351" w14:textId="77777777" w:rsidR="00875CB6" w:rsidRDefault="009D0E94" w:rsidP="00875CB6">
      <w:pPr>
        <w:numPr>
          <w:ilvl w:val="0"/>
          <w:numId w:val="1"/>
        </w:numPr>
        <w:spacing w:line="264" w:lineRule="auto"/>
        <w:rPr>
          <w:sz w:val="25"/>
          <w:szCs w:val="25"/>
        </w:rPr>
      </w:pPr>
      <w:r>
        <w:rPr>
          <w:sz w:val="25"/>
          <w:szCs w:val="25"/>
        </w:rPr>
        <w:t xml:space="preserve">On </w:t>
      </w:r>
      <w:r w:rsidR="007B1F57">
        <w:rPr>
          <w:sz w:val="25"/>
          <w:szCs w:val="25"/>
        </w:rPr>
        <w:t>Novem</w:t>
      </w:r>
      <w:r>
        <w:rPr>
          <w:sz w:val="25"/>
          <w:szCs w:val="25"/>
        </w:rPr>
        <w:t xml:space="preserve">ber 20, 2014, </w:t>
      </w:r>
      <w:r w:rsidR="007B1F57">
        <w:rPr>
          <w:sz w:val="25"/>
          <w:szCs w:val="25"/>
        </w:rPr>
        <w:t>Boise White Paper, L.L.C. (Boise White Paper)</w:t>
      </w:r>
      <w:r>
        <w:rPr>
          <w:sz w:val="25"/>
          <w:szCs w:val="25"/>
        </w:rPr>
        <w:t xml:space="preserve"> filed its Motion </w:t>
      </w:r>
      <w:r w:rsidR="007B1F57">
        <w:rPr>
          <w:sz w:val="25"/>
          <w:szCs w:val="25"/>
        </w:rPr>
        <w:t>to strike certain rebuttal t</w:t>
      </w:r>
      <w:r>
        <w:rPr>
          <w:sz w:val="25"/>
          <w:szCs w:val="25"/>
        </w:rPr>
        <w:t xml:space="preserve">estimony </w:t>
      </w:r>
      <w:r w:rsidR="007B1F57">
        <w:rPr>
          <w:sz w:val="25"/>
          <w:szCs w:val="25"/>
        </w:rPr>
        <w:t>filed by Pacifi</w:t>
      </w:r>
      <w:r w:rsidR="00AD07C3">
        <w:rPr>
          <w:sz w:val="25"/>
          <w:szCs w:val="25"/>
        </w:rPr>
        <w:t>c Power</w:t>
      </w:r>
      <w:r w:rsidR="007B1F57">
        <w:rPr>
          <w:sz w:val="25"/>
          <w:szCs w:val="25"/>
        </w:rPr>
        <w:t xml:space="preserve"> witness Cindy A. Crane</w:t>
      </w:r>
      <w:r>
        <w:rPr>
          <w:sz w:val="25"/>
          <w:szCs w:val="25"/>
        </w:rPr>
        <w:t xml:space="preserve">.  </w:t>
      </w:r>
      <w:r w:rsidR="007B1F57">
        <w:rPr>
          <w:sz w:val="25"/>
          <w:szCs w:val="25"/>
        </w:rPr>
        <w:t xml:space="preserve">The motion asks the </w:t>
      </w:r>
      <w:r w:rsidR="007855E4">
        <w:rPr>
          <w:sz w:val="25"/>
          <w:szCs w:val="25"/>
        </w:rPr>
        <w:t>Washington Utilities and Transportation Commission (</w:t>
      </w:r>
      <w:r w:rsidR="007B1F57">
        <w:rPr>
          <w:sz w:val="25"/>
          <w:szCs w:val="25"/>
        </w:rPr>
        <w:t>Commission</w:t>
      </w:r>
      <w:r w:rsidR="007855E4">
        <w:rPr>
          <w:sz w:val="25"/>
          <w:szCs w:val="25"/>
        </w:rPr>
        <w:t>)</w:t>
      </w:r>
      <w:r w:rsidR="007B1F57">
        <w:rPr>
          <w:sz w:val="25"/>
          <w:szCs w:val="25"/>
        </w:rPr>
        <w:t xml:space="preserve"> “</w:t>
      </w:r>
      <w:r w:rsidR="007B1F57" w:rsidRPr="007B1F57">
        <w:rPr>
          <w:sz w:val="25"/>
          <w:szCs w:val="25"/>
        </w:rPr>
        <w:t>to strike all portions of the Confidential Rebuttal Testimony of Cindy A. Crane reflecting updated fuel prices and volumes associated with the coal supplied by the Black Butte mine (</w:t>
      </w:r>
      <w:r w:rsidR="007B1F57">
        <w:rPr>
          <w:sz w:val="25"/>
          <w:szCs w:val="25"/>
        </w:rPr>
        <w:t>‘</w:t>
      </w:r>
      <w:r w:rsidR="007B1F57" w:rsidRPr="007B1F57">
        <w:rPr>
          <w:sz w:val="25"/>
          <w:szCs w:val="25"/>
        </w:rPr>
        <w:t>Black Butte</w:t>
      </w:r>
      <w:r w:rsidR="007B1F57">
        <w:rPr>
          <w:sz w:val="25"/>
          <w:szCs w:val="25"/>
        </w:rPr>
        <w:t>’</w:t>
      </w:r>
      <w:r w:rsidR="007B1F57" w:rsidRPr="007B1F57">
        <w:rPr>
          <w:sz w:val="25"/>
          <w:szCs w:val="25"/>
        </w:rPr>
        <w:t>) and the Bridger Coal Company (</w:t>
      </w:r>
      <w:r w:rsidR="007B1F57">
        <w:rPr>
          <w:sz w:val="25"/>
          <w:szCs w:val="25"/>
        </w:rPr>
        <w:t>‘</w:t>
      </w:r>
      <w:r w:rsidR="007B1F57" w:rsidRPr="007B1F57">
        <w:rPr>
          <w:sz w:val="25"/>
          <w:szCs w:val="25"/>
        </w:rPr>
        <w:t>BCC</w:t>
      </w:r>
      <w:r w:rsidR="007B1F57">
        <w:rPr>
          <w:sz w:val="25"/>
          <w:szCs w:val="25"/>
        </w:rPr>
        <w:t>’</w:t>
      </w:r>
      <w:r w:rsidR="007B1F57" w:rsidRPr="007B1F57">
        <w:rPr>
          <w:sz w:val="25"/>
          <w:szCs w:val="25"/>
        </w:rPr>
        <w:t>) to fuel the Jim Bridger coal-fired generating plant (</w:t>
      </w:r>
      <w:r w:rsidR="007B1F57">
        <w:rPr>
          <w:sz w:val="25"/>
          <w:szCs w:val="25"/>
        </w:rPr>
        <w:t>‘</w:t>
      </w:r>
      <w:r w:rsidR="007B1F57" w:rsidRPr="007B1F57">
        <w:rPr>
          <w:sz w:val="25"/>
          <w:szCs w:val="25"/>
        </w:rPr>
        <w:t>Bridger</w:t>
      </w:r>
      <w:r w:rsidR="007B1F57">
        <w:rPr>
          <w:sz w:val="25"/>
          <w:szCs w:val="25"/>
        </w:rPr>
        <w:t>’</w:t>
      </w:r>
      <w:r w:rsidR="007B1F57" w:rsidRPr="007B1F57">
        <w:rPr>
          <w:sz w:val="25"/>
          <w:szCs w:val="25"/>
        </w:rPr>
        <w:t>).</w:t>
      </w:r>
      <w:r w:rsidR="007B1F57">
        <w:rPr>
          <w:sz w:val="25"/>
          <w:szCs w:val="25"/>
        </w:rPr>
        <w:t>”</w:t>
      </w:r>
      <w:r w:rsidR="00875CB6">
        <w:rPr>
          <w:sz w:val="25"/>
          <w:szCs w:val="25"/>
        </w:rPr>
        <w:t xml:space="preserve">  Boise White Paper asserts that: </w:t>
      </w:r>
    </w:p>
    <w:p w14:paraId="3D153CD9" w14:textId="77777777" w:rsidR="00875CB6" w:rsidRDefault="00875CB6" w:rsidP="00875CB6">
      <w:pPr>
        <w:spacing w:line="264" w:lineRule="auto"/>
        <w:rPr>
          <w:sz w:val="25"/>
          <w:szCs w:val="25"/>
        </w:rPr>
      </w:pPr>
    </w:p>
    <w:p w14:paraId="72CC232D" w14:textId="77777777" w:rsidR="00875CB6" w:rsidRDefault="00875CB6" w:rsidP="00875CB6">
      <w:pPr>
        <w:ind w:left="720" w:right="720"/>
        <w:rPr>
          <w:sz w:val="25"/>
          <w:szCs w:val="25"/>
        </w:rPr>
      </w:pPr>
      <w:r w:rsidRPr="00875CB6">
        <w:rPr>
          <w:sz w:val="25"/>
          <w:szCs w:val="25"/>
        </w:rPr>
        <w:t>PacifiCorp</w:t>
      </w:r>
      <w:r w:rsidR="00AD07C3">
        <w:rPr>
          <w:rStyle w:val="FootnoteReference"/>
          <w:sz w:val="25"/>
          <w:szCs w:val="25"/>
        </w:rPr>
        <w:footnoteReference w:id="1"/>
      </w:r>
      <w:r w:rsidRPr="00875CB6">
        <w:rPr>
          <w:sz w:val="25"/>
          <w:szCs w:val="25"/>
        </w:rPr>
        <w:t xml:space="preserve"> has intentionally prejudiced other parties by withholding coal expense revisions until the filing of rebuttal testimony, thereby, preventing other parties a reasonable opportunity to fairly analyze and respond to known, significant NPC adjustments.</w:t>
      </w:r>
      <w:r>
        <w:rPr>
          <w:sz w:val="25"/>
          <w:szCs w:val="25"/>
        </w:rPr>
        <w:t xml:space="preserve">   . . . </w:t>
      </w:r>
    </w:p>
    <w:p w14:paraId="1C6E6717" w14:textId="77777777" w:rsidR="00875CB6" w:rsidRDefault="00875CB6" w:rsidP="00875CB6">
      <w:pPr>
        <w:ind w:left="720" w:right="720"/>
        <w:rPr>
          <w:sz w:val="25"/>
          <w:szCs w:val="25"/>
        </w:rPr>
      </w:pPr>
    </w:p>
    <w:p w14:paraId="5275AD01" w14:textId="77777777" w:rsidR="00875CB6" w:rsidRDefault="00875CB6" w:rsidP="00875CB6">
      <w:pPr>
        <w:ind w:left="720" w:right="720"/>
        <w:rPr>
          <w:sz w:val="25"/>
          <w:szCs w:val="25"/>
        </w:rPr>
      </w:pPr>
      <w:r w:rsidRPr="00875CB6">
        <w:rPr>
          <w:sz w:val="25"/>
          <w:szCs w:val="25"/>
        </w:rPr>
        <w:t>Revised prices and volumes associated with Black Butte and BCC have been known to the Company for several months, as evinced by the testimony of Ms. Crane.  The Company’s decision to withhold such information until a month prior to the hearing date, during the final round of scheduled testimony, appears to demonstrate an intent to disadvantage other parties in their ability to respond.</w:t>
      </w:r>
    </w:p>
    <w:p w14:paraId="077ADC6E" w14:textId="77777777" w:rsidR="00875CB6" w:rsidRPr="00875CB6" w:rsidRDefault="00875CB6" w:rsidP="00875CB6">
      <w:pPr>
        <w:ind w:left="720" w:right="720"/>
        <w:rPr>
          <w:sz w:val="25"/>
          <w:szCs w:val="25"/>
        </w:rPr>
      </w:pPr>
    </w:p>
    <w:p w14:paraId="0F670C01" w14:textId="77777777" w:rsidR="00BE269B" w:rsidRDefault="00875CB6" w:rsidP="00875CB6">
      <w:pPr>
        <w:spacing w:line="264" w:lineRule="auto"/>
        <w:rPr>
          <w:sz w:val="25"/>
          <w:szCs w:val="25"/>
        </w:rPr>
      </w:pPr>
      <w:r>
        <w:rPr>
          <w:sz w:val="25"/>
          <w:szCs w:val="25"/>
        </w:rPr>
        <w:t>According to Boise White Paper, the coal price increases in question “resulted from events occurring in the two months following PacifiCorp’s GRC filing” and PacifiCorp should have filed revised testimony at that time, four to five months prior to the date for rebuttal.  Boise White Paper contrasts these allegations</w:t>
      </w:r>
      <w:r w:rsidR="002441C0">
        <w:rPr>
          <w:sz w:val="25"/>
          <w:szCs w:val="25"/>
        </w:rPr>
        <w:t xml:space="preserve"> about Bridger coal supply costs</w:t>
      </w:r>
      <w:r>
        <w:rPr>
          <w:sz w:val="25"/>
          <w:szCs w:val="25"/>
        </w:rPr>
        <w:t xml:space="preserve"> to the update in Ms. Crane’s </w:t>
      </w:r>
      <w:r w:rsidR="00BE269B">
        <w:rPr>
          <w:sz w:val="25"/>
          <w:szCs w:val="25"/>
        </w:rPr>
        <w:t xml:space="preserve">rebuttal </w:t>
      </w:r>
      <w:r>
        <w:rPr>
          <w:sz w:val="25"/>
          <w:szCs w:val="25"/>
        </w:rPr>
        <w:t>testimony increasing Colstrip coal supply prices, to which Boise White Paper has no objection,</w:t>
      </w:r>
      <w:r w:rsidR="009A076A">
        <w:rPr>
          <w:sz w:val="25"/>
          <w:szCs w:val="25"/>
        </w:rPr>
        <w:t xml:space="preserve"> at least insofar as timing is concerned</w:t>
      </w:r>
      <w:r w:rsidR="002441C0">
        <w:rPr>
          <w:sz w:val="25"/>
          <w:szCs w:val="25"/>
        </w:rPr>
        <w:t>.  Boise White Paper states</w:t>
      </w:r>
      <w:r w:rsidR="00BE269B">
        <w:rPr>
          <w:sz w:val="25"/>
          <w:szCs w:val="25"/>
        </w:rPr>
        <w:t xml:space="preserve"> that the “Colstrip increases were based on a mine operating plan updated only one month” prior to the date for rebuttal testimony.</w:t>
      </w:r>
    </w:p>
    <w:p w14:paraId="7F4443FF" w14:textId="77777777" w:rsidR="00875CB6" w:rsidRDefault="00875CB6" w:rsidP="00875CB6">
      <w:pPr>
        <w:spacing w:line="264" w:lineRule="auto"/>
        <w:rPr>
          <w:sz w:val="25"/>
          <w:szCs w:val="25"/>
        </w:rPr>
      </w:pPr>
      <w:r>
        <w:rPr>
          <w:sz w:val="25"/>
          <w:szCs w:val="25"/>
        </w:rPr>
        <w:t xml:space="preserve"> </w:t>
      </w:r>
    </w:p>
    <w:p w14:paraId="78F19255" w14:textId="77777777" w:rsidR="00875CB6" w:rsidRDefault="00AD07C3" w:rsidP="009D0E94">
      <w:pPr>
        <w:numPr>
          <w:ilvl w:val="0"/>
          <w:numId w:val="1"/>
        </w:numPr>
        <w:spacing w:line="264" w:lineRule="auto"/>
        <w:rPr>
          <w:sz w:val="25"/>
          <w:szCs w:val="25"/>
        </w:rPr>
      </w:pPr>
      <w:r>
        <w:rPr>
          <w:sz w:val="25"/>
          <w:szCs w:val="25"/>
        </w:rPr>
        <w:t>Pacific Power filed its response opposing Boise White Paper’s motion on November 25, 2014.</w:t>
      </w:r>
      <w:r w:rsidR="009A076A">
        <w:rPr>
          <w:sz w:val="25"/>
          <w:szCs w:val="25"/>
        </w:rPr>
        <w:t xml:space="preserve">  The Company disputes Boise White Paper’s allegations that it intentionally postponed its update to Bridger coal supply costs in an effort to prejudice other parties.  Citing Ms. Crane’s declaration, filed with its response, Pacific Power states that “the results of the Bridger coal supply RFP that produced a new coal supply agreement from Black Butte Mine, and the related Union Pacific transportation agreement, were finalized in early November 2014.”</w:t>
      </w:r>
      <w:r w:rsidR="0021722F">
        <w:rPr>
          <w:sz w:val="25"/>
          <w:szCs w:val="25"/>
        </w:rPr>
        <w:t xml:space="preserve">  That is, “the Bridger coal cost update was not final until after the Colstrip coal cost update.”  Thus, Pacific Power reasons, if the timing of the Colstrip update that is part of the Company’s rebuttal testimony is not objectionable, then the timing of the Bridger coal update also should not be objectionable</w:t>
      </w:r>
      <w:r w:rsidR="002441C0">
        <w:rPr>
          <w:sz w:val="25"/>
          <w:szCs w:val="25"/>
        </w:rPr>
        <w:t>,</w:t>
      </w:r>
      <w:r w:rsidR="0021722F">
        <w:rPr>
          <w:sz w:val="25"/>
          <w:szCs w:val="25"/>
        </w:rPr>
        <w:t xml:space="preserve"> and cannot be said to be prejudicial.</w:t>
      </w:r>
      <w:r w:rsidR="009A076A">
        <w:rPr>
          <w:sz w:val="25"/>
          <w:szCs w:val="25"/>
        </w:rPr>
        <w:t xml:space="preserve"> </w:t>
      </w:r>
    </w:p>
    <w:p w14:paraId="6687BB17" w14:textId="77777777" w:rsidR="009D0E94" w:rsidRDefault="009D0E94" w:rsidP="009D0E94">
      <w:pPr>
        <w:spacing w:line="264" w:lineRule="auto"/>
        <w:rPr>
          <w:sz w:val="25"/>
          <w:szCs w:val="25"/>
        </w:rPr>
      </w:pPr>
    </w:p>
    <w:p w14:paraId="00215712" w14:textId="77777777" w:rsidR="0021722F" w:rsidRDefault="0021722F" w:rsidP="009D0E94">
      <w:pPr>
        <w:numPr>
          <w:ilvl w:val="0"/>
          <w:numId w:val="1"/>
        </w:numPr>
        <w:spacing w:line="264" w:lineRule="auto"/>
        <w:rPr>
          <w:sz w:val="25"/>
          <w:szCs w:val="25"/>
        </w:rPr>
      </w:pPr>
      <w:r>
        <w:rPr>
          <w:sz w:val="25"/>
          <w:szCs w:val="25"/>
        </w:rPr>
        <w:t>Boise White Paper filed a motion for leave to file a reply to Pacific Power’s response, accompanied by its reply.  The Commission grants the motion and the reply is considered here along with the original motion to strike and the Company’s response.  We are struck by two points</w:t>
      </w:r>
      <w:r w:rsidR="002441C0">
        <w:rPr>
          <w:sz w:val="25"/>
          <w:szCs w:val="25"/>
        </w:rPr>
        <w:t xml:space="preserve"> in the reply</w:t>
      </w:r>
      <w:r>
        <w:rPr>
          <w:sz w:val="25"/>
          <w:szCs w:val="25"/>
        </w:rPr>
        <w:t>.  First, Boise White Paper does no</w:t>
      </w:r>
      <w:r w:rsidR="00561AC4">
        <w:rPr>
          <w:sz w:val="25"/>
          <w:szCs w:val="25"/>
        </w:rPr>
        <w:t>t satisfactorily respond to the Company’s explanation that</w:t>
      </w:r>
      <w:r w:rsidR="002441C0">
        <w:rPr>
          <w:sz w:val="25"/>
          <w:szCs w:val="25"/>
        </w:rPr>
        <w:t xml:space="preserve"> </w:t>
      </w:r>
      <w:r w:rsidR="00561AC4">
        <w:rPr>
          <w:sz w:val="25"/>
          <w:szCs w:val="25"/>
        </w:rPr>
        <w:t>the Bridger coal supply cost data were not reliably known and measurable until November 2014, after the Colstrip data became available and shortly before the rebuttal testimony was due.  Calling this explanation “woefully hollow” and juxtaposing the Company’s effort to provide the Commission with reliable power cost data against the allegedly “materially imprecise or inaccurately reported” cost information concerning Pacific Power’s proposed pro forma capital additions is not a response to Ms. Crane’s sworn declaration.</w:t>
      </w:r>
      <w:r w:rsidR="00AE5572">
        <w:rPr>
          <w:sz w:val="25"/>
          <w:szCs w:val="25"/>
        </w:rPr>
        <w:t xml:space="preserve">  Hyperbole and unproven allegations concerning prefiled evidence on unrelated issues simply are not persuasive of anything.</w:t>
      </w:r>
      <w:r w:rsidR="00561AC4">
        <w:rPr>
          <w:sz w:val="25"/>
          <w:szCs w:val="25"/>
        </w:rPr>
        <w:t xml:space="preserve">  Thus, we cannot reconcile Boise White Papers vociferous arguments </w:t>
      </w:r>
      <w:r w:rsidR="00AE5572">
        <w:rPr>
          <w:sz w:val="25"/>
          <w:szCs w:val="25"/>
        </w:rPr>
        <w:t xml:space="preserve">of prejudice arising from </w:t>
      </w:r>
      <w:r w:rsidR="00561AC4">
        <w:rPr>
          <w:sz w:val="25"/>
          <w:szCs w:val="25"/>
        </w:rPr>
        <w:t xml:space="preserve">the </w:t>
      </w:r>
      <w:r w:rsidR="002441C0">
        <w:rPr>
          <w:sz w:val="25"/>
          <w:szCs w:val="25"/>
        </w:rPr>
        <w:t>rebuttal filing</w:t>
      </w:r>
      <w:r w:rsidR="00561AC4">
        <w:rPr>
          <w:sz w:val="25"/>
          <w:szCs w:val="25"/>
        </w:rPr>
        <w:t xml:space="preserve"> of one update</w:t>
      </w:r>
      <w:r w:rsidR="00AE5572">
        <w:rPr>
          <w:sz w:val="25"/>
          <w:szCs w:val="25"/>
        </w:rPr>
        <w:t xml:space="preserve"> of coal supply costs</w:t>
      </w:r>
      <w:r w:rsidR="00561AC4">
        <w:rPr>
          <w:sz w:val="25"/>
          <w:szCs w:val="25"/>
        </w:rPr>
        <w:t xml:space="preserve"> </w:t>
      </w:r>
      <w:r w:rsidR="00AE5572">
        <w:rPr>
          <w:sz w:val="25"/>
          <w:szCs w:val="25"/>
        </w:rPr>
        <w:t>with its apparent lack of concern over</w:t>
      </w:r>
      <w:r w:rsidR="00561AC4">
        <w:rPr>
          <w:sz w:val="25"/>
          <w:szCs w:val="25"/>
        </w:rPr>
        <w:t xml:space="preserve"> the </w:t>
      </w:r>
      <w:r w:rsidR="002441C0">
        <w:rPr>
          <w:sz w:val="25"/>
          <w:szCs w:val="25"/>
        </w:rPr>
        <w:t>rebuttal filing</w:t>
      </w:r>
      <w:r w:rsidR="00561AC4">
        <w:rPr>
          <w:sz w:val="25"/>
          <w:szCs w:val="25"/>
        </w:rPr>
        <w:t xml:space="preserve"> of the other </w:t>
      </w:r>
      <w:r w:rsidR="00AE5572">
        <w:rPr>
          <w:sz w:val="25"/>
          <w:szCs w:val="25"/>
        </w:rPr>
        <w:t>update of coal supply costs</w:t>
      </w:r>
      <w:r w:rsidR="00561AC4">
        <w:rPr>
          <w:sz w:val="25"/>
          <w:szCs w:val="25"/>
        </w:rPr>
        <w:t>.</w:t>
      </w:r>
    </w:p>
    <w:p w14:paraId="1A160EBB" w14:textId="77777777" w:rsidR="00AE5572" w:rsidRDefault="00AE5572" w:rsidP="00AE5572">
      <w:pPr>
        <w:spacing w:line="264" w:lineRule="auto"/>
        <w:rPr>
          <w:sz w:val="25"/>
          <w:szCs w:val="25"/>
        </w:rPr>
      </w:pPr>
    </w:p>
    <w:p w14:paraId="5B3FD075" w14:textId="77777777" w:rsidR="00AE5572" w:rsidRDefault="00AE5572" w:rsidP="009D0E94">
      <w:pPr>
        <w:numPr>
          <w:ilvl w:val="0"/>
          <w:numId w:val="1"/>
        </w:numPr>
        <w:spacing w:line="264" w:lineRule="auto"/>
        <w:rPr>
          <w:sz w:val="25"/>
          <w:szCs w:val="25"/>
        </w:rPr>
      </w:pPr>
      <w:r>
        <w:rPr>
          <w:sz w:val="25"/>
          <w:szCs w:val="25"/>
        </w:rPr>
        <w:lastRenderedPageBreak/>
        <w:t>Second, Boise White Paper focuses significant attention on the magnitude of the increase in coal supply costs at Bridger</w:t>
      </w:r>
      <w:r w:rsidR="00F848E6">
        <w:rPr>
          <w:sz w:val="25"/>
          <w:szCs w:val="25"/>
        </w:rPr>
        <w:t xml:space="preserve"> and the substantial impact this has on the Company’s net power costs in this proceeding.  These are not reasons to exclude relevant data from the record on which the Commission will determine, on a forward looking basis, what level of net power costs should be included for recovery via Pacific Power’s rates.  Indeed, </w:t>
      </w:r>
      <w:r w:rsidR="00DD5619">
        <w:rPr>
          <w:sz w:val="25"/>
          <w:szCs w:val="25"/>
        </w:rPr>
        <w:t xml:space="preserve">the Commission should not </w:t>
      </w:r>
      <w:r w:rsidR="00F848E6">
        <w:rPr>
          <w:sz w:val="25"/>
          <w:szCs w:val="25"/>
        </w:rPr>
        <w:t>ignor</w:t>
      </w:r>
      <w:r w:rsidR="00DD5619">
        <w:rPr>
          <w:sz w:val="25"/>
          <w:szCs w:val="25"/>
        </w:rPr>
        <w:t>e</w:t>
      </w:r>
      <w:r w:rsidR="00F848E6">
        <w:rPr>
          <w:sz w:val="25"/>
          <w:szCs w:val="25"/>
        </w:rPr>
        <w:t xml:space="preserve"> </w:t>
      </w:r>
      <w:r w:rsidR="00DD5619">
        <w:rPr>
          <w:sz w:val="25"/>
          <w:szCs w:val="25"/>
        </w:rPr>
        <w:t>evidence that a</w:t>
      </w:r>
      <w:r w:rsidR="00F848E6">
        <w:rPr>
          <w:sz w:val="25"/>
          <w:szCs w:val="25"/>
        </w:rPr>
        <w:t xml:space="preserve"> significant increase in the Company’s </w:t>
      </w:r>
      <w:r w:rsidR="00DD5619">
        <w:rPr>
          <w:sz w:val="25"/>
          <w:szCs w:val="25"/>
        </w:rPr>
        <w:t>power costs</w:t>
      </w:r>
      <w:r w:rsidR="00D706D0">
        <w:rPr>
          <w:sz w:val="25"/>
          <w:szCs w:val="25"/>
        </w:rPr>
        <w:t xml:space="preserve"> during the rate year</w:t>
      </w:r>
      <w:r w:rsidR="00DD5619">
        <w:rPr>
          <w:sz w:val="25"/>
          <w:szCs w:val="25"/>
        </w:rPr>
        <w:t xml:space="preserve"> will result from increased fuel supply costs, if these costs are shown to have become reliably known and measurable</w:t>
      </w:r>
      <w:r w:rsidR="00F848E6">
        <w:rPr>
          <w:sz w:val="25"/>
          <w:szCs w:val="25"/>
        </w:rPr>
        <w:t xml:space="preserve"> </w:t>
      </w:r>
      <w:r w:rsidR="00DD5619">
        <w:rPr>
          <w:sz w:val="25"/>
          <w:szCs w:val="25"/>
        </w:rPr>
        <w:t>during the pendency of the Company’s current general rate case.</w:t>
      </w:r>
      <w:r w:rsidR="00D706D0">
        <w:rPr>
          <w:sz w:val="25"/>
          <w:szCs w:val="25"/>
        </w:rPr>
        <w:t xml:space="preserve">  The Commission has routinely during the past decade allowed, and even required, power cost updates related to changes in fuel supply costs late in general rate proceedings, even at the compliance stage.  </w:t>
      </w:r>
    </w:p>
    <w:p w14:paraId="3A2D0D60" w14:textId="77777777" w:rsidR="00561AC4" w:rsidRDefault="00561AC4" w:rsidP="00561AC4">
      <w:pPr>
        <w:pStyle w:val="ListParagraph"/>
        <w:rPr>
          <w:sz w:val="25"/>
          <w:szCs w:val="25"/>
        </w:rPr>
      </w:pPr>
    </w:p>
    <w:p w14:paraId="6D66E501" w14:textId="77777777" w:rsidR="00561AC4" w:rsidRDefault="00DD5619" w:rsidP="009D0E94">
      <w:pPr>
        <w:numPr>
          <w:ilvl w:val="0"/>
          <w:numId w:val="1"/>
        </w:numPr>
        <w:spacing w:line="264" w:lineRule="auto"/>
        <w:rPr>
          <w:sz w:val="25"/>
          <w:szCs w:val="25"/>
        </w:rPr>
      </w:pPr>
      <w:r>
        <w:rPr>
          <w:sz w:val="25"/>
          <w:szCs w:val="25"/>
        </w:rPr>
        <w:t>We acknowledge that the parties face challenges in responding to new information that first becomes available shortly before the date for hearing.  These challenges, however, can be accommodated by affording the parties opportunities for discovery and the preparation of supplemental testimony.  It appears from Pacific Power’s response and Boise White Paper’s reply that the discovery effort already is underway with Boise White Paper having already “issued numerous data requests</w:t>
      </w:r>
      <w:r w:rsidR="00D20CBB">
        <w:rPr>
          <w:sz w:val="25"/>
          <w:szCs w:val="25"/>
        </w:rPr>
        <w:t>” to which the Company has responded.  If Boise White Paper or any other party wishes to file additional testimony, or give oral testimony, concerning net power costs, they may seek leave to do so.  The Commission will be receptive to accommodating any such request, and will establish appropriate additional process on a reasonable schedule.</w:t>
      </w:r>
    </w:p>
    <w:p w14:paraId="1F6C3BFF" w14:textId="77777777" w:rsidR="009D0E94" w:rsidRDefault="009D0E94" w:rsidP="004457DB">
      <w:pPr>
        <w:jc w:val="center"/>
        <w:rPr>
          <w:b/>
          <w:sz w:val="25"/>
          <w:szCs w:val="25"/>
        </w:rPr>
      </w:pPr>
    </w:p>
    <w:p w14:paraId="16465704" w14:textId="77777777" w:rsidR="00F27132" w:rsidRPr="00D706D0" w:rsidRDefault="009D0E94" w:rsidP="004457DB">
      <w:pPr>
        <w:jc w:val="center"/>
        <w:rPr>
          <w:b/>
          <w:sz w:val="25"/>
          <w:szCs w:val="25"/>
          <w:u w:val="single"/>
        </w:rPr>
      </w:pPr>
      <w:r w:rsidRPr="00D706D0">
        <w:rPr>
          <w:b/>
          <w:sz w:val="25"/>
          <w:szCs w:val="25"/>
          <w:u w:val="single"/>
        </w:rPr>
        <w:t>ORDER</w:t>
      </w:r>
    </w:p>
    <w:p w14:paraId="238502D5" w14:textId="77777777" w:rsidR="009D0E94" w:rsidRPr="009D0E94" w:rsidRDefault="009D0E94" w:rsidP="004457DB">
      <w:pPr>
        <w:jc w:val="center"/>
        <w:rPr>
          <w:b/>
          <w:sz w:val="25"/>
          <w:szCs w:val="25"/>
        </w:rPr>
      </w:pPr>
    </w:p>
    <w:p w14:paraId="40CA58B4" w14:textId="77777777" w:rsidR="00F27132" w:rsidRDefault="00F27132" w:rsidP="009D0E94">
      <w:pPr>
        <w:numPr>
          <w:ilvl w:val="0"/>
          <w:numId w:val="1"/>
        </w:numPr>
        <w:spacing w:line="264" w:lineRule="auto"/>
        <w:rPr>
          <w:bCs/>
          <w:sz w:val="25"/>
          <w:szCs w:val="25"/>
        </w:rPr>
      </w:pPr>
      <w:r w:rsidRPr="001246D3">
        <w:rPr>
          <w:bCs/>
          <w:sz w:val="25"/>
          <w:szCs w:val="25"/>
        </w:rPr>
        <w:t>THE COMMISSION ORDERS</w:t>
      </w:r>
      <w:r w:rsidR="009D0E94">
        <w:rPr>
          <w:bCs/>
          <w:sz w:val="25"/>
          <w:szCs w:val="25"/>
        </w:rPr>
        <w:t xml:space="preserve"> that </w:t>
      </w:r>
      <w:r w:rsidR="00D20CBB">
        <w:rPr>
          <w:bCs/>
          <w:sz w:val="25"/>
          <w:szCs w:val="25"/>
        </w:rPr>
        <w:t>Boise White Paper L.L.C</w:t>
      </w:r>
      <w:r w:rsidR="009D0E94">
        <w:rPr>
          <w:bCs/>
          <w:sz w:val="25"/>
          <w:szCs w:val="25"/>
        </w:rPr>
        <w:t>’s</w:t>
      </w:r>
      <w:r w:rsidR="009D0E94" w:rsidRPr="009D0E94">
        <w:rPr>
          <w:sz w:val="25"/>
          <w:szCs w:val="25"/>
        </w:rPr>
        <w:t xml:space="preserve"> </w:t>
      </w:r>
      <w:r w:rsidR="009D0E94" w:rsidRPr="009D0E94">
        <w:rPr>
          <w:bCs/>
          <w:sz w:val="25"/>
          <w:szCs w:val="25"/>
        </w:rPr>
        <w:t xml:space="preserve">Motion </w:t>
      </w:r>
      <w:r w:rsidR="00D20CBB">
        <w:rPr>
          <w:bCs/>
          <w:sz w:val="25"/>
          <w:szCs w:val="25"/>
        </w:rPr>
        <w:t>to Strike Certain Testimony Filed by PacifiCorp is DENIED</w:t>
      </w:r>
      <w:r w:rsidR="009D0E94">
        <w:rPr>
          <w:bCs/>
          <w:sz w:val="25"/>
          <w:szCs w:val="25"/>
        </w:rPr>
        <w:t>.</w:t>
      </w:r>
    </w:p>
    <w:p w14:paraId="2DB9DB7E" w14:textId="77777777" w:rsidR="009D0E94" w:rsidRPr="001246D3" w:rsidRDefault="009D0E94" w:rsidP="004457DB">
      <w:pPr>
        <w:rPr>
          <w:bCs/>
          <w:sz w:val="25"/>
          <w:szCs w:val="25"/>
        </w:rPr>
      </w:pPr>
    </w:p>
    <w:p w14:paraId="4E262C0B" w14:textId="77777777" w:rsidR="00F27132" w:rsidRPr="001246D3" w:rsidRDefault="00F27132" w:rsidP="004457DB">
      <w:pPr>
        <w:rPr>
          <w:b/>
          <w:sz w:val="25"/>
          <w:szCs w:val="25"/>
        </w:rPr>
      </w:pPr>
      <w:r w:rsidRPr="001246D3">
        <w:rPr>
          <w:sz w:val="25"/>
          <w:szCs w:val="25"/>
        </w:rPr>
        <w:t xml:space="preserve">DATED at Olympia, Washington, and effective </w:t>
      </w:r>
      <w:r w:rsidR="003D7256">
        <w:rPr>
          <w:sz w:val="25"/>
          <w:szCs w:val="25"/>
        </w:rPr>
        <w:t>December 5</w:t>
      </w:r>
      <w:r w:rsidR="00C83234">
        <w:rPr>
          <w:sz w:val="25"/>
          <w:szCs w:val="25"/>
        </w:rPr>
        <w:t>, 2014</w:t>
      </w:r>
      <w:r w:rsidRPr="001246D3">
        <w:rPr>
          <w:sz w:val="25"/>
          <w:szCs w:val="25"/>
        </w:rPr>
        <w:t>.</w:t>
      </w:r>
    </w:p>
    <w:p w14:paraId="29746F79" w14:textId="77777777" w:rsidR="00F27132" w:rsidRPr="001246D3" w:rsidRDefault="00F27132" w:rsidP="00D533EA">
      <w:pPr>
        <w:rPr>
          <w:b/>
          <w:sz w:val="25"/>
          <w:szCs w:val="25"/>
        </w:rPr>
      </w:pPr>
    </w:p>
    <w:p w14:paraId="72E547C0" w14:textId="77777777" w:rsidR="00F27132" w:rsidRPr="001246D3" w:rsidRDefault="00F27132" w:rsidP="00D533EA">
      <w:pPr>
        <w:jc w:val="center"/>
        <w:rPr>
          <w:sz w:val="25"/>
          <w:szCs w:val="25"/>
        </w:rPr>
      </w:pPr>
      <w:r w:rsidRPr="001246D3">
        <w:rPr>
          <w:sz w:val="25"/>
          <w:szCs w:val="25"/>
        </w:rPr>
        <w:t>WASHINGTON UTILITIES AND TRANSPORTATION COMMISSION</w:t>
      </w:r>
    </w:p>
    <w:p w14:paraId="60FE85F0" w14:textId="77777777" w:rsidR="00F27132" w:rsidRPr="001246D3" w:rsidRDefault="00F27132" w:rsidP="00855C53">
      <w:pPr>
        <w:spacing w:line="264" w:lineRule="auto"/>
        <w:rPr>
          <w:sz w:val="25"/>
          <w:szCs w:val="25"/>
        </w:rPr>
      </w:pPr>
    </w:p>
    <w:p w14:paraId="1F652553" w14:textId="77777777" w:rsidR="007E60F8" w:rsidRDefault="007E60F8" w:rsidP="00855C53">
      <w:pPr>
        <w:spacing w:line="264" w:lineRule="auto"/>
        <w:rPr>
          <w:sz w:val="25"/>
          <w:szCs w:val="25"/>
        </w:rPr>
      </w:pPr>
    </w:p>
    <w:p w14:paraId="0655B287" w14:textId="77777777" w:rsidR="00C83234" w:rsidRDefault="000D4ECA" w:rsidP="009D0E94">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sidR="0061551C">
        <w:rPr>
          <w:sz w:val="25"/>
          <w:szCs w:val="25"/>
        </w:rPr>
        <w:tab/>
      </w:r>
      <w:r w:rsidR="009D0E94">
        <w:rPr>
          <w:sz w:val="25"/>
          <w:szCs w:val="25"/>
        </w:rPr>
        <w:t>DENNIS J. MOSS</w:t>
      </w:r>
    </w:p>
    <w:p w14:paraId="20AEA290" w14:textId="77777777" w:rsidR="008A0E7F" w:rsidRPr="001246D3" w:rsidRDefault="009D0E94" w:rsidP="00855C53">
      <w:pPr>
        <w:spacing w:line="264" w:lineRule="auto"/>
        <w:rPr>
          <w:sz w:val="25"/>
          <w:szCs w:val="25"/>
        </w:rPr>
      </w:pPr>
      <w:r>
        <w:rPr>
          <w:sz w:val="25"/>
          <w:szCs w:val="25"/>
        </w:rPr>
        <w:tab/>
      </w:r>
      <w:r>
        <w:rPr>
          <w:sz w:val="25"/>
          <w:szCs w:val="25"/>
        </w:rPr>
        <w:tab/>
      </w:r>
      <w:r>
        <w:rPr>
          <w:sz w:val="25"/>
          <w:szCs w:val="25"/>
        </w:rPr>
        <w:tab/>
      </w:r>
      <w:r>
        <w:rPr>
          <w:sz w:val="25"/>
          <w:szCs w:val="25"/>
        </w:rPr>
        <w:tab/>
      </w:r>
      <w:r>
        <w:rPr>
          <w:sz w:val="25"/>
          <w:szCs w:val="25"/>
        </w:rPr>
        <w:tab/>
      </w:r>
      <w:r w:rsidR="0061551C">
        <w:rPr>
          <w:sz w:val="25"/>
          <w:szCs w:val="25"/>
        </w:rPr>
        <w:tab/>
      </w:r>
      <w:r>
        <w:rPr>
          <w:sz w:val="25"/>
          <w:szCs w:val="25"/>
        </w:rPr>
        <w:t>Senior Review Judge</w:t>
      </w:r>
    </w:p>
    <w:sectPr w:rsidR="008A0E7F" w:rsidRPr="001246D3" w:rsidSect="00E244D4">
      <w:headerReference w:type="default" r:id="rId11"/>
      <w:head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F7EDF" w14:textId="77777777" w:rsidR="008B5B79" w:rsidRDefault="008B5B79">
      <w:r>
        <w:separator/>
      </w:r>
    </w:p>
  </w:endnote>
  <w:endnote w:type="continuationSeparator" w:id="0">
    <w:p w14:paraId="78FE5ADF" w14:textId="77777777" w:rsidR="008B5B79" w:rsidRDefault="008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7D25D" w14:textId="77777777" w:rsidR="008B5B79" w:rsidRDefault="008B5B79">
      <w:r>
        <w:separator/>
      </w:r>
    </w:p>
  </w:footnote>
  <w:footnote w:type="continuationSeparator" w:id="0">
    <w:p w14:paraId="5CD89AE3" w14:textId="77777777" w:rsidR="008B5B79" w:rsidRDefault="008B5B79">
      <w:r>
        <w:continuationSeparator/>
      </w:r>
    </w:p>
  </w:footnote>
  <w:footnote w:id="1">
    <w:p w14:paraId="6C1C4850" w14:textId="77777777" w:rsidR="00AD07C3" w:rsidRPr="007855E4" w:rsidRDefault="00AD07C3">
      <w:pPr>
        <w:pStyle w:val="FootnoteText"/>
        <w:rPr>
          <w:sz w:val="22"/>
          <w:szCs w:val="22"/>
        </w:rPr>
      </w:pPr>
      <w:r w:rsidRPr="007855E4">
        <w:rPr>
          <w:rStyle w:val="FootnoteReference"/>
          <w:sz w:val="22"/>
          <w:szCs w:val="22"/>
        </w:rPr>
        <w:footnoteRef/>
      </w:r>
      <w:r w:rsidRPr="007855E4">
        <w:rPr>
          <w:sz w:val="22"/>
          <w:szCs w:val="22"/>
        </w:rPr>
        <w:t xml:space="preserve"> We take Boise White Paper’s references to PacifiCorp to be references to Pacific Power &amp; Light Company (Pacific Power), which is the operating company in Washington and the corporate entity before us seeking changes in its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63D9" w14:textId="77777777" w:rsidR="00E305B4" w:rsidRPr="003F2878" w:rsidRDefault="002441C0" w:rsidP="00DF5368">
    <w:pPr>
      <w:pStyle w:val="Header"/>
      <w:tabs>
        <w:tab w:val="clear" w:pos="8640"/>
        <w:tab w:val="right" w:pos="8460"/>
      </w:tabs>
      <w:rPr>
        <w:rStyle w:val="PageNumber"/>
        <w:b/>
        <w:sz w:val="20"/>
        <w:szCs w:val="20"/>
      </w:rPr>
    </w:pPr>
    <w:r w:rsidRPr="002441C0">
      <w:rPr>
        <w:b/>
        <w:sz w:val="20"/>
        <w:szCs w:val="20"/>
      </w:rPr>
      <w:t>DOCKETS UE-140762,</w:t>
    </w:r>
    <w:r>
      <w:rPr>
        <w:b/>
        <w:sz w:val="20"/>
        <w:szCs w:val="20"/>
      </w:rPr>
      <w:t xml:space="preserve"> </w:t>
    </w:r>
    <w:r w:rsidRPr="002441C0">
      <w:rPr>
        <w:b/>
        <w:sz w:val="20"/>
        <w:szCs w:val="20"/>
      </w:rPr>
      <w:t>UE-140617, UE-131384, and UE-140094 (consolidated)</w:t>
    </w:r>
    <w:r w:rsidR="00E305B4">
      <w:rPr>
        <w:b/>
        <w:sz w:val="20"/>
        <w:szCs w:val="20"/>
      </w:rPr>
      <w:tab/>
    </w:r>
    <w:r w:rsidR="00E305B4" w:rsidRPr="003F2878">
      <w:rPr>
        <w:b/>
        <w:sz w:val="20"/>
        <w:szCs w:val="20"/>
      </w:rPr>
      <w:t xml:space="preserve"> PAGE </w:t>
    </w:r>
    <w:r w:rsidR="00E305B4" w:rsidRPr="003F2878">
      <w:rPr>
        <w:rStyle w:val="PageNumber"/>
        <w:b/>
        <w:sz w:val="20"/>
        <w:szCs w:val="20"/>
      </w:rPr>
      <w:fldChar w:fldCharType="begin"/>
    </w:r>
    <w:r w:rsidR="00E305B4" w:rsidRPr="003F2878">
      <w:rPr>
        <w:rStyle w:val="PageNumber"/>
        <w:b/>
        <w:sz w:val="20"/>
        <w:szCs w:val="20"/>
      </w:rPr>
      <w:instrText xml:space="preserve"> PAGE </w:instrText>
    </w:r>
    <w:r w:rsidR="00E305B4" w:rsidRPr="003F2878">
      <w:rPr>
        <w:rStyle w:val="PageNumber"/>
        <w:b/>
        <w:sz w:val="20"/>
        <w:szCs w:val="20"/>
      </w:rPr>
      <w:fldChar w:fldCharType="separate"/>
    </w:r>
    <w:r w:rsidR="000E1419">
      <w:rPr>
        <w:rStyle w:val="PageNumber"/>
        <w:b/>
        <w:noProof/>
        <w:sz w:val="20"/>
        <w:szCs w:val="20"/>
      </w:rPr>
      <w:t>3</w:t>
    </w:r>
    <w:r w:rsidR="00E305B4" w:rsidRPr="003F2878">
      <w:rPr>
        <w:rStyle w:val="PageNumber"/>
        <w:b/>
        <w:sz w:val="20"/>
        <w:szCs w:val="20"/>
      </w:rPr>
      <w:fldChar w:fldCharType="end"/>
    </w:r>
  </w:p>
  <w:p w14:paraId="391A6555" w14:textId="77777777" w:rsidR="00E305B4" w:rsidRPr="003F2878" w:rsidRDefault="002441C0">
    <w:pPr>
      <w:pStyle w:val="Header"/>
      <w:rPr>
        <w:rStyle w:val="PageNumber"/>
        <w:b/>
        <w:bCs/>
        <w:sz w:val="20"/>
        <w:szCs w:val="20"/>
      </w:rPr>
    </w:pPr>
    <w:r>
      <w:rPr>
        <w:rStyle w:val="PageNumber"/>
        <w:b/>
        <w:bCs/>
        <w:sz w:val="20"/>
        <w:szCs w:val="20"/>
      </w:rPr>
      <w:t>ORDER 07</w:t>
    </w:r>
  </w:p>
  <w:p w14:paraId="44AE3E21" w14:textId="77777777" w:rsidR="00E305B4" w:rsidRPr="00F94149" w:rsidRDefault="00E305B4">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D323" w14:textId="399FABD9" w:rsidR="00E244D4" w:rsidRPr="00E244D4" w:rsidRDefault="00E244D4" w:rsidP="00E244D4">
    <w:pPr>
      <w:pStyle w:val="Header"/>
      <w:tabs>
        <w:tab w:val="clear" w:pos="4320"/>
        <w:tab w:val="clear" w:pos="8640"/>
        <w:tab w:val="right" w:pos="8550"/>
      </w:tabs>
      <w:rPr>
        <w:b/>
        <w:sz w:val="20"/>
        <w:szCs w:val="20"/>
      </w:rPr>
    </w:pPr>
    <w:r>
      <w:tab/>
    </w:r>
    <w:r w:rsidRPr="00E244D4">
      <w:rPr>
        <w:b/>
        <w:sz w:val="20"/>
        <w:szCs w:val="20"/>
      </w:rPr>
      <w:t>[Service Date December 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45484C2A"/>
    <w:lvl w:ilvl="0" w:tplc="F23A4AFE">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32"/>
    <w:rsid w:val="00000B79"/>
    <w:rsid w:val="00006D4B"/>
    <w:rsid w:val="000158DD"/>
    <w:rsid w:val="00022311"/>
    <w:rsid w:val="000273BF"/>
    <w:rsid w:val="00061856"/>
    <w:rsid w:val="000A13DC"/>
    <w:rsid w:val="000A703B"/>
    <w:rsid w:val="000B111C"/>
    <w:rsid w:val="000C5148"/>
    <w:rsid w:val="000D4ECA"/>
    <w:rsid w:val="000E1419"/>
    <w:rsid w:val="000F49BF"/>
    <w:rsid w:val="000F6582"/>
    <w:rsid w:val="001005FC"/>
    <w:rsid w:val="001164E1"/>
    <w:rsid w:val="001246D3"/>
    <w:rsid w:val="001A0A3A"/>
    <w:rsid w:val="001A1937"/>
    <w:rsid w:val="001B20AF"/>
    <w:rsid w:val="001B5423"/>
    <w:rsid w:val="001C36F7"/>
    <w:rsid w:val="001D010D"/>
    <w:rsid w:val="001D1CAF"/>
    <w:rsid w:val="001D6C20"/>
    <w:rsid w:val="001D7CF6"/>
    <w:rsid w:val="001D7EA1"/>
    <w:rsid w:val="002137F5"/>
    <w:rsid w:val="0021722F"/>
    <w:rsid w:val="00223963"/>
    <w:rsid w:val="00232955"/>
    <w:rsid w:val="002364D2"/>
    <w:rsid w:val="002441C0"/>
    <w:rsid w:val="00265631"/>
    <w:rsid w:val="0028219C"/>
    <w:rsid w:val="002A71A2"/>
    <w:rsid w:val="002C23D2"/>
    <w:rsid w:val="002E6526"/>
    <w:rsid w:val="002E6C2F"/>
    <w:rsid w:val="002E71BB"/>
    <w:rsid w:val="002F58B8"/>
    <w:rsid w:val="002F7BBB"/>
    <w:rsid w:val="003220C1"/>
    <w:rsid w:val="00341AD2"/>
    <w:rsid w:val="003C0A78"/>
    <w:rsid w:val="003D6FD9"/>
    <w:rsid w:val="003D7256"/>
    <w:rsid w:val="003E1819"/>
    <w:rsid w:val="003E2169"/>
    <w:rsid w:val="003F2878"/>
    <w:rsid w:val="0041784F"/>
    <w:rsid w:val="004457DB"/>
    <w:rsid w:val="00470D0C"/>
    <w:rsid w:val="004A5CA3"/>
    <w:rsid w:val="004C1FC3"/>
    <w:rsid w:val="004D3D23"/>
    <w:rsid w:val="004E2499"/>
    <w:rsid w:val="00520B3C"/>
    <w:rsid w:val="00535DBD"/>
    <w:rsid w:val="0053672C"/>
    <w:rsid w:val="00556BBD"/>
    <w:rsid w:val="00561AC4"/>
    <w:rsid w:val="0057652A"/>
    <w:rsid w:val="00593703"/>
    <w:rsid w:val="00595E20"/>
    <w:rsid w:val="005B2946"/>
    <w:rsid w:val="005B7D2B"/>
    <w:rsid w:val="005D74DC"/>
    <w:rsid w:val="00600D62"/>
    <w:rsid w:val="00604EFD"/>
    <w:rsid w:val="0061551C"/>
    <w:rsid w:val="0063358F"/>
    <w:rsid w:val="00666703"/>
    <w:rsid w:val="00666B4C"/>
    <w:rsid w:val="00692C1A"/>
    <w:rsid w:val="006F233F"/>
    <w:rsid w:val="00702121"/>
    <w:rsid w:val="00702BAA"/>
    <w:rsid w:val="007063CA"/>
    <w:rsid w:val="00743553"/>
    <w:rsid w:val="0076353B"/>
    <w:rsid w:val="00776974"/>
    <w:rsid w:val="007855E4"/>
    <w:rsid w:val="007901A9"/>
    <w:rsid w:val="007944F0"/>
    <w:rsid w:val="007A087F"/>
    <w:rsid w:val="007B1F57"/>
    <w:rsid w:val="007C5039"/>
    <w:rsid w:val="007E408F"/>
    <w:rsid w:val="007E60F8"/>
    <w:rsid w:val="00816F3F"/>
    <w:rsid w:val="0082437C"/>
    <w:rsid w:val="00830744"/>
    <w:rsid w:val="0084450B"/>
    <w:rsid w:val="00845D54"/>
    <w:rsid w:val="00855C53"/>
    <w:rsid w:val="00857E65"/>
    <w:rsid w:val="00860D3D"/>
    <w:rsid w:val="00866C32"/>
    <w:rsid w:val="00875CB6"/>
    <w:rsid w:val="00877533"/>
    <w:rsid w:val="00880F14"/>
    <w:rsid w:val="008A0E7F"/>
    <w:rsid w:val="008A46AD"/>
    <w:rsid w:val="008B18B3"/>
    <w:rsid w:val="008B3C50"/>
    <w:rsid w:val="008B4B41"/>
    <w:rsid w:val="008B5B79"/>
    <w:rsid w:val="008C6880"/>
    <w:rsid w:val="008E4F5A"/>
    <w:rsid w:val="008E7CB3"/>
    <w:rsid w:val="009048E8"/>
    <w:rsid w:val="00944120"/>
    <w:rsid w:val="00952D83"/>
    <w:rsid w:val="009A076A"/>
    <w:rsid w:val="009D0A5E"/>
    <w:rsid w:val="009D0E94"/>
    <w:rsid w:val="009D1F17"/>
    <w:rsid w:val="009D6E5E"/>
    <w:rsid w:val="00A109E4"/>
    <w:rsid w:val="00A54154"/>
    <w:rsid w:val="00AB7618"/>
    <w:rsid w:val="00AC0FDB"/>
    <w:rsid w:val="00AD07C3"/>
    <w:rsid w:val="00AE5572"/>
    <w:rsid w:val="00AF4A83"/>
    <w:rsid w:val="00B23995"/>
    <w:rsid w:val="00B4618E"/>
    <w:rsid w:val="00B80388"/>
    <w:rsid w:val="00B95415"/>
    <w:rsid w:val="00BA0550"/>
    <w:rsid w:val="00BA3734"/>
    <w:rsid w:val="00BC1669"/>
    <w:rsid w:val="00BD50C1"/>
    <w:rsid w:val="00BE269B"/>
    <w:rsid w:val="00BE2784"/>
    <w:rsid w:val="00BF56D3"/>
    <w:rsid w:val="00C0491B"/>
    <w:rsid w:val="00C23C1C"/>
    <w:rsid w:val="00C419B4"/>
    <w:rsid w:val="00C50290"/>
    <w:rsid w:val="00C76F65"/>
    <w:rsid w:val="00C83234"/>
    <w:rsid w:val="00CE5D25"/>
    <w:rsid w:val="00CF6CB5"/>
    <w:rsid w:val="00D06A4A"/>
    <w:rsid w:val="00D20CBB"/>
    <w:rsid w:val="00D2288C"/>
    <w:rsid w:val="00D35212"/>
    <w:rsid w:val="00D365CE"/>
    <w:rsid w:val="00D40BCF"/>
    <w:rsid w:val="00D474E4"/>
    <w:rsid w:val="00D533EA"/>
    <w:rsid w:val="00D706D0"/>
    <w:rsid w:val="00D80D5B"/>
    <w:rsid w:val="00DA36AC"/>
    <w:rsid w:val="00DD5619"/>
    <w:rsid w:val="00DD670C"/>
    <w:rsid w:val="00DE0D92"/>
    <w:rsid w:val="00DE655F"/>
    <w:rsid w:val="00DE7B94"/>
    <w:rsid w:val="00DF5368"/>
    <w:rsid w:val="00E1070E"/>
    <w:rsid w:val="00E244D4"/>
    <w:rsid w:val="00E305B4"/>
    <w:rsid w:val="00E348DC"/>
    <w:rsid w:val="00E52159"/>
    <w:rsid w:val="00E62BE4"/>
    <w:rsid w:val="00E85938"/>
    <w:rsid w:val="00EA4E1D"/>
    <w:rsid w:val="00EB0FCF"/>
    <w:rsid w:val="00EC5422"/>
    <w:rsid w:val="00EE6E48"/>
    <w:rsid w:val="00EF0894"/>
    <w:rsid w:val="00EF68AE"/>
    <w:rsid w:val="00EF7BD6"/>
    <w:rsid w:val="00F062B8"/>
    <w:rsid w:val="00F27132"/>
    <w:rsid w:val="00F6769D"/>
    <w:rsid w:val="00F81484"/>
    <w:rsid w:val="00F848E6"/>
    <w:rsid w:val="00F94149"/>
    <w:rsid w:val="00FC3592"/>
    <w:rsid w:val="00FD3DA0"/>
    <w:rsid w:val="00FF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1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9048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D365CE"/>
    <w:rPr>
      <w:rFonts w:ascii="Tahoma" w:hAnsi="Tahoma" w:cs="Tahoma"/>
      <w:sz w:val="16"/>
      <w:szCs w:val="16"/>
    </w:rPr>
  </w:style>
  <w:style w:type="paragraph" w:styleId="FootnoteText">
    <w:name w:val="footnote text"/>
    <w:basedOn w:val="Normal"/>
    <w:link w:val="FootnoteTextChar"/>
    <w:rsid w:val="00022311"/>
    <w:rPr>
      <w:sz w:val="20"/>
      <w:szCs w:val="20"/>
    </w:rPr>
  </w:style>
  <w:style w:type="character" w:styleId="FootnoteReference">
    <w:name w:val="footnote reference"/>
    <w:rsid w:val="00022311"/>
    <w:rPr>
      <w:vertAlign w:val="superscript"/>
    </w:rPr>
  </w:style>
  <w:style w:type="paragraph" w:customStyle="1" w:styleId="plain">
    <w:name w:val="plain"/>
    <w:basedOn w:val="Normal"/>
    <w:rsid w:val="009048E8"/>
    <w:pPr>
      <w:spacing w:line="240" w:lineRule="atLeast"/>
    </w:pPr>
    <w:rPr>
      <w:sz w:val="26"/>
      <w:szCs w:val="20"/>
    </w:rPr>
  </w:style>
  <w:style w:type="paragraph" w:customStyle="1" w:styleId="FindingsConclusions">
    <w:name w:val="Findings &amp; Conclusions"/>
    <w:basedOn w:val="Normal"/>
    <w:rsid w:val="00776974"/>
    <w:pPr>
      <w:numPr>
        <w:numId w:val="4"/>
      </w:numPr>
      <w:ind w:left="720" w:hanging="1800"/>
    </w:pPr>
  </w:style>
  <w:style w:type="paragraph" w:styleId="ListParagraph">
    <w:name w:val="List Paragraph"/>
    <w:basedOn w:val="Normal"/>
    <w:uiPriority w:val="34"/>
    <w:qFormat/>
    <w:rsid w:val="008B4B41"/>
    <w:pPr>
      <w:ind w:left="720"/>
    </w:pPr>
  </w:style>
  <w:style w:type="character" w:customStyle="1" w:styleId="FootnoteTextChar">
    <w:name w:val="Footnote Text Char"/>
    <w:basedOn w:val="DefaultParagraphFont"/>
    <w:link w:val="FootnoteText"/>
    <w:rsid w:val="006F233F"/>
  </w:style>
  <w:style w:type="character" w:styleId="CommentReference">
    <w:name w:val="annotation reference"/>
    <w:basedOn w:val="DefaultParagraphFont"/>
    <w:semiHidden/>
    <w:unhideWhenUsed/>
    <w:rsid w:val="00BA3734"/>
    <w:rPr>
      <w:sz w:val="16"/>
      <w:szCs w:val="16"/>
    </w:rPr>
  </w:style>
  <w:style w:type="paragraph" w:styleId="CommentText">
    <w:name w:val="annotation text"/>
    <w:basedOn w:val="Normal"/>
    <w:link w:val="CommentTextChar"/>
    <w:semiHidden/>
    <w:unhideWhenUsed/>
    <w:rsid w:val="00BA3734"/>
    <w:rPr>
      <w:sz w:val="20"/>
      <w:szCs w:val="20"/>
    </w:rPr>
  </w:style>
  <w:style w:type="character" w:customStyle="1" w:styleId="CommentTextChar">
    <w:name w:val="Comment Text Char"/>
    <w:basedOn w:val="DefaultParagraphFont"/>
    <w:link w:val="CommentText"/>
    <w:semiHidden/>
    <w:rsid w:val="00BA3734"/>
  </w:style>
  <w:style w:type="paragraph" w:styleId="CommentSubject">
    <w:name w:val="annotation subject"/>
    <w:basedOn w:val="CommentText"/>
    <w:next w:val="CommentText"/>
    <w:link w:val="CommentSubjectChar"/>
    <w:semiHidden/>
    <w:unhideWhenUsed/>
    <w:rsid w:val="00BA3734"/>
    <w:rPr>
      <w:b/>
      <w:bCs/>
    </w:rPr>
  </w:style>
  <w:style w:type="character" w:customStyle="1" w:styleId="CommentSubjectChar">
    <w:name w:val="Comment Subject Char"/>
    <w:basedOn w:val="CommentTextChar"/>
    <w:link w:val="CommentSubject"/>
    <w:semiHidden/>
    <w:rsid w:val="00BA3734"/>
    <w:rPr>
      <w:b/>
      <w:bCs/>
    </w:rPr>
  </w:style>
  <w:style w:type="character" w:customStyle="1" w:styleId="HeaderChar">
    <w:name w:val="Header Char"/>
    <w:basedOn w:val="DefaultParagraphFont"/>
    <w:link w:val="Header"/>
    <w:uiPriority w:val="99"/>
    <w:rsid w:val="00E24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2014-12-05T08:00:00+00:00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C7974-DD6E-48E1-87ED-11FAA78F75D1}"/>
</file>

<file path=customXml/itemProps2.xml><?xml version="1.0" encoding="utf-8"?>
<ds:datastoreItem xmlns:ds="http://schemas.openxmlformats.org/officeDocument/2006/customXml" ds:itemID="{E057EC53-0A57-43DA-886A-4BE8A240B163}"/>
</file>

<file path=customXml/itemProps3.xml><?xml version="1.0" encoding="utf-8"?>
<ds:datastoreItem xmlns:ds="http://schemas.openxmlformats.org/officeDocument/2006/customXml" ds:itemID="{7BC72C8C-AA3D-432F-8883-75326A0A0C22}"/>
</file>

<file path=customXml/itemProps4.xml><?xml version="1.0" encoding="utf-8"?>
<ds:datastoreItem xmlns:ds="http://schemas.openxmlformats.org/officeDocument/2006/customXml" ds:itemID="{1D84877B-F93E-4B09-9019-7AC400870999}"/>
</file>

<file path=customXml/itemProps5.xml><?xml version="1.0" encoding="utf-8"?>
<ds:datastoreItem xmlns:ds="http://schemas.openxmlformats.org/officeDocument/2006/customXml" ds:itemID="{486C56F5-D595-4093-B02F-854B36BAAD10}"/>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2014-12-05T21:54:00Z</dcterms:created>
  <dcterms:modified xsi:type="dcterms:W3CDTF">2014-12-05T21:54:00Z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