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7"/>
          <w:footerReference w:type="default" r:id="rId8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BD1ADA">
        <w:rPr>
          <w:rFonts w:ascii="Arial" w:hAnsi="Arial" w:cs="Arial"/>
          <w:sz w:val="22"/>
          <w:szCs w:val="22"/>
        </w:rPr>
        <w:lastRenderedPageBreak/>
        <w:t xml:space="preserve">May </w:t>
      </w:r>
      <w:r w:rsidR="000C662E">
        <w:rPr>
          <w:rFonts w:ascii="Arial" w:hAnsi="Arial" w:cs="Arial"/>
          <w:sz w:val="22"/>
          <w:szCs w:val="22"/>
        </w:rPr>
        <w:t>21</w:t>
      </w:r>
      <w:r w:rsidRPr="00BD1ADA">
        <w:rPr>
          <w:rFonts w:ascii="Arial" w:hAnsi="Arial" w:cs="Arial"/>
          <w:sz w:val="22"/>
          <w:szCs w:val="22"/>
        </w:rPr>
        <w:t>, 20</w:t>
      </w:r>
      <w:r w:rsidR="00D50FB1" w:rsidRPr="00BD1ADA">
        <w:rPr>
          <w:rFonts w:ascii="Arial" w:hAnsi="Arial" w:cs="Arial"/>
          <w:sz w:val="22"/>
          <w:szCs w:val="22"/>
        </w:rPr>
        <w:t>10</w:t>
      </w: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362F70" w:rsidRPr="00BD1ADA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8F1A46">
        <w:rPr>
          <w:rFonts w:ascii="Arial" w:hAnsi="Arial" w:cs="Arial"/>
          <w:sz w:val="22"/>
          <w:szCs w:val="22"/>
        </w:rPr>
        <w:t>VIA U.S. MAIL AND E-MAIL</w:t>
      </w: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8F1A46">
        <w:rPr>
          <w:rFonts w:ascii="Arial" w:hAnsi="Arial" w:cs="Arial"/>
          <w:sz w:val="22"/>
          <w:szCs w:val="22"/>
        </w:rPr>
        <w:t>Mr. David W. Danner</w:t>
      </w: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8F1A46">
        <w:rPr>
          <w:rFonts w:ascii="Arial" w:hAnsi="Arial" w:cs="Arial"/>
          <w:sz w:val="22"/>
          <w:szCs w:val="22"/>
        </w:rPr>
        <w:t>Secretary and Executive Director</w:t>
      </w: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8F1A46">
        <w:rPr>
          <w:rFonts w:ascii="Arial" w:hAnsi="Arial" w:cs="Arial"/>
          <w:sz w:val="22"/>
          <w:szCs w:val="22"/>
        </w:rPr>
        <w:t>Washington Utilities and Exchange Commission</w:t>
      </w: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8F1A46">
        <w:rPr>
          <w:rFonts w:ascii="Arial" w:hAnsi="Arial" w:cs="Arial"/>
          <w:sz w:val="22"/>
          <w:szCs w:val="22"/>
        </w:rPr>
        <w:t>1300 S. Evergreen Park Drive S.W.</w:t>
      </w: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8F1A46">
        <w:rPr>
          <w:rFonts w:ascii="Arial" w:hAnsi="Arial" w:cs="Arial"/>
          <w:sz w:val="22"/>
          <w:szCs w:val="22"/>
        </w:rPr>
        <w:t>Olympia, WA 98504-7250</w:t>
      </w: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8F1A46" w:rsidRPr="008F1A46" w:rsidRDefault="008F1A46" w:rsidP="008F1A46">
      <w:pPr>
        <w:suppressAutoHyphens/>
        <w:ind w:left="810" w:hanging="450"/>
        <w:rPr>
          <w:rFonts w:ascii="Arial" w:hAnsi="Arial" w:cs="Arial"/>
          <w:sz w:val="22"/>
          <w:szCs w:val="22"/>
        </w:rPr>
      </w:pPr>
      <w:r w:rsidRPr="008F1A46">
        <w:rPr>
          <w:rFonts w:ascii="Arial" w:hAnsi="Arial" w:cs="Arial"/>
          <w:sz w:val="22"/>
          <w:szCs w:val="22"/>
        </w:rPr>
        <w:t>Re:</w:t>
      </w:r>
      <w:r w:rsidRPr="008F1A46">
        <w:rPr>
          <w:rFonts w:ascii="Arial" w:hAnsi="Arial" w:cs="Arial"/>
          <w:sz w:val="22"/>
          <w:szCs w:val="22"/>
        </w:rPr>
        <w:tab/>
        <w:t xml:space="preserve">Judd and </w:t>
      </w:r>
      <w:proofErr w:type="spellStart"/>
      <w:r w:rsidRPr="008F1A46">
        <w:rPr>
          <w:rFonts w:ascii="Arial" w:hAnsi="Arial" w:cs="Arial"/>
          <w:sz w:val="22"/>
          <w:szCs w:val="22"/>
        </w:rPr>
        <w:t>Herival</w:t>
      </w:r>
      <w:proofErr w:type="spellEnd"/>
      <w:r w:rsidRPr="008F1A46">
        <w:rPr>
          <w:rFonts w:ascii="Arial" w:hAnsi="Arial" w:cs="Arial"/>
          <w:sz w:val="22"/>
          <w:szCs w:val="22"/>
        </w:rPr>
        <w:t xml:space="preserve"> v. AT&amp;T Communications of the Pacific Northwest, Inc. and T-</w:t>
      </w:r>
      <w:proofErr w:type="spellStart"/>
      <w:r w:rsidRPr="008F1A46">
        <w:rPr>
          <w:rFonts w:ascii="Arial" w:hAnsi="Arial" w:cs="Arial"/>
          <w:sz w:val="22"/>
          <w:szCs w:val="22"/>
        </w:rPr>
        <w:t>Netix</w:t>
      </w:r>
      <w:proofErr w:type="spellEnd"/>
      <w:r w:rsidRPr="008F1A46">
        <w:rPr>
          <w:rFonts w:ascii="Arial" w:hAnsi="Arial" w:cs="Arial"/>
          <w:sz w:val="22"/>
          <w:szCs w:val="22"/>
        </w:rPr>
        <w:t>, Inc.</w:t>
      </w:r>
    </w:p>
    <w:p w:rsidR="008F1A46" w:rsidRPr="008F1A46" w:rsidRDefault="008F1A46" w:rsidP="008F1A46">
      <w:pPr>
        <w:suppressAutoHyphens/>
        <w:ind w:left="810"/>
        <w:rPr>
          <w:rFonts w:ascii="Arial" w:hAnsi="Arial" w:cs="Arial"/>
          <w:sz w:val="22"/>
          <w:szCs w:val="22"/>
        </w:rPr>
      </w:pPr>
      <w:proofErr w:type="gramStart"/>
      <w:r w:rsidRPr="008F1A46">
        <w:rPr>
          <w:rFonts w:ascii="Arial" w:hAnsi="Arial" w:cs="Arial"/>
          <w:sz w:val="22"/>
          <w:szCs w:val="22"/>
        </w:rPr>
        <w:t>WUTC Docket No.</w:t>
      </w:r>
      <w:proofErr w:type="gramEnd"/>
      <w:r w:rsidRPr="008F1A46">
        <w:rPr>
          <w:rFonts w:ascii="Arial" w:hAnsi="Arial" w:cs="Arial"/>
          <w:sz w:val="22"/>
          <w:szCs w:val="22"/>
        </w:rPr>
        <w:t xml:space="preserve"> UT - 042022</w:t>
      </w: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8F1A46">
        <w:rPr>
          <w:rFonts w:ascii="Arial" w:hAnsi="Arial" w:cs="Arial"/>
          <w:sz w:val="22"/>
          <w:szCs w:val="22"/>
        </w:rPr>
        <w:t>Dear Mr. Danner:</w:t>
      </w:r>
    </w:p>
    <w:p w:rsidR="008F1A46" w:rsidRPr="008F1A46" w:rsidRDefault="008F1A46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362F70" w:rsidRDefault="00546FE3" w:rsidP="008F1A46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 w:rsidRPr="00546FE3">
        <w:rPr>
          <w:rFonts w:ascii="Arial" w:hAnsi="Arial" w:cs="Arial"/>
          <w:sz w:val="22"/>
          <w:szCs w:val="22"/>
        </w:rPr>
        <w:t xml:space="preserve">Please find enclosed and accept for filing in the above-referenced docket the original and </w:t>
      </w:r>
      <w:r w:rsidR="00FD6320">
        <w:rPr>
          <w:rFonts w:ascii="Arial" w:hAnsi="Arial" w:cs="Arial"/>
          <w:sz w:val="22"/>
          <w:szCs w:val="22"/>
        </w:rPr>
        <w:t>f</w:t>
      </w:r>
      <w:r w:rsidR="0003262B">
        <w:rPr>
          <w:rFonts w:ascii="Arial" w:hAnsi="Arial" w:cs="Arial"/>
          <w:sz w:val="22"/>
          <w:szCs w:val="22"/>
        </w:rPr>
        <w:t>our</w:t>
      </w:r>
      <w:r w:rsidRPr="00546FE3">
        <w:rPr>
          <w:rFonts w:ascii="Arial" w:hAnsi="Arial" w:cs="Arial"/>
          <w:sz w:val="22"/>
          <w:szCs w:val="22"/>
        </w:rPr>
        <w:t xml:space="preserve"> copies of the Notices of Appearance of </w:t>
      </w:r>
      <w:r>
        <w:rPr>
          <w:rFonts w:ascii="Arial" w:hAnsi="Arial" w:cs="Arial"/>
          <w:sz w:val="22"/>
          <w:szCs w:val="22"/>
        </w:rPr>
        <w:t>Cynthia Manheim</w:t>
      </w:r>
      <w:r w:rsidRPr="00546FE3">
        <w:rPr>
          <w:rFonts w:ascii="Arial" w:hAnsi="Arial" w:cs="Arial"/>
          <w:sz w:val="22"/>
          <w:szCs w:val="22"/>
        </w:rPr>
        <w:t xml:space="preserve">.  All Parties of Record </w:t>
      </w:r>
      <w:r>
        <w:rPr>
          <w:rFonts w:ascii="Arial" w:hAnsi="Arial" w:cs="Arial"/>
          <w:sz w:val="22"/>
          <w:szCs w:val="22"/>
        </w:rPr>
        <w:t>are being</w:t>
      </w:r>
      <w:r w:rsidRPr="00546FE3">
        <w:rPr>
          <w:rFonts w:ascii="Arial" w:hAnsi="Arial" w:cs="Arial"/>
          <w:sz w:val="22"/>
          <w:szCs w:val="22"/>
        </w:rPr>
        <w:t xml:space="preserve"> served as outlined in the Certificate of Service included with the document.</w:t>
      </w: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any questions, please do not hesitate to contact me.  </w:t>
      </w: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Sincerely, </w:t>
      </w: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Cynthia Manheim</w:t>
      </w:r>
    </w:p>
    <w:p w:rsidR="0092748C" w:rsidRPr="00BD1ADA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Attorney</w:t>
      </w:r>
    </w:p>
    <w:p w:rsidR="00362F70" w:rsidRDefault="00362F70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92748C" w:rsidRDefault="0092748C" w:rsidP="00362F70">
      <w:pPr>
        <w:tabs>
          <w:tab w:val="left" w:pos="0"/>
        </w:tabs>
        <w:suppressAutoHyphens/>
        <w:rPr>
          <w:rFonts w:ascii="Arial" w:hAnsi="Arial" w:cs="Arial"/>
          <w:sz w:val="22"/>
          <w:szCs w:val="22"/>
        </w:rPr>
      </w:pPr>
    </w:p>
    <w:p w:rsidR="00546FE3" w:rsidRDefault="00546FE3" w:rsidP="00546FE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46FE3">
        <w:rPr>
          <w:rFonts w:ascii="Arial" w:hAnsi="Arial" w:cs="Arial"/>
          <w:b w:val="0"/>
          <w:bCs w:val="0"/>
          <w:sz w:val="22"/>
          <w:szCs w:val="22"/>
        </w:rPr>
        <w:t>Enclosures</w:t>
      </w:r>
    </w:p>
    <w:p w:rsidR="00114245" w:rsidRPr="00546FE3" w:rsidRDefault="00114245" w:rsidP="00546FE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546FE3" w:rsidRPr="00546FE3" w:rsidRDefault="00546FE3" w:rsidP="00546FE3">
      <w:pPr>
        <w:pStyle w:val="Title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46FE3">
        <w:rPr>
          <w:rFonts w:ascii="Arial" w:hAnsi="Arial" w:cs="Arial"/>
          <w:b w:val="0"/>
          <w:bCs w:val="0"/>
          <w:sz w:val="22"/>
          <w:szCs w:val="22"/>
        </w:rPr>
        <w:t>cc:</w:t>
      </w:r>
      <w:r w:rsidRPr="00546FE3">
        <w:rPr>
          <w:rFonts w:ascii="Arial" w:hAnsi="Arial" w:cs="Arial"/>
          <w:b w:val="0"/>
          <w:bCs w:val="0"/>
          <w:sz w:val="22"/>
          <w:szCs w:val="22"/>
        </w:rPr>
        <w:tab/>
      </w:r>
      <w:r w:rsidR="00114245">
        <w:rPr>
          <w:rFonts w:ascii="Arial" w:hAnsi="Arial" w:cs="Arial"/>
          <w:b w:val="0"/>
          <w:bCs w:val="0"/>
          <w:sz w:val="22"/>
          <w:szCs w:val="22"/>
        </w:rPr>
        <w:t>Stephanie Joyce</w:t>
      </w:r>
    </w:p>
    <w:p w:rsidR="00546FE3" w:rsidRPr="00546FE3" w:rsidRDefault="00546FE3" w:rsidP="00546FE3">
      <w:pPr>
        <w:pStyle w:val="Title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46FE3">
        <w:rPr>
          <w:rFonts w:ascii="Arial" w:hAnsi="Arial" w:cs="Arial"/>
          <w:b w:val="0"/>
          <w:bCs w:val="0"/>
          <w:sz w:val="22"/>
          <w:szCs w:val="22"/>
        </w:rPr>
        <w:t xml:space="preserve">Chris R. </w:t>
      </w:r>
      <w:proofErr w:type="spellStart"/>
      <w:r w:rsidRPr="00546FE3">
        <w:rPr>
          <w:rFonts w:ascii="Arial" w:hAnsi="Arial" w:cs="Arial"/>
          <w:b w:val="0"/>
          <w:bCs w:val="0"/>
          <w:sz w:val="22"/>
          <w:szCs w:val="22"/>
        </w:rPr>
        <w:t>Youtz</w:t>
      </w:r>
      <w:proofErr w:type="spellEnd"/>
    </w:p>
    <w:p w:rsidR="00546FE3" w:rsidRPr="00546FE3" w:rsidRDefault="00546FE3" w:rsidP="00546FE3">
      <w:pPr>
        <w:pStyle w:val="Title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46FE3">
        <w:rPr>
          <w:rFonts w:ascii="Arial" w:hAnsi="Arial" w:cs="Arial"/>
          <w:b w:val="0"/>
          <w:bCs w:val="0"/>
          <w:sz w:val="22"/>
          <w:szCs w:val="22"/>
        </w:rPr>
        <w:t xml:space="preserve">Richard E. </w:t>
      </w:r>
      <w:proofErr w:type="spellStart"/>
      <w:r w:rsidRPr="00546FE3">
        <w:rPr>
          <w:rFonts w:ascii="Arial" w:hAnsi="Arial" w:cs="Arial"/>
          <w:b w:val="0"/>
          <w:bCs w:val="0"/>
          <w:sz w:val="22"/>
          <w:szCs w:val="22"/>
        </w:rPr>
        <w:t>Spoonemore</w:t>
      </w:r>
      <w:proofErr w:type="spellEnd"/>
    </w:p>
    <w:p w:rsidR="00546FE3" w:rsidRPr="00546FE3" w:rsidRDefault="00546FE3" w:rsidP="00546FE3">
      <w:pPr>
        <w:pStyle w:val="Title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46FE3">
        <w:rPr>
          <w:rFonts w:ascii="Arial" w:hAnsi="Arial" w:cs="Arial"/>
          <w:b w:val="0"/>
          <w:bCs w:val="0"/>
          <w:sz w:val="22"/>
          <w:szCs w:val="22"/>
        </w:rPr>
        <w:t>Arthur A. Butler</w:t>
      </w:r>
    </w:p>
    <w:p w:rsidR="008F1A46" w:rsidRDefault="0092748C" w:rsidP="00546FE3">
      <w:pPr>
        <w:pStyle w:val="Title"/>
        <w:ind w:left="720"/>
        <w:jc w:val="left"/>
      </w:pPr>
      <w:r>
        <w:rPr>
          <w:rFonts w:ascii="Arial" w:hAnsi="Arial" w:cs="Arial"/>
          <w:sz w:val="22"/>
          <w:szCs w:val="22"/>
        </w:rPr>
        <w:br w:type="page"/>
      </w:r>
    </w:p>
    <w:p w:rsidR="008F1A46" w:rsidRPr="008F1A46" w:rsidRDefault="00196F7F" w:rsidP="008F1A46">
      <w:pPr>
        <w:pStyle w:val="Body0"/>
        <w:jc w:val="center"/>
        <w:rPr>
          <w:b/>
        </w:rPr>
      </w:pPr>
      <w:r w:rsidRPr="008F1A46">
        <w:lastRenderedPageBreak/>
        <w:t xml:space="preserve"> </w:t>
      </w:r>
      <w:r w:rsidR="008F1A46" w:rsidRPr="008F1A46">
        <w:rPr>
          <w:b/>
        </w:rPr>
        <w:t>BEFORE THE WASHINGTON UTILITIES AND TRANSPORTATION COMMISSION</w:t>
      </w:r>
    </w:p>
    <w:p w:rsidR="008F1A46" w:rsidRPr="008F1A46" w:rsidRDefault="008F1A46" w:rsidP="008F1A46">
      <w:pPr>
        <w:pStyle w:val="Body0"/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4680"/>
        <w:gridCol w:w="4680"/>
      </w:tblGrid>
      <w:tr w:rsidR="008F1A46" w:rsidRPr="008F1A46" w:rsidTr="008F1A46">
        <w:trPr>
          <w:cantSplit/>
          <w:trHeight w:val="2790"/>
          <w:tblHeader/>
        </w:trPr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  <w:r w:rsidRPr="008F1A46">
              <w:rPr>
                <w:b/>
                <w:bCs/>
                <w:sz w:val="24"/>
                <w:szCs w:val="24"/>
              </w:rPr>
              <w:t>SANDY JUDD and TARA HERIVEL,</w:t>
            </w: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  <w:r w:rsidRPr="008F1A46">
              <w:rPr>
                <w:b/>
                <w:bCs/>
                <w:sz w:val="24"/>
                <w:szCs w:val="24"/>
              </w:rPr>
              <w:tab/>
            </w:r>
            <w:r w:rsidRPr="008F1A46">
              <w:rPr>
                <w:b/>
                <w:bCs/>
                <w:sz w:val="24"/>
                <w:szCs w:val="24"/>
              </w:rPr>
              <w:tab/>
            </w:r>
            <w:r w:rsidRPr="008F1A46">
              <w:rPr>
                <w:b/>
                <w:bCs/>
                <w:sz w:val="24"/>
                <w:szCs w:val="24"/>
              </w:rPr>
              <w:tab/>
              <w:t>Complainants,</w:t>
            </w: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  <w:r w:rsidRPr="008F1A46">
              <w:rPr>
                <w:b/>
                <w:bCs/>
                <w:sz w:val="24"/>
                <w:szCs w:val="24"/>
              </w:rPr>
              <w:tab/>
            </w:r>
            <w:proofErr w:type="gramStart"/>
            <w:r w:rsidRPr="008F1A46">
              <w:rPr>
                <w:b/>
                <w:bCs/>
                <w:sz w:val="24"/>
                <w:szCs w:val="24"/>
              </w:rPr>
              <w:t>v</w:t>
            </w:r>
            <w:proofErr w:type="gramEnd"/>
            <w:r w:rsidRPr="008F1A46">
              <w:rPr>
                <w:b/>
                <w:bCs/>
                <w:sz w:val="24"/>
                <w:szCs w:val="24"/>
              </w:rPr>
              <w:t>.</w:t>
            </w: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rPr>
                <w:sz w:val="24"/>
                <w:szCs w:val="24"/>
              </w:rPr>
            </w:pP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  <w:r w:rsidRPr="008F1A46">
              <w:rPr>
                <w:b/>
                <w:bCs/>
                <w:sz w:val="24"/>
                <w:szCs w:val="24"/>
              </w:rPr>
              <w:t>AT&amp;T COMMUNICATIONS OF THE PACIFIC NORTHWEST, INC. and T-NETIX, INC.,</w:t>
            </w: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rPr>
                <w:sz w:val="24"/>
                <w:szCs w:val="24"/>
              </w:rPr>
            </w:pP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  <w:r w:rsidRPr="008F1A46">
              <w:rPr>
                <w:b/>
                <w:bCs/>
                <w:sz w:val="24"/>
                <w:szCs w:val="24"/>
              </w:rPr>
              <w:tab/>
            </w:r>
            <w:r w:rsidRPr="008F1A46">
              <w:rPr>
                <w:b/>
                <w:bCs/>
                <w:sz w:val="24"/>
                <w:szCs w:val="24"/>
              </w:rPr>
              <w:tab/>
            </w:r>
            <w:r w:rsidRPr="008F1A46">
              <w:rPr>
                <w:b/>
                <w:bCs/>
                <w:sz w:val="24"/>
                <w:szCs w:val="24"/>
              </w:rPr>
              <w:tab/>
              <w:t>Respondents.</w:t>
            </w: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</w:p>
          <w:p w:rsidR="008F1A46" w:rsidRPr="008F1A46" w:rsidRDefault="008F1A46" w:rsidP="008F1A46">
            <w:pPr>
              <w:pBdr>
                <w:right w:val="single" w:sz="6" w:space="4" w:color="000000"/>
              </w:pBdr>
              <w:suppressAutoHyphens/>
              <w:rPr>
                <w:b/>
                <w:bCs/>
                <w:sz w:val="24"/>
                <w:szCs w:val="24"/>
              </w:rPr>
            </w:pPr>
          </w:p>
          <w:p w:rsidR="008F1A46" w:rsidRPr="008F1A46" w:rsidRDefault="008F1A46" w:rsidP="008F1A46">
            <w:pPr>
              <w:suppressAutoHyphens/>
              <w:ind w:left="380"/>
              <w:rPr>
                <w:b/>
                <w:bCs/>
                <w:sz w:val="24"/>
                <w:szCs w:val="24"/>
              </w:rPr>
            </w:pPr>
            <w:r w:rsidRPr="008F1A46">
              <w:rPr>
                <w:b/>
                <w:bCs/>
                <w:sz w:val="24"/>
                <w:szCs w:val="24"/>
              </w:rPr>
              <w:t>Docket No.  UT-042022</w:t>
            </w:r>
          </w:p>
          <w:p w:rsidR="008F1A46" w:rsidRPr="008F1A46" w:rsidRDefault="008F1A46" w:rsidP="008F1A46">
            <w:pPr>
              <w:suppressAutoHyphens/>
              <w:ind w:left="380"/>
              <w:rPr>
                <w:b/>
                <w:bCs/>
                <w:sz w:val="24"/>
                <w:szCs w:val="24"/>
              </w:rPr>
            </w:pPr>
          </w:p>
          <w:p w:rsidR="008F1A46" w:rsidRPr="008F1A46" w:rsidRDefault="008F1A46" w:rsidP="008F1A46">
            <w:pPr>
              <w:suppressAutoHyphens/>
              <w:ind w:left="380"/>
              <w:rPr>
                <w:b/>
                <w:bCs/>
                <w:caps/>
                <w:sz w:val="24"/>
                <w:szCs w:val="24"/>
              </w:rPr>
            </w:pPr>
          </w:p>
        </w:tc>
      </w:tr>
    </w:tbl>
    <w:p w:rsidR="008F1A46" w:rsidRPr="008F1A46" w:rsidRDefault="008F1A46" w:rsidP="008F1A46">
      <w:pPr>
        <w:pStyle w:val="Body4"/>
        <w:ind w:firstLine="0"/>
      </w:pPr>
    </w:p>
    <w:p w:rsidR="008F1A46" w:rsidRPr="008F1A46" w:rsidRDefault="008F1A46" w:rsidP="008F1A46">
      <w:pPr>
        <w:pStyle w:val="Body4"/>
        <w:ind w:firstLine="0"/>
      </w:pPr>
      <w:r w:rsidRPr="008F1A46">
        <w:t>TO:</w:t>
      </w:r>
      <w:r w:rsidRPr="008F1A46">
        <w:tab/>
      </w:r>
      <w:r w:rsidRPr="008F1A46">
        <w:tab/>
        <w:t>Washington Utilities and Transportation Commission</w:t>
      </w:r>
    </w:p>
    <w:p w:rsidR="008F1A46" w:rsidRPr="008F1A46" w:rsidRDefault="008F1A46" w:rsidP="008F1A46">
      <w:pPr>
        <w:pStyle w:val="Body4"/>
        <w:ind w:firstLine="0"/>
      </w:pPr>
      <w:r w:rsidRPr="008F1A46">
        <w:t>AND TO:</w:t>
      </w:r>
      <w:r w:rsidRPr="008F1A46">
        <w:tab/>
        <w:t>Parties on Service List</w:t>
      </w:r>
    </w:p>
    <w:p w:rsidR="008F1A46" w:rsidRPr="008F1A46" w:rsidRDefault="008F1A46" w:rsidP="008F1A46">
      <w:pPr>
        <w:pStyle w:val="Body4"/>
        <w:ind w:firstLine="0"/>
      </w:pPr>
    </w:p>
    <w:p w:rsidR="008F1A46" w:rsidRPr="008F1A46" w:rsidRDefault="008F1A46" w:rsidP="008F1A46">
      <w:pPr>
        <w:pStyle w:val="Body4"/>
      </w:pPr>
      <w:r w:rsidRPr="008F1A46">
        <w:t>COMES NOW CYNTHIA MANHEIM, of AT&amp;T Services, Inc., who hereby makes and enters her appearance on behalf of AT&amp;T Communications of the Pacific Northwest, Inc. (“AT&amp;T”) in the above-referenced docket, and requests that the undersigned be added to the e-mail service list.</w:t>
      </w:r>
    </w:p>
    <w:p w:rsidR="008F1A46" w:rsidRPr="008F1A46" w:rsidRDefault="008F1A46" w:rsidP="008F1A46">
      <w:pPr>
        <w:tabs>
          <w:tab w:val="left" w:pos="4320"/>
        </w:tabs>
        <w:rPr>
          <w:noProof/>
          <w:sz w:val="24"/>
          <w:szCs w:val="24"/>
        </w:rPr>
      </w:pPr>
      <w:r w:rsidRPr="008F1A46">
        <w:rPr>
          <w:noProof/>
          <w:sz w:val="24"/>
          <w:szCs w:val="24"/>
        </w:rPr>
        <w:t xml:space="preserve">Dated:  May </w:t>
      </w:r>
      <w:r w:rsidR="000C662E">
        <w:rPr>
          <w:noProof/>
          <w:sz w:val="24"/>
          <w:szCs w:val="24"/>
        </w:rPr>
        <w:t>21</w:t>
      </w:r>
      <w:r w:rsidRPr="008F1A46">
        <w:rPr>
          <w:noProof/>
          <w:sz w:val="24"/>
          <w:szCs w:val="24"/>
        </w:rPr>
        <w:t>, 2010</w:t>
      </w:r>
      <w:r w:rsidRPr="008F1A46">
        <w:rPr>
          <w:noProof/>
          <w:sz w:val="24"/>
          <w:szCs w:val="24"/>
        </w:rPr>
        <w:tab/>
        <w:t>Respectfully submitted,</w:t>
      </w:r>
    </w:p>
    <w:p w:rsidR="008F1A46" w:rsidRPr="008F1A46" w:rsidRDefault="008F1A46" w:rsidP="008F1A46">
      <w:pPr>
        <w:tabs>
          <w:tab w:val="left" w:pos="4320"/>
        </w:tabs>
        <w:rPr>
          <w:noProof/>
          <w:sz w:val="24"/>
          <w:szCs w:val="24"/>
        </w:rPr>
      </w:pPr>
    </w:p>
    <w:p w:rsidR="008F1A46" w:rsidRPr="008F1A46" w:rsidRDefault="008F1A46" w:rsidP="008F1A46">
      <w:pPr>
        <w:pStyle w:val="Signature"/>
        <w:rPr>
          <w:b/>
          <w:noProof/>
        </w:rPr>
      </w:pPr>
      <w:r w:rsidRPr="008F1A46">
        <w:rPr>
          <w:b/>
          <w:noProof/>
        </w:rPr>
        <w:t>AT&amp;T COMMUNICATIONS OF</w:t>
      </w:r>
    </w:p>
    <w:p w:rsidR="008F1A46" w:rsidRPr="008F1A46" w:rsidRDefault="008F1A46" w:rsidP="008F1A46">
      <w:pPr>
        <w:pStyle w:val="Signature"/>
        <w:rPr>
          <w:b/>
          <w:noProof/>
        </w:rPr>
      </w:pPr>
      <w:r w:rsidRPr="008F1A46">
        <w:rPr>
          <w:b/>
          <w:noProof/>
        </w:rPr>
        <w:t>THE PACIFIC NORTHWEST, INC.</w:t>
      </w:r>
    </w:p>
    <w:p w:rsidR="008F1A46" w:rsidRPr="008F1A46" w:rsidRDefault="008F1A46" w:rsidP="008F1A46">
      <w:pPr>
        <w:pStyle w:val="Signature"/>
        <w:rPr>
          <w:noProof/>
        </w:rPr>
      </w:pPr>
    </w:p>
    <w:p w:rsidR="008F1A46" w:rsidRPr="008F1A46" w:rsidRDefault="008F1A46" w:rsidP="008F1A46">
      <w:pPr>
        <w:pStyle w:val="Signature"/>
        <w:tabs>
          <w:tab w:val="left" w:pos="4860"/>
          <w:tab w:val="right" w:pos="9360"/>
        </w:tabs>
        <w:rPr>
          <w:noProof/>
          <w:u w:val="single"/>
        </w:rPr>
      </w:pPr>
      <w:r w:rsidRPr="008F1A46">
        <w:rPr>
          <w:noProof/>
        </w:rPr>
        <w:t>By:</w:t>
      </w:r>
      <w:r w:rsidRPr="008F1A46">
        <w:rPr>
          <w:noProof/>
        </w:rPr>
        <w:tab/>
      </w:r>
      <w:r w:rsidRPr="008F1A46">
        <w:rPr>
          <w:noProof/>
          <w:u w:val="single"/>
        </w:rPr>
        <w:tab/>
      </w:r>
    </w:p>
    <w:p w:rsidR="008F1A46" w:rsidRPr="008F1A46" w:rsidRDefault="008F1A46" w:rsidP="008F1A46">
      <w:pPr>
        <w:autoSpaceDE w:val="0"/>
        <w:autoSpaceDN w:val="0"/>
        <w:adjustRightInd w:val="0"/>
        <w:ind w:left="4860"/>
        <w:rPr>
          <w:sz w:val="24"/>
          <w:szCs w:val="24"/>
        </w:rPr>
      </w:pPr>
      <w:r w:rsidRPr="008F1A46">
        <w:rPr>
          <w:sz w:val="24"/>
          <w:szCs w:val="24"/>
        </w:rPr>
        <w:t>Cynthia Man</w:t>
      </w:r>
      <w:r>
        <w:rPr>
          <w:sz w:val="24"/>
          <w:szCs w:val="24"/>
        </w:rPr>
        <w:t>he</w:t>
      </w:r>
      <w:r w:rsidRPr="008F1A46">
        <w:rPr>
          <w:sz w:val="24"/>
          <w:szCs w:val="24"/>
        </w:rPr>
        <w:t>im</w:t>
      </w:r>
    </w:p>
    <w:p w:rsidR="008F1A46" w:rsidRPr="008F1A46" w:rsidRDefault="008F1A46" w:rsidP="008F1A46">
      <w:pPr>
        <w:autoSpaceDE w:val="0"/>
        <w:autoSpaceDN w:val="0"/>
        <w:adjustRightInd w:val="0"/>
        <w:ind w:left="4860"/>
        <w:rPr>
          <w:sz w:val="24"/>
          <w:szCs w:val="24"/>
        </w:rPr>
      </w:pPr>
      <w:r w:rsidRPr="008F1A46">
        <w:rPr>
          <w:sz w:val="24"/>
          <w:szCs w:val="24"/>
        </w:rPr>
        <w:t>General Attorney</w:t>
      </w:r>
    </w:p>
    <w:p w:rsidR="008F1A46" w:rsidRPr="008F1A46" w:rsidRDefault="008F1A46" w:rsidP="008F1A46">
      <w:pPr>
        <w:autoSpaceDE w:val="0"/>
        <w:autoSpaceDN w:val="0"/>
        <w:adjustRightInd w:val="0"/>
        <w:ind w:left="4860"/>
        <w:rPr>
          <w:sz w:val="24"/>
          <w:szCs w:val="24"/>
        </w:rPr>
      </w:pPr>
      <w:r w:rsidRPr="008F1A46">
        <w:rPr>
          <w:sz w:val="24"/>
          <w:szCs w:val="24"/>
        </w:rPr>
        <w:t>AT&amp;T Services, Inc.</w:t>
      </w:r>
    </w:p>
    <w:p w:rsidR="008F1A46" w:rsidRPr="008F1A46" w:rsidRDefault="008F1A46" w:rsidP="008F1A46">
      <w:pPr>
        <w:ind w:left="4860"/>
        <w:rPr>
          <w:sz w:val="24"/>
          <w:szCs w:val="24"/>
        </w:rPr>
      </w:pPr>
      <w:r w:rsidRPr="008F1A46">
        <w:rPr>
          <w:sz w:val="24"/>
          <w:szCs w:val="24"/>
        </w:rPr>
        <w:t>P.O. Box 97061</w:t>
      </w:r>
    </w:p>
    <w:p w:rsidR="008F1A46" w:rsidRPr="008F1A46" w:rsidRDefault="008F1A46" w:rsidP="008F1A46">
      <w:pPr>
        <w:ind w:left="4860"/>
        <w:rPr>
          <w:sz w:val="24"/>
          <w:szCs w:val="24"/>
        </w:rPr>
      </w:pPr>
      <w:r w:rsidRPr="008F1A46">
        <w:rPr>
          <w:sz w:val="24"/>
          <w:szCs w:val="24"/>
        </w:rPr>
        <w:t>Redmond, WA  98052</w:t>
      </w:r>
    </w:p>
    <w:p w:rsidR="008F1A46" w:rsidRPr="008F1A46" w:rsidRDefault="008F1A46" w:rsidP="008F1A46">
      <w:pPr>
        <w:ind w:left="4860"/>
        <w:rPr>
          <w:sz w:val="24"/>
          <w:szCs w:val="24"/>
        </w:rPr>
      </w:pPr>
      <w:r w:rsidRPr="008F1A46">
        <w:rPr>
          <w:sz w:val="24"/>
          <w:szCs w:val="24"/>
        </w:rPr>
        <w:t>(425) 580-8112 (telephone)</w:t>
      </w:r>
    </w:p>
    <w:p w:rsidR="008F1A46" w:rsidRPr="008F1A46" w:rsidRDefault="008F1A46" w:rsidP="008F1A46">
      <w:pPr>
        <w:ind w:left="4860"/>
        <w:rPr>
          <w:sz w:val="24"/>
          <w:szCs w:val="24"/>
        </w:rPr>
      </w:pPr>
      <w:r w:rsidRPr="008F1A46">
        <w:rPr>
          <w:sz w:val="24"/>
          <w:szCs w:val="24"/>
        </w:rPr>
        <w:t>(425) 580-8333 (facsimile)</w:t>
      </w:r>
    </w:p>
    <w:p w:rsidR="008F1A46" w:rsidRPr="008F1A46" w:rsidRDefault="005C17F3" w:rsidP="008F1A46">
      <w:pPr>
        <w:ind w:left="4860"/>
        <w:rPr>
          <w:sz w:val="24"/>
          <w:szCs w:val="24"/>
        </w:rPr>
      </w:pPr>
      <w:hyperlink r:id="rId9" w:history="1">
        <w:r w:rsidR="008F1A46" w:rsidRPr="008F1A46">
          <w:rPr>
            <w:rStyle w:val="Hyperlink"/>
            <w:sz w:val="24"/>
            <w:szCs w:val="24"/>
          </w:rPr>
          <w:t>cindy.manheim@att.com</w:t>
        </w:r>
      </w:hyperlink>
    </w:p>
    <w:p w:rsidR="008F1A46" w:rsidRPr="008F1A46" w:rsidRDefault="008F1A46" w:rsidP="008F1A46">
      <w:pPr>
        <w:pStyle w:val="Title3"/>
      </w:pPr>
      <w:r w:rsidRPr="008F1A46">
        <w:rPr>
          <w:u w:val="none"/>
        </w:rPr>
        <w:br w:type="page"/>
      </w:r>
      <w:r w:rsidRPr="008F1A46">
        <w:lastRenderedPageBreak/>
        <w:t>CERTIFICATE OF SERVICE</w:t>
      </w:r>
    </w:p>
    <w:p w:rsidR="008F1A46" w:rsidRPr="008F1A46" w:rsidRDefault="008F1A46" w:rsidP="008F1A46">
      <w:pPr>
        <w:pStyle w:val="Body1"/>
      </w:pPr>
      <w:r w:rsidRPr="008F1A46">
        <w:t xml:space="preserve">Pursuant to WAC 480-07-150, I hereby certify that I have this day, May </w:t>
      </w:r>
      <w:r w:rsidR="000C662E">
        <w:t>21</w:t>
      </w:r>
      <w:r w:rsidRPr="008F1A46">
        <w:t>, 2010, served this document upon all parties of record by e-mail and U.S. Mail at the e-mail addresses and mailing addresses listed below:</w:t>
      </w:r>
    </w:p>
    <w:tbl>
      <w:tblPr>
        <w:tblW w:w="0" w:type="auto"/>
        <w:tblLook w:val="01E0"/>
      </w:tblPr>
      <w:tblGrid>
        <w:gridCol w:w="4548"/>
        <w:gridCol w:w="4308"/>
      </w:tblGrid>
      <w:tr w:rsidR="00114245" w:rsidRPr="000A3690" w:rsidTr="005755B9">
        <w:tc>
          <w:tcPr>
            <w:tcW w:w="4548" w:type="dxa"/>
          </w:tcPr>
          <w:p w:rsidR="00114245" w:rsidRPr="005846A8" w:rsidRDefault="00114245" w:rsidP="005755B9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Stephanie A. Joyce</w:t>
            </w:r>
          </w:p>
          <w:p w:rsidR="00114245" w:rsidRPr="005846A8" w:rsidRDefault="00114245" w:rsidP="005755B9">
            <w:pPr>
              <w:ind w:left="720"/>
              <w:rPr>
                <w:sz w:val="24"/>
                <w:szCs w:val="24"/>
              </w:rPr>
            </w:pPr>
            <w:proofErr w:type="spellStart"/>
            <w:r w:rsidRPr="005846A8">
              <w:rPr>
                <w:sz w:val="24"/>
                <w:szCs w:val="24"/>
              </w:rPr>
              <w:t>Arent</w:t>
            </w:r>
            <w:proofErr w:type="spellEnd"/>
            <w:r w:rsidRPr="005846A8">
              <w:rPr>
                <w:sz w:val="24"/>
                <w:szCs w:val="24"/>
              </w:rPr>
              <w:t xml:space="preserve"> Fox LLP</w:t>
            </w:r>
          </w:p>
          <w:p w:rsidR="00114245" w:rsidRPr="005846A8" w:rsidRDefault="00114245" w:rsidP="005755B9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1050 Connecticut Avenue, NW</w:t>
            </w:r>
          </w:p>
          <w:p w:rsidR="00114245" w:rsidRPr="005846A8" w:rsidRDefault="00114245" w:rsidP="005755B9">
            <w:pPr>
              <w:ind w:left="720"/>
              <w:rPr>
                <w:sz w:val="24"/>
                <w:szCs w:val="24"/>
              </w:rPr>
            </w:pPr>
            <w:r w:rsidRPr="005846A8">
              <w:rPr>
                <w:sz w:val="24"/>
                <w:szCs w:val="24"/>
              </w:rPr>
              <w:t>Washington, DC 20036</w:t>
            </w:r>
          </w:p>
          <w:p w:rsidR="00114245" w:rsidRPr="000A3690" w:rsidRDefault="005C17F3" w:rsidP="005755B9">
            <w:pPr>
              <w:ind w:left="720"/>
              <w:rPr>
                <w:sz w:val="24"/>
                <w:szCs w:val="24"/>
              </w:rPr>
            </w:pPr>
            <w:hyperlink r:id="rId10" w:history="1">
              <w:r w:rsidR="00114245" w:rsidRPr="002C00AC">
                <w:rPr>
                  <w:rStyle w:val="Hyperlink"/>
                  <w:sz w:val="24"/>
                  <w:szCs w:val="24"/>
                </w:rPr>
                <w:t>joyce.stephanie@arentfox.com</w:t>
              </w:r>
            </w:hyperlink>
            <w:r w:rsidR="00114245">
              <w:rPr>
                <w:sz w:val="24"/>
                <w:szCs w:val="24"/>
              </w:rPr>
              <w:t xml:space="preserve"> </w:t>
            </w:r>
            <w:r w:rsidR="00114245" w:rsidRPr="00584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8" w:type="dxa"/>
          </w:tcPr>
          <w:p w:rsidR="00114245" w:rsidRPr="000A3690" w:rsidRDefault="00114245" w:rsidP="005755B9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Arthur A. Butler</w:t>
            </w:r>
          </w:p>
          <w:p w:rsidR="00114245" w:rsidRPr="000A3690" w:rsidRDefault="00114245" w:rsidP="005755B9">
            <w:pPr>
              <w:ind w:left="492"/>
              <w:rPr>
                <w:sz w:val="24"/>
                <w:szCs w:val="24"/>
              </w:rPr>
            </w:pPr>
            <w:proofErr w:type="spellStart"/>
            <w:r w:rsidRPr="000A3690">
              <w:rPr>
                <w:sz w:val="24"/>
                <w:szCs w:val="24"/>
              </w:rPr>
              <w:t>Ater</w:t>
            </w:r>
            <w:proofErr w:type="spellEnd"/>
            <w:r w:rsidRPr="000A3690">
              <w:rPr>
                <w:sz w:val="24"/>
                <w:szCs w:val="24"/>
              </w:rPr>
              <w:t xml:space="preserve"> Wynne LLP</w:t>
            </w:r>
          </w:p>
          <w:p w:rsidR="00114245" w:rsidRPr="000A3690" w:rsidRDefault="00114245" w:rsidP="005755B9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601 Union Street, Suite 1501</w:t>
            </w:r>
          </w:p>
          <w:p w:rsidR="00114245" w:rsidRPr="000A3690" w:rsidRDefault="00114245" w:rsidP="005755B9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Seattle, WA 98101-2341</w:t>
            </w:r>
          </w:p>
          <w:p w:rsidR="00114245" w:rsidRDefault="005C17F3" w:rsidP="005755B9">
            <w:pPr>
              <w:ind w:left="492"/>
              <w:rPr>
                <w:sz w:val="24"/>
                <w:szCs w:val="24"/>
              </w:rPr>
            </w:pPr>
            <w:hyperlink r:id="rId11" w:history="1">
              <w:r w:rsidR="00114245" w:rsidRPr="000A3690">
                <w:rPr>
                  <w:rStyle w:val="Hyperlink"/>
                  <w:sz w:val="24"/>
                  <w:szCs w:val="24"/>
                </w:rPr>
                <w:t>aab@aterwynne.com</w:t>
              </w:r>
            </w:hyperlink>
            <w:r w:rsidR="00114245" w:rsidRPr="000A3690">
              <w:rPr>
                <w:sz w:val="24"/>
                <w:szCs w:val="24"/>
              </w:rPr>
              <w:t xml:space="preserve"> </w:t>
            </w:r>
          </w:p>
          <w:p w:rsidR="00114245" w:rsidRPr="000A3690" w:rsidRDefault="00114245" w:rsidP="005755B9">
            <w:pPr>
              <w:ind w:left="492"/>
              <w:rPr>
                <w:sz w:val="24"/>
                <w:szCs w:val="24"/>
              </w:rPr>
            </w:pPr>
          </w:p>
        </w:tc>
      </w:tr>
      <w:tr w:rsidR="00114245" w:rsidRPr="000A3690" w:rsidTr="005755B9">
        <w:tc>
          <w:tcPr>
            <w:tcW w:w="4548" w:type="dxa"/>
          </w:tcPr>
          <w:p w:rsidR="00114245" w:rsidRPr="000A3690" w:rsidRDefault="00114245" w:rsidP="005755B9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 xml:space="preserve">Chris R. </w:t>
            </w:r>
            <w:proofErr w:type="spellStart"/>
            <w:r w:rsidRPr="000A3690">
              <w:rPr>
                <w:sz w:val="24"/>
                <w:szCs w:val="24"/>
              </w:rPr>
              <w:t>Youtz</w:t>
            </w:r>
            <w:proofErr w:type="spellEnd"/>
          </w:p>
          <w:p w:rsidR="00114245" w:rsidRPr="000A3690" w:rsidRDefault="00114245" w:rsidP="005755B9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 xml:space="preserve">Richard E. </w:t>
            </w:r>
            <w:proofErr w:type="spellStart"/>
            <w:r w:rsidRPr="000A3690">
              <w:rPr>
                <w:sz w:val="24"/>
                <w:szCs w:val="24"/>
              </w:rPr>
              <w:t>Spoonemore</w:t>
            </w:r>
            <w:proofErr w:type="spellEnd"/>
          </w:p>
          <w:p w:rsidR="00114245" w:rsidRPr="000A3690" w:rsidRDefault="00114245" w:rsidP="005755B9">
            <w:pPr>
              <w:ind w:left="720"/>
              <w:rPr>
                <w:sz w:val="24"/>
                <w:szCs w:val="24"/>
              </w:rPr>
            </w:pPr>
            <w:proofErr w:type="spellStart"/>
            <w:r w:rsidRPr="000A3690">
              <w:rPr>
                <w:sz w:val="24"/>
                <w:szCs w:val="24"/>
              </w:rPr>
              <w:t>Sirianni</w:t>
            </w:r>
            <w:proofErr w:type="spellEnd"/>
            <w:r w:rsidRPr="000A3690">
              <w:rPr>
                <w:sz w:val="24"/>
                <w:szCs w:val="24"/>
              </w:rPr>
              <w:t xml:space="preserve"> </w:t>
            </w:r>
            <w:proofErr w:type="spellStart"/>
            <w:r w:rsidRPr="000A3690">
              <w:rPr>
                <w:sz w:val="24"/>
                <w:szCs w:val="24"/>
              </w:rPr>
              <w:t>Youtz</w:t>
            </w:r>
            <w:proofErr w:type="spellEnd"/>
            <w:r w:rsidRPr="000A3690">
              <w:rPr>
                <w:sz w:val="24"/>
                <w:szCs w:val="24"/>
              </w:rPr>
              <w:t xml:space="preserve"> Meier &amp; </w:t>
            </w:r>
            <w:proofErr w:type="spellStart"/>
            <w:r w:rsidRPr="000A3690">
              <w:rPr>
                <w:sz w:val="24"/>
                <w:szCs w:val="24"/>
              </w:rPr>
              <w:t>Spoonemore</w:t>
            </w:r>
            <w:proofErr w:type="spellEnd"/>
          </w:p>
          <w:p w:rsidR="00114245" w:rsidRPr="000A3690" w:rsidRDefault="00114245" w:rsidP="005755B9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719 Second Avenue, Suite 1100</w:t>
            </w:r>
          </w:p>
          <w:p w:rsidR="00114245" w:rsidRPr="000A3690" w:rsidRDefault="00114245" w:rsidP="005755B9">
            <w:pPr>
              <w:ind w:left="720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>Seattle, WA 98104</w:t>
            </w:r>
          </w:p>
          <w:p w:rsidR="00114245" w:rsidRPr="000A3690" w:rsidRDefault="005C17F3" w:rsidP="005755B9">
            <w:pPr>
              <w:ind w:left="720"/>
              <w:rPr>
                <w:sz w:val="24"/>
                <w:szCs w:val="24"/>
              </w:rPr>
            </w:pPr>
            <w:hyperlink r:id="rId12" w:history="1">
              <w:r w:rsidR="00114245" w:rsidRPr="000A3690">
                <w:rPr>
                  <w:rStyle w:val="Hyperlink"/>
                  <w:sz w:val="24"/>
                  <w:szCs w:val="24"/>
                </w:rPr>
                <w:t>cyoutz@sylaw.com</w:t>
              </w:r>
            </w:hyperlink>
            <w:r w:rsidR="00114245" w:rsidRPr="000A3690">
              <w:rPr>
                <w:sz w:val="24"/>
                <w:szCs w:val="24"/>
              </w:rPr>
              <w:t xml:space="preserve"> </w:t>
            </w:r>
          </w:p>
          <w:p w:rsidR="00114245" w:rsidRPr="000A3690" w:rsidRDefault="005C17F3" w:rsidP="005755B9">
            <w:pPr>
              <w:ind w:left="720"/>
              <w:rPr>
                <w:sz w:val="24"/>
                <w:szCs w:val="24"/>
              </w:rPr>
            </w:pPr>
            <w:hyperlink r:id="rId13" w:history="1">
              <w:r w:rsidR="00114245" w:rsidRPr="000A3690">
                <w:rPr>
                  <w:rStyle w:val="Hyperlink"/>
                  <w:sz w:val="24"/>
                  <w:szCs w:val="24"/>
                </w:rPr>
                <w:t>rspoonemore@sylaw.com</w:t>
              </w:r>
            </w:hyperlink>
            <w:r w:rsidR="00114245" w:rsidRPr="000A3690">
              <w:rPr>
                <w:sz w:val="24"/>
                <w:szCs w:val="24"/>
              </w:rPr>
              <w:t xml:space="preserve"> </w:t>
            </w:r>
          </w:p>
          <w:p w:rsidR="00114245" w:rsidRPr="000A3690" w:rsidRDefault="00114245" w:rsidP="005755B9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308" w:type="dxa"/>
          </w:tcPr>
          <w:p w:rsidR="00114245" w:rsidRPr="000A3690" w:rsidRDefault="00114245" w:rsidP="005755B9">
            <w:pPr>
              <w:ind w:left="492"/>
              <w:rPr>
                <w:sz w:val="24"/>
                <w:szCs w:val="24"/>
              </w:rPr>
            </w:pPr>
            <w:r w:rsidRPr="000A3690">
              <w:rPr>
                <w:sz w:val="24"/>
                <w:szCs w:val="24"/>
              </w:rPr>
              <w:t xml:space="preserve"> </w:t>
            </w:r>
          </w:p>
          <w:p w:rsidR="00114245" w:rsidRPr="000A3690" w:rsidRDefault="00114245" w:rsidP="005755B9">
            <w:pPr>
              <w:ind w:left="492"/>
              <w:rPr>
                <w:sz w:val="24"/>
                <w:szCs w:val="24"/>
              </w:rPr>
            </w:pPr>
          </w:p>
        </w:tc>
      </w:tr>
    </w:tbl>
    <w:p w:rsidR="00114245" w:rsidRPr="000A3690" w:rsidRDefault="00114245" w:rsidP="00114245">
      <w:pPr>
        <w:pStyle w:val="Body1"/>
      </w:pPr>
      <w:r w:rsidRPr="000A3690">
        <w:t xml:space="preserve">Pursuant to WAC 480-07-145, I certify that on May </w:t>
      </w:r>
      <w:r w:rsidR="000C662E">
        <w:t>21</w:t>
      </w:r>
      <w:r w:rsidRPr="000A3690">
        <w:t>, 2010, I filed MS Word and PDF versions of this document by electronic</w:t>
      </w:r>
      <w:r w:rsidR="0003262B">
        <w:t xml:space="preserve"> filing, and the original and four</w:t>
      </w:r>
      <w:r w:rsidRPr="000A3690">
        <w:t xml:space="preserve"> copies of this document by Federal Express with the WUTC at the mailing address listed below:</w:t>
      </w:r>
    </w:p>
    <w:p w:rsidR="00114245" w:rsidRPr="000A3690" w:rsidRDefault="00114245" w:rsidP="00114245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David Danner</w:t>
      </w:r>
    </w:p>
    <w:p w:rsidR="00114245" w:rsidRPr="000A3690" w:rsidRDefault="00114245" w:rsidP="0011424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Secretary and </w:t>
      </w:r>
      <w:r w:rsidRPr="000A3690">
        <w:rPr>
          <w:sz w:val="24"/>
          <w:szCs w:val="24"/>
        </w:rPr>
        <w:t xml:space="preserve">Executive </w:t>
      </w:r>
      <w:r>
        <w:rPr>
          <w:sz w:val="24"/>
          <w:szCs w:val="24"/>
        </w:rPr>
        <w:t>Director</w:t>
      </w:r>
    </w:p>
    <w:p w:rsidR="00114245" w:rsidRPr="000A3690" w:rsidRDefault="00114245" w:rsidP="00114245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Washington Utilities and Transportation Commission</w:t>
      </w:r>
    </w:p>
    <w:p w:rsidR="00114245" w:rsidRDefault="00114245" w:rsidP="00114245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1300 S. Evergreen Park Drive SW</w:t>
      </w:r>
    </w:p>
    <w:p w:rsidR="00114245" w:rsidRPr="000A3690" w:rsidRDefault="00114245" w:rsidP="00114245">
      <w:pPr>
        <w:ind w:firstLine="720"/>
        <w:rPr>
          <w:sz w:val="24"/>
          <w:szCs w:val="24"/>
        </w:rPr>
      </w:pPr>
      <w:r>
        <w:rPr>
          <w:sz w:val="24"/>
          <w:szCs w:val="24"/>
        </w:rPr>
        <w:t>PO Box 47250</w:t>
      </w:r>
    </w:p>
    <w:p w:rsidR="00114245" w:rsidRPr="000A3690" w:rsidRDefault="00114245" w:rsidP="00114245">
      <w:pPr>
        <w:ind w:firstLine="720"/>
        <w:rPr>
          <w:sz w:val="24"/>
          <w:szCs w:val="24"/>
        </w:rPr>
      </w:pPr>
      <w:r w:rsidRPr="000A3690">
        <w:rPr>
          <w:sz w:val="24"/>
          <w:szCs w:val="24"/>
        </w:rPr>
        <w:t>Olympia, WA 98504-7250</w:t>
      </w:r>
    </w:p>
    <w:p w:rsidR="00114245" w:rsidRPr="000A3690" w:rsidRDefault="005C17F3" w:rsidP="00114245">
      <w:pPr>
        <w:ind w:firstLine="720"/>
        <w:rPr>
          <w:sz w:val="24"/>
          <w:szCs w:val="24"/>
        </w:rPr>
      </w:pPr>
      <w:hyperlink r:id="rId14" w:history="1">
        <w:r w:rsidR="00114245" w:rsidRPr="000A3690">
          <w:rPr>
            <w:rStyle w:val="Hyperlink"/>
            <w:sz w:val="24"/>
            <w:szCs w:val="24"/>
          </w:rPr>
          <w:t>records@utc.wa.gov</w:t>
        </w:r>
      </w:hyperlink>
      <w:r w:rsidR="00114245" w:rsidRPr="000A3690">
        <w:rPr>
          <w:sz w:val="24"/>
          <w:szCs w:val="24"/>
        </w:rPr>
        <w:t xml:space="preserve"> </w:t>
      </w:r>
    </w:p>
    <w:p w:rsidR="008F1A46" w:rsidRPr="008F1A46" w:rsidRDefault="008F1A46" w:rsidP="008F1A46">
      <w:pPr>
        <w:tabs>
          <w:tab w:val="left" w:pos="4320"/>
          <w:tab w:val="right" w:pos="8640"/>
        </w:tabs>
        <w:rPr>
          <w:sz w:val="24"/>
          <w:szCs w:val="24"/>
        </w:rPr>
      </w:pPr>
    </w:p>
    <w:p w:rsidR="008F1A46" w:rsidRPr="008F1A46" w:rsidRDefault="008F1A46" w:rsidP="008F1A46">
      <w:pPr>
        <w:ind w:firstLine="720"/>
        <w:rPr>
          <w:sz w:val="24"/>
          <w:szCs w:val="24"/>
        </w:rPr>
      </w:pPr>
      <w:r w:rsidRPr="008F1A46">
        <w:rPr>
          <w:sz w:val="24"/>
          <w:szCs w:val="24"/>
        </w:rPr>
        <w:t xml:space="preserve">Pursuant to the Prehearing Conference Order 08, I further certify that I have this day, May </w:t>
      </w:r>
      <w:r w:rsidR="000C662E">
        <w:rPr>
          <w:sz w:val="24"/>
          <w:szCs w:val="24"/>
        </w:rPr>
        <w:t>21</w:t>
      </w:r>
      <w:r w:rsidRPr="008F1A46">
        <w:rPr>
          <w:sz w:val="24"/>
          <w:szCs w:val="24"/>
        </w:rPr>
        <w:t xml:space="preserve">, 2010, provided a courtesy copy of this document, in MS Word, to ALJ Friedlander by e-mail at the following e-mail address:  </w:t>
      </w:r>
      <w:hyperlink r:id="rId15" w:history="1">
        <w:r w:rsidRPr="008F1A46">
          <w:rPr>
            <w:rStyle w:val="Hyperlink"/>
            <w:sz w:val="24"/>
            <w:szCs w:val="24"/>
          </w:rPr>
          <w:t>mfriedla@utc.wa.gov</w:t>
        </w:r>
      </w:hyperlink>
      <w:r w:rsidRPr="008F1A46">
        <w:rPr>
          <w:sz w:val="24"/>
          <w:szCs w:val="24"/>
        </w:rPr>
        <w:t xml:space="preserve">. </w:t>
      </w:r>
    </w:p>
    <w:p w:rsidR="008F1A46" w:rsidRPr="008F1A46" w:rsidRDefault="008F1A46" w:rsidP="008F1A46">
      <w:pPr>
        <w:tabs>
          <w:tab w:val="left" w:pos="4320"/>
          <w:tab w:val="right" w:pos="8640"/>
        </w:tabs>
        <w:rPr>
          <w:sz w:val="24"/>
          <w:szCs w:val="24"/>
        </w:rPr>
      </w:pPr>
    </w:p>
    <w:p w:rsidR="008F1A46" w:rsidRPr="008F1A46" w:rsidRDefault="008F1A46" w:rsidP="008F1A46">
      <w:pPr>
        <w:tabs>
          <w:tab w:val="left" w:pos="4320"/>
          <w:tab w:val="right" w:pos="8640"/>
        </w:tabs>
        <w:rPr>
          <w:sz w:val="24"/>
          <w:szCs w:val="24"/>
        </w:rPr>
      </w:pPr>
    </w:p>
    <w:p w:rsidR="008F1A46" w:rsidRPr="008F1A46" w:rsidRDefault="008F1A46" w:rsidP="008F1A46">
      <w:pPr>
        <w:tabs>
          <w:tab w:val="left" w:pos="4320"/>
          <w:tab w:val="right" w:pos="8640"/>
        </w:tabs>
        <w:rPr>
          <w:sz w:val="24"/>
          <w:szCs w:val="24"/>
        </w:rPr>
      </w:pPr>
      <w:r w:rsidRPr="008F1A46">
        <w:rPr>
          <w:sz w:val="24"/>
          <w:szCs w:val="24"/>
        </w:rPr>
        <w:t xml:space="preserve">Dated: May </w:t>
      </w:r>
      <w:r w:rsidR="000C662E">
        <w:rPr>
          <w:sz w:val="24"/>
          <w:szCs w:val="24"/>
        </w:rPr>
        <w:t>21</w:t>
      </w:r>
      <w:r w:rsidRPr="008F1A46">
        <w:rPr>
          <w:sz w:val="24"/>
          <w:szCs w:val="24"/>
        </w:rPr>
        <w:t>, 2010</w:t>
      </w:r>
      <w:r w:rsidRPr="008F1A46">
        <w:rPr>
          <w:sz w:val="24"/>
          <w:szCs w:val="24"/>
        </w:rPr>
        <w:tab/>
      </w:r>
      <w:r w:rsidRPr="008F1A46">
        <w:rPr>
          <w:sz w:val="24"/>
          <w:szCs w:val="24"/>
          <w:u w:val="single"/>
        </w:rPr>
        <w:t>/s/</w:t>
      </w:r>
      <w:r w:rsidRPr="008F1A46">
        <w:rPr>
          <w:sz w:val="24"/>
          <w:szCs w:val="24"/>
          <w:u w:val="single"/>
        </w:rPr>
        <w:tab/>
      </w:r>
    </w:p>
    <w:p w:rsidR="008F1A46" w:rsidRPr="008F1A46" w:rsidRDefault="008F1A46" w:rsidP="008F1A46">
      <w:pPr>
        <w:tabs>
          <w:tab w:val="left" w:pos="4320"/>
          <w:tab w:val="right" w:pos="8640"/>
        </w:tabs>
        <w:rPr>
          <w:sz w:val="24"/>
          <w:szCs w:val="24"/>
        </w:rPr>
      </w:pPr>
      <w:r w:rsidRPr="008F1A46">
        <w:rPr>
          <w:sz w:val="24"/>
          <w:szCs w:val="24"/>
        </w:rPr>
        <w:tab/>
        <w:t>David Collier</w:t>
      </w:r>
    </w:p>
    <w:p w:rsidR="00196F7F" w:rsidRPr="008F1A46" w:rsidRDefault="00196F7F" w:rsidP="00196F7F">
      <w:pPr>
        <w:tabs>
          <w:tab w:val="left" w:pos="0"/>
          <w:tab w:val="left" w:pos="4770"/>
        </w:tabs>
        <w:suppressAutoHyphens/>
        <w:rPr>
          <w:sz w:val="24"/>
          <w:szCs w:val="24"/>
        </w:rPr>
      </w:pPr>
    </w:p>
    <w:sectPr w:rsidR="00196F7F" w:rsidRPr="008F1A46" w:rsidSect="000026AE">
      <w:headerReference w:type="default" r:id="rId16"/>
      <w:footerReference w:type="default" r:id="rId17"/>
      <w:type w:val="continuous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5CF" w:rsidRDefault="003305CF">
      <w:r>
        <w:separator/>
      </w:r>
    </w:p>
  </w:endnote>
  <w:endnote w:type="continuationSeparator" w:id="0">
    <w:p w:rsidR="003305CF" w:rsidRDefault="00330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E3" w:rsidRDefault="00546FE3">
    <w:pPr>
      <w:pStyle w:val="Footer"/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1" name="Picture 1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E3" w:rsidRDefault="00546F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5CF" w:rsidRDefault="003305CF">
      <w:r>
        <w:separator/>
      </w:r>
    </w:p>
  </w:footnote>
  <w:footnote w:type="continuationSeparator" w:id="0">
    <w:p w:rsidR="003305CF" w:rsidRDefault="00330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E3" w:rsidRDefault="005C17F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in;margin-top:26.25pt;width:81.75pt;height:36pt;z-index:251657728" filled="f" stroked="f">
          <v:textbox style="mso-next-textbox:#_x0000_s2052" inset="0,0,0,0">
            <w:txbxContent>
              <w:p w:rsidR="00546FE3" w:rsidRPr="007F10C9" w:rsidRDefault="00546FE3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</w:rPr>
                  <w:t>425-580-8112</w:t>
                </w:r>
                <w:r w:rsidRPr="007F10C9">
                  <w:rPr>
                    <w:rFonts w:ascii="Arial" w:hAnsi="Arial" w:cs="Arial"/>
                    <w:color w:val="000000"/>
                    <w:sz w:val="14"/>
                  </w:rPr>
                  <w:t xml:space="preserve"> Phone</w:t>
                </w:r>
              </w:p>
              <w:p w:rsidR="00546FE3" w:rsidRPr="007F10C9" w:rsidRDefault="00546FE3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</w:rPr>
                  <w:t>425-580-8652</w:t>
                </w:r>
                <w:r w:rsidRPr="007F10C9">
                  <w:rPr>
                    <w:rFonts w:ascii="Arial" w:hAnsi="Arial" w:cs="Arial"/>
                    <w:color w:val="000000"/>
                    <w:sz w:val="14"/>
                  </w:rPr>
                  <w:t xml:space="preserve"> Fax</w:t>
                </w:r>
              </w:p>
              <w:p w:rsidR="00546FE3" w:rsidRPr="007F10C9" w:rsidRDefault="005C17F3">
                <w:pPr>
                  <w:spacing w:line="200" w:lineRule="exact"/>
                  <w:rPr>
                    <w:rFonts w:ascii="Arial" w:hAnsi="Arial" w:cs="Arial"/>
                    <w:color w:val="000000"/>
                    <w:sz w:val="14"/>
                  </w:rPr>
                </w:pPr>
                <w:hyperlink r:id="rId1" w:history="1">
                  <w:r w:rsidR="00546FE3" w:rsidRPr="00DF5093">
                    <w:rPr>
                      <w:rStyle w:val="Hyperlink"/>
                      <w:rFonts w:ascii="Arial" w:hAnsi="Arial" w:cs="Arial"/>
                      <w:sz w:val="14"/>
                    </w:rPr>
                    <w:t>cindy.manheim@att.com</w:t>
                  </w:r>
                </w:hyperlink>
                <w:r w:rsidR="00546FE3">
                  <w:rPr>
                    <w:rFonts w:ascii="Arial" w:hAnsi="Arial" w:cs="Arial"/>
                    <w:color w:val="000000"/>
                    <w:sz w:val="14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5in;margin-top:-1.8pt;width:112.5pt;height:33.05pt;z-index:251656704" filled="f" stroked="f">
          <v:textbox style="mso-next-textbox:#_x0000_s2051" inset="0,0,0,0">
            <w:txbxContent>
              <w:p w:rsidR="00546FE3" w:rsidRDefault="00546FE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PO Box 97061</w:t>
                </w:r>
              </w:p>
              <w:p w:rsidR="00546FE3" w:rsidRDefault="00546FE3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Redmond, WA  98073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225pt;margin-top:-1.8pt;width:112.5pt;height:57.75pt;z-index:251658752" filled="f" stroked="f">
          <v:textbox style="mso-next-textbox:#_x0000_s2053" inset="0,0,0,0">
            <w:txbxContent>
              <w:p w:rsidR="00546FE3" w:rsidRDefault="00546FE3" w:rsidP="007F10C9">
                <w:pPr>
                  <w:spacing w:line="200" w:lineRule="exact"/>
                  <w:rPr>
                    <w:rFonts w:ascii="Arial" w:hAnsi="Arial" w:cs="Arial"/>
                    <w:b/>
                    <w:sz w:val="14"/>
                  </w:rPr>
                </w:pPr>
                <w:r>
                  <w:rPr>
                    <w:rFonts w:ascii="Arial" w:hAnsi="Arial" w:cs="Arial"/>
                    <w:b/>
                    <w:sz w:val="14"/>
                  </w:rPr>
                  <w:t>Cynthia Manheim</w:t>
                </w:r>
              </w:p>
              <w:p w:rsidR="00546FE3" w:rsidRDefault="00546FE3" w:rsidP="007F10C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b/>
                    <w:sz w:val="14"/>
                  </w:rPr>
                  <w:t>General Attorney</w:t>
                </w:r>
              </w:p>
              <w:p w:rsidR="00546FE3" w:rsidRDefault="00546FE3" w:rsidP="007F10C9">
                <w:pPr>
                  <w:spacing w:line="200" w:lineRule="exact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>Regulatory</w:t>
                </w:r>
              </w:p>
            </w:txbxContent>
          </v:textbox>
        </v:shape>
      </w:pict>
    </w:r>
    <w:r w:rsidR="00546FE3"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2" name="Picture 2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tt_color_logo60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E3" w:rsidRDefault="005C17F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3.25pt;margin-top:1pt;width:81.75pt;height:57.75pt;z-index:251660800" filled="f" stroked="f">
          <v:textbox style="mso-next-textbox:#_x0000_s2055" inset="0,0,0,0">
            <w:txbxContent>
              <w:p w:rsidR="00546FE3" w:rsidRPr="000026AE" w:rsidRDefault="00546FE3" w:rsidP="000026AE"/>
            </w:txbxContent>
          </v:textbox>
        </v:shape>
      </w:pict>
    </w:r>
    <w:r>
      <w:rPr>
        <w:noProof/>
      </w:rPr>
      <w:pict>
        <v:shape id="_x0000_s2054" type="#_x0000_t202" style="position:absolute;margin-left:296.25pt;margin-top:1pt;width:112.5pt;height:57.75pt;z-index:251659776" filled="f" stroked="f">
          <v:textbox style="mso-next-textbox:#_x0000_s2054" inset="0,0,0,0">
            <w:txbxContent>
              <w:p w:rsidR="00546FE3" w:rsidRPr="000026AE" w:rsidRDefault="00546FE3" w:rsidP="000026A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C5DF8"/>
    <w:multiLevelType w:val="singleLevel"/>
    <w:tmpl w:val="60ECB8C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663C6236"/>
    <w:multiLevelType w:val="hybridMultilevel"/>
    <w:tmpl w:val="273C9C88"/>
    <w:lvl w:ilvl="0" w:tplc="77E896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2C66"/>
    <w:rsid w:val="000026AE"/>
    <w:rsid w:val="000033CF"/>
    <w:rsid w:val="0003262B"/>
    <w:rsid w:val="000550D1"/>
    <w:rsid w:val="000569B8"/>
    <w:rsid w:val="000721DD"/>
    <w:rsid w:val="00087773"/>
    <w:rsid w:val="0009193F"/>
    <w:rsid w:val="00093F7B"/>
    <w:rsid w:val="000A1A7F"/>
    <w:rsid w:val="000C662E"/>
    <w:rsid w:val="00114245"/>
    <w:rsid w:val="0014489A"/>
    <w:rsid w:val="00146F9B"/>
    <w:rsid w:val="00196F7F"/>
    <w:rsid w:val="001A76E3"/>
    <w:rsid w:val="001C4221"/>
    <w:rsid w:val="001C672A"/>
    <w:rsid w:val="001C7EC3"/>
    <w:rsid w:val="0022019F"/>
    <w:rsid w:val="00252B32"/>
    <w:rsid w:val="002753A0"/>
    <w:rsid w:val="002811DC"/>
    <w:rsid w:val="00281CF7"/>
    <w:rsid w:val="0028705F"/>
    <w:rsid w:val="002D5A6D"/>
    <w:rsid w:val="002E16D7"/>
    <w:rsid w:val="002F429B"/>
    <w:rsid w:val="003074A4"/>
    <w:rsid w:val="00325003"/>
    <w:rsid w:val="00325718"/>
    <w:rsid w:val="003305CF"/>
    <w:rsid w:val="00340D64"/>
    <w:rsid w:val="00360032"/>
    <w:rsid w:val="00362F70"/>
    <w:rsid w:val="0038176B"/>
    <w:rsid w:val="00390EEE"/>
    <w:rsid w:val="003C5872"/>
    <w:rsid w:val="00423425"/>
    <w:rsid w:val="004535FF"/>
    <w:rsid w:val="00461129"/>
    <w:rsid w:val="0047249B"/>
    <w:rsid w:val="00472D03"/>
    <w:rsid w:val="004C275A"/>
    <w:rsid w:val="004D4E55"/>
    <w:rsid w:val="00533631"/>
    <w:rsid w:val="00546FE3"/>
    <w:rsid w:val="005A44BF"/>
    <w:rsid w:val="005B46FA"/>
    <w:rsid w:val="005C17F3"/>
    <w:rsid w:val="005F115A"/>
    <w:rsid w:val="0067450C"/>
    <w:rsid w:val="0067576D"/>
    <w:rsid w:val="006878E1"/>
    <w:rsid w:val="006E2578"/>
    <w:rsid w:val="00724CBF"/>
    <w:rsid w:val="0075194D"/>
    <w:rsid w:val="00764E2D"/>
    <w:rsid w:val="007A2EA2"/>
    <w:rsid w:val="007B2B5C"/>
    <w:rsid w:val="007C5234"/>
    <w:rsid w:val="007D36C4"/>
    <w:rsid w:val="007D5900"/>
    <w:rsid w:val="007D59B5"/>
    <w:rsid w:val="007E041B"/>
    <w:rsid w:val="007F10C9"/>
    <w:rsid w:val="007F1996"/>
    <w:rsid w:val="007F277F"/>
    <w:rsid w:val="0080145D"/>
    <w:rsid w:val="00824847"/>
    <w:rsid w:val="0085603D"/>
    <w:rsid w:val="0087256E"/>
    <w:rsid w:val="008A7369"/>
    <w:rsid w:val="008F1A46"/>
    <w:rsid w:val="0092748C"/>
    <w:rsid w:val="00941271"/>
    <w:rsid w:val="00943B86"/>
    <w:rsid w:val="009F2C66"/>
    <w:rsid w:val="00A01550"/>
    <w:rsid w:val="00A02493"/>
    <w:rsid w:val="00A75F46"/>
    <w:rsid w:val="00A8374B"/>
    <w:rsid w:val="00A84590"/>
    <w:rsid w:val="00AD2FFA"/>
    <w:rsid w:val="00B04678"/>
    <w:rsid w:val="00B3625C"/>
    <w:rsid w:val="00B369BD"/>
    <w:rsid w:val="00B5325A"/>
    <w:rsid w:val="00B710A8"/>
    <w:rsid w:val="00BA5F61"/>
    <w:rsid w:val="00BD1ADA"/>
    <w:rsid w:val="00BE0B68"/>
    <w:rsid w:val="00C6314B"/>
    <w:rsid w:val="00CB0AC6"/>
    <w:rsid w:val="00CC0F53"/>
    <w:rsid w:val="00CE5FE0"/>
    <w:rsid w:val="00CF5E0A"/>
    <w:rsid w:val="00D003DA"/>
    <w:rsid w:val="00D1310D"/>
    <w:rsid w:val="00D33CCC"/>
    <w:rsid w:val="00D46FF3"/>
    <w:rsid w:val="00D50FB1"/>
    <w:rsid w:val="00D65D9A"/>
    <w:rsid w:val="00D70932"/>
    <w:rsid w:val="00D753A0"/>
    <w:rsid w:val="00D7575E"/>
    <w:rsid w:val="00D757C6"/>
    <w:rsid w:val="00D80847"/>
    <w:rsid w:val="00D82AFD"/>
    <w:rsid w:val="00D838C7"/>
    <w:rsid w:val="00D83948"/>
    <w:rsid w:val="00DB26B4"/>
    <w:rsid w:val="00DE5C0D"/>
    <w:rsid w:val="00E14B68"/>
    <w:rsid w:val="00E70C92"/>
    <w:rsid w:val="00EC32DB"/>
    <w:rsid w:val="00F17BD4"/>
    <w:rsid w:val="00F7002A"/>
    <w:rsid w:val="00F762E6"/>
    <w:rsid w:val="00FB4C76"/>
    <w:rsid w:val="00FC117D"/>
    <w:rsid w:val="00FD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705F"/>
  </w:style>
  <w:style w:type="paragraph" w:styleId="Heading2">
    <w:name w:val="heading 2"/>
    <w:basedOn w:val="Normal"/>
    <w:next w:val="Normal"/>
    <w:qFormat/>
    <w:rsid w:val="0028705F"/>
    <w:pPr>
      <w:keepNext/>
      <w:tabs>
        <w:tab w:val="left" w:pos="3456"/>
        <w:tab w:val="left" w:pos="6624"/>
      </w:tabs>
      <w:outlineLvl w:val="1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0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10A8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705F"/>
    <w:rPr>
      <w:sz w:val="24"/>
    </w:rPr>
  </w:style>
  <w:style w:type="character" w:styleId="Hyperlink">
    <w:name w:val="Hyperlink"/>
    <w:basedOn w:val="DefaultParagraphFont"/>
    <w:rsid w:val="007F10C9"/>
    <w:rPr>
      <w:color w:val="0000FF"/>
      <w:u w:val="single"/>
    </w:rPr>
  </w:style>
  <w:style w:type="paragraph" w:styleId="EndnoteText">
    <w:name w:val="endnote text"/>
    <w:basedOn w:val="Normal"/>
    <w:semiHidden/>
    <w:rsid w:val="007F10C9"/>
    <w:rPr>
      <w:rFonts w:ascii="Courier" w:hAnsi="Courier"/>
      <w:sz w:val="24"/>
    </w:rPr>
  </w:style>
  <w:style w:type="paragraph" w:styleId="FootnoteText">
    <w:name w:val="footnote text"/>
    <w:basedOn w:val="Normal"/>
    <w:semiHidden/>
    <w:rsid w:val="007F10C9"/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362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7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92748C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2748C"/>
    <w:rPr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92748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2748C"/>
    <w:rPr>
      <w:b/>
      <w:bCs/>
      <w:sz w:val="24"/>
      <w:szCs w:val="24"/>
    </w:rPr>
  </w:style>
  <w:style w:type="paragraph" w:customStyle="1" w:styleId="Body0">
    <w:name w:val="Body 0"/>
    <w:aliases w:val="b0"/>
    <w:basedOn w:val="Normal"/>
    <w:rsid w:val="008F1A46"/>
    <w:pPr>
      <w:spacing w:after="240"/>
      <w:jc w:val="both"/>
    </w:pPr>
    <w:rPr>
      <w:sz w:val="24"/>
      <w:szCs w:val="24"/>
    </w:rPr>
  </w:style>
  <w:style w:type="paragraph" w:customStyle="1" w:styleId="Body1">
    <w:name w:val="Body 1"/>
    <w:aliases w:val="b1"/>
    <w:basedOn w:val="Normal"/>
    <w:rsid w:val="008F1A46"/>
    <w:pPr>
      <w:spacing w:after="240"/>
      <w:ind w:firstLine="720"/>
      <w:jc w:val="both"/>
    </w:pPr>
    <w:rPr>
      <w:sz w:val="24"/>
      <w:szCs w:val="24"/>
    </w:rPr>
  </w:style>
  <w:style w:type="paragraph" w:customStyle="1" w:styleId="Body4">
    <w:name w:val="Body 4"/>
    <w:aliases w:val="b4"/>
    <w:basedOn w:val="Normal"/>
    <w:rsid w:val="008F1A46"/>
    <w:pPr>
      <w:spacing w:line="480" w:lineRule="auto"/>
      <w:ind w:firstLine="720"/>
      <w:jc w:val="both"/>
    </w:pPr>
    <w:rPr>
      <w:sz w:val="24"/>
      <w:szCs w:val="24"/>
    </w:rPr>
  </w:style>
  <w:style w:type="paragraph" w:customStyle="1" w:styleId="Title3">
    <w:name w:val="Title 3"/>
    <w:aliases w:val="t3"/>
    <w:basedOn w:val="Normal"/>
    <w:next w:val="Body0"/>
    <w:rsid w:val="008F1A46"/>
    <w:pPr>
      <w:keepNext/>
      <w:spacing w:after="240"/>
      <w:jc w:val="center"/>
      <w:outlineLvl w:val="0"/>
    </w:pPr>
    <w:rPr>
      <w:b/>
      <w:sz w:val="24"/>
      <w:szCs w:val="24"/>
      <w:u w:val="single"/>
    </w:rPr>
  </w:style>
  <w:style w:type="paragraph" w:styleId="Signature">
    <w:name w:val="Signature"/>
    <w:basedOn w:val="Normal"/>
    <w:link w:val="SignatureChar"/>
    <w:rsid w:val="008F1A46"/>
    <w:pPr>
      <w:ind w:left="4320"/>
    </w:pPr>
    <w:rPr>
      <w:sz w:val="24"/>
      <w:szCs w:val="24"/>
    </w:rPr>
  </w:style>
  <w:style w:type="character" w:customStyle="1" w:styleId="SignatureChar">
    <w:name w:val="Signature Char"/>
    <w:basedOn w:val="DefaultParagraphFont"/>
    <w:link w:val="Signature"/>
    <w:rsid w:val="008F1A46"/>
    <w:rPr>
      <w:sz w:val="24"/>
      <w:szCs w:val="24"/>
    </w:rPr>
  </w:style>
  <w:style w:type="paragraph" w:customStyle="1" w:styleId="Addressee">
    <w:name w:val="Addressee"/>
    <w:basedOn w:val="Normal"/>
    <w:rsid w:val="008F1A46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spoonemore@sylaw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eader" Target="header1.xml"/><Relationship Id="rId12" Type="http://schemas.openxmlformats.org/officeDocument/2006/relationships/hyperlink" Target="mailto:cyoutz@sylaw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ab@aterwynne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friedla@utc.wa.gov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mailto:joyce.stephanie@arentfox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indy.manheim@att.com" TargetMode="External"/><Relationship Id="rId14" Type="http://schemas.openxmlformats.org/officeDocument/2006/relationships/hyperlink" Target="mailto:records@utc.wa.gov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indy.manheim@at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h1368\Local%20Settings\Temp\att_ltr_color_0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2004-11-17T08:00:00+00:00</OpenedDate>
    <Date1 xmlns="dc463f71-b30c-4ab2-9473-d307f9d35888">2010-05-21T07:00:00+00:00</Date1>
    <IsDocumentOrder xmlns="dc463f71-b30c-4ab2-9473-d307f9d35888" xsi:nil="true"/>
    <IsHighlyConfidential xmlns="dc463f71-b30c-4ab2-9473-d307f9d35888">false</IsHighlyConfidential>
    <CaseCompanyNames xmlns="dc463f71-b30c-4ab2-9473-d307f9d35888">AT&amp;T Communications of the Pacific Northwest, Inc.;T-Netix, Inc.</CaseCompanyNames>
    <DocketNumber xmlns="dc463f71-b30c-4ab2-9473-d307f9d35888">042022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B6134CB9233C84ABE00426E996B4763" ma:contentTypeVersion="136" ma:contentTypeDescription="" ma:contentTypeScope="" ma:versionID="94c5740cf05eb6382d764a4bd3e642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CD8287-58BF-4B42-9393-A407CDDC58DD}"/>
</file>

<file path=customXml/itemProps2.xml><?xml version="1.0" encoding="utf-8"?>
<ds:datastoreItem xmlns:ds="http://schemas.openxmlformats.org/officeDocument/2006/customXml" ds:itemID="{A7F2A89F-52C3-4A8E-9B2F-E88BAAC18458}"/>
</file>

<file path=customXml/itemProps3.xml><?xml version="1.0" encoding="utf-8"?>
<ds:datastoreItem xmlns:ds="http://schemas.openxmlformats.org/officeDocument/2006/customXml" ds:itemID="{8DB1A3C7-5487-455B-ACDD-81E50374AB49}"/>
</file>

<file path=customXml/itemProps4.xml><?xml version="1.0" encoding="utf-8"?>
<ds:datastoreItem xmlns:ds="http://schemas.openxmlformats.org/officeDocument/2006/customXml" ds:itemID="{5450E8CE-2ABD-4DA2-BC83-FCD72A728950}"/>
</file>

<file path=docProps/app.xml><?xml version="1.0" encoding="utf-8"?>
<Properties xmlns="http://schemas.openxmlformats.org/officeDocument/2006/extended-properties" xmlns:vt="http://schemas.openxmlformats.org/officeDocument/2006/docPropsVTypes">
  <Template>att_ltr_color_0206.dot</Template>
  <TotalTime>1</TotalTime>
  <Pages>3</Pages>
  <Words>448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3302</CharactersWithSpaces>
  <SharedDoc>false</SharedDoc>
  <HLinks>
    <vt:vector size="30" baseType="variant">
      <vt:variant>
        <vt:i4>393340</vt:i4>
      </vt:variant>
      <vt:variant>
        <vt:i4>9</vt:i4>
      </vt:variant>
      <vt:variant>
        <vt:i4>0</vt:i4>
      </vt:variant>
      <vt:variant>
        <vt:i4>5</vt:i4>
      </vt:variant>
      <vt:variant>
        <vt:lpwstr>mailto:cindy.manheim@att.com</vt:lpwstr>
      </vt:variant>
      <vt:variant>
        <vt:lpwstr/>
      </vt:variant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mailto:david.collier@att.com</vt:lpwstr>
      </vt:variant>
      <vt:variant>
        <vt:lpwstr/>
      </vt:variant>
      <vt:variant>
        <vt:i4>786471</vt:i4>
      </vt:variant>
      <vt:variant>
        <vt:i4>3</vt:i4>
      </vt:variant>
      <vt:variant>
        <vt:i4>0</vt:i4>
      </vt:variant>
      <vt:variant>
        <vt:i4>5</vt:i4>
      </vt:variant>
      <vt:variant>
        <vt:lpwstr>mailto:slmullin@att.com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mailto:cindy.manheim@att.com</vt:lpwstr>
      </vt:variant>
      <vt:variant>
        <vt:lpwstr/>
      </vt:variant>
      <vt:variant>
        <vt:i4>393340</vt:i4>
      </vt:variant>
      <vt:variant>
        <vt:i4>0</vt:i4>
      </vt:variant>
      <vt:variant>
        <vt:i4>0</vt:i4>
      </vt:variant>
      <vt:variant>
        <vt:i4>5</vt:i4>
      </vt:variant>
      <vt:variant>
        <vt:lpwstr>mailto:cindy.manheim@att.com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subject/>
  <dc:creator>fh1368</dc:creator>
  <cp:keywords/>
  <dc:description/>
  <cp:lastModifiedBy>David Collier</cp:lastModifiedBy>
  <cp:revision>3</cp:revision>
  <cp:lastPrinted>2010-05-19T21:29:00Z</cp:lastPrinted>
  <dcterms:created xsi:type="dcterms:W3CDTF">2010-05-19T21:30:00Z</dcterms:created>
  <dcterms:modified xsi:type="dcterms:W3CDTF">2010-05-21T18:02:00Z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0x0101006E56B4D1795A2E4DB2F0B01679ED314A004B6134CB9233C84ABE00426E996B4763</vt:lpwstr>
  </property>
  <property fmtid="{D5CDD505-2E9C-101B-9397-08002B2CF9AE}" pid="3" name="_docset_NoMedatataSyncRequired">
    <vt:lpwstr>False</vt:lpwstr>
  </property>
</Properties>
</file>