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B9" w:rsidRPr="00765BCE" w:rsidRDefault="00C25DB9" w:rsidP="00765BCE">
      <w:pPr>
        <w:pStyle w:val="Header"/>
        <w:tabs>
          <w:tab w:val="clear" w:pos="4320"/>
        </w:tabs>
        <w:spacing w:line="240" w:lineRule="exact"/>
        <w:rPr>
          <w:rFonts w:ascii="Times New Roman" w:hAnsi="Times New Roman"/>
        </w:rPr>
      </w:pPr>
    </w:p>
    <w:p w:rsidR="00C25DB9" w:rsidRPr="00765BCE" w:rsidRDefault="00C25DB9" w:rsidP="00A8043A">
      <w:pPr>
        <w:pStyle w:val="Header"/>
        <w:spacing w:line="240" w:lineRule="exact"/>
        <w:rPr>
          <w:rFonts w:ascii="Times New Roman" w:hAnsi="Times New Roman"/>
        </w:rPr>
      </w:pPr>
    </w:p>
    <w:p w:rsidR="00C25DB9" w:rsidRPr="00765BCE" w:rsidRDefault="00C25DB9" w:rsidP="00A8043A">
      <w:pPr>
        <w:pStyle w:val="Header"/>
        <w:spacing w:line="240" w:lineRule="exact"/>
        <w:rPr>
          <w:rFonts w:ascii="Times New Roman" w:hAnsi="Times New Roman"/>
        </w:rPr>
      </w:pPr>
    </w:p>
    <w:p w:rsidR="00A8043A" w:rsidRPr="00765BCE" w:rsidRDefault="00A8043A" w:rsidP="00765BCE">
      <w:pPr>
        <w:pStyle w:val="Header"/>
        <w:tabs>
          <w:tab w:val="clear" w:pos="4320"/>
          <w:tab w:val="clear" w:pos="8640"/>
        </w:tabs>
        <w:spacing w:line="240" w:lineRule="exact"/>
        <w:jc w:val="center"/>
        <w:rPr>
          <w:rFonts w:ascii="Times New Roman" w:hAnsi="Times New Roman"/>
        </w:rPr>
      </w:pPr>
      <w:r w:rsidRPr="00765BCE">
        <w:rPr>
          <w:rFonts w:ascii="Times New Roman" w:hAnsi="Times New Roman"/>
        </w:rPr>
        <w:t>BEFORE THE WASHINGTON UTILITIES AND TRANSPORTATION COMMISSION</w:t>
      </w:r>
    </w:p>
    <w:p w:rsidR="00A8043A" w:rsidRPr="00765BCE" w:rsidRDefault="00A8043A" w:rsidP="00A8043A">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A8043A" w:rsidRPr="00765BCE" w:rsidTr="00765BCE">
        <w:tc>
          <w:tcPr>
            <w:tcW w:w="4590" w:type="dxa"/>
            <w:tcBorders>
              <w:top w:val="single" w:sz="6" w:space="0" w:color="FFFFFF"/>
              <w:left w:val="single" w:sz="6" w:space="0" w:color="FFFFFF"/>
              <w:bottom w:val="single" w:sz="7" w:space="0" w:color="000000"/>
              <w:right w:val="single" w:sz="6" w:space="0" w:color="FFFFFF"/>
            </w:tcBorders>
          </w:tcPr>
          <w:p w:rsidR="00A8043A" w:rsidRPr="00765BCE" w:rsidRDefault="00A8043A" w:rsidP="00765BCE">
            <w:pPr>
              <w:spacing w:line="240" w:lineRule="exact"/>
              <w:rPr>
                <w:rFonts w:cs="Times New Roman"/>
                <w:szCs w:val="24"/>
              </w:rPr>
            </w:pPr>
            <w:r w:rsidRPr="00765BCE">
              <w:rPr>
                <w:rFonts w:cs="Times New Roman"/>
                <w:szCs w:val="24"/>
              </w:rPr>
              <w:t>WASHINGTON UTILITIES AND TRANSPORTATION COMMISSION,</w:t>
            </w:r>
          </w:p>
          <w:p w:rsidR="00A8043A" w:rsidRPr="00765BCE" w:rsidRDefault="00A8043A" w:rsidP="00765BCE">
            <w:pPr>
              <w:spacing w:line="240" w:lineRule="exact"/>
              <w:rPr>
                <w:rFonts w:cs="Times New Roman"/>
                <w:szCs w:val="24"/>
              </w:rPr>
            </w:pPr>
          </w:p>
          <w:p w:rsidR="00A8043A" w:rsidRPr="00765BCE" w:rsidRDefault="00A8043A" w:rsidP="00765BCE">
            <w:pPr>
              <w:spacing w:line="240" w:lineRule="exact"/>
              <w:ind w:left="720" w:firstLine="720"/>
              <w:rPr>
                <w:rFonts w:cs="Times New Roman"/>
                <w:szCs w:val="24"/>
              </w:rPr>
            </w:pPr>
            <w:r w:rsidRPr="00765BCE">
              <w:rPr>
                <w:rFonts w:cs="Times New Roman"/>
                <w:szCs w:val="24"/>
              </w:rPr>
              <w:tab/>
              <w:t>Complainant,</w:t>
            </w:r>
          </w:p>
          <w:p w:rsidR="00A8043A" w:rsidRPr="00765BCE" w:rsidRDefault="00A8043A" w:rsidP="00765BCE">
            <w:pPr>
              <w:spacing w:line="240" w:lineRule="exact"/>
              <w:rPr>
                <w:rFonts w:cs="Times New Roman"/>
                <w:szCs w:val="24"/>
              </w:rPr>
            </w:pPr>
          </w:p>
          <w:p w:rsidR="00A8043A" w:rsidRPr="00765BCE" w:rsidRDefault="00A8043A" w:rsidP="00765BCE">
            <w:pPr>
              <w:spacing w:line="240" w:lineRule="exact"/>
              <w:rPr>
                <w:rFonts w:cs="Times New Roman"/>
                <w:szCs w:val="24"/>
              </w:rPr>
            </w:pPr>
            <w:r w:rsidRPr="00765BCE">
              <w:rPr>
                <w:rFonts w:cs="Times New Roman"/>
                <w:szCs w:val="24"/>
              </w:rPr>
              <w:t>v.</w:t>
            </w:r>
          </w:p>
          <w:p w:rsidR="00A8043A" w:rsidRPr="00765BCE" w:rsidRDefault="00A8043A" w:rsidP="00765BCE">
            <w:pPr>
              <w:spacing w:line="240" w:lineRule="exact"/>
              <w:rPr>
                <w:rFonts w:cs="Times New Roman"/>
                <w:szCs w:val="24"/>
              </w:rPr>
            </w:pPr>
          </w:p>
          <w:p w:rsidR="00A8043A" w:rsidRPr="00765BCE" w:rsidRDefault="00A8043A" w:rsidP="00765BCE">
            <w:pPr>
              <w:spacing w:line="240" w:lineRule="exact"/>
              <w:rPr>
                <w:rFonts w:cs="Times New Roman"/>
                <w:szCs w:val="24"/>
              </w:rPr>
            </w:pPr>
            <w:r w:rsidRPr="00765BCE">
              <w:rPr>
                <w:rFonts w:cs="Times New Roman"/>
                <w:szCs w:val="24"/>
              </w:rPr>
              <w:t>SANDY POINT IMPROVEMENT COMPANY,</w:t>
            </w:r>
          </w:p>
          <w:p w:rsidR="00A8043A" w:rsidRPr="00765BCE" w:rsidRDefault="00A8043A" w:rsidP="00765BCE">
            <w:pPr>
              <w:spacing w:line="240" w:lineRule="exact"/>
              <w:rPr>
                <w:rFonts w:cs="Times New Roman"/>
                <w:szCs w:val="24"/>
              </w:rPr>
            </w:pPr>
          </w:p>
          <w:p w:rsidR="008513EE" w:rsidRPr="00765BCE" w:rsidRDefault="00A8043A" w:rsidP="00765BCE">
            <w:pPr>
              <w:spacing w:line="240" w:lineRule="exact"/>
              <w:rPr>
                <w:rFonts w:cs="Times New Roman"/>
                <w:szCs w:val="24"/>
              </w:rPr>
            </w:pPr>
            <w:r w:rsidRPr="00765BCE">
              <w:rPr>
                <w:rFonts w:cs="Times New Roman"/>
                <w:szCs w:val="24"/>
              </w:rPr>
              <w:tab/>
            </w:r>
            <w:r w:rsidRPr="00765BCE">
              <w:rPr>
                <w:rFonts w:cs="Times New Roman"/>
                <w:szCs w:val="24"/>
              </w:rPr>
              <w:tab/>
            </w:r>
            <w:r w:rsidRPr="00765BCE">
              <w:rPr>
                <w:rFonts w:cs="Times New Roman"/>
                <w:szCs w:val="24"/>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A8043A" w:rsidRPr="00765BCE" w:rsidRDefault="00A8043A" w:rsidP="00765BCE">
            <w:pPr>
              <w:pStyle w:val="Header"/>
              <w:spacing w:line="240" w:lineRule="exact"/>
              <w:ind w:left="416"/>
              <w:rPr>
                <w:rFonts w:ascii="Times New Roman" w:hAnsi="Times New Roman"/>
              </w:rPr>
            </w:pPr>
            <w:r w:rsidRPr="00765BCE">
              <w:rPr>
                <w:rFonts w:ascii="Times New Roman" w:hAnsi="Times New Roman"/>
              </w:rPr>
              <w:t>DOCKET UW-121408</w:t>
            </w:r>
          </w:p>
          <w:p w:rsidR="00A8043A" w:rsidRPr="00765BCE" w:rsidRDefault="00A8043A" w:rsidP="00765BCE">
            <w:pPr>
              <w:pStyle w:val="Header"/>
              <w:spacing w:line="240" w:lineRule="exact"/>
              <w:ind w:left="416"/>
              <w:rPr>
                <w:rFonts w:ascii="Times New Roman" w:hAnsi="Times New Roman"/>
              </w:rPr>
            </w:pPr>
          </w:p>
          <w:p w:rsidR="00A8043A" w:rsidRPr="00765BCE" w:rsidRDefault="00765BCE" w:rsidP="00765BCE">
            <w:pPr>
              <w:pStyle w:val="BodyTextIndent2"/>
              <w:spacing w:line="240" w:lineRule="exact"/>
              <w:ind w:left="416"/>
              <w:rPr>
                <w:rFonts w:ascii="Times New Roman" w:hAnsi="Times New Roman"/>
              </w:rPr>
            </w:pPr>
            <w:r w:rsidRPr="00765BCE">
              <w:rPr>
                <w:rFonts w:ascii="Times New Roman" w:hAnsi="Times New Roman"/>
              </w:rPr>
              <w:t xml:space="preserve">MOTION </w:t>
            </w:r>
            <w:r w:rsidR="00FA6B37">
              <w:rPr>
                <w:rFonts w:ascii="Times New Roman" w:hAnsi="Times New Roman"/>
              </w:rPr>
              <w:t xml:space="preserve">ON BEHALF OF COMMISSION STAFF </w:t>
            </w:r>
            <w:r w:rsidRPr="00765BCE">
              <w:rPr>
                <w:rFonts w:ascii="Times New Roman" w:hAnsi="Times New Roman"/>
              </w:rPr>
              <w:t>FOR SUMMARY DETERMINATION</w:t>
            </w:r>
            <w:r w:rsidR="00FA6B37">
              <w:rPr>
                <w:rFonts w:ascii="Times New Roman" w:hAnsi="Times New Roman"/>
              </w:rPr>
              <w:t xml:space="preserve"> CLASSIFYING </w:t>
            </w:r>
            <w:r w:rsidR="00985D25">
              <w:rPr>
                <w:rFonts w:ascii="Times New Roman" w:hAnsi="Times New Roman"/>
              </w:rPr>
              <w:t xml:space="preserve">SANDY POINT IMPROVEMENT COMPANY </w:t>
            </w:r>
            <w:r w:rsidR="00FA6B37">
              <w:rPr>
                <w:rFonts w:ascii="Times New Roman" w:hAnsi="Times New Roman"/>
              </w:rPr>
              <w:t>AS A WATER COMPANY</w:t>
            </w:r>
            <w:r w:rsidR="00985D25">
              <w:rPr>
                <w:rFonts w:ascii="Times New Roman" w:hAnsi="Times New Roman"/>
              </w:rPr>
              <w:t xml:space="preserve"> SUBJECT TO COMMISSION REGULATION</w:t>
            </w:r>
          </w:p>
          <w:p w:rsidR="00A8043A" w:rsidRPr="00765BCE" w:rsidRDefault="00A8043A" w:rsidP="00765BCE">
            <w:pPr>
              <w:pStyle w:val="Header"/>
              <w:spacing w:line="240" w:lineRule="exact"/>
              <w:ind w:left="416"/>
              <w:rPr>
                <w:rFonts w:ascii="Times New Roman" w:hAnsi="Times New Roman"/>
              </w:rPr>
            </w:pPr>
          </w:p>
        </w:tc>
      </w:tr>
    </w:tbl>
    <w:p w:rsidR="00A8043A" w:rsidRPr="00765BCE" w:rsidRDefault="00A8043A" w:rsidP="00A8043A">
      <w:pPr>
        <w:pStyle w:val="Header"/>
        <w:rPr>
          <w:rFonts w:ascii="Times New Roman" w:hAnsi="Times New Roman"/>
        </w:rPr>
      </w:pPr>
    </w:p>
    <w:p w:rsidR="00B228E8" w:rsidRPr="00765BCE" w:rsidRDefault="00B228E8">
      <w:pPr>
        <w:rPr>
          <w:rFonts w:cs="Times New Roman"/>
          <w:szCs w:val="24"/>
        </w:rPr>
      </w:pPr>
    </w:p>
    <w:p w:rsidR="00765BCE" w:rsidRPr="00765BCE" w:rsidRDefault="00765BCE" w:rsidP="00765BCE">
      <w:pPr>
        <w:spacing w:line="480" w:lineRule="auto"/>
        <w:jc w:val="center"/>
        <w:rPr>
          <w:rFonts w:cs="Times New Roman"/>
          <w:b/>
          <w:szCs w:val="24"/>
        </w:rPr>
      </w:pPr>
      <w:r w:rsidRPr="00765BCE">
        <w:rPr>
          <w:rFonts w:cs="Times New Roman"/>
          <w:b/>
          <w:szCs w:val="24"/>
        </w:rPr>
        <w:t>I.</w:t>
      </w:r>
      <w:r w:rsidRPr="00765BCE">
        <w:rPr>
          <w:rFonts w:cs="Times New Roman"/>
          <w:b/>
          <w:szCs w:val="24"/>
        </w:rPr>
        <w:tab/>
        <w:t>INTRODUCTION</w:t>
      </w:r>
    </w:p>
    <w:p w:rsidR="00765BCE" w:rsidRDefault="00765BCE" w:rsidP="00765BCE">
      <w:pPr>
        <w:pStyle w:val="ListParagraph"/>
        <w:numPr>
          <w:ilvl w:val="0"/>
          <w:numId w:val="6"/>
        </w:numPr>
        <w:spacing w:line="480" w:lineRule="auto"/>
        <w:ind w:left="0" w:hanging="720"/>
        <w:rPr>
          <w:rFonts w:cs="Times New Roman"/>
          <w:szCs w:val="24"/>
        </w:rPr>
      </w:pPr>
      <w:r>
        <w:rPr>
          <w:rFonts w:cs="Times New Roman"/>
          <w:szCs w:val="24"/>
        </w:rPr>
        <w:tab/>
      </w:r>
      <w:r w:rsidRPr="00765BCE">
        <w:rPr>
          <w:rFonts w:cs="Times New Roman"/>
          <w:szCs w:val="24"/>
        </w:rPr>
        <w:t>The Commission initiated this docket as a special proceeding under RCW 80.04.015, to determine whether the Respondent, Sandy Point Improvement Company</w:t>
      </w:r>
      <w:r w:rsidR="00FA6B37">
        <w:rPr>
          <w:rFonts w:cs="Times New Roman"/>
          <w:szCs w:val="24"/>
        </w:rPr>
        <w:t xml:space="preserve"> (SPIC or Company)</w:t>
      </w:r>
      <w:r w:rsidRPr="00765BCE">
        <w:rPr>
          <w:rFonts w:cs="Times New Roman"/>
          <w:szCs w:val="24"/>
        </w:rPr>
        <w:t xml:space="preserve"> is </w:t>
      </w:r>
      <w:r w:rsidR="00665124">
        <w:rPr>
          <w:rFonts w:cs="Times New Roman"/>
          <w:szCs w:val="24"/>
        </w:rPr>
        <w:t xml:space="preserve">a water company </w:t>
      </w:r>
      <w:r w:rsidRPr="00765BCE">
        <w:rPr>
          <w:rFonts w:cs="Times New Roman"/>
          <w:szCs w:val="24"/>
        </w:rPr>
        <w:t>subject to Commission jurisdiction.</w:t>
      </w:r>
      <w:r w:rsidRPr="00765BCE">
        <w:rPr>
          <w:rStyle w:val="FootnoteReference"/>
          <w:rFonts w:cs="Times New Roman"/>
          <w:szCs w:val="24"/>
        </w:rPr>
        <w:footnoteReference w:id="1"/>
      </w:r>
      <w:r w:rsidRPr="00765BCE">
        <w:rPr>
          <w:rFonts w:cs="Times New Roman"/>
          <w:szCs w:val="24"/>
        </w:rPr>
        <w:t xml:space="preserve">  This docket also involves a </w:t>
      </w:r>
      <w:r w:rsidR="00A20484">
        <w:rPr>
          <w:rFonts w:cs="Times New Roman"/>
          <w:szCs w:val="24"/>
        </w:rPr>
        <w:t xml:space="preserve">Commission </w:t>
      </w:r>
      <w:r w:rsidRPr="00765BCE">
        <w:rPr>
          <w:rFonts w:cs="Times New Roman"/>
          <w:szCs w:val="24"/>
        </w:rPr>
        <w:t>complaint against the Company’s rates and charges</w:t>
      </w:r>
      <w:r w:rsidR="00665124">
        <w:rPr>
          <w:rFonts w:cs="Times New Roman"/>
          <w:szCs w:val="24"/>
        </w:rPr>
        <w:t>,</w:t>
      </w:r>
      <w:r w:rsidRPr="00765BCE">
        <w:rPr>
          <w:rFonts w:cs="Times New Roman"/>
          <w:szCs w:val="24"/>
        </w:rPr>
        <w:t xml:space="preserve"> and for penalties.</w:t>
      </w:r>
      <w:r w:rsidRPr="00765BCE">
        <w:rPr>
          <w:rStyle w:val="FootnoteReference"/>
          <w:rFonts w:cs="Times New Roman"/>
          <w:szCs w:val="24"/>
        </w:rPr>
        <w:footnoteReference w:id="2"/>
      </w:r>
      <w:r w:rsidRPr="00765BCE">
        <w:rPr>
          <w:rFonts w:cs="Times New Roman"/>
          <w:szCs w:val="24"/>
        </w:rPr>
        <w:t xml:space="preserve">  However, the only issue </w:t>
      </w:r>
      <w:r w:rsidR="00A26B01">
        <w:rPr>
          <w:rFonts w:cs="Times New Roman"/>
          <w:szCs w:val="24"/>
        </w:rPr>
        <w:t xml:space="preserve">for </w:t>
      </w:r>
      <w:r w:rsidRPr="00765BCE">
        <w:rPr>
          <w:rFonts w:cs="Times New Roman"/>
          <w:szCs w:val="24"/>
        </w:rPr>
        <w:t>this phase of the case is the Company’s jurisdictional status.</w:t>
      </w:r>
      <w:r w:rsidRPr="00765BCE">
        <w:rPr>
          <w:rStyle w:val="FootnoteReference"/>
          <w:rFonts w:cs="Times New Roman"/>
          <w:szCs w:val="24"/>
        </w:rPr>
        <w:footnoteReference w:id="3"/>
      </w:r>
    </w:p>
    <w:p w:rsidR="00765BCE" w:rsidRDefault="00765BCE" w:rsidP="00765BCE">
      <w:pPr>
        <w:pStyle w:val="ListParagraph"/>
        <w:numPr>
          <w:ilvl w:val="0"/>
          <w:numId w:val="6"/>
        </w:numPr>
        <w:spacing w:line="480" w:lineRule="auto"/>
        <w:ind w:left="0" w:hanging="720"/>
        <w:rPr>
          <w:rFonts w:cs="Times New Roman"/>
          <w:szCs w:val="24"/>
        </w:rPr>
      </w:pPr>
      <w:r>
        <w:rPr>
          <w:rFonts w:cs="Times New Roman"/>
          <w:szCs w:val="24"/>
        </w:rPr>
        <w:tab/>
      </w:r>
      <w:r w:rsidRPr="00765BCE">
        <w:rPr>
          <w:rFonts w:cs="Times New Roman"/>
          <w:szCs w:val="24"/>
        </w:rPr>
        <w:t xml:space="preserve">Commission Staff </w:t>
      </w:r>
      <w:r w:rsidR="00D32E3D">
        <w:rPr>
          <w:rFonts w:cs="Times New Roman"/>
          <w:szCs w:val="24"/>
        </w:rPr>
        <w:t xml:space="preserve">moves </w:t>
      </w:r>
      <w:r w:rsidRPr="00765BCE">
        <w:rPr>
          <w:rFonts w:cs="Times New Roman"/>
          <w:szCs w:val="24"/>
        </w:rPr>
        <w:t xml:space="preserve">for </w:t>
      </w:r>
      <w:r w:rsidR="009A01D9">
        <w:rPr>
          <w:rFonts w:cs="Times New Roman"/>
          <w:szCs w:val="24"/>
        </w:rPr>
        <w:t>s</w:t>
      </w:r>
      <w:r w:rsidRPr="00765BCE">
        <w:rPr>
          <w:rFonts w:cs="Times New Roman"/>
          <w:szCs w:val="24"/>
        </w:rPr>
        <w:t xml:space="preserve">ummary </w:t>
      </w:r>
      <w:r w:rsidR="009A01D9">
        <w:rPr>
          <w:rFonts w:cs="Times New Roman"/>
          <w:szCs w:val="24"/>
        </w:rPr>
        <w:t>d</w:t>
      </w:r>
      <w:r w:rsidRPr="00765BCE">
        <w:rPr>
          <w:rFonts w:cs="Times New Roman"/>
          <w:szCs w:val="24"/>
        </w:rPr>
        <w:t>etermination under WAC 480-07-380(2).</w:t>
      </w:r>
      <w:r w:rsidR="00195A0A">
        <w:rPr>
          <w:rFonts w:cs="Times New Roman"/>
          <w:szCs w:val="24"/>
        </w:rPr>
        <w:t xml:space="preserve">  </w:t>
      </w:r>
      <w:r w:rsidRPr="00765BCE">
        <w:rPr>
          <w:rFonts w:cs="Times New Roman"/>
          <w:szCs w:val="24"/>
        </w:rPr>
        <w:t>The facts supporting this Motion are contained in Exhibits 1-</w:t>
      </w:r>
      <w:r w:rsidR="00486AA3">
        <w:rPr>
          <w:rFonts w:cs="Times New Roman"/>
          <w:szCs w:val="24"/>
        </w:rPr>
        <w:t>1</w:t>
      </w:r>
      <w:r w:rsidR="004B7F9B">
        <w:rPr>
          <w:rFonts w:cs="Times New Roman"/>
          <w:szCs w:val="24"/>
        </w:rPr>
        <w:t>7</w:t>
      </w:r>
      <w:r w:rsidR="00486AA3">
        <w:rPr>
          <w:rFonts w:cs="Times New Roman"/>
          <w:szCs w:val="24"/>
        </w:rPr>
        <w:t>, attached.</w:t>
      </w:r>
      <w:r w:rsidRPr="00765BCE">
        <w:rPr>
          <w:rFonts w:cs="Times New Roman"/>
          <w:szCs w:val="24"/>
        </w:rPr>
        <w:t xml:space="preserve">  Because there </w:t>
      </w:r>
      <w:r w:rsidR="00A26B01">
        <w:rPr>
          <w:rFonts w:cs="Times New Roman"/>
          <w:szCs w:val="24"/>
        </w:rPr>
        <w:t>are</w:t>
      </w:r>
      <w:r w:rsidRPr="00765BCE">
        <w:rPr>
          <w:rFonts w:cs="Times New Roman"/>
          <w:szCs w:val="24"/>
        </w:rPr>
        <w:t xml:space="preserve"> no genuine issue</w:t>
      </w:r>
      <w:r w:rsidR="00A26B01">
        <w:rPr>
          <w:rFonts w:cs="Times New Roman"/>
          <w:szCs w:val="24"/>
        </w:rPr>
        <w:t>s</w:t>
      </w:r>
      <w:r w:rsidRPr="00765BCE">
        <w:rPr>
          <w:rFonts w:cs="Times New Roman"/>
          <w:szCs w:val="24"/>
        </w:rPr>
        <w:t xml:space="preserve"> as to any material fact, the Commission should apply the law to the facts and enter an order determining that </w:t>
      </w:r>
      <w:r w:rsidR="00FA6B37">
        <w:rPr>
          <w:rFonts w:cs="Times New Roman"/>
          <w:szCs w:val="24"/>
        </w:rPr>
        <w:t>SPIC</w:t>
      </w:r>
      <w:r w:rsidRPr="00765BCE">
        <w:rPr>
          <w:rFonts w:cs="Times New Roman"/>
          <w:szCs w:val="24"/>
        </w:rPr>
        <w:t xml:space="preserve"> is conducting business as a water company subject to Commission jurisdiction under RCW 80.28</w:t>
      </w:r>
      <w:r w:rsidR="0088460C">
        <w:rPr>
          <w:rFonts w:cs="Times New Roman"/>
          <w:szCs w:val="24"/>
        </w:rPr>
        <w:t xml:space="preserve">, to the extent the Company serves its Class C </w:t>
      </w:r>
      <w:r w:rsidR="00A26B01">
        <w:rPr>
          <w:rFonts w:cs="Times New Roman"/>
          <w:szCs w:val="24"/>
        </w:rPr>
        <w:t xml:space="preserve">shareholders/customers </w:t>
      </w:r>
      <w:r w:rsidR="0088460C">
        <w:rPr>
          <w:rFonts w:cs="Times New Roman"/>
          <w:szCs w:val="24"/>
        </w:rPr>
        <w:t xml:space="preserve">and </w:t>
      </w:r>
      <w:r w:rsidR="00A26B01">
        <w:rPr>
          <w:rFonts w:cs="Times New Roman"/>
          <w:szCs w:val="24"/>
        </w:rPr>
        <w:t xml:space="preserve">its </w:t>
      </w:r>
      <w:r w:rsidR="0088460C">
        <w:rPr>
          <w:rFonts w:cs="Times New Roman"/>
          <w:szCs w:val="24"/>
        </w:rPr>
        <w:t>non-shareholder customers</w:t>
      </w:r>
      <w:r w:rsidRPr="00765BCE">
        <w:rPr>
          <w:rFonts w:cs="Times New Roman"/>
          <w:szCs w:val="24"/>
        </w:rPr>
        <w:t>.</w:t>
      </w:r>
    </w:p>
    <w:p w:rsidR="00765BCE" w:rsidRPr="00765BCE" w:rsidRDefault="00765BCE" w:rsidP="00BA4083">
      <w:pPr>
        <w:keepNext/>
        <w:spacing w:line="480" w:lineRule="auto"/>
        <w:jc w:val="center"/>
        <w:rPr>
          <w:rFonts w:cs="Times New Roman"/>
          <w:b/>
          <w:szCs w:val="24"/>
        </w:rPr>
      </w:pPr>
      <w:r w:rsidRPr="00765BCE">
        <w:rPr>
          <w:rFonts w:cs="Times New Roman"/>
          <w:b/>
          <w:szCs w:val="24"/>
        </w:rPr>
        <w:lastRenderedPageBreak/>
        <w:t>II.</w:t>
      </w:r>
      <w:r w:rsidRPr="00765BCE">
        <w:rPr>
          <w:rFonts w:cs="Times New Roman"/>
          <w:b/>
          <w:szCs w:val="24"/>
        </w:rPr>
        <w:tab/>
        <w:t>STATEMENT OF FACTS</w:t>
      </w:r>
    </w:p>
    <w:p w:rsidR="00486AA3" w:rsidRPr="00486AA3" w:rsidRDefault="00486AA3" w:rsidP="00765BCE">
      <w:pPr>
        <w:pStyle w:val="ListParagraph"/>
        <w:numPr>
          <w:ilvl w:val="0"/>
          <w:numId w:val="6"/>
        </w:numPr>
        <w:spacing w:line="480" w:lineRule="auto"/>
        <w:ind w:left="0" w:hanging="720"/>
        <w:rPr>
          <w:rFonts w:cs="Times New Roman"/>
          <w:szCs w:val="24"/>
        </w:rPr>
      </w:pPr>
      <w:r>
        <w:rPr>
          <w:rFonts w:cs="Times New Roman"/>
          <w:szCs w:val="24"/>
        </w:rPr>
        <w:tab/>
        <w:t>As explain</w:t>
      </w:r>
      <w:r w:rsidR="00940FCF">
        <w:rPr>
          <w:rFonts w:cs="Times New Roman"/>
          <w:szCs w:val="24"/>
        </w:rPr>
        <w:t>ed</w:t>
      </w:r>
      <w:r>
        <w:rPr>
          <w:rFonts w:cs="Times New Roman"/>
          <w:szCs w:val="24"/>
        </w:rPr>
        <w:t xml:space="preserve"> in more detail </w:t>
      </w:r>
      <w:r w:rsidR="00842EB3">
        <w:rPr>
          <w:rFonts w:cs="Times New Roman"/>
          <w:szCs w:val="24"/>
        </w:rPr>
        <w:t>in Paragraphs 1</w:t>
      </w:r>
      <w:r w:rsidR="00120267">
        <w:rPr>
          <w:rFonts w:cs="Times New Roman"/>
          <w:szCs w:val="24"/>
        </w:rPr>
        <w:t>5-19</w:t>
      </w:r>
      <w:r w:rsidR="00842EB3">
        <w:rPr>
          <w:rFonts w:cs="Times New Roman"/>
          <w:szCs w:val="24"/>
        </w:rPr>
        <w:t xml:space="preserve"> </w:t>
      </w:r>
      <w:r>
        <w:rPr>
          <w:rFonts w:cs="Times New Roman"/>
          <w:szCs w:val="24"/>
        </w:rPr>
        <w:t xml:space="preserve">below, SPIC’s admissions in its Answer </w:t>
      </w:r>
      <w:r w:rsidR="00BC669F">
        <w:rPr>
          <w:rFonts w:cs="Times New Roman"/>
          <w:szCs w:val="24"/>
        </w:rPr>
        <w:t>narrow</w:t>
      </w:r>
      <w:r w:rsidR="0087208E">
        <w:rPr>
          <w:rFonts w:cs="Times New Roman"/>
          <w:szCs w:val="24"/>
        </w:rPr>
        <w:t>s</w:t>
      </w:r>
      <w:r w:rsidR="00BC669F">
        <w:rPr>
          <w:rFonts w:cs="Times New Roman"/>
          <w:szCs w:val="24"/>
        </w:rPr>
        <w:t xml:space="preserve"> </w:t>
      </w:r>
      <w:r w:rsidR="00D32E3D">
        <w:rPr>
          <w:rFonts w:cs="Times New Roman"/>
          <w:szCs w:val="24"/>
        </w:rPr>
        <w:t xml:space="preserve">the jurisdictional issue to two questions:  (1) Does </w:t>
      </w:r>
      <w:r w:rsidR="00BC669F">
        <w:rPr>
          <w:rFonts w:cs="Times New Roman"/>
          <w:szCs w:val="24"/>
        </w:rPr>
        <w:t xml:space="preserve">SPIC </w:t>
      </w:r>
      <w:r w:rsidR="00D32E3D">
        <w:rPr>
          <w:rFonts w:cs="Times New Roman"/>
          <w:szCs w:val="24"/>
        </w:rPr>
        <w:t>offer water service “for hire”; and</w:t>
      </w:r>
      <w:r w:rsidR="0056679D">
        <w:rPr>
          <w:rFonts w:cs="Times New Roman"/>
          <w:szCs w:val="24"/>
        </w:rPr>
        <w:t>,</w:t>
      </w:r>
      <w:r w:rsidR="00D32E3D">
        <w:rPr>
          <w:rFonts w:cs="Times New Roman"/>
          <w:szCs w:val="24"/>
        </w:rPr>
        <w:t xml:space="preserve"> if so, (2) Does SPIC offer water service </w:t>
      </w:r>
      <w:r w:rsidR="00BC669F">
        <w:rPr>
          <w:rFonts w:cs="Times New Roman"/>
          <w:szCs w:val="24"/>
        </w:rPr>
        <w:t>“to the public”</w:t>
      </w:r>
      <w:r w:rsidR="00D32E3D">
        <w:rPr>
          <w:rFonts w:cs="Times New Roman"/>
          <w:szCs w:val="24"/>
        </w:rPr>
        <w:t>?</w:t>
      </w:r>
      <w:r w:rsidR="00BC669F">
        <w:rPr>
          <w:rFonts w:cs="Times New Roman"/>
          <w:szCs w:val="24"/>
        </w:rPr>
        <w:t xml:space="preserve">  Nonetheless, w</w:t>
      </w:r>
      <w:r>
        <w:rPr>
          <w:rFonts w:cs="Times New Roman"/>
          <w:szCs w:val="24"/>
        </w:rPr>
        <w:t xml:space="preserve">e </w:t>
      </w:r>
      <w:r w:rsidR="00842EB3">
        <w:rPr>
          <w:rFonts w:cs="Times New Roman"/>
          <w:szCs w:val="24"/>
        </w:rPr>
        <w:t xml:space="preserve">provide </w:t>
      </w:r>
      <w:r>
        <w:rPr>
          <w:rFonts w:cs="Times New Roman"/>
          <w:szCs w:val="24"/>
        </w:rPr>
        <w:t xml:space="preserve">a </w:t>
      </w:r>
      <w:r w:rsidR="00D32E3D">
        <w:rPr>
          <w:rFonts w:cs="Times New Roman"/>
          <w:szCs w:val="24"/>
        </w:rPr>
        <w:t xml:space="preserve">broader </w:t>
      </w:r>
      <w:r>
        <w:rPr>
          <w:rFonts w:cs="Times New Roman"/>
          <w:szCs w:val="24"/>
        </w:rPr>
        <w:t xml:space="preserve">factual description of the </w:t>
      </w:r>
      <w:r w:rsidR="00BC669F">
        <w:rPr>
          <w:rFonts w:cs="Times New Roman"/>
          <w:szCs w:val="24"/>
        </w:rPr>
        <w:t>Company and its water business</w:t>
      </w:r>
      <w:r w:rsidR="0056679D">
        <w:rPr>
          <w:rFonts w:cs="Times New Roman"/>
          <w:szCs w:val="24"/>
        </w:rPr>
        <w:t xml:space="preserve"> to provide the Commission a better context for its decision</w:t>
      </w:r>
      <w:r>
        <w:rPr>
          <w:rFonts w:cs="Times New Roman"/>
          <w:szCs w:val="24"/>
        </w:rPr>
        <w:t xml:space="preserve">. </w:t>
      </w:r>
    </w:p>
    <w:p w:rsidR="00765BCE" w:rsidRPr="00BA4083" w:rsidRDefault="00765BCE" w:rsidP="00765BCE">
      <w:pPr>
        <w:pStyle w:val="ListParagraph"/>
        <w:numPr>
          <w:ilvl w:val="0"/>
          <w:numId w:val="6"/>
        </w:numPr>
        <w:spacing w:line="480" w:lineRule="auto"/>
        <w:ind w:left="0" w:hanging="720"/>
        <w:rPr>
          <w:rFonts w:cs="Times New Roman"/>
          <w:szCs w:val="24"/>
        </w:rPr>
      </w:pPr>
      <w:r w:rsidRPr="00BA4083">
        <w:rPr>
          <w:rFonts w:cs="Times New Roman"/>
          <w:i/>
          <w:szCs w:val="24"/>
        </w:rPr>
        <w:tab/>
      </w:r>
      <w:r w:rsidR="002D559E" w:rsidRPr="00BA4083">
        <w:rPr>
          <w:rFonts w:cs="Times New Roman"/>
          <w:i/>
          <w:szCs w:val="24"/>
        </w:rPr>
        <w:t xml:space="preserve">The </w:t>
      </w:r>
      <w:r w:rsidR="00842EB3" w:rsidRPr="00BA4083">
        <w:rPr>
          <w:rFonts w:cs="Times New Roman"/>
          <w:i/>
          <w:szCs w:val="24"/>
        </w:rPr>
        <w:t xml:space="preserve">Company’s </w:t>
      </w:r>
      <w:r w:rsidRPr="00BA4083">
        <w:rPr>
          <w:rFonts w:cs="Times New Roman"/>
          <w:i/>
          <w:szCs w:val="24"/>
        </w:rPr>
        <w:t xml:space="preserve">Service Area.  </w:t>
      </w:r>
      <w:r w:rsidRPr="00BA4083">
        <w:rPr>
          <w:rFonts w:cs="Times New Roman"/>
          <w:szCs w:val="24"/>
        </w:rPr>
        <w:t>As the map</w:t>
      </w:r>
      <w:r w:rsidR="00195A0A" w:rsidRPr="00765BCE">
        <w:rPr>
          <w:rStyle w:val="FootnoteReference"/>
          <w:rFonts w:cs="Times New Roman"/>
          <w:szCs w:val="24"/>
        </w:rPr>
        <w:footnoteReference w:id="4"/>
      </w:r>
      <w:r w:rsidR="00195A0A" w:rsidRPr="00BA4083">
        <w:rPr>
          <w:rFonts w:cs="Times New Roman"/>
          <w:szCs w:val="24"/>
        </w:rPr>
        <w:t xml:space="preserve"> </w:t>
      </w:r>
      <w:r w:rsidR="00BC669F" w:rsidRPr="00BA4083">
        <w:rPr>
          <w:rFonts w:cs="Times New Roman"/>
          <w:szCs w:val="24"/>
        </w:rPr>
        <w:t>below</w:t>
      </w:r>
      <w:r w:rsidR="00D32E3D" w:rsidRPr="00BA4083">
        <w:rPr>
          <w:rFonts w:cs="Times New Roman"/>
          <w:szCs w:val="24"/>
        </w:rPr>
        <w:t xml:space="preserve"> shows</w:t>
      </w:r>
      <w:r w:rsidRPr="00BA4083">
        <w:rPr>
          <w:rFonts w:cs="Times New Roman"/>
          <w:szCs w:val="24"/>
        </w:rPr>
        <w:t xml:space="preserve">, the Company’s </w:t>
      </w:r>
      <w:r w:rsidR="0056679D" w:rsidRPr="00BA4083">
        <w:rPr>
          <w:rFonts w:cs="Times New Roman"/>
          <w:szCs w:val="24"/>
        </w:rPr>
        <w:t xml:space="preserve">water </w:t>
      </w:r>
      <w:r w:rsidRPr="00BA4083">
        <w:rPr>
          <w:rFonts w:cs="Times New Roman"/>
          <w:szCs w:val="24"/>
        </w:rPr>
        <w:t>service area is located near Ferndale in Whatcom County, Washington</w:t>
      </w:r>
      <w:r w:rsidR="00BC669F" w:rsidRPr="00BA4083">
        <w:rPr>
          <w:rFonts w:cs="Times New Roman"/>
          <w:szCs w:val="24"/>
        </w:rPr>
        <w:t xml:space="preserve">, and </w:t>
      </w:r>
      <w:r w:rsidR="00486AA3" w:rsidRPr="00BA4083">
        <w:rPr>
          <w:rFonts w:cs="Times New Roman"/>
          <w:szCs w:val="24"/>
        </w:rPr>
        <w:t xml:space="preserve">includes </w:t>
      </w:r>
      <w:r w:rsidRPr="00BA4083">
        <w:rPr>
          <w:rFonts w:cs="Times New Roman"/>
          <w:szCs w:val="24"/>
        </w:rPr>
        <w:t xml:space="preserve">three distinct </w:t>
      </w:r>
      <w:r w:rsidR="009A01D9" w:rsidRPr="00BA4083">
        <w:rPr>
          <w:rFonts w:cs="Times New Roman"/>
          <w:szCs w:val="24"/>
        </w:rPr>
        <w:t>areas</w:t>
      </w:r>
      <w:r w:rsidR="00BC669F" w:rsidRPr="00BA4083">
        <w:rPr>
          <w:rFonts w:cs="Times New Roman"/>
          <w:szCs w:val="24"/>
        </w:rPr>
        <w:t xml:space="preserve">: </w:t>
      </w:r>
      <w:r w:rsidRPr="00BA4083">
        <w:rPr>
          <w:rFonts w:cs="Times New Roman"/>
          <w:szCs w:val="24"/>
        </w:rPr>
        <w:t xml:space="preserve"> Sandy Point Shores, Neptune Heights, and Sandy Point Heights</w:t>
      </w:r>
      <w:r w:rsidR="00940FCF" w:rsidRPr="00BA4083">
        <w:rPr>
          <w:rFonts w:cs="Times New Roman"/>
          <w:szCs w:val="24"/>
        </w:rPr>
        <w:t>.</w:t>
      </w:r>
      <w:r w:rsidRPr="00BA4083">
        <w:rPr>
          <w:rFonts w:cs="Times New Roman"/>
          <w:szCs w:val="24"/>
        </w:rPr>
        <w:t xml:space="preserve">  </w:t>
      </w:r>
    </w:p>
    <w:p w:rsidR="00765BCE" w:rsidRDefault="00CF2B76" w:rsidP="00BA4083">
      <w:pPr>
        <w:pStyle w:val="ListParagraph"/>
        <w:spacing w:line="480" w:lineRule="auto"/>
        <w:ind w:left="0"/>
        <w:jc w:val="center"/>
        <w:rPr>
          <w:rFonts w:cs="Times New Roman"/>
          <w:szCs w:val="24"/>
        </w:rPr>
      </w:pPr>
      <w:r>
        <w:rPr>
          <w:noProof/>
        </w:rPr>
        <w:drawing>
          <wp:inline distT="0" distB="0" distL="0" distR="0" wp14:anchorId="320480DC" wp14:editId="71D03ECD">
            <wp:extent cx="4636991" cy="40603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9428" b="7420"/>
                    <a:stretch/>
                  </pic:blipFill>
                  <pic:spPr bwMode="auto">
                    <a:xfrm>
                      <a:off x="0" y="0"/>
                      <a:ext cx="4636992" cy="4060373"/>
                    </a:xfrm>
                    <a:prstGeom prst="rect">
                      <a:avLst/>
                    </a:prstGeom>
                    <a:ln>
                      <a:noFill/>
                    </a:ln>
                    <a:extLst>
                      <a:ext uri="{53640926-AAD7-44D8-BBD7-CCE9431645EC}">
                        <a14:shadowObscured xmlns:a14="http://schemas.microsoft.com/office/drawing/2010/main"/>
                      </a:ext>
                    </a:extLst>
                  </pic:spPr>
                </pic:pic>
              </a:graphicData>
            </a:graphic>
          </wp:inline>
        </w:drawing>
      </w:r>
    </w:p>
    <w:p w:rsidR="00765BCE" w:rsidRDefault="00765BCE" w:rsidP="00765BCE">
      <w:pPr>
        <w:pStyle w:val="ListParagraph"/>
        <w:numPr>
          <w:ilvl w:val="0"/>
          <w:numId w:val="6"/>
        </w:numPr>
        <w:spacing w:line="480" w:lineRule="auto"/>
        <w:ind w:left="0" w:hanging="720"/>
        <w:rPr>
          <w:rFonts w:cs="Times New Roman"/>
          <w:szCs w:val="24"/>
        </w:rPr>
      </w:pPr>
      <w:r>
        <w:rPr>
          <w:rFonts w:cs="Times New Roman"/>
          <w:szCs w:val="24"/>
        </w:rPr>
        <w:lastRenderedPageBreak/>
        <w:tab/>
      </w:r>
      <w:r w:rsidR="00D32E3D" w:rsidRPr="00765BCE">
        <w:rPr>
          <w:rFonts w:cs="Times New Roman"/>
          <w:i/>
          <w:szCs w:val="24"/>
        </w:rPr>
        <w:t>Customers</w:t>
      </w:r>
      <w:r w:rsidR="0056679D">
        <w:rPr>
          <w:rFonts w:cs="Times New Roman"/>
          <w:i/>
          <w:szCs w:val="24"/>
        </w:rPr>
        <w:t>, Rates and Revenues</w:t>
      </w:r>
      <w:r w:rsidR="00D32E3D">
        <w:rPr>
          <w:rFonts w:cs="Times New Roman"/>
          <w:i/>
          <w:szCs w:val="24"/>
        </w:rPr>
        <w:t>.</w:t>
      </w:r>
      <w:r w:rsidR="00D32E3D" w:rsidRPr="00765BCE">
        <w:rPr>
          <w:rFonts w:cs="Times New Roman"/>
          <w:szCs w:val="24"/>
        </w:rPr>
        <w:t xml:space="preserve"> </w:t>
      </w:r>
      <w:r w:rsidR="0056679D">
        <w:rPr>
          <w:rFonts w:cs="Times New Roman"/>
          <w:szCs w:val="24"/>
        </w:rPr>
        <w:t xml:space="preserve"> </w:t>
      </w:r>
      <w:r w:rsidR="0056679D" w:rsidRPr="00765BCE">
        <w:rPr>
          <w:rFonts w:cs="Times New Roman"/>
          <w:szCs w:val="24"/>
        </w:rPr>
        <w:t>As the table</w:t>
      </w:r>
      <w:r w:rsidR="0056679D">
        <w:rPr>
          <w:rFonts w:cs="Times New Roman"/>
          <w:szCs w:val="24"/>
        </w:rPr>
        <w:t xml:space="preserve"> below</w:t>
      </w:r>
      <w:r w:rsidR="0056679D" w:rsidRPr="00765BCE">
        <w:rPr>
          <w:rStyle w:val="FootnoteReference"/>
          <w:rFonts w:cs="Times New Roman"/>
          <w:szCs w:val="24"/>
        </w:rPr>
        <w:footnoteReference w:id="5"/>
      </w:r>
      <w:r w:rsidR="0056679D">
        <w:rPr>
          <w:rFonts w:cs="Times New Roman"/>
          <w:szCs w:val="24"/>
        </w:rPr>
        <w:t xml:space="preserve"> shows</w:t>
      </w:r>
      <w:r w:rsidR="0056679D" w:rsidRPr="00765BCE">
        <w:rPr>
          <w:rFonts w:cs="Times New Roman"/>
          <w:szCs w:val="24"/>
        </w:rPr>
        <w:t xml:space="preserve">, </w:t>
      </w:r>
      <w:r w:rsidR="0056679D">
        <w:rPr>
          <w:rFonts w:cs="Times New Roman"/>
          <w:szCs w:val="24"/>
        </w:rPr>
        <w:t xml:space="preserve">in 2011, the Company took in revenues of </w:t>
      </w:r>
      <w:r w:rsidR="0056679D" w:rsidRPr="00765BCE">
        <w:rPr>
          <w:rFonts w:cs="Times New Roman"/>
          <w:szCs w:val="24"/>
        </w:rPr>
        <w:t>at least $328,000</w:t>
      </w:r>
      <w:r w:rsidR="0056679D">
        <w:rPr>
          <w:rFonts w:cs="Times New Roman"/>
          <w:szCs w:val="24"/>
        </w:rPr>
        <w:t xml:space="preserve"> from its water business,</w:t>
      </w:r>
      <w:r w:rsidR="0056679D" w:rsidRPr="00765BCE">
        <w:rPr>
          <w:rStyle w:val="FootnoteReference"/>
          <w:rFonts w:cs="Times New Roman"/>
          <w:szCs w:val="24"/>
        </w:rPr>
        <w:footnoteReference w:id="6"/>
      </w:r>
      <w:r w:rsidR="0056679D">
        <w:rPr>
          <w:rFonts w:cs="Times New Roman"/>
          <w:szCs w:val="24"/>
        </w:rPr>
        <w:t xml:space="preserve"> and provided water service to </w:t>
      </w:r>
      <w:r w:rsidR="0056679D" w:rsidRPr="00765BCE">
        <w:rPr>
          <w:rFonts w:cs="Times New Roman"/>
          <w:szCs w:val="24"/>
        </w:rPr>
        <w:t>944 water customers</w:t>
      </w:r>
      <w:r w:rsidR="0056679D">
        <w:rPr>
          <w:rFonts w:cs="Times New Roman"/>
          <w:szCs w:val="24"/>
        </w:rPr>
        <w:t xml:space="preserve">, consisting of </w:t>
      </w:r>
      <w:r w:rsidR="0056679D" w:rsidRPr="00765BCE">
        <w:rPr>
          <w:rFonts w:cs="Times New Roman"/>
          <w:szCs w:val="24"/>
        </w:rPr>
        <w:t xml:space="preserve">779 SPIC Class A shareholders, 119 SPIC Class C shareholders, and 46 </w:t>
      </w:r>
      <w:r w:rsidR="0056679D">
        <w:rPr>
          <w:rFonts w:cs="Times New Roman"/>
          <w:szCs w:val="24"/>
        </w:rPr>
        <w:t>non-shareholders</w:t>
      </w:r>
      <w:r w:rsidR="0056679D" w:rsidRPr="00765BCE">
        <w:rPr>
          <w:rFonts w:cs="Times New Roman"/>
          <w:szCs w:val="24"/>
        </w:rPr>
        <w:t xml:space="preserve">.  </w:t>
      </w:r>
      <w:r w:rsidR="0087208E">
        <w:rPr>
          <w:rFonts w:cs="Times New Roman"/>
          <w:szCs w:val="24"/>
        </w:rPr>
        <w:t>The table also shows t</w:t>
      </w:r>
      <w:r w:rsidR="0056679D" w:rsidRPr="00765BCE">
        <w:rPr>
          <w:rFonts w:cs="Times New Roman"/>
          <w:szCs w:val="24"/>
        </w:rPr>
        <w:t xml:space="preserve">he </w:t>
      </w:r>
      <w:r w:rsidR="0056679D">
        <w:rPr>
          <w:rFonts w:cs="Times New Roman"/>
          <w:szCs w:val="24"/>
        </w:rPr>
        <w:t xml:space="preserve">Company’s </w:t>
      </w:r>
      <w:r w:rsidR="0056679D" w:rsidRPr="00765BCE">
        <w:rPr>
          <w:rFonts w:cs="Times New Roman"/>
          <w:szCs w:val="24"/>
        </w:rPr>
        <w:t xml:space="preserve">average annual </w:t>
      </w:r>
      <w:r w:rsidR="0056679D">
        <w:rPr>
          <w:rFonts w:cs="Times New Roman"/>
          <w:szCs w:val="24"/>
        </w:rPr>
        <w:t xml:space="preserve">gross </w:t>
      </w:r>
      <w:r w:rsidR="0056679D" w:rsidRPr="00765BCE">
        <w:rPr>
          <w:rFonts w:cs="Times New Roman"/>
          <w:szCs w:val="24"/>
        </w:rPr>
        <w:t>revenue per customer</w:t>
      </w:r>
      <w:r w:rsidR="0056679D">
        <w:rPr>
          <w:rFonts w:cs="Times New Roman"/>
          <w:szCs w:val="24"/>
        </w:rPr>
        <w:t xml:space="preserve"> does not exceed $557 </w:t>
      </w:r>
      <w:r w:rsidR="0049613B">
        <w:rPr>
          <w:rFonts w:cs="Times New Roman"/>
          <w:szCs w:val="24"/>
        </w:rPr>
        <w:t>for all customers</w:t>
      </w:r>
      <w:r w:rsidR="0056679D">
        <w:rPr>
          <w:rFonts w:cs="Times New Roman"/>
          <w:szCs w:val="24"/>
        </w:rPr>
        <w:t>, or for any subgroup of customers, such as Class C shareholders only, or non-shareholders</w:t>
      </w:r>
      <w:r w:rsidR="0056679D" w:rsidRPr="00765BCE">
        <w:rPr>
          <w:rFonts w:cs="Times New Roman"/>
          <w:szCs w:val="24"/>
        </w:rPr>
        <w:t xml:space="preserve"> </w:t>
      </w:r>
      <w:r w:rsidR="0056679D">
        <w:rPr>
          <w:rFonts w:cs="Times New Roman"/>
          <w:szCs w:val="24"/>
        </w:rPr>
        <w:t>only:</w:t>
      </w:r>
    </w:p>
    <w:tbl>
      <w:tblPr>
        <w:tblW w:w="8820" w:type="dxa"/>
        <w:tblInd w:w="108" w:type="dxa"/>
        <w:tblLook w:val="0000" w:firstRow="0" w:lastRow="0" w:firstColumn="0" w:lastColumn="0" w:noHBand="0" w:noVBand="0"/>
      </w:tblPr>
      <w:tblGrid>
        <w:gridCol w:w="1861"/>
        <w:gridCol w:w="1426"/>
        <w:gridCol w:w="2849"/>
        <w:gridCol w:w="2684"/>
      </w:tblGrid>
      <w:tr w:rsidR="00322F8E" w:rsidRPr="007241A8" w:rsidTr="00CF2B76">
        <w:trPr>
          <w:trHeight w:val="240"/>
        </w:trPr>
        <w:tc>
          <w:tcPr>
            <w:tcW w:w="8820" w:type="dxa"/>
            <w:gridSpan w:val="4"/>
            <w:tcBorders>
              <w:top w:val="nil"/>
              <w:left w:val="nil"/>
              <w:bottom w:val="nil"/>
              <w:right w:val="nil"/>
            </w:tcBorders>
            <w:shd w:val="clear" w:color="auto" w:fill="FFFFCC"/>
            <w:noWrap/>
          </w:tcPr>
          <w:p w:rsidR="00322F8E" w:rsidRPr="007241A8" w:rsidRDefault="00322F8E" w:rsidP="00CF2B76">
            <w:pPr>
              <w:jc w:val="center"/>
              <w:rPr>
                <w:rFonts w:ascii="Arial" w:hAnsi="Arial"/>
                <w:b/>
                <w:bCs/>
                <w:color w:val="000000"/>
                <w:sz w:val="20"/>
              </w:rPr>
            </w:pPr>
            <w:r w:rsidRPr="007241A8">
              <w:rPr>
                <w:rFonts w:ascii="Arial" w:hAnsi="Arial"/>
                <w:b/>
                <w:bCs/>
                <w:color w:val="000000"/>
                <w:sz w:val="20"/>
              </w:rPr>
              <w:t>Average 2011 Service and Usage Billings By Shareholder Type</w:t>
            </w:r>
          </w:p>
        </w:tc>
      </w:tr>
      <w:tr w:rsidR="00322F8E" w:rsidRPr="007241A8" w:rsidTr="00CF2B76">
        <w:trPr>
          <w:trHeight w:val="240"/>
        </w:trPr>
        <w:tc>
          <w:tcPr>
            <w:tcW w:w="1861" w:type="dxa"/>
            <w:tcBorders>
              <w:top w:val="nil"/>
              <w:left w:val="nil"/>
              <w:bottom w:val="nil"/>
              <w:right w:val="nil"/>
            </w:tcBorders>
            <w:shd w:val="clear" w:color="auto" w:fill="auto"/>
            <w:noWrap/>
          </w:tcPr>
          <w:p w:rsidR="00322F8E" w:rsidRPr="007241A8" w:rsidRDefault="00322F8E" w:rsidP="00CF2B76">
            <w:pPr>
              <w:rPr>
                <w:rFonts w:ascii="Arial" w:hAnsi="Arial"/>
                <w:b/>
                <w:bCs/>
                <w:color w:val="000000"/>
                <w:sz w:val="20"/>
              </w:rPr>
            </w:pPr>
          </w:p>
        </w:tc>
        <w:tc>
          <w:tcPr>
            <w:tcW w:w="1426" w:type="dxa"/>
            <w:tcBorders>
              <w:top w:val="nil"/>
              <w:left w:val="nil"/>
              <w:bottom w:val="nil"/>
              <w:right w:val="nil"/>
            </w:tcBorders>
            <w:shd w:val="clear" w:color="auto" w:fill="auto"/>
            <w:noWrap/>
          </w:tcPr>
          <w:p w:rsidR="00322F8E" w:rsidRPr="007241A8" w:rsidRDefault="00322F8E" w:rsidP="00CF2B76">
            <w:pPr>
              <w:jc w:val="center"/>
              <w:rPr>
                <w:rFonts w:ascii="Arial" w:hAnsi="Arial"/>
                <w:b/>
                <w:bCs/>
                <w:color w:val="000000"/>
                <w:sz w:val="20"/>
              </w:rPr>
            </w:pPr>
            <w:r w:rsidRPr="007241A8">
              <w:rPr>
                <w:rFonts w:ascii="Arial" w:hAnsi="Arial"/>
                <w:b/>
                <w:bCs/>
                <w:color w:val="000000"/>
                <w:sz w:val="20"/>
              </w:rPr>
              <w:t>Revenue</w:t>
            </w:r>
          </w:p>
        </w:tc>
        <w:tc>
          <w:tcPr>
            <w:tcW w:w="2849" w:type="dxa"/>
            <w:tcBorders>
              <w:top w:val="nil"/>
              <w:left w:val="nil"/>
              <w:bottom w:val="nil"/>
              <w:right w:val="nil"/>
            </w:tcBorders>
            <w:shd w:val="clear" w:color="auto" w:fill="auto"/>
            <w:noWrap/>
          </w:tcPr>
          <w:p w:rsidR="00322F8E" w:rsidRPr="007241A8" w:rsidRDefault="00322F8E" w:rsidP="00CF2B76">
            <w:pPr>
              <w:jc w:val="center"/>
              <w:rPr>
                <w:rFonts w:ascii="Arial" w:hAnsi="Arial"/>
                <w:b/>
                <w:bCs/>
                <w:color w:val="000000"/>
                <w:sz w:val="20"/>
              </w:rPr>
            </w:pPr>
            <w:r w:rsidRPr="007241A8">
              <w:rPr>
                <w:rFonts w:ascii="Arial" w:hAnsi="Arial"/>
                <w:b/>
                <w:bCs/>
                <w:color w:val="000000"/>
                <w:sz w:val="20"/>
              </w:rPr>
              <w:t>Number of Shareholders</w:t>
            </w:r>
          </w:p>
        </w:tc>
        <w:tc>
          <w:tcPr>
            <w:tcW w:w="2684" w:type="dxa"/>
            <w:tcBorders>
              <w:top w:val="nil"/>
              <w:left w:val="nil"/>
              <w:bottom w:val="nil"/>
              <w:right w:val="nil"/>
            </w:tcBorders>
            <w:shd w:val="clear" w:color="auto" w:fill="auto"/>
            <w:noWrap/>
          </w:tcPr>
          <w:p w:rsidR="00322F8E" w:rsidRPr="007241A8" w:rsidRDefault="00322F8E" w:rsidP="00CF2B76">
            <w:pPr>
              <w:jc w:val="center"/>
              <w:rPr>
                <w:rFonts w:ascii="Arial" w:hAnsi="Arial"/>
                <w:b/>
                <w:bCs/>
                <w:color w:val="000000"/>
                <w:sz w:val="20"/>
              </w:rPr>
            </w:pPr>
            <w:r w:rsidRPr="007241A8">
              <w:rPr>
                <w:rFonts w:ascii="Arial" w:hAnsi="Arial"/>
                <w:b/>
                <w:bCs/>
                <w:color w:val="000000"/>
                <w:sz w:val="20"/>
              </w:rPr>
              <w:t xml:space="preserve"> Average Revenue Per Shareholder </w:t>
            </w:r>
          </w:p>
        </w:tc>
      </w:tr>
      <w:tr w:rsidR="00322F8E" w:rsidRPr="007241A8" w:rsidTr="00CF2B76">
        <w:trPr>
          <w:trHeight w:val="240"/>
        </w:trPr>
        <w:tc>
          <w:tcPr>
            <w:tcW w:w="1861" w:type="dxa"/>
            <w:tcBorders>
              <w:top w:val="nil"/>
              <w:left w:val="nil"/>
              <w:bottom w:val="nil"/>
              <w:right w:val="nil"/>
            </w:tcBorders>
            <w:shd w:val="clear" w:color="auto" w:fill="auto"/>
            <w:noWrap/>
          </w:tcPr>
          <w:p w:rsidR="00322F8E" w:rsidRPr="007241A8" w:rsidRDefault="00322F8E" w:rsidP="00CF2B76">
            <w:pPr>
              <w:rPr>
                <w:rFonts w:ascii="Arial" w:hAnsi="Arial"/>
                <w:color w:val="000000"/>
                <w:sz w:val="20"/>
              </w:rPr>
            </w:pPr>
            <w:r w:rsidRPr="007241A8">
              <w:rPr>
                <w:rFonts w:ascii="Arial" w:hAnsi="Arial"/>
                <w:color w:val="000000"/>
                <w:sz w:val="20"/>
              </w:rPr>
              <w:t>Class A</w:t>
            </w:r>
          </w:p>
        </w:tc>
        <w:tc>
          <w:tcPr>
            <w:tcW w:w="1426" w:type="dxa"/>
            <w:tcBorders>
              <w:top w:val="nil"/>
              <w:left w:val="nil"/>
              <w:bottom w:val="nil"/>
              <w:right w:val="nil"/>
            </w:tcBorders>
            <w:shd w:val="clear" w:color="auto" w:fill="auto"/>
            <w:noWrap/>
          </w:tcPr>
          <w:p w:rsidR="00322F8E" w:rsidRPr="007241A8" w:rsidRDefault="00322F8E" w:rsidP="00CF2B76">
            <w:pPr>
              <w:jc w:val="right"/>
              <w:rPr>
                <w:rFonts w:ascii="Arial" w:hAnsi="Arial"/>
                <w:color w:val="000000"/>
                <w:sz w:val="20"/>
              </w:rPr>
            </w:pPr>
            <w:r w:rsidRPr="007241A8">
              <w:rPr>
                <w:rFonts w:ascii="Arial" w:hAnsi="Arial"/>
                <w:color w:val="000000"/>
                <w:sz w:val="20"/>
              </w:rPr>
              <w:t xml:space="preserve"> $262,127.18 </w:t>
            </w:r>
          </w:p>
        </w:tc>
        <w:tc>
          <w:tcPr>
            <w:tcW w:w="2849" w:type="dxa"/>
            <w:tcBorders>
              <w:top w:val="nil"/>
              <w:left w:val="nil"/>
              <w:bottom w:val="nil"/>
              <w:right w:val="nil"/>
            </w:tcBorders>
            <w:shd w:val="clear" w:color="auto" w:fill="auto"/>
            <w:noWrap/>
          </w:tcPr>
          <w:p w:rsidR="00322F8E" w:rsidRPr="007241A8" w:rsidRDefault="00322F8E" w:rsidP="00CF2B76">
            <w:pPr>
              <w:jc w:val="right"/>
              <w:rPr>
                <w:rFonts w:ascii="Arial" w:hAnsi="Arial"/>
                <w:color w:val="000000"/>
                <w:sz w:val="20"/>
              </w:rPr>
            </w:pPr>
            <w:r w:rsidRPr="007241A8">
              <w:rPr>
                <w:rFonts w:ascii="Arial" w:hAnsi="Arial"/>
                <w:color w:val="000000"/>
                <w:sz w:val="20"/>
              </w:rPr>
              <w:t>779</w:t>
            </w:r>
          </w:p>
        </w:tc>
        <w:tc>
          <w:tcPr>
            <w:tcW w:w="2684" w:type="dxa"/>
            <w:tcBorders>
              <w:top w:val="nil"/>
              <w:left w:val="nil"/>
              <w:bottom w:val="nil"/>
              <w:right w:val="nil"/>
            </w:tcBorders>
            <w:shd w:val="clear" w:color="auto" w:fill="auto"/>
            <w:noWrap/>
          </w:tcPr>
          <w:p w:rsidR="00322F8E" w:rsidRPr="007241A8" w:rsidRDefault="00322F8E" w:rsidP="00CF2B76">
            <w:pPr>
              <w:jc w:val="right"/>
              <w:rPr>
                <w:rFonts w:ascii="Arial" w:hAnsi="Arial"/>
                <w:color w:val="000000"/>
                <w:sz w:val="20"/>
              </w:rPr>
            </w:pPr>
            <w:r w:rsidRPr="007241A8">
              <w:rPr>
                <w:rFonts w:ascii="Arial" w:hAnsi="Arial"/>
                <w:color w:val="000000"/>
                <w:sz w:val="20"/>
              </w:rPr>
              <w:t xml:space="preserve"> $336.49 </w:t>
            </w:r>
          </w:p>
        </w:tc>
      </w:tr>
      <w:tr w:rsidR="00322F8E" w:rsidRPr="007241A8" w:rsidTr="00CF2B76">
        <w:trPr>
          <w:trHeight w:val="240"/>
        </w:trPr>
        <w:tc>
          <w:tcPr>
            <w:tcW w:w="1861" w:type="dxa"/>
            <w:tcBorders>
              <w:top w:val="nil"/>
              <w:left w:val="nil"/>
              <w:bottom w:val="nil"/>
              <w:right w:val="nil"/>
            </w:tcBorders>
            <w:shd w:val="clear" w:color="auto" w:fill="auto"/>
            <w:noWrap/>
          </w:tcPr>
          <w:p w:rsidR="00322F8E" w:rsidRPr="007241A8" w:rsidRDefault="00322F8E" w:rsidP="00CF2B76">
            <w:pPr>
              <w:rPr>
                <w:rFonts w:ascii="Arial" w:hAnsi="Arial"/>
                <w:color w:val="000000"/>
                <w:sz w:val="20"/>
              </w:rPr>
            </w:pPr>
            <w:r w:rsidRPr="007241A8">
              <w:rPr>
                <w:rFonts w:ascii="Arial" w:hAnsi="Arial"/>
                <w:color w:val="000000"/>
                <w:sz w:val="20"/>
              </w:rPr>
              <w:t>Class C</w:t>
            </w:r>
          </w:p>
        </w:tc>
        <w:tc>
          <w:tcPr>
            <w:tcW w:w="1426" w:type="dxa"/>
            <w:tcBorders>
              <w:top w:val="nil"/>
              <w:left w:val="nil"/>
              <w:bottom w:val="nil"/>
              <w:right w:val="nil"/>
            </w:tcBorders>
            <w:shd w:val="clear" w:color="auto" w:fill="auto"/>
            <w:noWrap/>
          </w:tcPr>
          <w:p w:rsidR="00322F8E" w:rsidRPr="007241A8" w:rsidRDefault="00322F8E" w:rsidP="00CF2B76">
            <w:pPr>
              <w:jc w:val="right"/>
              <w:rPr>
                <w:rFonts w:ascii="Arial" w:hAnsi="Arial"/>
                <w:color w:val="000000"/>
                <w:sz w:val="20"/>
              </w:rPr>
            </w:pPr>
            <w:r w:rsidRPr="007241A8">
              <w:rPr>
                <w:rFonts w:ascii="Arial" w:hAnsi="Arial"/>
                <w:color w:val="000000"/>
                <w:sz w:val="20"/>
              </w:rPr>
              <w:t xml:space="preserve"> $44,807.34 </w:t>
            </w:r>
          </w:p>
        </w:tc>
        <w:tc>
          <w:tcPr>
            <w:tcW w:w="2849" w:type="dxa"/>
            <w:tcBorders>
              <w:top w:val="nil"/>
              <w:left w:val="nil"/>
              <w:bottom w:val="nil"/>
              <w:right w:val="nil"/>
            </w:tcBorders>
            <w:shd w:val="clear" w:color="auto" w:fill="auto"/>
            <w:noWrap/>
          </w:tcPr>
          <w:p w:rsidR="00322F8E" w:rsidRPr="007241A8" w:rsidRDefault="00322F8E" w:rsidP="00CF2B76">
            <w:pPr>
              <w:jc w:val="right"/>
              <w:rPr>
                <w:rFonts w:ascii="Arial" w:hAnsi="Arial"/>
                <w:color w:val="000000"/>
                <w:sz w:val="20"/>
              </w:rPr>
            </w:pPr>
            <w:r w:rsidRPr="007241A8">
              <w:rPr>
                <w:rFonts w:ascii="Arial" w:hAnsi="Arial"/>
                <w:color w:val="000000"/>
                <w:sz w:val="20"/>
              </w:rPr>
              <w:t>119</w:t>
            </w:r>
          </w:p>
        </w:tc>
        <w:tc>
          <w:tcPr>
            <w:tcW w:w="2684" w:type="dxa"/>
            <w:tcBorders>
              <w:top w:val="nil"/>
              <w:left w:val="nil"/>
              <w:bottom w:val="nil"/>
              <w:right w:val="nil"/>
            </w:tcBorders>
            <w:shd w:val="clear" w:color="auto" w:fill="auto"/>
            <w:noWrap/>
          </w:tcPr>
          <w:p w:rsidR="00322F8E" w:rsidRPr="007241A8" w:rsidRDefault="00322F8E" w:rsidP="00CF2B76">
            <w:pPr>
              <w:jc w:val="right"/>
              <w:rPr>
                <w:rFonts w:ascii="Arial" w:hAnsi="Arial"/>
                <w:color w:val="000000"/>
                <w:sz w:val="20"/>
              </w:rPr>
            </w:pPr>
            <w:r w:rsidRPr="007241A8">
              <w:rPr>
                <w:rFonts w:ascii="Arial" w:hAnsi="Arial"/>
                <w:color w:val="000000"/>
                <w:sz w:val="20"/>
              </w:rPr>
              <w:t xml:space="preserve"> $376.53 </w:t>
            </w:r>
          </w:p>
        </w:tc>
      </w:tr>
      <w:tr w:rsidR="00322F8E" w:rsidRPr="007241A8" w:rsidTr="00CF2B76">
        <w:trPr>
          <w:trHeight w:val="240"/>
        </w:trPr>
        <w:tc>
          <w:tcPr>
            <w:tcW w:w="1861" w:type="dxa"/>
            <w:tcBorders>
              <w:top w:val="nil"/>
              <w:left w:val="nil"/>
              <w:bottom w:val="nil"/>
              <w:right w:val="nil"/>
            </w:tcBorders>
            <w:shd w:val="clear" w:color="auto" w:fill="auto"/>
            <w:noWrap/>
          </w:tcPr>
          <w:p w:rsidR="00322F8E" w:rsidRPr="007241A8" w:rsidRDefault="00322F8E" w:rsidP="00CF2B76">
            <w:pPr>
              <w:rPr>
                <w:rFonts w:ascii="Arial" w:hAnsi="Arial"/>
                <w:color w:val="000000"/>
                <w:sz w:val="20"/>
              </w:rPr>
            </w:pPr>
            <w:r w:rsidRPr="007241A8">
              <w:rPr>
                <w:rFonts w:ascii="Arial" w:hAnsi="Arial"/>
                <w:color w:val="000000"/>
                <w:sz w:val="20"/>
              </w:rPr>
              <w:t>Non-Shareholder</w:t>
            </w:r>
          </w:p>
        </w:tc>
        <w:tc>
          <w:tcPr>
            <w:tcW w:w="1426" w:type="dxa"/>
            <w:tcBorders>
              <w:top w:val="nil"/>
              <w:left w:val="nil"/>
              <w:bottom w:val="nil"/>
              <w:right w:val="nil"/>
            </w:tcBorders>
            <w:shd w:val="clear" w:color="auto" w:fill="auto"/>
            <w:noWrap/>
          </w:tcPr>
          <w:p w:rsidR="00322F8E" w:rsidRPr="007241A8" w:rsidRDefault="00322F8E" w:rsidP="00CF2B76">
            <w:pPr>
              <w:jc w:val="right"/>
              <w:rPr>
                <w:rFonts w:ascii="Arial" w:hAnsi="Arial"/>
                <w:color w:val="000000"/>
                <w:sz w:val="20"/>
              </w:rPr>
            </w:pPr>
            <w:r w:rsidRPr="007241A8">
              <w:rPr>
                <w:rFonts w:ascii="Arial" w:hAnsi="Arial"/>
                <w:color w:val="000000"/>
                <w:sz w:val="20"/>
              </w:rPr>
              <w:t xml:space="preserve"> $20,779.77 </w:t>
            </w:r>
          </w:p>
        </w:tc>
        <w:tc>
          <w:tcPr>
            <w:tcW w:w="2849" w:type="dxa"/>
            <w:tcBorders>
              <w:top w:val="nil"/>
              <w:left w:val="nil"/>
              <w:bottom w:val="nil"/>
              <w:right w:val="nil"/>
            </w:tcBorders>
            <w:shd w:val="clear" w:color="auto" w:fill="auto"/>
            <w:noWrap/>
          </w:tcPr>
          <w:p w:rsidR="00322F8E" w:rsidRPr="007241A8" w:rsidRDefault="00322F8E" w:rsidP="00CF2B76">
            <w:pPr>
              <w:jc w:val="right"/>
              <w:rPr>
                <w:rFonts w:ascii="Arial" w:hAnsi="Arial"/>
                <w:color w:val="000000"/>
                <w:sz w:val="20"/>
              </w:rPr>
            </w:pPr>
            <w:r w:rsidRPr="007241A8">
              <w:rPr>
                <w:rFonts w:ascii="Arial" w:hAnsi="Arial"/>
                <w:color w:val="000000"/>
                <w:sz w:val="20"/>
              </w:rPr>
              <w:t>46</w:t>
            </w:r>
          </w:p>
        </w:tc>
        <w:tc>
          <w:tcPr>
            <w:tcW w:w="2684" w:type="dxa"/>
            <w:tcBorders>
              <w:top w:val="nil"/>
              <w:left w:val="nil"/>
              <w:bottom w:val="nil"/>
              <w:right w:val="nil"/>
            </w:tcBorders>
            <w:shd w:val="clear" w:color="auto" w:fill="auto"/>
            <w:noWrap/>
          </w:tcPr>
          <w:p w:rsidR="00322F8E" w:rsidRPr="007241A8" w:rsidRDefault="00322F8E" w:rsidP="00CF2B76">
            <w:pPr>
              <w:jc w:val="right"/>
              <w:rPr>
                <w:rFonts w:ascii="Arial" w:hAnsi="Arial"/>
                <w:color w:val="000000"/>
                <w:sz w:val="20"/>
              </w:rPr>
            </w:pPr>
            <w:r w:rsidRPr="007241A8">
              <w:rPr>
                <w:rFonts w:ascii="Arial" w:hAnsi="Arial"/>
                <w:color w:val="000000"/>
                <w:sz w:val="20"/>
              </w:rPr>
              <w:t xml:space="preserve"> $451.73 </w:t>
            </w:r>
          </w:p>
        </w:tc>
      </w:tr>
      <w:tr w:rsidR="00322F8E" w:rsidRPr="007241A8" w:rsidTr="00CF2B76">
        <w:trPr>
          <w:trHeight w:val="260"/>
        </w:trPr>
        <w:tc>
          <w:tcPr>
            <w:tcW w:w="1861" w:type="dxa"/>
            <w:tcBorders>
              <w:top w:val="single" w:sz="4" w:space="0" w:color="auto"/>
              <w:left w:val="nil"/>
              <w:bottom w:val="double" w:sz="6" w:space="0" w:color="auto"/>
              <w:right w:val="nil"/>
            </w:tcBorders>
            <w:shd w:val="clear" w:color="auto" w:fill="auto"/>
            <w:noWrap/>
          </w:tcPr>
          <w:p w:rsidR="00322F8E" w:rsidRPr="007241A8" w:rsidRDefault="00322F8E" w:rsidP="00CF2B76">
            <w:pPr>
              <w:rPr>
                <w:rFonts w:ascii="Arial" w:hAnsi="Arial"/>
                <w:b/>
                <w:bCs/>
                <w:color w:val="000000"/>
                <w:sz w:val="20"/>
              </w:rPr>
            </w:pPr>
            <w:r w:rsidRPr="007241A8">
              <w:rPr>
                <w:rFonts w:ascii="Arial" w:hAnsi="Arial"/>
                <w:b/>
                <w:bCs/>
                <w:color w:val="000000"/>
                <w:sz w:val="20"/>
              </w:rPr>
              <w:t>Total Revenue</w:t>
            </w:r>
          </w:p>
        </w:tc>
        <w:tc>
          <w:tcPr>
            <w:tcW w:w="1426" w:type="dxa"/>
            <w:tcBorders>
              <w:top w:val="single" w:sz="4" w:space="0" w:color="auto"/>
              <w:left w:val="nil"/>
              <w:bottom w:val="double" w:sz="6" w:space="0" w:color="auto"/>
              <w:right w:val="nil"/>
            </w:tcBorders>
            <w:shd w:val="clear" w:color="auto" w:fill="auto"/>
            <w:noWrap/>
          </w:tcPr>
          <w:p w:rsidR="00322F8E" w:rsidRPr="007241A8" w:rsidRDefault="00322F8E" w:rsidP="00CF2B76">
            <w:pPr>
              <w:jc w:val="right"/>
              <w:rPr>
                <w:rFonts w:ascii="Arial" w:hAnsi="Arial"/>
                <w:color w:val="000000"/>
                <w:sz w:val="20"/>
              </w:rPr>
            </w:pPr>
            <w:r w:rsidRPr="007241A8">
              <w:rPr>
                <w:rFonts w:ascii="Arial" w:hAnsi="Arial"/>
                <w:color w:val="000000"/>
                <w:sz w:val="20"/>
              </w:rPr>
              <w:t xml:space="preserve"> $327,714.29 </w:t>
            </w:r>
          </w:p>
        </w:tc>
        <w:tc>
          <w:tcPr>
            <w:tcW w:w="2849" w:type="dxa"/>
            <w:tcBorders>
              <w:top w:val="single" w:sz="4" w:space="0" w:color="auto"/>
              <w:left w:val="nil"/>
              <w:bottom w:val="double" w:sz="6" w:space="0" w:color="auto"/>
              <w:right w:val="nil"/>
            </w:tcBorders>
            <w:shd w:val="clear" w:color="auto" w:fill="auto"/>
            <w:noWrap/>
          </w:tcPr>
          <w:p w:rsidR="00322F8E" w:rsidRPr="007241A8" w:rsidRDefault="00322F8E" w:rsidP="00CF2B76">
            <w:pPr>
              <w:jc w:val="right"/>
              <w:rPr>
                <w:rFonts w:ascii="Arial" w:hAnsi="Arial"/>
                <w:color w:val="000000"/>
                <w:sz w:val="20"/>
              </w:rPr>
            </w:pPr>
            <w:r w:rsidRPr="007241A8">
              <w:rPr>
                <w:rFonts w:ascii="Arial" w:hAnsi="Arial"/>
                <w:color w:val="000000"/>
                <w:sz w:val="20"/>
              </w:rPr>
              <w:t>944</w:t>
            </w:r>
          </w:p>
        </w:tc>
        <w:tc>
          <w:tcPr>
            <w:tcW w:w="2684" w:type="dxa"/>
            <w:tcBorders>
              <w:top w:val="single" w:sz="4" w:space="0" w:color="auto"/>
              <w:left w:val="nil"/>
              <w:bottom w:val="double" w:sz="6" w:space="0" w:color="auto"/>
              <w:right w:val="nil"/>
            </w:tcBorders>
            <w:shd w:val="clear" w:color="auto" w:fill="auto"/>
            <w:noWrap/>
          </w:tcPr>
          <w:p w:rsidR="00322F8E" w:rsidRPr="007241A8" w:rsidRDefault="00322F8E" w:rsidP="00CF2B76">
            <w:pPr>
              <w:jc w:val="right"/>
              <w:rPr>
                <w:rFonts w:ascii="Arial" w:hAnsi="Arial"/>
                <w:color w:val="000000"/>
                <w:sz w:val="20"/>
              </w:rPr>
            </w:pPr>
            <w:r w:rsidRPr="007241A8">
              <w:rPr>
                <w:rFonts w:ascii="Arial" w:hAnsi="Arial"/>
                <w:color w:val="000000"/>
                <w:sz w:val="20"/>
              </w:rPr>
              <w:t xml:space="preserve"> $347.15 </w:t>
            </w:r>
          </w:p>
        </w:tc>
      </w:tr>
    </w:tbl>
    <w:p w:rsidR="00322F8E" w:rsidRDefault="00322F8E" w:rsidP="00322F8E">
      <w:pPr>
        <w:pStyle w:val="ListParagraph"/>
        <w:ind w:left="0"/>
        <w:rPr>
          <w:rFonts w:cs="Times New Roman"/>
          <w:szCs w:val="24"/>
        </w:rPr>
      </w:pPr>
    </w:p>
    <w:p w:rsidR="00765BCE" w:rsidRDefault="0087208E" w:rsidP="00765BCE">
      <w:pPr>
        <w:pStyle w:val="ListParagraph"/>
        <w:spacing w:line="480" w:lineRule="auto"/>
        <w:ind w:left="0"/>
        <w:rPr>
          <w:rFonts w:cs="Times New Roman"/>
          <w:szCs w:val="24"/>
        </w:rPr>
      </w:pPr>
      <w:r>
        <w:rPr>
          <w:rFonts w:cs="Times New Roman"/>
          <w:szCs w:val="24"/>
        </w:rPr>
        <w:t xml:space="preserve">As the </w:t>
      </w:r>
      <w:r w:rsidR="004B7F9B">
        <w:rPr>
          <w:rFonts w:cs="Times New Roman"/>
          <w:szCs w:val="24"/>
        </w:rPr>
        <w:t xml:space="preserve">Company’s “Water Service Fees” </w:t>
      </w:r>
      <w:r w:rsidR="00B51D9E">
        <w:rPr>
          <w:rFonts w:cs="Times New Roman"/>
          <w:szCs w:val="24"/>
        </w:rPr>
        <w:t xml:space="preserve">schedule </w:t>
      </w:r>
      <w:r>
        <w:rPr>
          <w:rFonts w:cs="Times New Roman"/>
          <w:szCs w:val="24"/>
        </w:rPr>
        <w:t>in Exhibit 3</w:t>
      </w:r>
      <w:r w:rsidR="00756D63">
        <w:rPr>
          <w:rFonts w:cs="Times New Roman"/>
          <w:szCs w:val="24"/>
        </w:rPr>
        <w:t xml:space="preserve"> (last two pages)</w:t>
      </w:r>
      <w:r>
        <w:rPr>
          <w:rFonts w:cs="Times New Roman"/>
          <w:szCs w:val="24"/>
        </w:rPr>
        <w:t xml:space="preserve"> shows, the </w:t>
      </w:r>
      <w:r w:rsidRPr="00765BCE">
        <w:rPr>
          <w:rFonts w:cs="Times New Roman"/>
          <w:szCs w:val="24"/>
        </w:rPr>
        <w:t xml:space="preserve">Company </w:t>
      </w:r>
      <w:r>
        <w:rPr>
          <w:rFonts w:cs="Times New Roman"/>
          <w:szCs w:val="24"/>
        </w:rPr>
        <w:t xml:space="preserve">publishes its rates </w:t>
      </w:r>
      <w:r w:rsidRPr="00765BCE">
        <w:rPr>
          <w:rFonts w:cs="Times New Roman"/>
          <w:szCs w:val="24"/>
        </w:rPr>
        <w:t>for water usage</w:t>
      </w:r>
      <w:r>
        <w:rPr>
          <w:rFonts w:cs="Times New Roman"/>
          <w:szCs w:val="24"/>
        </w:rPr>
        <w:t xml:space="preserve">, as well as charges for </w:t>
      </w:r>
      <w:r w:rsidRPr="00765BCE">
        <w:rPr>
          <w:rFonts w:cs="Times New Roman"/>
          <w:szCs w:val="24"/>
        </w:rPr>
        <w:t>non-recurring</w:t>
      </w:r>
      <w:r>
        <w:rPr>
          <w:rFonts w:cs="Times New Roman"/>
          <w:szCs w:val="24"/>
        </w:rPr>
        <w:t xml:space="preserve"> services, such as emergency shut</w:t>
      </w:r>
      <w:r w:rsidR="00940FCF">
        <w:rPr>
          <w:rFonts w:cs="Times New Roman"/>
          <w:szCs w:val="24"/>
        </w:rPr>
        <w:t>-</w:t>
      </w:r>
      <w:r>
        <w:rPr>
          <w:rFonts w:cs="Times New Roman"/>
          <w:szCs w:val="24"/>
        </w:rPr>
        <w:t>offs and tampered meter repairs</w:t>
      </w:r>
      <w:r w:rsidRPr="00765BCE">
        <w:rPr>
          <w:rFonts w:cs="Times New Roman"/>
          <w:szCs w:val="24"/>
        </w:rPr>
        <w:t>.</w:t>
      </w:r>
      <w:r>
        <w:rPr>
          <w:rStyle w:val="FootnoteReference"/>
          <w:rFonts w:cs="Times New Roman"/>
          <w:szCs w:val="24"/>
        </w:rPr>
        <w:footnoteReference w:id="7"/>
      </w:r>
      <w:r>
        <w:rPr>
          <w:rFonts w:cs="Times New Roman"/>
          <w:szCs w:val="24"/>
        </w:rPr>
        <w:t xml:space="preserve">  </w:t>
      </w:r>
    </w:p>
    <w:p w:rsidR="00D32E3D" w:rsidRDefault="00765BCE" w:rsidP="00765BCE">
      <w:pPr>
        <w:pStyle w:val="ListParagraph"/>
        <w:numPr>
          <w:ilvl w:val="0"/>
          <w:numId w:val="6"/>
        </w:numPr>
        <w:spacing w:line="480" w:lineRule="auto"/>
        <w:ind w:left="0" w:hanging="720"/>
        <w:rPr>
          <w:rFonts w:cs="Times New Roman"/>
          <w:szCs w:val="24"/>
        </w:rPr>
      </w:pPr>
      <w:r w:rsidRPr="00D32E3D">
        <w:rPr>
          <w:rFonts w:cs="Times New Roman"/>
          <w:szCs w:val="24"/>
        </w:rPr>
        <w:tab/>
      </w:r>
      <w:r w:rsidR="00DA12FB" w:rsidRPr="00D32E3D">
        <w:rPr>
          <w:rFonts w:cs="Times New Roman"/>
          <w:i/>
          <w:szCs w:val="24"/>
        </w:rPr>
        <w:t>How the Company Operates its W</w:t>
      </w:r>
      <w:r w:rsidRPr="00D32E3D">
        <w:rPr>
          <w:rFonts w:cs="Times New Roman"/>
          <w:i/>
          <w:szCs w:val="24"/>
        </w:rPr>
        <w:t xml:space="preserve">ater </w:t>
      </w:r>
      <w:r w:rsidR="00DA12FB" w:rsidRPr="00D32E3D">
        <w:rPr>
          <w:rFonts w:cs="Times New Roman"/>
          <w:i/>
          <w:szCs w:val="24"/>
        </w:rPr>
        <w:t>B</w:t>
      </w:r>
      <w:r w:rsidR="00B76773" w:rsidRPr="00D32E3D">
        <w:rPr>
          <w:rFonts w:cs="Times New Roman"/>
          <w:i/>
          <w:szCs w:val="24"/>
        </w:rPr>
        <w:t>usiness</w:t>
      </w:r>
      <w:r w:rsidRPr="00D32E3D">
        <w:rPr>
          <w:rFonts w:cs="Times New Roman"/>
          <w:szCs w:val="24"/>
        </w:rPr>
        <w:t>.  SPIC holds a water right</w:t>
      </w:r>
      <w:r w:rsidR="0056679D">
        <w:rPr>
          <w:rFonts w:cs="Times New Roman"/>
          <w:szCs w:val="24"/>
        </w:rPr>
        <w:t>s</w:t>
      </w:r>
      <w:r w:rsidRPr="00D32E3D">
        <w:rPr>
          <w:rFonts w:cs="Times New Roman"/>
          <w:szCs w:val="24"/>
        </w:rPr>
        <w:t xml:space="preserve"> permit issued by the </w:t>
      </w:r>
      <w:r w:rsidR="00C55A53" w:rsidRPr="00D32E3D">
        <w:rPr>
          <w:rFonts w:cs="Times New Roman"/>
          <w:szCs w:val="24"/>
        </w:rPr>
        <w:t xml:space="preserve">state </w:t>
      </w:r>
      <w:r w:rsidRPr="00D32E3D">
        <w:rPr>
          <w:rFonts w:cs="Times New Roman"/>
          <w:szCs w:val="24"/>
        </w:rPr>
        <w:t>Department of Ecology</w:t>
      </w:r>
      <w:r w:rsidR="00D32E3D" w:rsidRPr="00D32E3D">
        <w:rPr>
          <w:rFonts w:cs="Times New Roman"/>
          <w:szCs w:val="24"/>
        </w:rPr>
        <w:t>.</w:t>
      </w:r>
      <w:r w:rsidRPr="00765BCE">
        <w:rPr>
          <w:rStyle w:val="FootnoteReference"/>
          <w:rFonts w:cs="Times New Roman"/>
          <w:szCs w:val="24"/>
        </w:rPr>
        <w:footnoteReference w:id="8"/>
      </w:r>
      <w:r w:rsidR="00A26B01" w:rsidRPr="00D32E3D">
        <w:rPr>
          <w:rFonts w:cs="Times New Roman"/>
          <w:szCs w:val="24"/>
        </w:rPr>
        <w:t xml:space="preserve"> </w:t>
      </w:r>
      <w:r w:rsidR="00D32E3D" w:rsidRPr="00D32E3D">
        <w:rPr>
          <w:rFonts w:cs="Times New Roman"/>
          <w:szCs w:val="24"/>
        </w:rPr>
        <w:t xml:space="preserve"> T</w:t>
      </w:r>
      <w:r w:rsidR="00C55A53" w:rsidRPr="00D32E3D">
        <w:rPr>
          <w:rFonts w:cs="Times New Roman"/>
          <w:szCs w:val="24"/>
        </w:rPr>
        <w:t xml:space="preserve">he Company </w:t>
      </w:r>
      <w:r w:rsidR="00DA12FB" w:rsidRPr="00D32E3D">
        <w:rPr>
          <w:rFonts w:cs="Times New Roman"/>
          <w:szCs w:val="24"/>
        </w:rPr>
        <w:t xml:space="preserve">uses its </w:t>
      </w:r>
      <w:r w:rsidR="00C55A53" w:rsidRPr="00D32E3D">
        <w:rPr>
          <w:rFonts w:cs="Times New Roman"/>
          <w:szCs w:val="24"/>
        </w:rPr>
        <w:t xml:space="preserve">water </w:t>
      </w:r>
      <w:r w:rsidR="00665124" w:rsidRPr="00D32E3D">
        <w:rPr>
          <w:rFonts w:cs="Times New Roman"/>
          <w:szCs w:val="24"/>
        </w:rPr>
        <w:t>right</w:t>
      </w:r>
      <w:r w:rsidR="00DA12FB" w:rsidRPr="00D32E3D">
        <w:rPr>
          <w:rFonts w:cs="Times New Roman"/>
          <w:szCs w:val="24"/>
        </w:rPr>
        <w:t>s</w:t>
      </w:r>
      <w:r w:rsidR="00665124" w:rsidRPr="00D32E3D">
        <w:rPr>
          <w:rFonts w:cs="Times New Roman"/>
          <w:szCs w:val="24"/>
        </w:rPr>
        <w:t xml:space="preserve"> by </w:t>
      </w:r>
      <w:r w:rsidR="0049613B">
        <w:rPr>
          <w:rFonts w:cs="Times New Roman"/>
          <w:szCs w:val="24"/>
        </w:rPr>
        <w:t xml:space="preserve">appropriating </w:t>
      </w:r>
      <w:r w:rsidRPr="00D32E3D">
        <w:rPr>
          <w:rFonts w:cs="Times New Roman"/>
          <w:szCs w:val="24"/>
        </w:rPr>
        <w:t xml:space="preserve">water </w:t>
      </w:r>
      <w:r w:rsidR="00354D7F">
        <w:rPr>
          <w:rFonts w:cs="Times New Roman"/>
          <w:szCs w:val="24"/>
        </w:rPr>
        <w:t>via</w:t>
      </w:r>
      <w:r w:rsidR="0088460C" w:rsidRPr="00D32E3D">
        <w:rPr>
          <w:rFonts w:cs="Times New Roman"/>
          <w:szCs w:val="24"/>
        </w:rPr>
        <w:t xml:space="preserve"> </w:t>
      </w:r>
      <w:r w:rsidRPr="00D32E3D">
        <w:rPr>
          <w:rFonts w:cs="Times New Roman"/>
          <w:szCs w:val="24"/>
        </w:rPr>
        <w:t>one primary well; the Company has three other wells for emergency use only.</w:t>
      </w:r>
      <w:r w:rsidRPr="00765BCE">
        <w:rPr>
          <w:rStyle w:val="FootnoteReference"/>
          <w:rFonts w:cs="Times New Roman"/>
          <w:szCs w:val="24"/>
        </w:rPr>
        <w:footnoteReference w:id="9"/>
      </w:r>
      <w:r w:rsidRPr="00D32E3D">
        <w:rPr>
          <w:rFonts w:cs="Times New Roman"/>
          <w:szCs w:val="24"/>
        </w:rPr>
        <w:t xml:space="preserve">  The Company </w:t>
      </w:r>
      <w:r w:rsidR="00A26B01" w:rsidRPr="00D32E3D">
        <w:rPr>
          <w:rFonts w:cs="Times New Roman"/>
          <w:szCs w:val="24"/>
        </w:rPr>
        <w:t xml:space="preserve">stores the water in </w:t>
      </w:r>
      <w:r w:rsidRPr="00D32E3D">
        <w:rPr>
          <w:rFonts w:cs="Times New Roman"/>
          <w:szCs w:val="24"/>
        </w:rPr>
        <w:t xml:space="preserve">two large tanks: </w:t>
      </w:r>
      <w:r w:rsidR="00BE39A0">
        <w:rPr>
          <w:rFonts w:cs="Times New Roman"/>
          <w:szCs w:val="24"/>
        </w:rPr>
        <w:t xml:space="preserve"> </w:t>
      </w:r>
      <w:r w:rsidR="00985D25" w:rsidRPr="00D32E3D">
        <w:rPr>
          <w:rFonts w:cs="Times New Roman"/>
          <w:szCs w:val="24"/>
        </w:rPr>
        <w:t>one storage tank has</w:t>
      </w:r>
      <w:r w:rsidR="00940FCF">
        <w:rPr>
          <w:rFonts w:cs="Times New Roman"/>
          <w:szCs w:val="24"/>
        </w:rPr>
        <w:t xml:space="preserve"> </w:t>
      </w:r>
      <w:r w:rsidRPr="00D32E3D">
        <w:rPr>
          <w:rFonts w:cs="Times New Roman"/>
          <w:szCs w:val="24"/>
        </w:rPr>
        <w:t xml:space="preserve">190,000 gallon </w:t>
      </w:r>
      <w:r w:rsidR="00985D25" w:rsidRPr="00D32E3D">
        <w:rPr>
          <w:rFonts w:cs="Times New Roman"/>
          <w:szCs w:val="24"/>
        </w:rPr>
        <w:t>capacity</w:t>
      </w:r>
      <w:r w:rsidR="00940FCF">
        <w:rPr>
          <w:rFonts w:cs="Times New Roman"/>
          <w:szCs w:val="24"/>
        </w:rPr>
        <w:t>,</w:t>
      </w:r>
      <w:r w:rsidR="00985D25" w:rsidRPr="00D32E3D">
        <w:rPr>
          <w:rFonts w:cs="Times New Roman"/>
          <w:szCs w:val="24"/>
        </w:rPr>
        <w:t xml:space="preserve"> and the other </w:t>
      </w:r>
      <w:r w:rsidRPr="00D32E3D">
        <w:rPr>
          <w:rFonts w:cs="Times New Roman"/>
          <w:szCs w:val="24"/>
        </w:rPr>
        <w:t xml:space="preserve">storage tank </w:t>
      </w:r>
      <w:r w:rsidR="00985D25" w:rsidRPr="00D32E3D">
        <w:rPr>
          <w:rFonts w:cs="Times New Roman"/>
          <w:szCs w:val="24"/>
        </w:rPr>
        <w:t xml:space="preserve">has </w:t>
      </w:r>
      <w:r w:rsidRPr="00D32E3D">
        <w:rPr>
          <w:rFonts w:cs="Times New Roman"/>
          <w:szCs w:val="24"/>
        </w:rPr>
        <w:t xml:space="preserve">200,000 gallon </w:t>
      </w:r>
      <w:r w:rsidR="00985D25" w:rsidRPr="00D32E3D">
        <w:rPr>
          <w:rFonts w:cs="Times New Roman"/>
          <w:szCs w:val="24"/>
        </w:rPr>
        <w:t>capacity</w:t>
      </w:r>
      <w:r w:rsidRPr="00D32E3D">
        <w:rPr>
          <w:rFonts w:cs="Times New Roman"/>
          <w:szCs w:val="24"/>
        </w:rPr>
        <w:t>.</w:t>
      </w:r>
      <w:r w:rsidRPr="00765BCE">
        <w:rPr>
          <w:rStyle w:val="FootnoteReference"/>
          <w:rFonts w:cs="Times New Roman"/>
          <w:szCs w:val="24"/>
        </w:rPr>
        <w:footnoteReference w:id="10"/>
      </w:r>
      <w:r w:rsidRPr="00D32E3D">
        <w:rPr>
          <w:rFonts w:cs="Times New Roman"/>
          <w:szCs w:val="24"/>
        </w:rPr>
        <w:t xml:space="preserve">  </w:t>
      </w:r>
    </w:p>
    <w:p w:rsidR="00765BCE" w:rsidRDefault="00D32E3D" w:rsidP="00765BCE">
      <w:pPr>
        <w:pStyle w:val="ListParagraph"/>
        <w:numPr>
          <w:ilvl w:val="0"/>
          <w:numId w:val="6"/>
        </w:numPr>
        <w:spacing w:line="480" w:lineRule="auto"/>
        <w:ind w:left="0" w:hanging="720"/>
        <w:rPr>
          <w:rFonts w:cs="Times New Roman"/>
          <w:szCs w:val="24"/>
        </w:rPr>
      </w:pPr>
      <w:r>
        <w:rPr>
          <w:rFonts w:cs="Times New Roman"/>
          <w:szCs w:val="24"/>
        </w:rPr>
        <w:lastRenderedPageBreak/>
        <w:tab/>
      </w:r>
      <w:r w:rsidR="00765BCE" w:rsidRPr="00D32E3D">
        <w:rPr>
          <w:rFonts w:cs="Times New Roman"/>
          <w:szCs w:val="24"/>
        </w:rPr>
        <w:t>The Company uses transmission main</w:t>
      </w:r>
      <w:r w:rsidR="00354D7F">
        <w:rPr>
          <w:rFonts w:cs="Times New Roman"/>
          <w:szCs w:val="24"/>
        </w:rPr>
        <w:t xml:space="preserve"> pipe</w:t>
      </w:r>
      <w:r w:rsidR="00765BCE" w:rsidRPr="00D32E3D">
        <w:rPr>
          <w:rFonts w:cs="Times New Roman"/>
          <w:szCs w:val="24"/>
        </w:rPr>
        <w:t xml:space="preserve">s and distribution </w:t>
      </w:r>
      <w:r w:rsidR="00354D7F">
        <w:rPr>
          <w:rFonts w:cs="Times New Roman"/>
          <w:szCs w:val="24"/>
        </w:rPr>
        <w:t>pipes</w:t>
      </w:r>
      <w:r w:rsidR="00765BCE" w:rsidRPr="00D32E3D">
        <w:rPr>
          <w:rFonts w:cs="Times New Roman"/>
          <w:szCs w:val="24"/>
        </w:rPr>
        <w:t xml:space="preserve"> to transport the water to </w:t>
      </w:r>
      <w:r w:rsidR="002D559E" w:rsidRPr="00D32E3D">
        <w:rPr>
          <w:rFonts w:cs="Times New Roman"/>
          <w:szCs w:val="24"/>
        </w:rPr>
        <w:t xml:space="preserve">its </w:t>
      </w:r>
      <w:r w:rsidR="00765BCE" w:rsidRPr="00D32E3D">
        <w:rPr>
          <w:rFonts w:cs="Times New Roman"/>
          <w:szCs w:val="24"/>
        </w:rPr>
        <w:t xml:space="preserve">customers via gravity feed from these </w:t>
      </w:r>
      <w:r w:rsidR="0049613B">
        <w:rPr>
          <w:rFonts w:cs="Times New Roman"/>
          <w:szCs w:val="24"/>
        </w:rPr>
        <w:t xml:space="preserve">storage </w:t>
      </w:r>
      <w:r w:rsidR="00765BCE" w:rsidRPr="00D32E3D">
        <w:rPr>
          <w:rFonts w:cs="Times New Roman"/>
          <w:szCs w:val="24"/>
        </w:rPr>
        <w:t>tanks.</w:t>
      </w:r>
      <w:r w:rsidR="00765BCE" w:rsidRPr="00765BCE">
        <w:rPr>
          <w:rStyle w:val="FootnoteReference"/>
          <w:rFonts w:cs="Times New Roman"/>
          <w:szCs w:val="24"/>
        </w:rPr>
        <w:footnoteReference w:id="11"/>
      </w:r>
      <w:r w:rsidR="00765BCE" w:rsidRPr="00D32E3D">
        <w:rPr>
          <w:rFonts w:cs="Times New Roman"/>
          <w:szCs w:val="24"/>
        </w:rPr>
        <w:t xml:space="preserve">  The Company treats the water using a chlorination system.</w:t>
      </w:r>
      <w:r w:rsidR="00765BCE" w:rsidRPr="00765BCE">
        <w:rPr>
          <w:rStyle w:val="FootnoteReference"/>
          <w:rFonts w:cs="Times New Roman"/>
          <w:szCs w:val="24"/>
        </w:rPr>
        <w:footnoteReference w:id="12"/>
      </w:r>
    </w:p>
    <w:p w:rsidR="00765BCE" w:rsidRDefault="00765BCE" w:rsidP="00765BCE">
      <w:pPr>
        <w:pStyle w:val="ListParagraph"/>
        <w:numPr>
          <w:ilvl w:val="0"/>
          <w:numId w:val="6"/>
        </w:numPr>
        <w:spacing w:line="480" w:lineRule="auto"/>
        <w:ind w:left="0" w:hanging="720"/>
        <w:rPr>
          <w:rFonts w:cs="Times New Roman"/>
          <w:szCs w:val="24"/>
        </w:rPr>
      </w:pPr>
      <w:r>
        <w:rPr>
          <w:rFonts w:cs="Times New Roman"/>
          <w:szCs w:val="24"/>
        </w:rPr>
        <w:tab/>
      </w:r>
      <w:r w:rsidR="002D559E">
        <w:rPr>
          <w:rFonts w:cs="Times New Roman"/>
          <w:i/>
          <w:szCs w:val="24"/>
        </w:rPr>
        <w:t xml:space="preserve">The Company’s </w:t>
      </w:r>
      <w:r w:rsidRPr="00765BCE">
        <w:rPr>
          <w:rFonts w:cs="Times New Roman"/>
          <w:i/>
          <w:szCs w:val="24"/>
        </w:rPr>
        <w:t>Corporate Organization</w:t>
      </w:r>
      <w:r w:rsidRPr="00765BCE">
        <w:rPr>
          <w:rFonts w:cs="Times New Roman"/>
          <w:szCs w:val="24"/>
        </w:rPr>
        <w:t>.  “SPIC is a for profit corporation.  It was organized under the laws of the state of Washington in April of 1965.  It is now and always has been a for profit corporation in good standing.”</w:t>
      </w:r>
      <w:r w:rsidRPr="00765BCE">
        <w:rPr>
          <w:rStyle w:val="FootnoteReference"/>
          <w:rFonts w:cs="Times New Roman"/>
          <w:szCs w:val="24"/>
        </w:rPr>
        <w:footnoteReference w:id="13"/>
      </w:r>
      <w:r w:rsidRPr="00765BCE">
        <w:rPr>
          <w:rFonts w:cs="Times New Roman"/>
          <w:szCs w:val="24"/>
        </w:rPr>
        <w:t xml:space="preserve">  </w:t>
      </w:r>
      <w:r w:rsidR="00C55A53">
        <w:rPr>
          <w:rFonts w:cs="Times New Roman"/>
          <w:szCs w:val="24"/>
        </w:rPr>
        <w:t xml:space="preserve">More specifically, </w:t>
      </w:r>
      <w:r w:rsidR="00FA6B37">
        <w:rPr>
          <w:rFonts w:cs="Times New Roman"/>
          <w:szCs w:val="24"/>
        </w:rPr>
        <w:t>SPIC</w:t>
      </w:r>
      <w:r w:rsidRPr="00765BCE">
        <w:rPr>
          <w:rFonts w:cs="Times New Roman"/>
          <w:szCs w:val="24"/>
        </w:rPr>
        <w:t xml:space="preserve"> “is a Washington corporation organized under Title 23B RCW.”</w:t>
      </w:r>
      <w:r w:rsidRPr="00765BCE">
        <w:rPr>
          <w:rStyle w:val="FootnoteReference"/>
          <w:rFonts w:cs="Times New Roman"/>
          <w:szCs w:val="24"/>
        </w:rPr>
        <w:footnoteReference w:id="14"/>
      </w:r>
      <w:r w:rsidRPr="00765BCE">
        <w:rPr>
          <w:rFonts w:cs="Times New Roman"/>
          <w:szCs w:val="24"/>
        </w:rPr>
        <w:t xml:space="preserve">  The </w:t>
      </w:r>
      <w:r w:rsidR="002D559E">
        <w:rPr>
          <w:rFonts w:cs="Times New Roman"/>
          <w:szCs w:val="24"/>
        </w:rPr>
        <w:t xml:space="preserve">Secretary of State classifies SPIC as </w:t>
      </w:r>
      <w:r w:rsidRPr="00765BCE">
        <w:rPr>
          <w:rFonts w:cs="Times New Roman"/>
          <w:szCs w:val="24"/>
        </w:rPr>
        <w:t>a “domestic profit corporation”</w:t>
      </w:r>
      <w:r w:rsidR="002D559E">
        <w:rPr>
          <w:rFonts w:cs="Times New Roman"/>
          <w:szCs w:val="24"/>
        </w:rPr>
        <w:t>.</w:t>
      </w:r>
      <w:r w:rsidRPr="00765BCE">
        <w:rPr>
          <w:rStyle w:val="FootnoteReference"/>
          <w:rFonts w:cs="Times New Roman"/>
          <w:szCs w:val="24"/>
        </w:rPr>
        <w:footnoteReference w:id="15"/>
      </w:r>
      <w:r w:rsidRPr="00765BCE">
        <w:rPr>
          <w:rFonts w:cs="Times New Roman"/>
          <w:szCs w:val="24"/>
        </w:rPr>
        <w:t xml:space="preserve">  </w:t>
      </w:r>
    </w:p>
    <w:p w:rsidR="00765BCE" w:rsidRDefault="00765BCE" w:rsidP="00765BCE">
      <w:pPr>
        <w:pStyle w:val="ListParagraph"/>
        <w:numPr>
          <w:ilvl w:val="0"/>
          <w:numId w:val="6"/>
        </w:numPr>
        <w:spacing w:line="480" w:lineRule="auto"/>
        <w:ind w:left="0" w:hanging="720"/>
        <w:rPr>
          <w:rFonts w:cs="Times New Roman"/>
          <w:szCs w:val="24"/>
        </w:rPr>
      </w:pPr>
      <w:r>
        <w:rPr>
          <w:rFonts w:cs="Times New Roman"/>
          <w:szCs w:val="24"/>
        </w:rPr>
        <w:tab/>
      </w:r>
      <w:r w:rsidRPr="00765BCE">
        <w:rPr>
          <w:rFonts w:cs="Times New Roman"/>
          <w:szCs w:val="24"/>
        </w:rPr>
        <w:t xml:space="preserve">SPIC has issued </w:t>
      </w:r>
      <w:r w:rsidR="00665124">
        <w:rPr>
          <w:rFonts w:cs="Times New Roman"/>
          <w:szCs w:val="24"/>
        </w:rPr>
        <w:t xml:space="preserve">shares of stock in </w:t>
      </w:r>
      <w:r w:rsidRPr="00765BCE">
        <w:rPr>
          <w:rFonts w:cs="Times New Roman"/>
          <w:szCs w:val="24"/>
        </w:rPr>
        <w:t>two classes:  Class A and Class C.</w:t>
      </w:r>
      <w:r w:rsidRPr="00765BCE">
        <w:rPr>
          <w:rStyle w:val="FootnoteReference"/>
          <w:rFonts w:cs="Times New Roman"/>
          <w:szCs w:val="24"/>
        </w:rPr>
        <w:footnoteReference w:id="16"/>
      </w:r>
      <w:r w:rsidRPr="00765BCE">
        <w:rPr>
          <w:rFonts w:cs="Times New Roman"/>
          <w:szCs w:val="24"/>
        </w:rPr>
        <w:t xml:space="preserve">  Each Class A and </w:t>
      </w:r>
      <w:r w:rsidR="00120267">
        <w:rPr>
          <w:rFonts w:cs="Times New Roman"/>
          <w:szCs w:val="24"/>
        </w:rPr>
        <w:t xml:space="preserve">Class </w:t>
      </w:r>
      <w:r w:rsidRPr="00765BCE">
        <w:rPr>
          <w:rFonts w:cs="Times New Roman"/>
          <w:szCs w:val="24"/>
        </w:rPr>
        <w:t>C share is appurtenant to the real property in the Sandy Point area that is owned by the shareholder</w:t>
      </w:r>
      <w:r w:rsidR="0088460C">
        <w:rPr>
          <w:rFonts w:cs="Times New Roman"/>
          <w:szCs w:val="24"/>
        </w:rPr>
        <w:t>.  Each</w:t>
      </w:r>
      <w:r w:rsidRPr="00765BCE">
        <w:rPr>
          <w:rFonts w:cs="Times New Roman"/>
          <w:szCs w:val="24"/>
        </w:rPr>
        <w:t xml:space="preserve"> Class A and C shareholder </w:t>
      </w:r>
      <w:r w:rsidR="00985D25">
        <w:rPr>
          <w:rFonts w:cs="Times New Roman"/>
          <w:szCs w:val="24"/>
        </w:rPr>
        <w:t xml:space="preserve">gives the shareholder the </w:t>
      </w:r>
      <w:r w:rsidRPr="00765BCE">
        <w:rPr>
          <w:rFonts w:cs="Times New Roman"/>
          <w:szCs w:val="24"/>
        </w:rPr>
        <w:t>right to water service from SPIC</w:t>
      </w:r>
      <w:r w:rsidR="0088460C">
        <w:rPr>
          <w:rFonts w:cs="Times New Roman"/>
          <w:szCs w:val="24"/>
        </w:rPr>
        <w:t>,</w:t>
      </w:r>
      <w:r w:rsidRPr="00765BCE">
        <w:rPr>
          <w:rFonts w:cs="Times New Roman"/>
          <w:szCs w:val="24"/>
        </w:rPr>
        <w:t xml:space="preserve"> and the Class A and C shares can be transferred </w:t>
      </w:r>
      <w:r w:rsidR="00BC669F">
        <w:rPr>
          <w:rFonts w:cs="Times New Roman"/>
          <w:szCs w:val="24"/>
        </w:rPr>
        <w:t xml:space="preserve">only by </w:t>
      </w:r>
      <w:r w:rsidR="002D559E">
        <w:rPr>
          <w:rFonts w:cs="Times New Roman"/>
          <w:szCs w:val="24"/>
        </w:rPr>
        <w:t xml:space="preserve">selling </w:t>
      </w:r>
      <w:r w:rsidRPr="00765BCE">
        <w:rPr>
          <w:rFonts w:cs="Times New Roman"/>
          <w:szCs w:val="24"/>
        </w:rPr>
        <w:t>th</w:t>
      </w:r>
      <w:r w:rsidR="00985D25">
        <w:rPr>
          <w:rFonts w:cs="Times New Roman"/>
          <w:szCs w:val="24"/>
        </w:rPr>
        <w:t>e</w:t>
      </w:r>
      <w:r w:rsidRPr="00765BCE">
        <w:rPr>
          <w:rFonts w:cs="Times New Roman"/>
          <w:szCs w:val="24"/>
        </w:rPr>
        <w:t xml:space="preserve"> real property</w:t>
      </w:r>
      <w:r w:rsidR="00985D25">
        <w:rPr>
          <w:rFonts w:cs="Times New Roman"/>
          <w:szCs w:val="24"/>
        </w:rPr>
        <w:t xml:space="preserve"> to which the share is appurtenant</w:t>
      </w:r>
      <w:r w:rsidRPr="00765BCE">
        <w:rPr>
          <w:rFonts w:cs="Times New Roman"/>
          <w:szCs w:val="24"/>
        </w:rPr>
        <w:t>.</w:t>
      </w:r>
      <w:r w:rsidRPr="00765BCE">
        <w:rPr>
          <w:rStyle w:val="FootnoteReference"/>
          <w:rFonts w:cs="Times New Roman"/>
          <w:szCs w:val="24"/>
        </w:rPr>
        <w:footnoteReference w:id="17"/>
      </w:r>
    </w:p>
    <w:p w:rsidR="00BC669F" w:rsidRDefault="00765BCE" w:rsidP="00BE5A46">
      <w:pPr>
        <w:pStyle w:val="ListParagraph"/>
        <w:numPr>
          <w:ilvl w:val="0"/>
          <w:numId w:val="6"/>
        </w:numPr>
        <w:spacing w:line="480" w:lineRule="auto"/>
        <w:ind w:left="0" w:hanging="720"/>
        <w:rPr>
          <w:rFonts w:cs="Times New Roman"/>
          <w:szCs w:val="24"/>
        </w:rPr>
      </w:pPr>
      <w:r>
        <w:rPr>
          <w:rFonts w:cs="Times New Roman"/>
          <w:szCs w:val="24"/>
        </w:rPr>
        <w:tab/>
      </w:r>
      <w:r w:rsidR="00BC669F">
        <w:rPr>
          <w:rFonts w:cs="Times New Roman"/>
          <w:szCs w:val="24"/>
        </w:rPr>
        <w:t xml:space="preserve">Class C shares represent </w:t>
      </w:r>
      <w:r w:rsidR="00BE5A46">
        <w:rPr>
          <w:rFonts w:cs="Times New Roman"/>
          <w:szCs w:val="24"/>
        </w:rPr>
        <w:t xml:space="preserve">a </w:t>
      </w:r>
      <w:r w:rsidR="00BC669F">
        <w:rPr>
          <w:rFonts w:cs="Times New Roman"/>
          <w:szCs w:val="24"/>
        </w:rPr>
        <w:t>limited interest.  As the Company’s then</w:t>
      </w:r>
      <w:r w:rsidR="00120267">
        <w:rPr>
          <w:rFonts w:cs="Times New Roman"/>
          <w:szCs w:val="24"/>
        </w:rPr>
        <w:t>-</w:t>
      </w:r>
      <w:r w:rsidR="00BC669F">
        <w:rPr>
          <w:rFonts w:cs="Times New Roman"/>
          <w:szCs w:val="24"/>
        </w:rPr>
        <w:t>President and Board Chairman succinctly put</w:t>
      </w:r>
      <w:r w:rsidR="00354D7F">
        <w:rPr>
          <w:rFonts w:cs="Times New Roman"/>
          <w:szCs w:val="24"/>
        </w:rPr>
        <w:t xml:space="preserve"> it</w:t>
      </w:r>
      <w:r w:rsidR="00BC669F">
        <w:rPr>
          <w:rFonts w:cs="Times New Roman"/>
          <w:szCs w:val="24"/>
        </w:rPr>
        <w:t xml:space="preserve">: </w:t>
      </w:r>
      <w:r w:rsidR="001471FF">
        <w:rPr>
          <w:rFonts w:cs="Times New Roman"/>
          <w:szCs w:val="24"/>
        </w:rPr>
        <w:t xml:space="preserve"> </w:t>
      </w:r>
      <w:r w:rsidR="00BC669F" w:rsidRPr="00EC1E96">
        <w:rPr>
          <w:rFonts w:cs="Times New Roman"/>
          <w:szCs w:val="24"/>
        </w:rPr>
        <w:t>“</w:t>
      </w:r>
      <w:r w:rsidR="00BC669F">
        <w:rPr>
          <w:rFonts w:cs="Times New Roman"/>
          <w:szCs w:val="24"/>
        </w:rPr>
        <w:t>T</w:t>
      </w:r>
      <w:r w:rsidR="00BC669F" w:rsidRPr="00EC1E96">
        <w:rPr>
          <w:rFonts w:cs="Times New Roman"/>
          <w:szCs w:val="24"/>
        </w:rPr>
        <w:t xml:space="preserve">he Class C shareholder has no ownership interest in </w:t>
      </w:r>
      <w:r w:rsidR="00BC669F" w:rsidRPr="00EC1E96">
        <w:rPr>
          <w:rFonts w:cs="Times New Roman"/>
          <w:szCs w:val="24"/>
        </w:rPr>
        <w:lastRenderedPageBreak/>
        <w:t>SPIC or its assets …</w:t>
      </w:r>
      <w:r w:rsidR="00BC669F">
        <w:rPr>
          <w:rFonts w:cs="Times New Roman"/>
          <w:szCs w:val="24"/>
        </w:rPr>
        <w:t>.</w:t>
      </w:r>
      <w:r w:rsidR="00BC669F" w:rsidRPr="00EC1E96">
        <w:rPr>
          <w:rFonts w:cs="Times New Roman"/>
          <w:szCs w:val="24"/>
        </w:rPr>
        <w:t>”</w:t>
      </w:r>
      <w:r w:rsidR="00BC669F">
        <w:rPr>
          <w:rStyle w:val="FootnoteReference"/>
          <w:rFonts w:cs="Times New Roman"/>
          <w:szCs w:val="24"/>
        </w:rPr>
        <w:footnoteReference w:id="18"/>
      </w:r>
      <w:r w:rsidR="00BC669F">
        <w:rPr>
          <w:rFonts w:cs="Times New Roman"/>
          <w:szCs w:val="24"/>
        </w:rPr>
        <w:t xml:space="preserve">  A</w:t>
      </w:r>
      <w:r w:rsidR="00BC669F" w:rsidRPr="00765BCE">
        <w:rPr>
          <w:rFonts w:cs="Times New Roman"/>
          <w:szCs w:val="24"/>
        </w:rPr>
        <w:t xml:space="preserve">ccording to the </w:t>
      </w:r>
      <w:r w:rsidR="00BC669F">
        <w:rPr>
          <w:rFonts w:cs="Times New Roman"/>
          <w:szCs w:val="24"/>
        </w:rPr>
        <w:t xml:space="preserve">Company’s </w:t>
      </w:r>
      <w:r w:rsidR="00BC669F" w:rsidRPr="00765BCE">
        <w:rPr>
          <w:rFonts w:cs="Times New Roman"/>
          <w:szCs w:val="24"/>
        </w:rPr>
        <w:t>Articles of Incorporation, a Class C share “shall solely represent the right of the holder thereof to have water service provided by the corporation to real property owned by the shareholder in the vicinity of Sandy Point to which property such share shall be appurtenant …”</w:t>
      </w:r>
      <w:r w:rsidR="00BC669F" w:rsidRPr="00765BCE">
        <w:rPr>
          <w:rStyle w:val="FootnoteReference"/>
          <w:rFonts w:cs="Times New Roman"/>
          <w:szCs w:val="24"/>
        </w:rPr>
        <w:footnoteReference w:id="19"/>
      </w:r>
      <w:r w:rsidR="00BC669F" w:rsidRPr="00765BCE">
        <w:rPr>
          <w:rFonts w:cs="Times New Roman"/>
          <w:szCs w:val="24"/>
        </w:rPr>
        <w:t xml:space="preserve">  </w:t>
      </w:r>
      <w:r w:rsidR="00BC669F">
        <w:rPr>
          <w:rFonts w:cs="Times New Roman"/>
          <w:szCs w:val="24"/>
        </w:rPr>
        <w:t xml:space="preserve">Moreover, </w:t>
      </w:r>
      <w:r w:rsidR="00BC669F" w:rsidRPr="00765BCE">
        <w:rPr>
          <w:rFonts w:cs="Times New Roman"/>
          <w:szCs w:val="24"/>
        </w:rPr>
        <w:t>Class C shareholders</w:t>
      </w:r>
      <w:r w:rsidR="00BC669F">
        <w:rPr>
          <w:rFonts w:cs="Times New Roman"/>
          <w:szCs w:val="24"/>
        </w:rPr>
        <w:t>:</w:t>
      </w:r>
    </w:p>
    <w:p w:rsidR="00BC669F" w:rsidRDefault="00084C06" w:rsidP="00BE5A46">
      <w:pPr>
        <w:pStyle w:val="ListParagraph"/>
        <w:rPr>
          <w:rFonts w:cs="Times New Roman"/>
          <w:szCs w:val="24"/>
        </w:rPr>
      </w:pPr>
      <w:r>
        <w:rPr>
          <w:rFonts w:cs="Times New Roman"/>
          <w:szCs w:val="24"/>
        </w:rPr>
        <w:t>M</w:t>
      </w:r>
      <w:r w:rsidR="00BC669F" w:rsidRPr="00765BCE">
        <w:rPr>
          <w:rFonts w:cs="Times New Roman"/>
          <w:szCs w:val="24"/>
        </w:rPr>
        <w:t>ay only vote for the election of the Board of Directors and on water service matters that are presented by the Board of Directors for a vote of the shareholders at any annual or special meeting called for that purpose.  The holders of Class C stock shall have no vote on other matte</w:t>
      </w:r>
      <w:r w:rsidR="00940FCF">
        <w:rPr>
          <w:rFonts w:cs="Times New Roman"/>
          <w:szCs w:val="24"/>
        </w:rPr>
        <w:t>r</w:t>
      </w:r>
      <w:r w:rsidR="00BC669F" w:rsidRPr="00765BCE">
        <w:rPr>
          <w:rFonts w:cs="Times New Roman"/>
          <w:szCs w:val="24"/>
        </w:rPr>
        <w:t>s presented at any meeting of the shareholders and shall not participate in any dividend of the corporation or in any distribution on liquidation of the corporation.</w:t>
      </w:r>
      <w:r w:rsidR="00BC669F" w:rsidRPr="00765BCE">
        <w:rPr>
          <w:rStyle w:val="FootnoteReference"/>
          <w:rFonts w:cs="Times New Roman"/>
          <w:szCs w:val="24"/>
        </w:rPr>
        <w:footnoteReference w:id="20"/>
      </w:r>
    </w:p>
    <w:p w:rsidR="00BE5A46" w:rsidRDefault="00BE5A46" w:rsidP="00BE5A46">
      <w:pPr>
        <w:pStyle w:val="ListParagraph"/>
        <w:ind w:left="0"/>
        <w:rPr>
          <w:rFonts w:cs="Times New Roman"/>
          <w:szCs w:val="24"/>
        </w:rPr>
      </w:pPr>
    </w:p>
    <w:p w:rsidR="00B03109" w:rsidRDefault="00BC669F" w:rsidP="00BE5A46">
      <w:pPr>
        <w:pStyle w:val="ListParagraph"/>
        <w:numPr>
          <w:ilvl w:val="0"/>
          <w:numId w:val="6"/>
        </w:numPr>
        <w:spacing w:line="480" w:lineRule="auto"/>
        <w:ind w:left="0" w:hanging="720"/>
        <w:rPr>
          <w:rFonts w:cs="Times New Roman"/>
          <w:szCs w:val="24"/>
        </w:rPr>
      </w:pPr>
      <w:r>
        <w:rPr>
          <w:rFonts w:cs="Times New Roman"/>
          <w:szCs w:val="24"/>
        </w:rPr>
        <w:tab/>
        <w:t>By contrast, t</w:t>
      </w:r>
      <w:r w:rsidR="00B03109" w:rsidRPr="00765BCE">
        <w:rPr>
          <w:rFonts w:cs="Times New Roman"/>
          <w:szCs w:val="24"/>
        </w:rPr>
        <w:t>he</w:t>
      </w:r>
      <w:r>
        <w:rPr>
          <w:rFonts w:cs="Times New Roman"/>
          <w:szCs w:val="24"/>
        </w:rPr>
        <w:t xml:space="preserve"> Company’s Articles of Incorporation place no </w:t>
      </w:r>
      <w:r w:rsidR="00B03109" w:rsidRPr="00765BCE">
        <w:rPr>
          <w:rFonts w:cs="Times New Roman"/>
          <w:szCs w:val="24"/>
        </w:rPr>
        <w:t>restrictions on</w:t>
      </w:r>
      <w:r w:rsidR="00B03109">
        <w:rPr>
          <w:rFonts w:cs="Times New Roman"/>
          <w:szCs w:val="24"/>
        </w:rPr>
        <w:t xml:space="preserve"> the interest </w:t>
      </w:r>
      <w:r w:rsidR="002D559E">
        <w:rPr>
          <w:rFonts w:cs="Times New Roman"/>
          <w:szCs w:val="24"/>
        </w:rPr>
        <w:t xml:space="preserve">represented by </w:t>
      </w:r>
      <w:r w:rsidR="00B03109">
        <w:rPr>
          <w:rFonts w:cs="Times New Roman"/>
          <w:szCs w:val="24"/>
        </w:rPr>
        <w:t>Class A shar</w:t>
      </w:r>
      <w:r w:rsidR="002D559E">
        <w:rPr>
          <w:rFonts w:cs="Times New Roman"/>
          <w:szCs w:val="24"/>
        </w:rPr>
        <w:t>es</w:t>
      </w:r>
      <w:r w:rsidR="00842EB3">
        <w:rPr>
          <w:rFonts w:cs="Times New Roman"/>
          <w:szCs w:val="24"/>
        </w:rPr>
        <w:t>.</w:t>
      </w:r>
      <w:r w:rsidR="00B03109" w:rsidRPr="00765BCE">
        <w:rPr>
          <w:rFonts w:cs="Times New Roman"/>
          <w:szCs w:val="24"/>
        </w:rPr>
        <w:t xml:space="preserve"> </w:t>
      </w:r>
      <w:r w:rsidR="00842EB3">
        <w:rPr>
          <w:rFonts w:cs="Times New Roman"/>
          <w:szCs w:val="24"/>
        </w:rPr>
        <w:t xml:space="preserve"> </w:t>
      </w:r>
      <w:r w:rsidR="00B03109" w:rsidRPr="00765BCE">
        <w:rPr>
          <w:rFonts w:cs="Times New Roman"/>
          <w:szCs w:val="24"/>
        </w:rPr>
        <w:t xml:space="preserve">Class A shareholders </w:t>
      </w:r>
      <w:r w:rsidR="00222BD3">
        <w:rPr>
          <w:rFonts w:cs="Times New Roman"/>
          <w:szCs w:val="24"/>
        </w:rPr>
        <w:t>have the right to vote on “any matter presented to the shareholders”,</w:t>
      </w:r>
      <w:r w:rsidR="00222BD3">
        <w:rPr>
          <w:rStyle w:val="FootnoteReference"/>
          <w:rFonts w:cs="Times New Roman"/>
          <w:szCs w:val="24"/>
        </w:rPr>
        <w:footnoteReference w:id="21"/>
      </w:r>
      <w:r w:rsidR="00222BD3">
        <w:rPr>
          <w:rFonts w:cs="Times New Roman"/>
          <w:szCs w:val="24"/>
        </w:rPr>
        <w:t xml:space="preserve"> and they </w:t>
      </w:r>
      <w:r>
        <w:rPr>
          <w:rFonts w:cs="Times New Roman"/>
          <w:szCs w:val="24"/>
        </w:rPr>
        <w:t xml:space="preserve">also </w:t>
      </w:r>
      <w:r w:rsidR="00B03109" w:rsidRPr="00765BCE">
        <w:rPr>
          <w:rFonts w:cs="Times New Roman"/>
          <w:szCs w:val="24"/>
        </w:rPr>
        <w:t>have the right to use various amenities owned</w:t>
      </w:r>
      <w:r w:rsidR="00120267">
        <w:rPr>
          <w:rFonts w:cs="Times New Roman"/>
          <w:szCs w:val="24"/>
        </w:rPr>
        <w:t xml:space="preserve">, operated and managed </w:t>
      </w:r>
      <w:r w:rsidR="00B03109" w:rsidRPr="00765BCE">
        <w:rPr>
          <w:rFonts w:cs="Times New Roman"/>
          <w:szCs w:val="24"/>
        </w:rPr>
        <w:t>by the Company, including a club house, pool, golf course</w:t>
      </w:r>
      <w:r w:rsidR="00940FCF">
        <w:rPr>
          <w:rFonts w:cs="Times New Roman"/>
          <w:szCs w:val="24"/>
        </w:rPr>
        <w:t>,</w:t>
      </w:r>
      <w:r w:rsidR="00B03109" w:rsidRPr="00765BCE">
        <w:rPr>
          <w:rFonts w:cs="Times New Roman"/>
          <w:szCs w:val="24"/>
        </w:rPr>
        <w:t xml:space="preserve"> and marina.</w:t>
      </w:r>
      <w:r w:rsidR="00B03109" w:rsidRPr="00765BCE">
        <w:rPr>
          <w:rStyle w:val="FootnoteReference"/>
          <w:rFonts w:cs="Times New Roman"/>
          <w:szCs w:val="24"/>
        </w:rPr>
        <w:footnoteReference w:id="22"/>
      </w:r>
      <w:r w:rsidR="00B03109" w:rsidRPr="00765BCE">
        <w:rPr>
          <w:rFonts w:cs="Times New Roman"/>
          <w:szCs w:val="24"/>
        </w:rPr>
        <w:t xml:space="preserve">  </w:t>
      </w:r>
      <w:r w:rsidR="00B03109">
        <w:rPr>
          <w:rFonts w:cs="Times New Roman"/>
          <w:szCs w:val="24"/>
        </w:rPr>
        <w:t xml:space="preserve">For these amenities, </w:t>
      </w:r>
      <w:r w:rsidR="00B03109" w:rsidRPr="00765BCE">
        <w:rPr>
          <w:rFonts w:cs="Times New Roman"/>
          <w:szCs w:val="24"/>
        </w:rPr>
        <w:t xml:space="preserve">Class A shareholders pay </w:t>
      </w:r>
      <w:r w:rsidR="00925B83">
        <w:rPr>
          <w:rFonts w:cs="Times New Roman"/>
          <w:szCs w:val="24"/>
        </w:rPr>
        <w:t xml:space="preserve">a one-time charge, as well as an annual assessment and various other </w:t>
      </w:r>
      <w:r w:rsidR="00B03109" w:rsidRPr="00765BCE">
        <w:rPr>
          <w:rFonts w:cs="Times New Roman"/>
          <w:szCs w:val="24"/>
        </w:rPr>
        <w:t>fee</w:t>
      </w:r>
      <w:r w:rsidR="00B03109">
        <w:rPr>
          <w:rFonts w:cs="Times New Roman"/>
          <w:szCs w:val="24"/>
        </w:rPr>
        <w:t>s</w:t>
      </w:r>
      <w:r w:rsidR="00925B83">
        <w:rPr>
          <w:rFonts w:cs="Times New Roman"/>
          <w:szCs w:val="24"/>
        </w:rPr>
        <w:t>, each of which is</w:t>
      </w:r>
      <w:r w:rsidR="00B03109" w:rsidRPr="00765BCE">
        <w:rPr>
          <w:rFonts w:cs="Times New Roman"/>
          <w:szCs w:val="24"/>
        </w:rPr>
        <w:t xml:space="preserve"> </w:t>
      </w:r>
      <w:r w:rsidR="00B03109">
        <w:rPr>
          <w:rFonts w:cs="Times New Roman"/>
          <w:szCs w:val="24"/>
        </w:rPr>
        <w:t>separate from water service-related charges</w:t>
      </w:r>
      <w:r w:rsidR="00B03109" w:rsidRPr="00765BCE">
        <w:rPr>
          <w:rFonts w:cs="Times New Roman"/>
          <w:szCs w:val="24"/>
        </w:rPr>
        <w:t>.</w:t>
      </w:r>
      <w:r w:rsidR="00B03109" w:rsidRPr="00765BCE">
        <w:rPr>
          <w:rStyle w:val="FootnoteReference"/>
          <w:rFonts w:cs="Times New Roman"/>
          <w:szCs w:val="24"/>
        </w:rPr>
        <w:footnoteReference w:id="23"/>
      </w:r>
    </w:p>
    <w:p w:rsidR="00765BCE" w:rsidRDefault="00765BCE" w:rsidP="00765BCE">
      <w:pPr>
        <w:pStyle w:val="ListParagraph"/>
        <w:numPr>
          <w:ilvl w:val="0"/>
          <w:numId w:val="6"/>
        </w:numPr>
        <w:spacing w:line="480" w:lineRule="auto"/>
        <w:ind w:left="0" w:hanging="720"/>
        <w:rPr>
          <w:rFonts w:cs="Times New Roman"/>
          <w:szCs w:val="24"/>
        </w:rPr>
      </w:pPr>
      <w:r>
        <w:rPr>
          <w:rFonts w:cs="Times New Roman"/>
          <w:szCs w:val="24"/>
        </w:rPr>
        <w:tab/>
      </w:r>
      <w:r w:rsidRPr="00765BCE">
        <w:rPr>
          <w:rFonts w:cs="Times New Roman"/>
          <w:i/>
          <w:szCs w:val="24"/>
        </w:rPr>
        <w:t>SPIC</w:t>
      </w:r>
      <w:r w:rsidR="00BE5A46">
        <w:rPr>
          <w:rFonts w:cs="Times New Roman"/>
          <w:i/>
          <w:szCs w:val="24"/>
        </w:rPr>
        <w:t>’s Service Commitment</w:t>
      </w:r>
      <w:r w:rsidRPr="00765BCE">
        <w:rPr>
          <w:rFonts w:cs="Times New Roman"/>
          <w:i/>
          <w:szCs w:val="24"/>
        </w:rPr>
        <w:t>.</w:t>
      </w:r>
      <w:r w:rsidRPr="00765BCE">
        <w:rPr>
          <w:rFonts w:cs="Times New Roman"/>
          <w:szCs w:val="24"/>
        </w:rPr>
        <w:t xml:space="preserve">  According to </w:t>
      </w:r>
      <w:r w:rsidR="00E35140">
        <w:rPr>
          <w:rFonts w:cs="Times New Roman"/>
          <w:szCs w:val="24"/>
        </w:rPr>
        <w:t xml:space="preserve">SPIC’s </w:t>
      </w:r>
      <w:r w:rsidRPr="00765BCE">
        <w:rPr>
          <w:rFonts w:cs="Times New Roman"/>
          <w:szCs w:val="24"/>
        </w:rPr>
        <w:t xml:space="preserve">Water System Plan </w:t>
      </w:r>
      <w:r w:rsidR="00B82240">
        <w:rPr>
          <w:rFonts w:cs="Times New Roman"/>
          <w:szCs w:val="24"/>
        </w:rPr>
        <w:t xml:space="preserve">approved by </w:t>
      </w:r>
      <w:r w:rsidRPr="00765BCE">
        <w:rPr>
          <w:rFonts w:cs="Times New Roman"/>
          <w:szCs w:val="24"/>
        </w:rPr>
        <w:t>the state Department of Health</w:t>
      </w:r>
      <w:r w:rsidR="00AF5361">
        <w:rPr>
          <w:rFonts w:cs="Times New Roman"/>
          <w:szCs w:val="24"/>
        </w:rPr>
        <w:t xml:space="preserve"> (WSDOH)</w:t>
      </w:r>
      <w:r w:rsidRPr="00765BCE">
        <w:rPr>
          <w:rFonts w:cs="Times New Roman"/>
          <w:szCs w:val="24"/>
        </w:rPr>
        <w:t xml:space="preserve">, </w:t>
      </w:r>
      <w:r w:rsidR="00E35140">
        <w:rPr>
          <w:rFonts w:cs="Times New Roman"/>
          <w:szCs w:val="24"/>
        </w:rPr>
        <w:t>the Company will</w:t>
      </w:r>
      <w:r w:rsidRPr="00765BCE">
        <w:rPr>
          <w:rFonts w:cs="Times New Roman"/>
          <w:szCs w:val="24"/>
        </w:rPr>
        <w:t xml:space="preserve"> provide water service to any</w:t>
      </w:r>
      <w:r w:rsidR="00BE5A46">
        <w:rPr>
          <w:rFonts w:cs="Times New Roman"/>
          <w:szCs w:val="24"/>
        </w:rPr>
        <w:t xml:space="preserve"> person</w:t>
      </w:r>
      <w:r w:rsidRPr="00765BCE">
        <w:rPr>
          <w:rFonts w:cs="Times New Roman"/>
          <w:szCs w:val="24"/>
        </w:rPr>
        <w:t xml:space="preserve"> in its service area if:</w:t>
      </w:r>
    </w:p>
    <w:p w:rsidR="00765BCE" w:rsidRPr="00765BCE" w:rsidRDefault="00765BCE" w:rsidP="00765BCE">
      <w:pPr>
        <w:ind w:left="720"/>
        <w:rPr>
          <w:rFonts w:cs="Times New Roman"/>
          <w:szCs w:val="24"/>
        </w:rPr>
      </w:pPr>
      <w:r w:rsidRPr="00765BCE">
        <w:rPr>
          <w:rFonts w:cs="Times New Roman"/>
          <w:szCs w:val="24"/>
        </w:rPr>
        <w:t>(a)</w:t>
      </w:r>
      <w:r w:rsidRPr="00765BCE">
        <w:rPr>
          <w:rFonts w:cs="Times New Roman"/>
          <w:szCs w:val="24"/>
        </w:rPr>
        <w:tab/>
      </w:r>
      <w:r w:rsidR="00EA0B19">
        <w:rPr>
          <w:rFonts w:cs="Times New Roman"/>
          <w:szCs w:val="24"/>
        </w:rPr>
        <w:t>[Water]</w:t>
      </w:r>
      <w:r w:rsidRPr="00765BCE">
        <w:rPr>
          <w:rFonts w:cs="Times New Roman"/>
          <w:szCs w:val="24"/>
        </w:rPr>
        <w:t xml:space="preserve"> can be available in a timely and reasonable manner;</w:t>
      </w:r>
    </w:p>
    <w:p w:rsidR="00765BCE" w:rsidRPr="00765BCE" w:rsidRDefault="00765BCE" w:rsidP="00765BCE">
      <w:pPr>
        <w:ind w:left="720"/>
        <w:rPr>
          <w:rFonts w:cs="Times New Roman"/>
          <w:szCs w:val="24"/>
        </w:rPr>
      </w:pPr>
      <w:r w:rsidRPr="00765BCE">
        <w:rPr>
          <w:rFonts w:cs="Times New Roman"/>
          <w:szCs w:val="24"/>
        </w:rPr>
        <w:t>(b)</w:t>
      </w:r>
      <w:r w:rsidRPr="00765BCE">
        <w:rPr>
          <w:rFonts w:cs="Times New Roman"/>
          <w:szCs w:val="24"/>
        </w:rPr>
        <w:tab/>
        <w:t>There are sufficient water rights to provide water service;</w:t>
      </w:r>
    </w:p>
    <w:p w:rsidR="00765BCE" w:rsidRPr="00765BCE" w:rsidRDefault="00765BCE" w:rsidP="00322F8E">
      <w:pPr>
        <w:ind w:left="1440" w:hanging="720"/>
        <w:rPr>
          <w:rFonts w:cs="Times New Roman"/>
          <w:szCs w:val="24"/>
        </w:rPr>
      </w:pPr>
      <w:r w:rsidRPr="00765BCE">
        <w:rPr>
          <w:rFonts w:cs="Times New Roman"/>
          <w:szCs w:val="24"/>
        </w:rPr>
        <w:lastRenderedPageBreak/>
        <w:t>(c)</w:t>
      </w:r>
      <w:r w:rsidRPr="00765BCE">
        <w:rPr>
          <w:rFonts w:cs="Times New Roman"/>
          <w:szCs w:val="24"/>
        </w:rPr>
        <w:tab/>
        <w:t>There is sufficient capacity to serve the water in</w:t>
      </w:r>
      <w:r w:rsidR="00322F8E">
        <w:rPr>
          <w:rFonts w:cs="Times New Roman"/>
          <w:szCs w:val="24"/>
        </w:rPr>
        <w:t xml:space="preserve"> a safe and reliable manner as </w:t>
      </w:r>
      <w:r w:rsidRPr="00765BCE">
        <w:rPr>
          <w:rFonts w:cs="Times New Roman"/>
          <w:szCs w:val="24"/>
        </w:rPr>
        <w:t>determined by WSDOH;</w:t>
      </w:r>
    </w:p>
    <w:p w:rsidR="00765BCE" w:rsidRPr="00765BCE" w:rsidRDefault="00765BCE" w:rsidP="00765BCE">
      <w:pPr>
        <w:ind w:left="720"/>
        <w:rPr>
          <w:rFonts w:cs="Times New Roman"/>
          <w:szCs w:val="24"/>
        </w:rPr>
      </w:pPr>
      <w:r w:rsidRPr="00765BCE">
        <w:rPr>
          <w:rFonts w:cs="Times New Roman"/>
          <w:szCs w:val="24"/>
        </w:rPr>
        <w:t>(d)</w:t>
      </w:r>
      <w:r w:rsidRPr="00765BCE">
        <w:rPr>
          <w:rFonts w:cs="Times New Roman"/>
          <w:szCs w:val="24"/>
        </w:rPr>
        <w:tab/>
        <w:t>It is consistent with the requirements of local plans and regulations.</w:t>
      </w:r>
      <w:r w:rsidRPr="00765BCE">
        <w:rPr>
          <w:rStyle w:val="FootnoteReference"/>
          <w:rFonts w:cs="Times New Roman"/>
          <w:szCs w:val="24"/>
        </w:rPr>
        <w:footnoteReference w:id="24"/>
      </w:r>
    </w:p>
    <w:p w:rsidR="00765BCE" w:rsidRPr="00765BCE" w:rsidRDefault="00765BCE" w:rsidP="00765BCE">
      <w:pPr>
        <w:ind w:left="720"/>
        <w:rPr>
          <w:rFonts w:cs="Times New Roman"/>
          <w:szCs w:val="24"/>
        </w:rPr>
      </w:pPr>
    </w:p>
    <w:p w:rsidR="006D5CA2" w:rsidRPr="006D5CA2" w:rsidRDefault="00765BCE" w:rsidP="00322F8E">
      <w:pPr>
        <w:pStyle w:val="ListParagraph"/>
        <w:numPr>
          <w:ilvl w:val="0"/>
          <w:numId w:val="6"/>
        </w:numPr>
        <w:spacing w:line="480" w:lineRule="auto"/>
        <w:ind w:left="0" w:hanging="720"/>
        <w:rPr>
          <w:rFonts w:cs="Times New Roman"/>
          <w:b/>
          <w:szCs w:val="24"/>
        </w:rPr>
      </w:pPr>
      <w:r w:rsidRPr="006D5CA2">
        <w:rPr>
          <w:rFonts w:cs="Times New Roman"/>
          <w:szCs w:val="24"/>
        </w:rPr>
        <w:tab/>
      </w:r>
      <w:r w:rsidR="00BE5A46">
        <w:rPr>
          <w:rFonts w:cs="Times New Roman"/>
          <w:szCs w:val="24"/>
        </w:rPr>
        <w:t>W</w:t>
      </w:r>
      <w:r w:rsidR="00985D25">
        <w:rPr>
          <w:rFonts w:cs="Times New Roman"/>
          <w:szCs w:val="24"/>
        </w:rPr>
        <w:t>hen</w:t>
      </w:r>
      <w:r w:rsidRPr="006D5CA2">
        <w:rPr>
          <w:rFonts w:cs="Times New Roman"/>
          <w:szCs w:val="24"/>
        </w:rPr>
        <w:t xml:space="preserve"> </w:t>
      </w:r>
      <w:r w:rsidR="00FA6B37" w:rsidRPr="006D5CA2">
        <w:rPr>
          <w:rFonts w:cs="Times New Roman"/>
          <w:szCs w:val="24"/>
        </w:rPr>
        <w:t xml:space="preserve">the Company </w:t>
      </w:r>
      <w:r w:rsidRPr="006D5CA2">
        <w:rPr>
          <w:rFonts w:cs="Times New Roman"/>
          <w:szCs w:val="24"/>
        </w:rPr>
        <w:t xml:space="preserve">has additional water service connections available, </w:t>
      </w:r>
      <w:r w:rsidR="00E35140">
        <w:rPr>
          <w:rFonts w:cs="Times New Roman"/>
          <w:szCs w:val="24"/>
        </w:rPr>
        <w:t xml:space="preserve">anyone with property in the Company’s service area may apply for </w:t>
      </w:r>
      <w:r w:rsidR="002D559E">
        <w:rPr>
          <w:rFonts w:cs="Times New Roman"/>
          <w:szCs w:val="24"/>
        </w:rPr>
        <w:t>service</w:t>
      </w:r>
      <w:r w:rsidR="00E35140">
        <w:rPr>
          <w:rFonts w:cs="Times New Roman"/>
          <w:szCs w:val="24"/>
        </w:rPr>
        <w:t xml:space="preserve">, and the Company </w:t>
      </w:r>
      <w:r w:rsidR="00BE5A46">
        <w:rPr>
          <w:rFonts w:cs="Times New Roman"/>
          <w:szCs w:val="24"/>
        </w:rPr>
        <w:t xml:space="preserve">uses a lottery to </w:t>
      </w:r>
      <w:r w:rsidR="00354D7F">
        <w:rPr>
          <w:rFonts w:cs="Times New Roman"/>
          <w:szCs w:val="24"/>
        </w:rPr>
        <w:t xml:space="preserve">randomly </w:t>
      </w:r>
      <w:r w:rsidR="00E35140">
        <w:rPr>
          <w:rFonts w:cs="Times New Roman"/>
          <w:szCs w:val="24"/>
        </w:rPr>
        <w:t xml:space="preserve">select </w:t>
      </w:r>
      <w:r w:rsidR="00354D7F">
        <w:rPr>
          <w:rFonts w:cs="Times New Roman"/>
          <w:szCs w:val="24"/>
        </w:rPr>
        <w:t xml:space="preserve">new </w:t>
      </w:r>
      <w:r w:rsidR="00BE5A46">
        <w:rPr>
          <w:rFonts w:cs="Times New Roman"/>
          <w:szCs w:val="24"/>
        </w:rPr>
        <w:t>customers</w:t>
      </w:r>
      <w:r w:rsidR="00E35140">
        <w:rPr>
          <w:rFonts w:cs="Times New Roman"/>
          <w:szCs w:val="24"/>
        </w:rPr>
        <w:t>.</w:t>
      </w:r>
      <w:r w:rsidRPr="00765BCE">
        <w:rPr>
          <w:rStyle w:val="FootnoteReference"/>
          <w:rFonts w:cs="Times New Roman"/>
          <w:szCs w:val="24"/>
        </w:rPr>
        <w:footnoteReference w:id="25"/>
      </w:r>
      <w:r w:rsidRPr="006D5CA2">
        <w:rPr>
          <w:rFonts w:cs="Times New Roman"/>
          <w:szCs w:val="24"/>
        </w:rPr>
        <w:t xml:space="preserve">  </w:t>
      </w:r>
      <w:r w:rsidR="0049613B">
        <w:rPr>
          <w:rFonts w:cs="Times New Roman"/>
          <w:szCs w:val="24"/>
        </w:rPr>
        <w:t>T</w:t>
      </w:r>
      <w:r w:rsidRPr="006D5CA2">
        <w:rPr>
          <w:rFonts w:cs="Times New Roman"/>
          <w:szCs w:val="24"/>
        </w:rPr>
        <w:t xml:space="preserve">he Company </w:t>
      </w:r>
      <w:r w:rsidR="00EA0B19" w:rsidRPr="006D5CA2">
        <w:rPr>
          <w:rFonts w:cs="Times New Roman"/>
          <w:szCs w:val="24"/>
        </w:rPr>
        <w:t xml:space="preserve">initiated </w:t>
      </w:r>
      <w:r w:rsidR="00954E75">
        <w:rPr>
          <w:rFonts w:cs="Times New Roman"/>
          <w:szCs w:val="24"/>
        </w:rPr>
        <w:t xml:space="preserve">the last lottery </w:t>
      </w:r>
      <w:r w:rsidR="00EA0B19" w:rsidRPr="006D5CA2">
        <w:rPr>
          <w:rFonts w:cs="Times New Roman"/>
          <w:szCs w:val="24"/>
        </w:rPr>
        <w:t xml:space="preserve">in 2006, </w:t>
      </w:r>
      <w:r w:rsidRPr="006D5CA2">
        <w:rPr>
          <w:rFonts w:cs="Times New Roman"/>
          <w:szCs w:val="24"/>
        </w:rPr>
        <w:t xml:space="preserve">after the </w:t>
      </w:r>
      <w:r w:rsidR="00AF5361">
        <w:rPr>
          <w:rFonts w:cs="Times New Roman"/>
          <w:szCs w:val="24"/>
        </w:rPr>
        <w:t>WSDOH</w:t>
      </w:r>
      <w:r w:rsidRPr="006D5CA2">
        <w:rPr>
          <w:rFonts w:cs="Times New Roman"/>
          <w:szCs w:val="24"/>
        </w:rPr>
        <w:t xml:space="preserve"> approved additional water service connections</w:t>
      </w:r>
      <w:r w:rsidR="00EA0B19" w:rsidRPr="006D5CA2">
        <w:rPr>
          <w:rFonts w:cs="Times New Roman"/>
          <w:szCs w:val="24"/>
        </w:rPr>
        <w:t xml:space="preserve"> for the Company</w:t>
      </w:r>
      <w:r w:rsidRPr="006D5CA2">
        <w:rPr>
          <w:rFonts w:cs="Times New Roman"/>
          <w:szCs w:val="24"/>
        </w:rPr>
        <w:t>.</w:t>
      </w:r>
      <w:r w:rsidRPr="00765BCE">
        <w:rPr>
          <w:rStyle w:val="FootnoteReference"/>
          <w:rFonts w:cs="Times New Roman"/>
          <w:szCs w:val="24"/>
        </w:rPr>
        <w:footnoteReference w:id="26"/>
      </w:r>
      <w:r w:rsidR="00EA0B19" w:rsidRPr="006D5CA2">
        <w:rPr>
          <w:rFonts w:cs="Times New Roman"/>
          <w:szCs w:val="24"/>
        </w:rPr>
        <w:t xml:space="preserve">  </w:t>
      </w:r>
      <w:r w:rsidR="00496E94">
        <w:rPr>
          <w:rFonts w:cs="Times New Roman"/>
          <w:szCs w:val="24"/>
        </w:rPr>
        <w:t>In th</w:t>
      </w:r>
      <w:r w:rsidR="00B42B74">
        <w:rPr>
          <w:rFonts w:cs="Times New Roman"/>
          <w:szCs w:val="24"/>
        </w:rPr>
        <w:t>at</w:t>
      </w:r>
      <w:r w:rsidR="00496E94">
        <w:rPr>
          <w:rFonts w:cs="Times New Roman"/>
          <w:szCs w:val="24"/>
        </w:rPr>
        <w:t xml:space="preserve"> lottery, </w:t>
      </w:r>
      <w:r w:rsidRPr="006D5CA2">
        <w:rPr>
          <w:rFonts w:cs="Times New Roman"/>
          <w:szCs w:val="24"/>
        </w:rPr>
        <w:t>“</w:t>
      </w:r>
      <w:r w:rsidR="00985D25">
        <w:rPr>
          <w:rFonts w:cs="Times New Roman"/>
          <w:szCs w:val="24"/>
        </w:rPr>
        <w:t>[b]</w:t>
      </w:r>
      <w:r w:rsidRPr="006D5CA2">
        <w:rPr>
          <w:rFonts w:cs="Times New Roman"/>
          <w:szCs w:val="24"/>
        </w:rPr>
        <w:t>oth SPIC shareholders and non-shareholders were eligible and followed the same [lottery] guidelines.”</w:t>
      </w:r>
      <w:r w:rsidRPr="00765BCE">
        <w:rPr>
          <w:rStyle w:val="FootnoteReference"/>
          <w:rFonts w:cs="Times New Roman"/>
          <w:szCs w:val="24"/>
        </w:rPr>
        <w:footnoteReference w:id="27"/>
      </w:r>
      <w:r w:rsidRPr="006D5CA2">
        <w:rPr>
          <w:rFonts w:cs="Times New Roman"/>
          <w:szCs w:val="24"/>
        </w:rPr>
        <w:t xml:space="preserve">  I</w:t>
      </w:r>
      <w:r w:rsidR="006D5CA2">
        <w:rPr>
          <w:rFonts w:cs="Times New Roman"/>
          <w:szCs w:val="24"/>
        </w:rPr>
        <w:t xml:space="preserve">n the end, SPIC </w:t>
      </w:r>
      <w:r w:rsidR="00E35140">
        <w:rPr>
          <w:rFonts w:cs="Times New Roman"/>
          <w:szCs w:val="24"/>
        </w:rPr>
        <w:t xml:space="preserve">had sufficient capacity to </w:t>
      </w:r>
      <w:r w:rsidR="006D5CA2">
        <w:rPr>
          <w:rFonts w:cs="Times New Roman"/>
          <w:szCs w:val="24"/>
        </w:rPr>
        <w:t xml:space="preserve">offer </w:t>
      </w:r>
      <w:r w:rsidR="00A20484">
        <w:rPr>
          <w:rFonts w:cs="Times New Roman"/>
          <w:szCs w:val="24"/>
        </w:rPr>
        <w:t xml:space="preserve">water service to </w:t>
      </w:r>
      <w:r w:rsidR="006D5CA2">
        <w:rPr>
          <w:rFonts w:cs="Times New Roman"/>
          <w:szCs w:val="24"/>
        </w:rPr>
        <w:t xml:space="preserve">all </w:t>
      </w:r>
      <w:r w:rsidR="00457824">
        <w:rPr>
          <w:rFonts w:cs="Times New Roman"/>
          <w:szCs w:val="24"/>
        </w:rPr>
        <w:t xml:space="preserve">remaining </w:t>
      </w:r>
      <w:r w:rsidR="00354D7F">
        <w:rPr>
          <w:rFonts w:cs="Times New Roman"/>
          <w:szCs w:val="24"/>
        </w:rPr>
        <w:t>entrants</w:t>
      </w:r>
      <w:r w:rsidRPr="006D5CA2">
        <w:rPr>
          <w:rFonts w:cs="Times New Roman"/>
          <w:szCs w:val="24"/>
        </w:rPr>
        <w:t>.</w:t>
      </w:r>
      <w:r w:rsidRPr="00765BCE">
        <w:rPr>
          <w:rStyle w:val="FootnoteReference"/>
          <w:rFonts w:cs="Times New Roman"/>
          <w:szCs w:val="24"/>
        </w:rPr>
        <w:footnoteReference w:id="28"/>
      </w:r>
    </w:p>
    <w:p w:rsidR="00EA0B19" w:rsidRPr="006D5CA2" w:rsidRDefault="00765BCE" w:rsidP="00322F8E">
      <w:pPr>
        <w:pStyle w:val="ListParagraph"/>
        <w:numPr>
          <w:ilvl w:val="0"/>
          <w:numId w:val="6"/>
        </w:numPr>
        <w:spacing w:line="480" w:lineRule="auto"/>
        <w:ind w:left="0" w:hanging="720"/>
        <w:rPr>
          <w:rFonts w:cs="Times New Roman"/>
          <w:b/>
          <w:szCs w:val="24"/>
        </w:rPr>
      </w:pPr>
      <w:r w:rsidRPr="006D5CA2">
        <w:rPr>
          <w:rFonts w:cs="Times New Roman"/>
          <w:szCs w:val="24"/>
        </w:rPr>
        <w:tab/>
      </w:r>
      <w:r w:rsidR="00925B83">
        <w:rPr>
          <w:rFonts w:cs="Times New Roman"/>
          <w:szCs w:val="24"/>
        </w:rPr>
        <w:t xml:space="preserve">The </w:t>
      </w:r>
      <w:r w:rsidR="00E35140">
        <w:rPr>
          <w:rFonts w:cs="Times New Roman"/>
          <w:szCs w:val="24"/>
        </w:rPr>
        <w:t>other way to become a SPIC customer is to</w:t>
      </w:r>
      <w:r w:rsidRPr="006D5CA2">
        <w:rPr>
          <w:rFonts w:cs="Times New Roman"/>
          <w:szCs w:val="24"/>
        </w:rPr>
        <w:t xml:space="preserve"> purchase</w:t>
      </w:r>
      <w:r w:rsidR="00E35140">
        <w:rPr>
          <w:rFonts w:cs="Times New Roman"/>
          <w:szCs w:val="24"/>
        </w:rPr>
        <w:t xml:space="preserve"> </w:t>
      </w:r>
      <w:r w:rsidR="00BE5A46">
        <w:rPr>
          <w:rFonts w:cs="Times New Roman"/>
          <w:szCs w:val="24"/>
        </w:rPr>
        <w:t xml:space="preserve">property </w:t>
      </w:r>
      <w:r w:rsidR="00E35140">
        <w:rPr>
          <w:rFonts w:cs="Times New Roman"/>
          <w:szCs w:val="24"/>
        </w:rPr>
        <w:t xml:space="preserve">owned by one of the Company’s </w:t>
      </w:r>
      <w:r w:rsidR="002D559E">
        <w:rPr>
          <w:rFonts w:cs="Times New Roman"/>
          <w:szCs w:val="24"/>
        </w:rPr>
        <w:t xml:space="preserve">existing </w:t>
      </w:r>
      <w:r w:rsidR="00E35140">
        <w:rPr>
          <w:rFonts w:cs="Times New Roman"/>
          <w:szCs w:val="24"/>
        </w:rPr>
        <w:t xml:space="preserve">water customers.  </w:t>
      </w:r>
      <w:r w:rsidR="00DA12FB">
        <w:rPr>
          <w:rFonts w:cs="Times New Roman"/>
          <w:szCs w:val="24"/>
        </w:rPr>
        <w:t xml:space="preserve">Like the lottery, </w:t>
      </w:r>
      <w:r w:rsidR="00E35140">
        <w:rPr>
          <w:rFonts w:cs="Times New Roman"/>
          <w:szCs w:val="24"/>
        </w:rPr>
        <w:t xml:space="preserve">SPIC does not select </w:t>
      </w:r>
      <w:r w:rsidR="00DA12FB">
        <w:rPr>
          <w:rFonts w:cs="Times New Roman"/>
          <w:szCs w:val="24"/>
        </w:rPr>
        <w:t xml:space="preserve">particular individuals </w:t>
      </w:r>
      <w:r w:rsidR="00E35140">
        <w:rPr>
          <w:rFonts w:cs="Times New Roman"/>
          <w:szCs w:val="24"/>
        </w:rPr>
        <w:t>who may obtain water serv</w:t>
      </w:r>
      <w:r w:rsidR="00FB46AE">
        <w:rPr>
          <w:rFonts w:cs="Times New Roman"/>
          <w:szCs w:val="24"/>
        </w:rPr>
        <w:t>ic</w:t>
      </w:r>
      <w:r w:rsidR="00E35140">
        <w:rPr>
          <w:rFonts w:cs="Times New Roman"/>
          <w:szCs w:val="24"/>
        </w:rPr>
        <w:t xml:space="preserve">e from the Company </w:t>
      </w:r>
      <w:r w:rsidR="00954E75">
        <w:rPr>
          <w:rFonts w:cs="Times New Roman"/>
          <w:szCs w:val="24"/>
        </w:rPr>
        <w:t xml:space="preserve">via property purchase:  SPIC </w:t>
      </w:r>
      <w:r w:rsidRPr="006D5CA2">
        <w:rPr>
          <w:rFonts w:cs="Times New Roman"/>
          <w:szCs w:val="24"/>
        </w:rPr>
        <w:t>“ha</w:t>
      </w:r>
      <w:r w:rsidR="006D5CA2">
        <w:rPr>
          <w:rFonts w:cs="Times New Roman"/>
          <w:szCs w:val="24"/>
        </w:rPr>
        <w:t xml:space="preserve">s no role in deciding who </w:t>
      </w:r>
      <w:r w:rsidRPr="006D5CA2">
        <w:rPr>
          <w:rFonts w:cs="Times New Roman"/>
          <w:szCs w:val="24"/>
        </w:rPr>
        <w:t>may purchase a home or lot located within the Company’s water service area.”</w:t>
      </w:r>
      <w:r w:rsidRPr="00765BCE">
        <w:rPr>
          <w:rStyle w:val="FootnoteReference"/>
          <w:rFonts w:cs="Times New Roman"/>
          <w:szCs w:val="24"/>
        </w:rPr>
        <w:footnoteReference w:id="29"/>
      </w:r>
      <w:r w:rsidRPr="006D5CA2">
        <w:rPr>
          <w:rFonts w:cs="Times New Roman"/>
          <w:szCs w:val="24"/>
        </w:rPr>
        <w:t xml:space="preserve"> </w:t>
      </w:r>
    </w:p>
    <w:p w:rsidR="00765BCE" w:rsidRPr="00EA0B19" w:rsidRDefault="00765BCE" w:rsidP="00EA0B19">
      <w:pPr>
        <w:pStyle w:val="ListParagraph"/>
        <w:keepNext/>
        <w:spacing w:line="480" w:lineRule="auto"/>
        <w:ind w:left="0"/>
        <w:jc w:val="center"/>
        <w:rPr>
          <w:rFonts w:cs="Times New Roman"/>
          <w:b/>
          <w:szCs w:val="24"/>
        </w:rPr>
      </w:pPr>
      <w:r w:rsidRPr="00EA0B19">
        <w:rPr>
          <w:rFonts w:cs="Times New Roman"/>
          <w:b/>
          <w:szCs w:val="24"/>
        </w:rPr>
        <w:t>III.</w:t>
      </w:r>
      <w:r w:rsidRPr="00EA0B19">
        <w:rPr>
          <w:rFonts w:cs="Times New Roman"/>
          <w:b/>
          <w:szCs w:val="24"/>
        </w:rPr>
        <w:tab/>
        <w:t>ARGUMENT</w:t>
      </w:r>
    </w:p>
    <w:p w:rsidR="00765BCE" w:rsidRDefault="00724B29" w:rsidP="00EA0B19">
      <w:pPr>
        <w:keepNext/>
        <w:spacing w:line="480" w:lineRule="auto"/>
        <w:rPr>
          <w:rFonts w:cs="Times New Roman"/>
          <w:szCs w:val="24"/>
        </w:rPr>
      </w:pPr>
      <w:r>
        <w:rPr>
          <w:rFonts w:cs="Times New Roman"/>
          <w:b/>
          <w:szCs w:val="24"/>
        </w:rPr>
        <w:t>A</w:t>
      </w:r>
      <w:r w:rsidR="00765BCE" w:rsidRPr="00765BCE">
        <w:rPr>
          <w:rFonts w:cs="Times New Roman"/>
          <w:b/>
          <w:szCs w:val="24"/>
        </w:rPr>
        <w:t>.</w:t>
      </w:r>
      <w:r w:rsidR="00765BCE" w:rsidRPr="00765BCE">
        <w:rPr>
          <w:rFonts w:cs="Times New Roman"/>
          <w:b/>
          <w:szCs w:val="24"/>
        </w:rPr>
        <w:tab/>
        <w:t>Framing the Issues</w:t>
      </w:r>
    </w:p>
    <w:p w:rsidR="00FA6B37" w:rsidRPr="00FA6B37" w:rsidRDefault="00765BCE" w:rsidP="00322F8E">
      <w:pPr>
        <w:pStyle w:val="ListParagraph"/>
        <w:numPr>
          <w:ilvl w:val="0"/>
          <w:numId w:val="6"/>
        </w:numPr>
        <w:spacing w:line="480" w:lineRule="auto"/>
        <w:ind w:left="0" w:hanging="720"/>
        <w:contextualSpacing w:val="0"/>
        <w:rPr>
          <w:rFonts w:cs="Times New Roman"/>
          <w:szCs w:val="24"/>
        </w:rPr>
      </w:pPr>
      <w:r w:rsidRPr="00FA6B37">
        <w:rPr>
          <w:rFonts w:cs="Times New Roman"/>
          <w:szCs w:val="24"/>
        </w:rPr>
        <w:tab/>
        <w:t xml:space="preserve">The UTC regulates water companies under RCW 80.28, with definitions supplied in RCW 80.04.  As pertinent here, </w:t>
      </w:r>
      <w:r w:rsidR="00EA0B19">
        <w:rPr>
          <w:rFonts w:cs="Times New Roman"/>
          <w:szCs w:val="24"/>
        </w:rPr>
        <w:t xml:space="preserve">the statute defines </w:t>
      </w:r>
      <w:r w:rsidRPr="00FA6B37">
        <w:rPr>
          <w:rFonts w:cs="Times New Roman"/>
          <w:szCs w:val="24"/>
        </w:rPr>
        <w:t xml:space="preserve">“water company” </w:t>
      </w:r>
      <w:r w:rsidR="00EA0B19">
        <w:rPr>
          <w:rFonts w:cs="Times New Roman"/>
          <w:szCs w:val="24"/>
        </w:rPr>
        <w:t>to include “</w:t>
      </w:r>
      <w:r w:rsidRPr="00FA6B37">
        <w:rPr>
          <w:rFonts w:cs="Times New Roman"/>
          <w:szCs w:val="24"/>
        </w:rPr>
        <w:t>every corporation … controlling, operating, or managing any water system for hire within this state.”  RCW 80.04.010(30)(a).</w:t>
      </w:r>
    </w:p>
    <w:p w:rsidR="00765BCE" w:rsidRDefault="00FA6B37" w:rsidP="00322F8E">
      <w:pPr>
        <w:pStyle w:val="ListParagraph"/>
        <w:numPr>
          <w:ilvl w:val="0"/>
          <w:numId w:val="6"/>
        </w:numPr>
        <w:spacing w:line="480" w:lineRule="auto"/>
        <w:ind w:left="0" w:hanging="720"/>
        <w:contextualSpacing w:val="0"/>
        <w:rPr>
          <w:rFonts w:cs="Times New Roman"/>
          <w:szCs w:val="24"/>
        </w:rPr>
      </w:pPr>
      <w:r>
        <w:rPr>
          <w:rFonts w:cs="Times New Roman"/>
          <w:szCs w:val="24"/>
        </w:rPr>
        <w:lastRenderedPageBreak/>
        <w:tab/>
      </w:r>
      <w:r w:rsidR="00765BCE" w:rsidRPr="00765BCE">
        <w:rPr>
          <w:rFonts w:cs="Times New Roman"/>
          <w:szCs w:val="24"/>
        </w:rPr>
        <w:t>There are two exemptions</w:t>
      </w:r>
      <w:r w:rsidR="00E35140">
        <w:rPr>
          <w:rFonts w:cs="Times New Roman"/>
          <w:szCs w:val="24"/>
        </w:rPr>
        <w:t xml:space="preserve"> or qualifications</w:t>
      </w:r>
      <w:r w:rsidR="00765BCE" w:rsidRPr="00765BCE">
        <w:rPr>
          <w:rFonts w:cs="Times New Roman"/>
          <w:szCs w:val="24"/>
        </w:rPr>
        <w:t xml:space="preserve">.  </w:t>
      </w:r>
      <w:r w:rsidR="00E35140">
        <w:rPr>
          <w:rFonts w:cs="Times New Roman"/>
          <w:szCs w:val="24"/>
        </w:rPr>
        <w:t xml:space="preserve">First, </w:t>
      </w:r>
      <w:r w:rsidR="00765BCE" w:rsidRPr="00765BCE">
        <w:rPr>
          <w:rFonts w:cs="Times New Roman"/>
          <w:szCs w:val="24"/>
        </w:rPr>
        <w:t>RCW 80.04.010(30)(b)</w:t>
      </w:r>
      <w:r w:rsidR="00E35140">
        <w:rPr>
          <w:rFonts w:cs="Times New Roman"/>
          <w:szCs w:val="24"/>
        </w:rPr>
        <w:t xml:space="preserve"> exempts </w:t>
      </w:r>
      <w:r w:rsidR="00765BCE" w:rsidRPr="00765BCE">
        <w:rPr>
          <w:rFonts w:cs="Times New Roman"/>
          <w:szCs w:val="24"/>
        </w:rPr>
        <w:t xml:space="preserve">any water company </w:t>
      </w:r>
      <w:r w:rsidR="00354D7F">
        <w:rPr>
          <w:rFonts w:cs="Times New Roman"/>
          <w:szCs w:val="24"/>
        </w:rPr>
        <w:t>that meets</w:t>
      </w:r>
      <w:r w:rsidR="00765BCE" w:rsidRPr="00765BCE">
        <w:rPr>
          <w:rFonts w:cs="Times New Roman"/>
          <w:szCs w:val="24"/>
        </w:rPr>
        <w:t xml:space="preserve"> both of the following conditions:  1) the company serves 99 or fewer customers; and 2) the company’s average annual gross revenue per customer is $557 or less.</w:t>
      </w:r>
      <w:r w:rsidR="004B7F9B" w:rsidRPr="00765BCE">
        <w:rPr>
          <w:rStyle w:val="FootnoteReference"/>
          <w:rFonts w:cs="Times New Roman"/>
          <w:szCs w:val="24"/>
        </w:rPr>
        <w:footnoteReference w:id="30"/>
      </w:r>
      <w:r w:rsidR="00765BCE" w:rsidRPr="00765BCE">
        <w:rPr>
          <w:rFonts w:cs="Times New Roman"/>
          <w:szCs w:val="24"/>
        </w:rPr>
        <w:t xml:space="preserve">  </w:t>
      </w:r>
    </w:p>
    <w:p w:rsidR="00765BCE" w:rsidRDefault="00765BCE" w:rsidP="00322F8E">
      <w:pPr>
        <w:pStyle w:val="ListParagraph"/>
        <w:numPr>
          <w:ilvl w:val="0"/>
          <w:numId w:val="6"/>
        </w:numPr>
        <w:spacing w:line="480" w:lineRule="auto"/>
        <w:ind w:left="0" w:hanging="720"/>
        <w:contextualSpacing w:val="0"/>
        <w:rPr>
          <w:rFonts w:cs="Times New Roman"/>
          <w:szCs w:val="24"/>
        </w:rPr>
      </w:pPr>
      <w:r>
        <w:rPr>
          <w:rFonts w:cs="Times New Roman"/>
          <w:szCs w:val="24"/>
        </w:rPr>
        <w:tab/>
      </w:r>
      <w:r w:rsidRPr="00765BCE">
        <w:rPr>
          <w:rFonts w:cs="Times New Roman"/>
          <w:szCs w:val="24"/>
        </w:rPr>
        <w:t xml:space="preserve">The second exemption </w:t>
      </w:r>
      <w:r w:rsidR="00E35140">
        <w:rPr>
          <w:rFonts w:cs="Times New Roman"/>
          <w:szCs w:val="24"/>
        </w:rPr>
        <w:t xml:space="preserve">or qualification </w:t>
      </w:r>
      <w:r w:rsidRPr="00765BCE">
        <w:rPr>
          <w:rFonts w:cs="Times New Roman"/>
          <w:szCs w:val="24"/>
        </w:rPr>
        <w:t xml:space="preserve">is based on </w:t>
      </w:r>
      <w:r w:rsidR="00B03109">
        <w:rPr>
          <w:rFonts w:cs="Times New Roman"/>
          <w:szCs w:val="24"/>
        </w:rPr>
        <w:t xml:space="preserve">judicial </w:t>
      </w:r>
      <w:r w:rsidRPr="00765BCE">
        <w:rPr>
          <w:rFonts w:cs="Times New Roman"/>
          <w:szCs w:val="24"/>
        </w:rPr>
        <w:t xml:space="preserve">decisions </w:t>
      </w:r>
      <w:r w:rsidR="00940FCF">
        <w:rPr>
          <w:rFonts w:cs="Times New Roman"/>
          <w:szCs w:val="24"/>
        </w:rPr>
        <w:t>that</w:t>
      </w:r>
      <w:r w:rsidR="00940FCF" w:rsidRPr="00765BCE">
        <w:rPr>
          <w:rFonts w:cs="Times New Roman"/>
          <w:szCs w:val="24"/>
        </w:rPr>
        <w:t xml:space="preserve"> </w:t>
      </w:r>
      <w:r w:rsidRPr="00765BCE">
        <w:rPr>
          <w:rFonts w:cs="Times New Roman"/>
          <w:szCs w:val="24"/>
        </w:rPr>
        <w:t xml:space="preserve">require a </w:t>
      </w:r>
      <w:r w:rsidR="00354D7F">
        <w:rPr>
          <w:rFonts w:cs="Times New Roman"/>
          <w:szCs w:val="24"/>
        </w:rPr>
        <w:t xml:space="preserve">Commission-regulated </w:t>
      </w:r>
      <w:r w:rsidRPr="00765BCE">
        <w:rPr>
          <w:rFonts w:cs="Times New Roman"/>
          <w:szCs w:val="24"/>
        </w:rPr>
        <w:t xml:space="preserve">water company to provide </w:t>
      </w:r>
      <w:r w:rsidR="00227E4C">
        <w:rPr>
          <w:rFonts w:cs="Times New Roman"/>
          <w:szCs w:val="24"/>
        </w:rPr>
        <w:t>“</w:t>
      </w:r>
      <w:r w:rsidRPr="00765BCE">
        <w:rPr>
          <w:rFonts w:cs="Times New Roman"/>
          <w:szCs w:val="24"/>
        </w:rPr>
        <w:t xml:space="preserve">service to the public”.  </w:t>
      </w:r>
      <w:r w:rsidRPr="00765BCE">
        <w:rPr>
          <w:rFonts w:cs="Times New Roman"/>
          <w:i/>
          <w:szCs w:val="24"/>
        </w:rPr>
        <w:t xml:space="preserve">E.g., Inland Empire Rural Electrification, Inc. v. Dep’t of Pub. Serv., </w:t>
      </w:r>
      <w:r w:rsidRPr="00765BCE">
        <w:rPr>
          <w:rFonts w:cs="Times New Roman"/>
          <w:szCs w:val="24"/>
        </w:rPr>
        <w:t>199 Wash. 527, 92 P.2d 258 (1939)</w:t>
      </w:r>
      <w:r w:rsidR="00925B83">
        <w:rPr>
          <w:rFonts w:cs="Times New Roman"/>
          <w:szCs w:val="24"/>
        </w:rPr>
        <w:t>(</w:t>
      </w:r>
      <w:r w:rsidR="00925B83">
        <w:rPr>
          <w:rFonts w:cs="Times New Roman"/>
          <w:i/>
          <w:szCs w:val="24"/>
        </w:rPr>
        <w:t>Inland Empire</w:t>
      </w:r>
      <w:r w:rsidR="00925B83">
        <w:rPr>
          <w:rFonts w:cs="Times New Roman"/>
          <w:szCs w:val="24"/>
        </w:rPr>
        <w:t>)</w:t>
      </w:r>
      <w:r w:rsidRPr="00765BCE">
        <w:rPr>
          <w:rFonts w:cs="Times New Roman"/>
          <w:szCs w:val="24"/>
        </w:rPr>
        <w:t xml:space="preserve">; </w:t>
      </w:r>
      <w:r w:rsidRPr="00765BCE">
        <w:rPr>
          <w:rFonts w:cs="Times New Roman"/>
          <w:i/>
          <w:szCs w:val="24"/>
        </w:rPr>
        <w:t xml:space="preserve">W. Valley Land Co. Inc. v. Nob Hill Water Assoc., </w:t>
      </w:r>
      <w:r w:rsidRPr="00765BCE">
        <w:rPr>
          <w:rFonts w:cs="Times New Roman"/>
          <w:szCs w:val="24"/>
        </w:rPr>
        <w:t>107 Wn.2d 359, 729 P.2d 42 (1986)</w:t>
      </w:r>
      <w:r w:rsidR="00925B83">
        <w:rPr>
          <w:rFonts w:cs="Times New Roman"/>
          <w:szCs w:val="24"/>
        </w:rPr>
        <w:t>(</w:t>
      </w:r>
      <w:r w:rsidR="00CC771A">
        <w:rPr>
          <w:rFonts w:cs="Times New Roman"/>
          <w:i/>
          <w:szCs w:val="24"/>
        </w:rPr>
        <w:t>West Valley Land</w:t>
      </w:r>
      <w:r w:rsidR="00CC771A">
        <w:rPr>
          <w:rFonts w:cs="Times New Roman"/>
          <w:szCs w:val="24"/>
        </w:rPr>
        <w:t>)</w:t>
      </w:r>
      <w:r w:rsidRPr="00765BCE">
        <w:rPr>
          <w:rFonts w:cs="Times New Roman"/>
          <w:szCs w:val="24"/>
        </w:rPr>
        <w:t>.</w:t>
      </w:r>
      <w:r w:rsidR="00BE5A46">
        <w:rPr>
          <w:rStyle w:val="FootnoteReference"/>
          <w:rFonts w:cs="Times New Roman"/>
          <w:szCs w:val="24"/>
        </w:rPr>
        <w:footnoteReference w:id="31"/>
      </w:r>
      <w:r w:rsidRPr="00765BCE">
        <w:rPr>
          <w:rFonts w:cs="Times New Roman"/>
          <w:szCs w:val="24"/>
        </w:rPr>
        <w:t xml:space="preserve">  </w:t>
      </w:r>
    </w:p>
    <w:p w:rsidR="00A20484" w:rsidRDefault="00765BCE" w:rsidP="00322F8E">
      <w:pPr>
        <w:pStyle w:val="ListParagraph"/>
        <w:numPr>
          <w:ilvl w:val="0"/>
          <w:numId w:val="6"/>
        </w:numPr>
        <w:spacing w:line="480" w:lineRule="auto"/>
        <w:ind w:left="0" w:hanging="720"/>
        <w:contextualSpacing w:val="0"/>
        <w:rPr>
          <w:rFonts w:cs="Times New Roman"/>
          <w:szCs w:val="24"/>
        </w:rPr>
      </w:pPr>
      <w:r>
        <w:rPr>
          <w:rFonts w:cs="Times New Roman"/>
          <w:szCs w:val="24"/>
        </w:rPr>
        <w:tab/>
      </w:r>
      <w:r w:rsidR="00A20484">
        <w:rPr>
          <w:rFonts w:cs="Times New Roman"/>
          <w:szCs w:val="24"/>
        </w:rPr>
        <w:t xml:space="preserve">SPIC </w:t>
      </w:r>
      <w:r w:rsidR="00E35140">
        <w:rPr>
          <w:rFonts w:cs="Times New Roman"/>
          <w:szCs w:val="24"/>
        </w:rPr>
        <w:t xml:space="preserve">has admitted it </w:t>
      </w:r>
      <w:r w:rsidRPr="00765BCE">
        <w:rPr>
          <w:rFonts w:cs="Times New Roman"/>
          <w:szCs w:val="24"/>
        </w:rPr>
        <w:t>is a “corporation” that “control</w:t>
      </w:r>
      <w:r w:rsidR="00F961C8">
        <w:rPr>
          <w:rFonts w:cs="Times New Roman"/>
          <w:szCs w:val="24"/>
        </w:rPr>
        <w:t>s</w:t>
      </w:r>
      <w:r w:rsidRPr="00765BCE">
        <w:rPr>
          <w:rFonts w:cs="Times New Roman"/>
          <w:szCs w:val="24"/>
        </w:rPr>
        <w:t>, operat</w:t>
      </w:r>
      <w:r w:rsidR="00F961C8">
        <w:rPr>
          <w:rFonts w:cs="Times New Roman"/>
          <w:szCs w:val="24"/>
        </w:rPr>
        <w:t>es</w:t>
      </w:r>
      <w:r w:rsidRPr="00765BCE">
        <w:rPr>
          <w:rFonts w:cs="Times New Roman"/>
          <w:szCs w:val="24"/>
        </w:rPr>
        <w:t>, or manag</w:t>
      </w:r>
      <w:r w:rsidR="00F961C8">
        <w:rPr>
          <w:rFonts w:cs="Times New Roman"/>
          <w:szCs w:val="24"/>
        </w:rPr>
        <w:t>es</w:t>
      </w:r>
      <w:r w:rsidRPr="00765BCE">
        <w:rPr>
          <w:rFonts w:cs="Times New Roman"/>
          <w:szCs w:val="24"/>
        </w:rPr>
        <w:t xml:space="preserve"> a water system in th</w:t>
      </w:r>
      <w:r w:rsidR="00F961C8">
        <w:rPr>
          <w:rFonts w:cs="Times New Roman"/>
          <w:szCs w:val="24"/>
        </w:rPr>
        <w:t xml:space="preserve">e </w:t>
      </w:r>
      <w:r w:rsidRPr="00765BCE">
        <w:rPr>
          <w:rFonts w:cs="Times New Roman"/>
          <w:szCs w:val="24"/>
        </w:rPr>
        <w:t>state</w:t>
      </w:r>
      <w:r w:rsidR="00F961C8">
        <w:rPr>
          <w:rFonts w:cs="Times New Roman"/>
          <w:szCs w:val="24"/>
        </w:rPr>
        <w:t xml:space="preserve"> of Washington</w:t>
      </w:r>
      <w:r w:rsidR="00F57700">
        <w:rPr>
          <w:rFonts w:cs="Times New Roman"/>
          <w:szCs w:val="24"/>
        </w:rPr>
        <w:t>,</w:t>
      </w:r>
      <w:r w:rsidRPr="00765BCE">
        <w:rPr>
          <w:rFonts w:cs="Times New Roman"/>
          <w:szCs w:val="24"/>
        </w:rPr>
        <w:t>”</w:t>
      </w:r>
      <w:r w:rsidR="00F961C8" w:rsidRPr="00765BCE">
        <w:rPr>
          <w:rStyle w:val="FootnoteReference"/>
          <w:rFonts w:cs="Times New Roman"/>
          <w:szCs w:val="24"/>
        </w:rPr>
        <w:footnoteReference w:id="32"/>
      </w:r>
      <w:r w:rsidR="00BE5A46">
        <w:rPr>
          <w:rFonts w:cs="Times New Roman"/>
          <w:szCs w:val="24"/>
        </w:rPr>
        <w:t xml:space="preserve"> and </w:t>
      </w:r>
      <w:r w:rsidRPr="00765BCE">
        <w:rPr>
          <w:rFonts w:cs="Times New Roman"/>
          <w:szCs w:val="24"/>
        </w:rPr>
        <w:t xml:space="preserve">SPIC has average annual </w:t>
      </w:r>
      <w:r w:rsidR="00B82240">
        <w:rPr>
          <w:rFonts w:cs="Times New Roman"/>
          <w:szCs w:val="24"/>
        </w:rPr>
        <w:t xml:space="preserve">gross </w:t>
      </w:r>
      <w:r w:rsidRPr="00765BCE">
        <w:rPr>
          <w:rFonts w:cs="Times New Roman"/>
          <w:szCs w:val="24"/>
        </w:rPr>
        <w:t xml:space="preserve">revenue per customer </w:t>
      </w:r>
      <w:r w:rsidR="000357D4">
        <w:rPr>
          <w:rFonts w:cs="Times New Roman"/>
          <w:szCs w:val="24"/>
        </w:rPr>
        <w:t xml:space="preserve">well below the </w:t>
      </w:r>
      <w:r w:rsidRPr="00765BCE">
        <w:rPr>
          <w:rFonts w:cs="Times New Roman"/>
          <w:szCs w:val="24"/>
        </w:rPr>
        <w:t>$557 per year</w:t>
      </w:r>
      <w:r w:rsidR="000357D4">
        <w:rPr>
          <w:rFonts w:cs="Times New Roman"/>
          <w:szCs w:val="24"/>
        </w:rPr>
        <w:t xml:space="preserve"> </w:t>
      </w:r>
      <w:r w:rsidR="00954E75">
        <w:rPr>
          <w:rFonts w:cs="Times New Roman"/>
          <w:szCs w:val="24"/>
        </w:rPr>
        <w:t xml:space="preserve">statutory </w:t>
      </w:r>
      <w:r w:rsidR="000357D4">
        <w:rPr>
          <w:rFonts w:cs="Times New Roman"/>
          <w:szCs w:val="24"/>
        </w:rPr>
        <w:t>exemption maximum</w:t>
      </w:r>
      <w:r w:rsidR="00A20484">
        <w:rPr>
          <w:rFonts w:cs="Times New Roman"/>
          <w:szCs w:val="24"/>
        </w:rPr>
        <w:t>.</w:t>
      </w:r>
      <w:r w:rsidR="00DA12FB">
        <w:rPr>
          <w:rStyle w:val="FootnoteReference"/>
          <w:rFonts w:cs="Times New Roman"/>
          <w:szCs w:val="24"/>
        </w:rPr>
        <w:footnoteReference w:id="33"/>
      </w:r>
      <w:r w:rsidR="00A20484">
        <w:rPr>
          <w:rFonts w:cs="Times New Roman"/>
          <w:szCs w:val="24"/>
        </w:rPr>
        <w:t xml:space="preserve">  However, with </w:t>
      </w:r>
      <w:r w:rsidR="00E35140">
        <w:rPr>
          <w:rFonts w:cs="Times New Roman"/>
          <w:szCs w:val="24"/>
        </w:rPr>
        <w:t>nearly 1,000 customers</w:t>
      </w:r>
      <w:r w:rsidR="000357D4">
        <w:rPr>
          <w:rFonts w:cs="Times New Roman"/>
          <w:szCs w:val="24"/>
        </w:rPr>
        <w:t>,</w:t>
      </w:r>
      <w:r w:rsidR="00DA12FB">
        <w:rPr>
          <w:rStyle w:val="FootnoteReference"/>
          <w:rFonts w:cs="Times New Roman"/>
          <w:szCs w:val="24"/>
        </w:rPr>
        <w:footnoteReference w:id="34"/>
      </w:r>
      <w:r w:rsidR="000357D4">
        <w:rPr>
          <w:rFonts w:cs="Times New Roman"/>
          <w:szCs w:val="24"/>
        </w:rPr>
        <w:t xml:space="preserve"> </w:t>
      </w:r>
      <w:r w:rsidRPr="00765BCE">
        <w:rPr>
          <w:rFonts w:cs="Times New Roman"/>
          <w:szCs w:val="24"/>
        </w:rPr>
        <w:t>the Company</w:t>
      </w:r>
      <w:r w:rsidR="000357D4">
        <w:rPr>
          <w:rFonts w:cs="Times New Roman"/>
          <w:szCs w:val="24"/>
        </w:rPr>
        <w:t xml:space="preserve"> far exceeds the customer number exemption maximum of </w:t>
      </w:r>
      <w:r w:rsidRPr="00765BCE">
        <w:rPr>
          <w:rFonts w:cs="Times New Roman"/>
          <w:szCs w:val="24"/>
        </w:rPr>
        <w:t>99 customers</w:t>
      </w:r>
      <w:r w:rsidR="00DA12FB">
        <w:rPr>
          <w:rFonts w:cs="Times New Roman"/>
          <w:szCs w:val="24"/>
        </w:rPr>
        <w:t xml:space="preserve"> in </w:t>
      </w:r>
      <w:r w:rsidR="00DA12FB" w:rsidRPr="00765BCE">
        <w:rPr>
          <w:rFonts w:cs="Times New Roman"/>
          <w:szCs w:val="24"/>
        </w:rPr>
        <w:t>RCW 80.04.010(30)(b)</w:t>
      </w:r>
      <w:r w:rsidRPr="00765BCE">
        <w:rPr>
          <w:rFonts w:cs="Times New Roman"/>
          <w:szCs w:val="24"/>
        </w:rPr>
        <w:t xml:space="preserve">.  </w:t>
      </w:r>
    </w:p>
    <w:p w:rsidR="00765BCE" w:rsidRPr="00EB5D49" w:rsidRDefault="00A20484" w:rsidP="00322F8E">
      <w:pPr>
        <w:pStyle w:val="ListParagraph"/>
        <w:numPr>
          <w:ilvl w:val="0"/>
          <w:numId w:val="6"/>
        </w:numPr>
        <w:spacing w:line="480" w:lineRule="auto"/>
        <w:ind w:left="0" w:hanging="720"/>
        <w:contextualSpacing w:val="0"/>
        <w:rPr>
          <w:rFonts w:cs="Times New Roman"/>
          <w:szCs w:val="24"/>
        </w:rPr>
      </w:pPr>
      <w:r w:rsidRPr="00EB5D49">
        <w:rPr>
          <w:rFonts w:cs="Times New Roman"/>
          <w:szCs w:val="24"/>
        </w:rPr>
        <w:tab/>
        <w:t xml:space="preserve">Consequently, </w:t>
      </w:r>
      <w:r w:rsidR="00FA6B37" w:rsidRPr="00EB5D49">
        <w:rPr>
          <w:rFonts w:cs="Times New Roman"/>
          <w:szCs w:val="24"/>
        </w:rPr>
        <w:t>SPIC</w:t>
      </w:r>
      <w:r w:rsidR="00765BCE" w:rsidRPr="00EB5D49">
        <w:rPr>
          <w:rFonts w:cs="Times New Roman"/>
          <w:szCs w:val="24"/>
        </w:rPr>
        <w:t xml:space="preserve"> </w:t>
      </w:r>
      <w:r w:rsidR="00B42B74" w:rsidRPr="00EB5D49">
        <w:rPr>
          <w:rFonts w:cs="Times New Roman"/>
          <w:szCs w:val="24"/>
        </w:rPr>
        <w:t xml:space="preserve">qualifies as </w:t>
      </w:r>
      <w:r w:rsidR="00765BCE" w:rsidRPr="00EB5D49">
        <w:rPr>
          <w:rFonts w:cs="Times New Roman"/>
          <w:szCs w:val="24"/>
        </w:rPr>
        <w:t xml:space="preserve">a water company subject to Commission regulation, unless it does not offer </w:t>
      </w:r>
      <w:r w:rsidR="00E35140" w:rsidRPr="00EB5D49">
        <w:rPr>
          <w:rFonts w:cs="Times New Roman"/>
          <w:szCs w:val="24"/>
        </w:rPr>
        <w:t xml:space="preserve">water </w:t>
      </w:r>
      <w:r w:rsidR="00765BCE" w:rsidRPr="00EB5D49">
        <w:rPr>
          <w:rFonts w:cs="Times New Roman"/>
          <w:szCs w:val="24"/>
        </w:rPr>
        <w:t>service “for hire” or “to the public</w:t>
      </w:r>
      <w:r w:rsidR="00F57700">
        <w:rPr>
          <w:rFonts w:cs="Times New Roman"/>
          <w:szCs w:val="24"/>
        </w:rPr>
        <w:t>.</w:t>
      </w:r>
      <w:r w:rsidR="00765BCE" w:rsidRPr="00EB5D49">
        <w:rPr>
          <w:rFonts w:cs="Times New Roman"/>
          <w:szCs w:val="24"/>
        </w:rPr>
        <w:t>”</w:t>
      </w:r>
      <w:r w:rsidR="00BE5A46">
        <w:rPr>
          <w:rFonts w:cs="Times New Roman"/>
          <w:szCs w:val="24"/>
        </w:rPr>
        <w:t xml:space="preserve">  This</w:t>
      </w:r>
      <w:r w:rsidR="00765BCE" w:rsidRPr="00EB5D49">
        <w:rPr>
          <w:rFonts w:cs="Times New Roman"/>
          <w:szCs w:val="24"/>
        </w:rPr>
        <w:t xml:space="preserve"> case boils down to two issues:</w:t>
      </w:r>
    </w:p>
    <w:p w:rsidR="00765BCE" w:rsidRPr="00765BCE" w:rsidRDefault="00765BCE" w:rsidP="00765BCE">
      <w:pPr>
        <w:spacing w:line="480" w:lineRule="auto"/>
        <w:ind w:left="1440" w:hanging="720"/>
        <w:rPr>
          <w:rFonts w:cs="Times New Roman"/>
          <w:szCs w:val="24"/>
        </w:rPr>
      </w:pPr>
      <w:r w:rsidRPr="00765BCE">
        <w:rPr>
          <w:rFonts w:cs="Times New Roman"/>
          <w:szCs w:val="24"/>
        </w:rPr>
        <w:t>1)</w:t>
      </w:r>
      <w:r w:rsidRPr="00765BCE">
        <w:rPr>
          <w:rFonts w:cs="Times New Roman"/>
          <w:szCs w:val="24"/>
        </w:rPr>
        <w:tab/>
        <w:t>Does SPIC offer</w:t>
      </w:r>
      <w:bookmarkStart w:id="0" w:name="_GoBack"/>
      <w:bookmarkEnd w:id="0"/>
      <w:r w:rsidRPr="00765BCE">
        <w:rPr>
          <w:rFonts w:cs="Times New Roman"/>
          <w:szCs w:val="24"/>
        </w:rPr>
        <w:t xml:space="preserve"> water service “for hire”</w:t>
      </w:r>
      <w:r w:rsidR="001A4F60">
        <w:rPr>
          <w:rFonts w:cs="Times New Roman"/>
          <w:szCs w:val="24"/>
        </w:rPr>
        <w:t>,</w:t>
      </w:r>
      <w:r w:rsidRPr="00765BCE">
        <w:rPr>
          <w:rFonts w:cs="Times New Roman"/>
          <w:szCs w:val="24"/>
        </w:rPr>
        <w:t xml:space="preserve"> as that term is used in the definition of “water company” in RCW 80.04.010(30)?  If so, </w:t>
      </w:r>
    </w:p>
    <w:p w:rsidR="00765BCE" w:rsidRPr="00765BCE" w:rsidRDefault="00765BCE" w:rsidP="00765BCE">
      <w:pPr>
        <w:spacing w:line="480" w:lineRule="auto"/>
        <w:ind w:left="1440" w:hanging="720"/>
        <w:rPr>
          <w:rFonts w:cs="Times New Roman"/>
          <w:szCs w:val="24"/>
        </w:rPr>
      </w:pPr>
      <w:r w:rsidRPr="00765BCE">
        <w:rPr>
          <w:rFonts w:cs="Times New Roman"/>
          <w:szCs w:val="24"/>
        </w:rPr>
        <w:lastRenderedPageBreak/>
        <w:t>2)</w:t>
      </w:r>
      <w:r w:rsidRPr="00765BCE">
        <w:rPr>
          <w:rFonts w:cs="Times New Roman"/>
          <w:szCs w:val="24"/>
        </w:rPr>
        <w:tab/>
        <w:t xml:space="preserve">Does SPIC </w:t>
      </w:r>
      <w:r w:rsidR="00E35140">
        <w:rPr>
          <w:rFonts w:cs="Times New Roman"/>
          <w:szCs w:val="24"/>
        </w:rPr>
        <w:t xml:space="preserve">offer water </w:t>
      </w:r>
      <w:r w:rsidRPr="00765BCE">
        <w:rPr>
          <w:rFonts w:cs="Times New Roman"/>
          <w:szCs w:val="24"/>
        </w:rPr>
        <w:t>“to the public”</w:t>
      </w:r>
      <w:r w:rsidR="00432F03">
        <w:rPr>
          <w:rFonts w:cs="Times New Roman"/>
          <w:szCs w:val="24"/>
        </w:rPr>
        <w:t>,</w:t>
      </w:r>
      <w:r w:rsidR="00E35140">
        <w:rPr>
          <w:rFonts w:cs="Times New Roman"/>
          <w:szCs w:val="24"/>
        </w:rPr>
        <w:t xml:space="preserve"> as that term </w:t>
      </w:r>
      <w:r w:rsidR="00EB5D49">
        <w:rPr>
          <w:rFonts w:cs="Times New Roman"/>
          <w:szCs w:val="24"/>
        </w:rPr>
        <w:t>is</w:t>
      </w:r>
      <w:r w:rsidR="00E35140">
        <w:rPr>
          <w:rFonts w:cs="Times New Roman"/>
          <w:szCs w:val="24"/>
        </w:rPr>
        <w:t xml:space="preserve"> used and interpreted by the court</w:t>
      </w:r>
      <w:r w:rsidRPr="00765BCE">
        <w:rPr>
          <w:rFonts w:cs="Times New Roman"/>
          <w:szCs w:val="24"/>
        </w:rPr>
        <w:t>?</w:t>
      </w:r>
    </w:p>
    <w:p w:rsidR="00EC1E96" w:rsidRDefault="00765BCE" w:rsidP="00322F8E">
      <w:pPr>
        <w:pStyle w:val="ListParagraph"/>
        <w:numPr>
          <w:ilvl w:val="0"/>
          <w:numId w:val="6"/>
        </w:numPr>
        <w:spacing w:line="480" w:lineRule="auto"/>
        <w:ind w:left="0" w:hanging="720"/>
        <w:contextualSpacing w:val="0"/>
        <w:rPr>
          <w:rFonts w:cs="Times New Roman"/>
          <w:szCs w:val="24"/>
        </w:rPr>
      </w:pPr>
      <w:r>
        <w:rPr>
          <w:rFonts w:cs="Times New Roman"/>
          <w:szCs w:val="24"/>
        </w:rPr>
        <w:tab/>
      </w:r>
      <w:r w:rsidRPr="00765BCE">
        <w:rPr>
          <w:rFonts w:cs="Times New Roman"/>
          <w:szCs w:val="24"/>
        </w:rPr>
        <w:t>As we explain below,</w:t>
      </w:r>
      <w:r w:rsidR="00B42B74">
        <w:rPr>
          <w:rFonts w:cs="Times New Roman"/>
          <w:szCs w:val="24"/>
        </w:rPr>
        <w:t xml:space="preserve"> </w:t>
      </w:r>
      <w:r w:rsidR="00EA0B19">
        <w:rPr>
          <w:rFonts w:cs="Times New Roman"/>
          <w:szCs w:val="24"/>
        </w:rPr>
        <w:t>SPIC offers water service “for hire”</w:t>
      </w:r>
      <w:r w:rsidR="00432F03">
        <w:rPr>
          <w:rFonts w:cs="Times New Roman"/>
          <w:szCs w:val="24"/>
        </w:rPr>
        <w:t>,</w:t>
      </w:r>
      <w:r w:rsidR="00B03109">
        <w:rPr>
          <w:rFonts w:cs="Times New Roman"/>
          <w:szCs w:val="24"/>
        </w:rPr>
        <w:t xml:space="preserve"> </w:t>
      </w:r>
      <w:r w:rsidR="00B82240">
        <w:rPr>
          <w:rFonts w:cs="Times New Roman"/>
          <w:szCs w:val="24"/>
        </w:rPr>
        <w:t xml:space="preserve">and </w:t>
      </w:r>
      <w:r w:rsidR="00EA0B19">
        <w:rPr>
          <w:rFonts w:cs="Times New Roman"/>
          <w:szCs w:val="24"/>
        </w:rPr>
        <w:t>it offers water service “to the public”</w:t>
      </w:r>
      <w:r w:rsidR="00B03109">
        <w:rPr>
          <w:rFonts w:cs="Times New Roman"/>
          <w:szCs w:val="24"/>
        </w:rPr>
        <w:t xml:space="preserve"> </w:t>
      </w:r>
      <w:r w:rsidR="00EA0B19">
        <w:rPr>
          <w:rFonts w:cs="Times New Roman"/>
          <w:szCs w:val="24"/>
        </w:rPr>
        <w:t xml:space="preserve">to the extent it serves </w:t>
      </w:r>
      <w:r w:rsidR="00EA0B19" w:rsidRPr="00765BCE">
        <w:rPr>
          <w:rFonts w:cs="Times New Roman"/>
          <w:szCs w:val="24"/>
        </w:rPr>
        <w:t xml:space="preserve">its Class C shareholders </w:t>
      </w:r>
      <w:r w:rsidR="00EA0B19">
        <w:rPr>
          <w:rFonts w:cs="Times New Roman"/>
          <w:szCs w:val="24"/>
        </w:rPr>
        <w:t xml:space="preserve">and </w:t>
      </w:r>
      <w:r w:rsidR="00EA0B19" w:rsidRPr="00765BCE">
        <w:rPr>
          <w:rFonts w:cs="Times New Roman"/>
          <w:szCs w:val="24"/>
        </w:rPr>
        <w:t>its non-shareholder customers.</w:t>
      </w:r>
      <w:r w:rsidR="00EA0B19">
        <w:rPr>
          <w:rFonts w:cs="Times New Roman"/>
          <w:szCs w:val="24"/>
        </w:rPr>
        <w:t xml:space="preserve">  </w:t>
      </w:r>
      <w:r w:rsidRPr="00765BCE">
        <w:rPr>
          <w:rFonts w:cs="Times New Roman"/>
          <w:szCs w:val="24"/>
        </w:rPr>
        <w:t>SPIC is exempt from Commission regulation</w:t>
      </w:r>
      <w:r w:rsidR="00F57700">
        <w:rPr>
          <w:rFonts w:cs="Times New Roman"/>
          <w:szCs w:val="24"/>
        </w:rPr>
        <w:t>, however, with respect to</w:t>
      </w:r>
      <w:r w:rsidR="005F4BE2">
        <w:rPr>
          <w:rFonts w:cs="Times New Roman"/>
          <w:szCs w:val="24"/>
        </w:rPr>
        <w:t xml:space="preserve"> </w:t>
      </w:r>
      <w:r w:rsidR="00302C1F">
        <w:rPr>
          <w:rFonts w:cs="Times New Roman"/>
          <w:szCs w:val="24"/>
        </w:rPr>
        <w:t xml:space="preserve">its </w:t>
      </w:r>
      <w:r w:rsidRPr="00765BCE">
        <w:rPr>
          <w:rFonts w:cs="Times New Roman"/>
          <w:szCs w:val="24"/>
        </w:rPr>
        <w:t xml:space="preserve">Class A shareholders/customers, </w:t>
      </w:r>
      <w:r w:rsidR="00EA0B19">
        <w:rPr>
          <w:rFonts w:cs="Times New Roman"/>
          <w:szCs w:val="24"/>
        </w:rPr>
        <w:t xml:space="preserve">because </w:t>
      </w:r>
      <w:r w:rsidR="00665124">
        <w:rPr>
          <w:rFonts w:cs="Times New Roman"/>
          <w:szCs w:val="24"/>
        </w:rPr>
        <w:t xml:space="preserve">the Company </w:t>
      </w:r>
      <w:r w:rsidR="00B03109">
        <w:rPr>
          <w:rFonts w:cs="Times New Roman"/>
          <w:szCs w:val="24"/>
        </w:rPr>
        <w:t xml:space="preserve">does not </w:t>
      </w:r>
      <w:r w:rsidR="00665124">
        <w:rPr>
          <w:rFonts w:cs="Times New Roman"/>
          <w:szCs w:val="24"/>
        </w:rPr>
        <w:t>satisf</w:t>
      </w:r>
      <w:r w:rsidR="00B03109">
        <w:rPr>
          <w:rFonts w:cs="Times New Roman"/>
          <w:szCs w:val="24"/>
        </w:rPr>
        <w:t>y</w:t>
      </w:r>
      <w:r w:rsidR="00665124">
        <w:rPr>
          <w:rFonts w:cs="Times New Roman"/>
          <w:szCs w:val="24"/>
        </w:rPr>
        <w:t xml:space="preserve"> the “</w:t>
      </w:r>
      <w:r w:rsidR="00EA0B19">
        <w:rPr>
          <w:rFonts w:cs="Times New Roman"/>
          <w:szCs w:val="24"/>
        </w:rPr>
        <w:t>service to the public” test</w:t>
      </w:r>
      <w:r w:rsidR="00B94FC1">
        <w:rPr>
          <w:rFonts w:cs="Times New Roman"/>
          <w:szCs w:val="24"/>
        </w:rPr>
        <w:t xml:space="preserve"> </w:t>
      </w:r>
      <w:r w:rsidR="00EB5D49">
        <w:rPr>
          <w:rFonts w:cs="Times New Roman"/>
          <w:szCs w:val="24"/>
        </w:rPr>
        <w:t xml:space="preserve">as applied to </w:t>
      </w:r>
      <w:r w:rsidR="00313332">
        <w:rPr>
          <w:rFonts w:cs="Times New Roman"/>
          <w:szCs w:val="24"/>
        </w:rPr>
        <w:t>that service</w:t>
      </w:r>
      <w:r w:rsidR="00B94FC1">
        <w:rPr>
          <w:rFonts w:cs="Times New Roman"/>
          <w:szCs w:val="24"/>
        </w:rPr>
        <w:t>.</w:t>
      </w:r>
      <w:r w:rsidRPr="00765BCE">
        <w:rPr>
          <w:rFonts w:cs="Times New Roman"/>
          <w:szCs w:val="24"/>
        </w:rPr>
        <w:t xml:space="preserve"> </w:t>
      </w:r>
    </w:p>
    <w:p w:rsidR="00EC1E96" w:rsidRDefault="00724B29" w:rsidP="00B03109">
      <w:pPr>
        <w:pStyle w:val="ListParagraph"/>
        <w:keepNext/>
        <w:ind w:hanging="720"/>
        <w:contextualSpacing w:val="0"/>
        <w:rPr>
          <w:rFonts w:cs="Times New Roman"/>
          <w:b/>
          <w:szCs w:val="24"/>
        </w:rPr>
      </w:pPr>
      <w:r>
        <w:rPr>
          <w:rFonts w:cs="Times New Roman"/>
          <w:b/>
          <w:szCs w:val="24"/>
        </w:rPr>
        <w:t>B</w:t>
      </w:r>
      <w:r w:rsidR="00EC1E96" w:rsidRPr="00765BCE">
        <w:rPr>
          <w:rFonts w:cs="Times New Roman"/>
          <w:b/>
          <w:szCs w:val="24"/>
        </w:rPr>
        <w:t>.</w:t>
      </w:r>
      <w:r w:rsidR="00EC1E96" w:rsidRPr="00765BCE">
        <w:rPr>
          <w:rFonts w:cs="Times New Roman"/>
          <w:b/>
          <w:szCs w:val="24"/>
        </w:rPr>
        <w:tab/>
        <w:t xml:space="preserve">SPIC </w:t>
      </w:r>
      <w:r w:rsidR="00227E4C">
        <w:rPr>
          <w:rFonts w:cs="Times New Roman"/>
          <w:b/>
          <w:szCs w:val="24"/>
        </w:rPr>
        <w:t>meets the literal definition of “water company”</w:t>
      </w:r>
      <w:r w:rsidR="00EC1E96" w:rsidRPr="00765BCE">
        <w:rPr>
          <w:rFonts w:cs="Times New Roman"/>
          <w:b/>
          <w:szCs w:val="24"/>
        </w:rPr>
        <w:t xml:space="preserve"> in RCW 80.04.010(30)</w:t>
      </w:r>
      <w:r w:rsidR="00B03109">
        <w:rPr>
          <w:rFonts w:cs="Times New Roman"/>
          <w:b/>
          <w:szCs w:val="24"/>
        </w:rPr>
        <w:t>, including the “for hire” element of that definition</w:t>
      </w:r>
    </w:p>
    <w:p w:rsidR="00B03109" w:rsidRDefault="00B03109" w:rsidP="00B03109">
      <w:pPr>
        <w:pStyle w:val="ListParagraph"/>
        <w:keepNext/>
        <w:ind w:hanging="720"/>
        <w:contextualSpacing w:val="0"/>
        <w:rPr>
          <w:rFonts w:cs="Times New Roman"/>
          <w:b/>
          <w:szCs w:val="24"/>
        </w:rPr>
      </w:pPr>
    </w:p>
    <w:p w:rsidR="00A20484" w:rsidRDefault="00EC1E96" w:rsidP="00322F8E">
      <w:pPr>
        <w:pStyle w:val="ListParagraph"/>
        <w:numPr>
          <w:ilvl w:val="0"/>
          <w:numId w:val="6"/>
        </w:numPr>
        <w:spacing w:line="480" w:lineRule="auto"/>
        <w:ind w:left="0" w:hanging="720"/>
        <w:contextualSpacing w:val="0"/>
        <w:rPr>
          <w:rFonts w:cs="Times New Roman"/>
          <w:szCs w:val="24"/>
        </w:rPr>
      </w:pPr>
      <w:r>
        <w:rPr>
          <w:rFonts w:cs="Times New Roman"/>
          <w:szCs w:val="24"/>
        </w:rPr>
        <w:tab/>
      </w:r>
      <w:r w:rsidR="00227E4C">
        <w:rPr>
          <w:rFonts w:cs="Times New Roman"/>
          <w:szCs w:val="24"/>
        </w:rPr>
        <w:t xml:space="preserve">SPIC satisfies the </w:t>
      </w:r>
      <w:r w:rsidR="00227E4C" w:rsidRPr="00227E4C">
        <w:rPr>
          <w:rFonts w:cs="Times New Roman"/>
          <w:szCs w:val="24"/>
        </w:rPr>
        <w:t>literal definition of “water company” in RCW 80.04.010(30)</w:t>
      </w:r>
      <w:r w:rsidR="00227E4C">
        <w:rPr>
          <w:rFonts w:cs="Times New Roman"/>
          <w:szCs w:val="24"/>
        </w:rPr>
        <w:t xml:space="preserve"> because the Company </w:t>
      </w:r>
      <w:r w:rsidR="00227E4C" w:rsidRPr="00227E4C">
        <w:rPr>
          <w:rFonts w:cs="Times New Roman"/>
          <w:szCs w:val="24"/>
        </w:rPr>
        <w:t xml:space="preserve">is a </w:t>
      </w:r>
      <w:r w:rsidR="00227E4C" w:rsidRPr="00765BCE">
        <w:rPr>
          <w:rFonts w:cs="Times New Roman"/>
          <w:szCs w:val="24"/>
        </w:rPr>
        <w:t xml:space="preserve">corporation that is controlling, operating, or managing a water system </w:t>
      </w:r>
      <w:r w:rsidR="00227E4C">
        <w:rPr>
          <w:rFonts w:cs="Times New Roman"/>
          <w:szCs w:val="24"/>
        </w:rPr>
        <w:t xml:space="preserve">for hire </w:t>
      </w:r>
      <w:r w:rsidR="00227E4C" w:rsidRPr="00765BCE">
        <w:rPr>
          <w:rFonts w:cs="Times New Roman"/>
          <w:szCs w:val="24"/>
        </w:rPr>
        <w:t>in this state</w:t>
      </w:r>
      <w:r w:rsidR="00227E4C">
        <w:rPr>
          <w:rFonts w:cs="Times New Roman"/>
          <w:szCs w:val="24"/>
        </w:rPr>
        <w:t xml:space="preserve">.  As we just explained, the </w:t>
      </w:r>
      <w:r w:rsidR="00EB5D49">
        <w:rPr>
          <w:rFonts w:cs="Times New Roman"/>
          <w:szCs w:val="24"/>
        </w:rPr>
        <w:t xml:space="preserve">term “for hire” is the </w:t>
      </w:r>
      <w:r w:rsidR="00227E4C">
        <w:rPr>
          <w:rFonts w:cs="Times New Roman"/>
          <w:szCs w:val="24"/>
        </w:rPr>
        <w:t xml:space="preserve">only element of </w:t>
      </w:r>
      <w:r w:rsidR="00F57700">
        <w:rPr>
          <w:rFonts w:cs="Times New Roman"/>
          <w:szCs w:val="24"/>
        </w:rPr>
        <w:t xml:space="preserve">the </w:t>
      </w:r>
      <w:r w:rsidR="00EB5D49">
        <w:rPr>
          <w:rFonts w:cs="Times New Roman"/>
          <w:szCs w:val="24"/>
        </w:rPr>
        <w:t>definition at issue.</w:t>
      </w:r>
      <w:r w:rsidR="00227E4C">
        <w:rPr>
          <w:rFonts w:cs="Times New Roman"/>
          <w:szCs w:val="24"/>
        </w:rPr>
        <w:t xml:space="preserve"> </w:t>
      </w:r>
    </w:p>
    <w:p w:rsidR="00EC1E96" w:rsidRDefault="00A20484" w:rsidP="00322F8E">
      <w:pPr>
        <w:pStyle w:val="ListParagraph"/>
        <w:numPr>
          <w:ilvl w:val="0"/>
          <w:numId w:val="6"/>
        </w:numPr>
        <w:spacing w:line="480" w:lineRule="auto"/>
        <w:ind w:left="0" w:hanging="720"/>
        <w:contextualSpacing w:val="0"/>
        <w:rPr>
          <w:rFonts w:cs="Times New Roman"/>
          <w:szCs w:val="24"/>
        </w:rPr>
      </w:pPr>
      <w:r>
        <w:rPr>
          <w:rFonts w:cs="Times New Roman"/>
          <w:szCs w:val="24"/>
        </w:rPr>
        <w:tab/>
      </w:r>
      <w:r w:rsidR="00EA0B19">
        <w:rPr>
          <w:rFonts w:cs="Times New Roman"/>
          <w:szCs w:val="24"/>
        </w:rPr>
        <w:t>T</w:t>
      </w:r>
      <w:r w:rsidR="00765BCE" w:rsidRPr="00EC1E96">
        <w:rPr>
          <w:rFonts w:cs="Times New Roman"/>
          <w:szCs w:val="24"/>
        </w:rPr>
        <w:t>he Commission should interpret “for hire” to mean “for compensation”</w:t>
      </w:r>
      <w:r w:rsidR="00756D63">
        <w:rPr>
          <w:rFonts w:cs="Times New Roman"/>
          <w:szCs w:val="24"/>
        </w:rPr>
        <w:t>.</w:t>
      </w:r>
      <w:r w:rsidR="00765BCE" w:rsidRPr="00EC1E96">
        <w:rPr>
          <w:rFonts w:cs="Times New Roman"/>
          <w:szCs w:val="24"/>
        </w:rPr>
        <w:t xml:space="preserve">  SPIC </w:t>
      </w:r>
      <w:r w:rsidR="00354D7F">
        <w:rPr>
          <w:rFonts w:cs="Times New Roman"/>
          <w:szCs w:val="24"/>
        </w:rPr>
        <w:t xml:space="preserve">satisfies this meaning </w:t>
      </w:r>
      <w:r w:rsidR="00DA12FB">
        <w:rPr>
          <w:rFonts w:cs="Times New Roman"/>
          <w:szCs w:val="24"/>
        </w:rPr>
        <w:t xml:space="preserve">because </w:t>
      </w:r>
      <w:r w:rsidR="00954E75">
        <w:rPr>
          <w:rFonts w:cs="Times New Roman"/>
          <w:szCs w:val="24"/>
        </w:rPr>
        <w:t xml:space="preserve">the Company </w:t>
      </w:r>
      <w:r w:rsidR="00B42B74">
        <w:rPr>
          <w:rFonts w:cs="Times New Roman"/>
          <w:szCs w:val="24"/>
        </w:rPr>
        <w:t xml:space="preserve">exacts </w:t>
      </w:r>
      <w:r w:rsidR="00B94FC1">
        <w:rPr>
          <w:rFonts w:cs="Times New Roman"/>
          <w:szCs w:val="24"/>
        </w:rPr>
        <w:t>compensation</w:t>
      </w:r>
      <w:r w:rsidR="00765BCE" w:rsidRPr="00EC1E96">
        <w:rPr>
          <w:rFonts w:cs="Times New Roman"/>
          <w:szCs w:val="24"/>
        </w:rPr>
        <w:t xml:space="preserve"> </w:t>
      </w:r>
      <w:r w:rsidR="00B94FC1">
        <w:rPr>
          <w:rFonts w:cs="Times New Roman"/>
          <w:szCs w:val="24"/>
        </w:rPr>
        <w:t xml:space="preserve">for </w:t>
      </w:r>
      <w:r w:rsidR="00B42B74">
        <w:rPr>
          <w:rFonts w:cs="Times New Roman"/>
          <w:szCs w:val="24"/>
        </w:rPr>
        <w:t xml:space="preserve">the water </w:t>
      </w:r>
      <w:r w:rsidR="00B94FC1">
        <w:rPr>
          <w:rFonts w:cs="Times New Roman"/>
          <w:szCs w:val="24"/>
        </w:rPr>
        <w:t>services</w:t>
      </w:r>
      <w:r w:rsidR="00B42B74">
        <w:rPr>
          <w:rFonts w:cs="Times New Roman"/>
          <w:szCs w:val="24"/>
        </w:rPr>
        <w:t xml:space="preserve"> it provides</w:t>
      </w:r>
      <w:r w:rsidR="00354D7F">
        <w:rPr>
          <w:rFonts w:cs="Times New Roman"/>
          <w:szCs w:val="24"/>
        </w:rPr>
        <w:t xml:space="preserve">, </w:t>
      </w:r>
      <w:r w:rsidR="00354D7F">
        <w:rPr>
          <w:rFonts w:cs="Times New Roman"/>
          <w:i/>
          <w:szCs w:val="24"/>
        </w:rPr>
        <w:t xml:space="preserve">i.e., </w:t>
      </w:r>
      <w:r w:rsidR="00765BCE" w:rsidRPr="00EC1E96">
        <w:rPr>
          <w:rFonts w:cs="Times New Roman"/>
          <w:szCs w:val="24"/>
        </w:rPr>
        <w:t xml:space="preserve">SPIC charges for </w:t>
      </w:r>
      <w:r w:rsidR="00B94FC1">
        <w:rPr>
          <w:rFonts w:cs="Times New Roman"/>
          <w:szCs w:val="24"/>
        </w:rPr>
        <w:t xml:space="preserve">its </w:t>
      </w:r>
      <w:r w:rsidR="00765BCE" w:rsidRPr="00EC1E96">
        <w:rPr>
          <w:rFonts w:cs="Times New Roman"/>
          <w:szCs w:val="24"/>
        </w:rPr>
        <w:t xml:space="preserve">water service and receives substantial </w:t>
      </w:r>
      <w:r w:rsidR="00B42B74">
        <w:rPr>
          <w:rFonts w:cs="Times New Roman"/>
          <w:szCs w:val="24"/>
        </w:rPr>
        <w:t>money</w:t>
      </w:r>
      <w:r w:rsidR="00765BCE" w:rsidRPr="00EC1E96">
        <w:rPr>
          <w:rFonts w:cs="Times New Roman"/>
          <w:szCs w:val="24"/>
        </w:rPr>
        <w:t xml:space="preserve"> in return; at least $328,000 in 2011.</w:t>
      </w:r>
      <w:r w:rsidR="00765BCE" w:rsidRPr="00765BCE">
        <w:rPr>
          <w:rStyle w:val="FootnoteReference"/>
          <w:rFonts w:cs="Times New Roman"/>
          <w:szCs w:val="24"/>
        </w:rPr>
        <w:footnoteReference w:id="35"/>
      </w:r>
    </w:p>
    <w:p w:rsidR="00EA0B19" w:rsidRDefault="00EC1E96" w:rsidP="00322F8E">
      <w:pPr>
        <w:pStyle w:val="ListParagraph"/>
        <w:numPr>
          <w:ilvl w:val="0"/>
          <w:numId w:val="6"/>
        </w:numPr>
        <w:spacing w:line="480" w:lineRule="auto"/>
        <w:ind w:left="0" w:hanging="720"/>
        <w:contextualSpacing w:val="0"/>
        <w:rPr>
          <w:rFonts w:cs="Times New Roman"/>
          <w:szCs w:val="24"/>
        </w:rPr>
      </w:pPr>
      <w:r>
        <w:rPr>
          <w:rFonts w:cs="Times New Roman"/>
          <w:szCs w:val="24"/>
        </w:rPr>
        <w:tab/>
      </w:r>
      <w:r w:rsidR="00765BCE" w:rsidRPr="00EC1E96">
        <w:rPr>
          <w:rFonts w:cs="Times New Roman"/>
          <w:szCs w:val="24"/>
        </w:rPr>
        <w:t xml:space="preserve">The court </w:t>
      </w:r>
      <w:r w:rsidR="00EA0B19">
        <w:rPr>
          <w:rFonts w:cs="Times New Roman"/>
          <w:szCs w:val="24"/>
        </w:rPr>
        <w:t xml:space="preserve">applied </w:t>
      </w:r>
      <w:r w:rsidR="00765BCE" w:rsidRPr="00EC1E96">
        <w:rPr>
          <w:rFonts w:cs="Times New Roman"/>
          <w:szCs w:val="24"/>
        </w:rPr>
        <w:t xml:space="preserve">this </w:t>
      </w:r>
      <w:r w:rsidR="00B94FC1">
        <w:rPr>
          <w:rFonts w:cs="Times New Roman"/>
          <w:szCs w:val="24"/>
        </w:rPr>
        <w:t xml:space="preserve">meaning </w:t>
      </w:r>
      <w:r w:rsidR="00765BCE" w:rsidRPr="00EC1E96">
        <w:rPr>
          <w:rFonts w:cs="Times New Roman"/>
          <w:szCs w:val="24"/>
        </w:rPr>
        <w:t>of “for hire”</w:t>
      </w:r>
      <w:r w:rsidR="00EA0B19">
        <w:rPr>
          <w:rFonts w:cs="Times New Roman"/>
          <w:szCs w:val="24"/>
        </w:rPr>
        <w:t xml:space="preserve"> in</w:t>
      </w:r>
      <w:r w:rsidR="00765BCE" w:rsidRPr="00EC1E96">
        <w:rPr>
          <w:rFonts w:cs="Times New Roman"/>
          <w:szCs w:val="24"/>
        </w:rPr>
        <w:t xml:space="preserve"> </w:t>
      </w:r>
      <w:r w:rsidR="00313332">
        <w:rPr>
          <w:rFonts w:cs="Times New Roman"/>
          <w:szCs w:val="24"/>
        </w:rPr>
        <w:t xml:space="preserve">the </w:t>
      </w:r>
      <w:r w:rsidR="00765BCE" w:rsidRPr="00EC1E96">
        <w:rPr>
          <w:rFonts w:cs="Times New Roman"/>
          <w:i/>
          <w:szCs w:val="24"/>
        </w:rPr>
        <w:t>Inland Empire</w:t>
      </w:r>
      <w:r w:rsidR="00313332">
        <w:rPr>
          <w:rFonts w:cs="Times New Roman"/>
          <w:i/>
          <w:szCs w:val="24"/>
        </w:rPr>
        <w:t xml:space="preserve"> </w:t>
      </w:r>
      <w:r w:rsidR="00313332">
        <w:rPr>
          <w:rFonts w:cs="Times New Roman"/>
          <w:szCs w:val="24"/>
        </w:rPr>
        <w:t>case</w:t>
      </w:r>
      <w:r w:rsidR="00313332" w:rsidRPr="00313332">
        <w:rPr>
          <w:rFonts w:cs="Times New Roman"/>
          <w:szCs w:val="24"/>
        </w:rPr>
        <w:t xml:space="preserve">, </w:t>
      </w:r>
      <w:r w:rsidR="00313332" w:rsidRPr="00313332">
        <w:rPr>
          <w:rFonts w:cs="Times New Roman"/>
          <w:i/>
          <w:szCs w:val="24"/>
        </w:rPr>
        <w:t>supra</w:t>
      </w:r>
      <w:r w:rsidR="00313332" w:rsidRPr="00313332">
        <w:rPr>
          <w:rFonts w:cs="Times New Roman"/>
          <w:szCs w:val="24"/>
        </w:rPr>
        <w:t>,</w:t>
      </w:r>
      <w:r w:rsidR="00313332">
        <w:rPr>
          <w:rFonts w:cs="Times New Roman"/>
          <w:szCs w:val="24"/>
        </w:rPr>
        <w:t xml:space="preserve"> </w:t>
      </w:r>
      <w:r w:rsidR="00765BCE" w:rsidRPr="00EC1E96">
        <w:rPr>
          <w:rFonts w:cs="Times New Roman"/>
          <w:szCs w:val="24"/>
        </w:rPr>
        <w:t>199 Wash. 527 (1939)</w:t>
      </w:r>
      <w:r w:rsidR="00313332">
        <w:rPr>
          <w:rFonts w:cs="Times New Roman"/>
          <w:szCs w:val="24"/>
        </w:rPr>
        <w:t>, in the context of</w:t>
      </w:r>
      <w:r w:rsidR="00765BCE" w:rsidRPr="00EC1E96">
        <w:rPr>
          <w:rFonts w:cs="Times New Roman"/>
          <w:szCs w:val="24"/>
        </w:rPr>
        <w:t xml:space="preserve"> </w:t>
      </w:r>
      <w:r w:rsidR="00FA6B37">
        <w:rPr>
          <w:rFonts w:cs="Times New Roman"/>
          <w:szCs w:val="24"/>
        </w:rPr>
        <w:t xml:space="preserve">the </w:t>
      </w:r>
      <w:r w:rsidR="00765BCE" w:rsidRPr="00EC1E96">
        <w:rPr>
          <w:rFonts w:cs="Times New Roman"/>
          <w:szCs w:val="24"/>
        </w:rPr>
        <w:t>definition of “electrical company”</w:t>
      </w:r>
      <w:r w:rsidR="00FA6B37">
        <w:rPr>
          <w:rFonts w:cs="Times New Roman"/>
          <w:szCs w:val="24"/>
        </w:rPr>
        <w:t xml:space="preserve"> in </w:t>
      </w:r>
      <w:r w:rsidR="00FA6B37" w:rsidRPr="00EC1E96">
        <w:rPr>
          <w:rFonts w:cs="Times New Roman"/>
          <w:szCs w:val="24"/>
        </w:rPr>
        <w:t>RCW 80.04.010</w:t>
      </w:r>
      <w:r w:rsidR="00765BCE" w:rsidRPr="00EC1E96">
        <w:rPr>
          <w:rFonts w:cs="Times New Roman"/>
          <w:szCs w:val="24"/>
        </w:rPr>
        <w:t xml:space="preserve">.  </w:t>
      </w:r>
      <w:r w:rsidR="00954E75">
        <w:rPr>
          <w:rFonts w:cs="Times New Roman"/>
          <w:szCs w:val="24"/>
        </w:rPr>
        <w:t xml:space="preserve">The term </w:t>
      </w:r>
      <w:r w:rsidR="00437E87">
        <w:rPr>
          <w:rFonts w:cs="Times New Roman"/>
          <w:szCs w:val="24"/>
        </w:rPr>
        <w:t>“</w:t>
      </w:r>
      <w:r w:rsidR="00954E75">
        <w:rPr>
          <w:rFonts w:cs="Times New Roman"/>
          <w:szCs w:val="24"/>
        </w:rPr>
        <w:t>w</w:t>
      </w:r>
      <w:r w:rsidR="00437E87">
        <w:rPr>
          <w:rFonts w:cs="Times New Roman"/>
          <w:szCs w:val="24"/>
        </w:rPr>
        <w:t xml:space="preserve">ater company” is defined in the same section </w:t>
      </w:r>
      <w:r w:rsidR="00954E75">
        <w:rPr>
          <w:rFonts w:cs="Times New Roman"/>
          <w:szCs w:val="24"/>
        </w:rPr>
        <w:t xml:space="preserve">of the statute </w:t>
      </w:r>
      <w:r w:rsidR="00437E87">
        <w:rPr>
          <w:rFonts w:cs="Times New Roman"/>
          <w:szCs w:val="24"/>
        </w:rPr>
        <w:t>and contains the same term</w:t>
      </w:r>
      <w:r w:rsidR="00354D7F">
        <w:rPr>
          <w:rFonts w:cs="Times New Roman"/>
          <w:szCs w:val="24"/>
        </w:rPr>
        <w:t xml:space="preserve">, </w:t>
      </w:r>
      <w:r w:rsidR="00437E87">
        <w:rPr>
          <w:rFonts w:cs="Times New Roman"/>
          <w:szCs w:val="24"/>
        </w:rPr>
        <w:t>“for hire”</w:t>
      </w:r>
      <w:r w:rsidR="00432F03">
        <w:rPr>
          <w:rFonts w:cs="Times New Roman"/>
          <w:szCs w:val="24"/>
        </w:rPr>
        <w:t>.</w:t>
      </w:r>
      <w:r w:rsidR="00437E87">
        <w:rPr>
          <w:rFonts w:cs="Times New Roman"/>
          <w:szCs w:val="24"/>
        </w:rPr>
        <w:t xml:space="preserve">  </w:t>
      </w:r>
    </w:p>
    <w:p w:rsidR="00EC1E96" w:rsidRDefault="00EA0B19" w:rsidP="00322F8E">
      <w:pPr>
        <w:pStyle w:val="ListParagraph"/>
        <w:numPr>
          <w:ilvl w:val="0"/>
          <w:numId w:val="6"/>
        </w:numPr>
        <w:spacing w:line="480" w:lineRule="auto"/>
        <w:ind w:left="0" w:hanging="720"/>
        <w:contextualSpacing w:val="0"/>
        <w:rPr>
          <w:rFonts w:cs="Times New Roman"/>
          <w:szCs w:val="24"/>
        </w:rPr>
      </w:pPr>
      <w:r>
        <w:rPr>
          <w:rFonts w:cs="Times New Roman"/>
          <w:szCs w:val="24"/>
        </w:rPr>
        <w:tab/>
      </w:r>
      <w:r w:rsidR="00765BCE" w:rsidRPr="00EC1E96">
        <w:rPr>
          <w:rFonts w:cs="Times New Roman"/>
          <w:szCs w:val="24"/>
        </w:rPr>
        <w:t xml:space="preserve">Notably, the court twice </w:t>
      </w:r>
      <w:r w:rsidR="00BE5A46">
        <w:rPr>
          <w:rFonts w:cs="Times New Roman"/>
          <w:szCs w:val="24"/>
        </w:rPr>
        <w:t xml:space="preserve">used italics to </w:t>
      </w:r>
      <w:r w:rsidR="00765BCE" w:rsidRPr="00EC1E96">
        <w:rPr>
          <w:rFonts w:cs="Times New Roman"/>
          <w:szCs w:val="24"/>
        </w:rPr>
        <w:t>highlight the term “for hire” as an essential element of th</w:t>
      </w:r>
      <w:r w:rsidR="00620D41">
        <w:rPr>
          <w:rFonts w:cs="Times New Roman"/>
          <w:szCs w:val="24"/>
        </w:rPr>
        <w:t>e</w:t>
      </w:r>
      <w:r w:rsidR="00765BCE" w:rsidRPr="00EC1E96">
        <w:rPr>
          <w:rFonts w:cs="Times New Roman"/>
          <w:szCs w:val="24"/>
        </w:rPr>
        <w:t xml:space="preserve"> definition, 199 Wash. at 534</w:t>
      </w:r>
      <w:r w:rsidR="00BE5A46">
        <w:rPr>
          <w:rFonts w:cs="Times New Roman"/>
          <w:szCs w:val="24"/>
        </w:rPr>
        <w:t xml:space="preserve">, </w:t>
      </w:r>
      <w:r w:rsidR="00765BCE" w:rsidRPr="00EC1E96">
        <w:rPr>
          <w:rFonts w:cs="Times New Roman"/>
          <w:szCs w:val="24"/>
        </w:rPr>
        <w:t xml:space="preserve">and then went on to conclude that “[i]t is </w:t>
      </w:r>
      <w:r w:rsidR="00765BCE" w:rsidRPr="00EC1E96">
        <w:rPr>
          <w:rFonts w:cs="Times New Roman"/>
          <w:szCs w:val="24"/>
        </w:rPr>
        <w:lastRenderedPageBreak/>
        <w:t xml:space="preserve">apparent that, upon a literal application of the definitions above set forth, [the company] would come within the scope of the [statutes], for [the company] is an ‘electrical company’ operating an ‘electric plant’ in this state, for hire, </w:t>
      </w:r>
      <w:r w:rsidR="00765BCE" w:rsidRPr="00EC1E96">
        <w:rPr>
          <w:rFonts w:cs="Times New Roman"/>
          <w:i/>
          <w:szCs w:val="24"/>
        </w:rPr>
        <w:t xml:space="preserve">in the sense that it exacts from its members compensation for its service </w:t>
      </w:r>
      <w:r w:rsidR="00765BCE" w:rsidRPr="00EC1E96">
        <w:rPr>
          <w:rFonts w:cs="Times New Roman"/>
          <w:szCs w:val="24"/>
        </w:rPr>
        <w:t>…</w:t>
      </w:r>
      <w:r w:rsidR="00EC1E96">
        <w:rPr>
          <w:rFonts w:cs="Times New Roman"/>
          <w:szCs w:val="24"/>
        </w:rPr>
        <w:t>.</w:t>
      </w:r>
      <w:r w:rsidR="00765BCE" w:rsidRPr="00EC1E96">
        <w:rPr>
          <w:rFonts w:cs="Times New Roman"/>
          <w:szCs w:val="24"/>
        </w:rPr>
        <w:t>”  199 W</w:t>
      </w:r>
      <w:r w:rsidR="00EC1E96">
        <w:rPr>
          <w:rFonts w:cs="Times New Roman"/>
          <w:szCs w:val="24"/>
        </w:rPr>
        <w:t>ash. at 534-35 (emphasis added).</w:t>
      </w:r>
      <w:r w:rsidR="00B42B74">
        <w:rPr>
          <w:rStyle w:val="FootnoteReference"/>
          <w:rFonts w:cs="Times New Roman"/>
          <w:szCs w:val="24"/>
        </w:rPr>
        <w:footnoteReference w:id="36"/>
      </w:r>
    </w:p>
    <w:p w:rsidR="00EC1E96" w:rsidRDefault="00EC1E96" w:rsidP="00322F8E">
      <w:pPr>
        <w:pStyle w:val="ListParagraph"/>
        <w:numPr>
          <w:ilvl w:val="0"/>
          <w:numId w:val="6"/>
        </w:numPr>
        <w:spacing w:line="480" w:lineRule="auto"/>
        <w:ind w:left="0" w:hanging="720"/>
        <w:contextualSpacing w:val="0"/>
        <w:rPr>
          <w:rFonts w:cs="Times New Roman"/>
          <w:szCs w:val="24"/>
        </w:rPr>
      </w:pPr>
      <w:r>
        <w:rPr>
          <w:rFonts w:cs="Times New Roman"/>
          <w:szCs w:val="24"/>
        </w:rPr>
        <w:tab/>
      </w:r>
      <w:r w:rsidR="00765BCE" w:rsidRPr="00EC1E96">
        <w:rPr>
          <w:rFonts w:cs="Times New Roman"/>
          <w:szCs w:val="24"/>
        </w:rPr>
        <w:t xml:space="preserve">The court </w:t>
      </w:r>
      <w:r w:rsidR="00AC68F7">
        <w:rPr>
          <w:rFonts w:cs="Times New Roman"/>
          <w:szCs w:val="24"/>
        </w:rPr>
        <w:t xml:space="preserve">conducted the same analysis of “for hire” </w:t>
      </w:r>
      <w:r w:rsidR="00765BCE" w:rsidRPr="00EC1E96">
        <w:rPr>
          <w:rFonts w:cs="Times New Roman"/>
          <w:szCs w:val="24"/>
        </w:rPr>
        <w:t xml:space="preserve">in </w:t>
      </w:r>
      <w:r w:rsidR="00354D7F">
        <w:rPr>
          <w:rFonts w:cs="Times New Roman"/>
          <w:szCs w:val="24"/>
        </w:rPr>
        <w:t xml:space="preserve">its </w:t>
      </w:r>
      <w:r w:rsidR="00765BCE" w:rsidRPr="00EC1E96">
        <w:rPr>
          <w:rFonts w:cs="Times New Roman"/>
          <w:i/>
          <w:szCs w:val="24"/>
        </w:rPr>
        <w:t>West Valley Land</w:t>
      </w:r>
      <w:r w:rsidR="00354D7F">
        <w:rPr>
          <w:rFonts w:cs="Times New Roman"/>
          <w:i/>
          <w:szCs w:val="24"/>
        </w:rPr>
        <w:t xml:space="preserve"> </w:t>
      </w:r>
      <w:r w:rsidR="00354D7F">
        <w:rPr>
          <w:rFonts w:cs="Times New Roman"/>
          <w:szCs w:val="24"/>
        </w:rPr>
        <w:t xml:space="preserve">decision, </w:t>
      </w:r>
      <w:r w:rsidR="00FE55A8">
        <w:rPr>
          <w:rFonts w:cs="Times New Roman"/>
          <w:i/>
          <w:szCs w:val="24"/>
        </w:rPr>
        <w:t>supra,</w:t>
      </w:r>
      <w:r w:rsidR="00765BCE" w:rsidRPr="00EC1E96">
        <w:rPr>
          <w:rFonts w:cs="Times New Roman"/>
          <w:i/>
          <w:szCs w:val="24"/>
        </w:rPr>
        <w:t xml:space="preserve"> </w:t>
      </w:r>
      <w:r w:rsidR="00765BCE" w:rsidRPr="00EC1E96">
        <w:rPr>
          <w:rFonts w:cs="Times New Roman"/>
          <w:szCs w:val="24"/>
        </w:rPr>
        <w:t xml:space="preserve">107 Wn.2d 359, </w:t>
      </w:r>
      <w:r w:rsidR="00AC68F7">
        <w:rPr>
          <w:rFonts w:cs="Times New Roman"/>
          <w:szCs w:val="24"/>
        </w:rPr>
        <w:t xml:space="preserve">this time regarding the definition of “water company” in RCW 80.04.010.  </w:t>
      </w:r>
      <w:r w:rsidR="00620D41">
        <w:rPr>
          <w:rFonts w:cs="Times New Roman"/>
          <w:szCs w:val="24"/>
        </w:rPr>
        <w:t xml:space="preserve">In all material respects, the </w:t>
      </w:r>
      <w:r w:rsidR="00765BCE" w:rsidRPr="00EC1E96">
        <w:rPr>
          <w:rFonts w:cs="Times New Roman"/>
          <w:szCs w:val="24"/>
        </w:rPr>
        <w:t xml:space="preserve">same definition that applied in </w:t>
      </w:r>
      <w:r w:rsidR="00765BCE" w:rsidRPr="00EC1E96">
        <w:rPr>
          <w:rFonts w:cs="Times New Roman"/>
          <w:i/>
          <w:szCs w:val="24"/>
        </w:rPr>
        <w:t xml:space="preserve">West Valley Land </w:t>
      </w:r>
      <w:r w:rsidR="00765BCE" w:rsidRPr="00EC1E96">
        <w:rPr>
          <w:rFonts w:cs="Times New Roman"/>
          <w:szCs w:val="24"/>
        </w:rPr>
        <w:t>applies today, including the “for hire” element of that definition</w:t>
      </w:r>
      <w:r w:rsidR="00AC68F7">
        <w:rPr>
          <w:rFonts w:cs="Times New Roman"/>
          <w:szCs w:val="24"/>
        </w:rPr>
        <w:t>.</w:t>
      </w:r>
      <w:r w:rsidR="00AC68F7">
        <w:rPr>
          <w:rStyle w:val="FootnoteReference"/>
          <w:rFonts w:cs="Times New Roman"/>
          <w:szCs w:val="24"/>
        </w:rPr>
        <w:footnoteReference w:id="37"/>
      </w:r>
      <w:r w:rsidR="00765BCE" w:rsidRPr="00EC1E96">
        <w:rPr>
          <w:rFonts w:cs="Times New Roman"/>
          <w:szCs w:val="24"/>
        </w:rPr>
        <w:t xml:space="preserve"> </w:t>
      </w:r>
    </w:p>
    <w:p w:rsidR="00EC1E96" w:rsidRPr="00AC68F7" w:rsidRDefault="00EC1E96" w:rsidP="00322F8E">
      <w:pPr>
        <w:pStyle w:val="ListParagraph"/>
        <w:numPr>
          <w:ilvl w:val="0"/>
          <w:numId w:val="6"/>
        </w:numPr>
        <w:spacing w:line="480" w:lineRule="auto"/>
        <w:ind w:left="0" w:hanging="720"/>
        <w:contextualSpacing w:val="0"/>
        <w:rPr>
          <w:rFonts w:cs="Times New Roman"/>
          <w:szCs w:val="24"/>
        </w:rPr>
      </w:pPr>
      <w:r w:rsidRPr="00AC68F7">
        <w:rPr>
          <w:rFonts w:cs="Times New Roman"/>
          <w:szCs w:val="24"/>
        </w:rPr>
        <w:tab/>
      </w:r>
      <w:r w:rsidR="00AC68F7" w:rsidRPr="00AC68F7">
        <w:rPr>
          <w:rFonts w:cs="Times New Roman"/>
          <w:szCs w:val="24"/>
        </w:rPr>
        <w:t xml:space="preserve">As in the </w:t>
      </w:r>
      <w:r w:rsidR="00AC68F7" w:rsidRPr="00AC68F7">
        <w:rPr>
          <w:rFonts w:cs="Times New Roman"/>
          <w:i/>
          <w:szCs w:val="24"/>
        </w:rPr>
        <w:t xml:space="preserve">Inland Empire </w:t>
      </w:r>
      <w:r w:rsidR="00AC68F7" w:rsidRPr="00AC68F7">
        <w:rPr>
          <w:rFonts w:cs="Times New Roman"/>
          <w:szCs w:val="24"/>
        </w:rPr>
        <w:t>decision, t</w:t>
      </w:r>
      <w:r w:rsidR="00765BCE" w:rsidRPr="00AC68F7">
        <w:rPr>
          <w:rFonts w:cs="Times New Roman"/>
          <w:szCs w:val="24"/>
        </w:rPr>
        <w:t xml:space="preserve">he court </w:t>
      </w:r>
      <w:r w:rsidR="00620D41">
        <w:rPr>
          <w:rFonts w:cs="Times New Roman"/>
          <w:szCs w:val="24"/>
        </w:rPr>
        <w:t xml:space="preserve">in </w:t>
      </w:r>
      <w:r w:rsidR="00620D41">
        <w:rPr>
          <w:rFonts w:cs="Times New Roman"/>
          <w:i/>
          <w:szCs w:val="24"/>
        </w:rPr>
        <w:t xml:space="preserve">West Valley Land </w:t>
      </w:r>
      <w:r w:rsidR="00765BCE" w:rsidRPr="00AC68F7">
        <w:rPr>
          <w:rFonts w:cs="Times New Roman"/>
          <w:szCs w:val="24"/>
        </w:rPr>
        <w:t>found that “[u]nder the literal application of the definitions set forth in RCW 80.04.010</w:t>
      </w:r>
      <w:r w:rsidR="00F57700">
        <w:rPr>
          <w:rFonts w:cs="Times New Roman"/>
          <w:szCs w:val="24"/>
        </w:rPr>
        <w:t>,</w:t>
      </w:r>
      <w:r w:rsidR="00765BCE" w:rsidRPr="00AC68F7">
        <w:rPr>
          <w:rFonts w:cs="Times New Roman"/>
          <w:szCs w:val="24"/>
        </w:rPr>
        <w:t xml:space="preserve">” Nob Hill Water Association would </w:t>
      </w:r>
      <w:r w:rsidR="00FB46AE">
        <w:rPr>
          <w:rFonts w:cs="Times New Roman"/>
          <w:szCs w:val="24"/>
        </w:rPr>
        <w:t xml:space="preserve">be </w:t>
      </w:r>
      <w:r w:rsidR="00FE55A8">
        <w:rPr>
          <w:rFonts w:cs="Times New Roman"/>
          <w:szCs w:val="24"/>
        </w:rPr>
        <w:t xml:space="preserve">a water company </w:t>
      </w:r>
      <w:r w:rsidR="00765BCE" w:rsidRPr="00AC68F7">
        <w:rPr>
          <w:rFonts w:cs="Times New Roman"/>
          <w:szCs w:val="24"/>
        </w:rPr>
        <w:t>subject to Commission regulation.  107 Wn.2d at 364.  This further confirms that a company charging for its services would meet the “for hire” element of the “water company” definition.</w:t>
      </w:r>
      <w:r w:rsidR="00B42B74">
        <w:rPr>
          <w:rStyle w:val="FootnoteReference"/>
          <w:rFonts w:cs="Times New Roman"/>
          <w:szCs w:val="24"/>
        </w:rPr>
        <w:footnoteReference w:id="38"/>
      </w:r>
    </w:p>
    <w:p w:rsidR="00EC1E96" w:rsidRDefault="00EC1E96" w:rsidP="00322F8E">
      <w:pPr>
        <w:pStyle w:val="ListParagraph"/>
        <w:numPr>
          <w:ilvl w:val="0"/>
          <w:numId w:val="6"/>
        </w:numPr>
        <w:spacing w:line="480" w:lineRule="auto"/>
        <w:ind w:left="0" w:hanging="720"/>
        <w:contextualSpacing w:val="0"/>
        <w:rPr>
          <w:rFonts w:cs="Times New Roman"/>
          <w:szCs w:val="24"/>
        </w:rPr>
      </w:pPr>
      <w:r>
        <w:rPr>
          <w:rFonts w:cs="Times New Roman"/>
          <w:szCs w:val="24"/>
        </w:rPr>
        <w:tab/>
      </w:r>
      <w:r w:rsidR="00765BCE" w:rsidRPr="00EC1E96">
        <w:rPr>
          <w:rFonts w:cs="Times New Roman"/>
          <w:szCs w:val="24"/>
        </w:rPr>
        <w:t xml:space="preserve">In conclusion, for purposes of the definition of “water company” in RCW 80.04.010(30), the term “for hire” means </w:t>
      </w:r>
      <w:r w:rsidR="00620D41">
        <w:rPr>
          <w:rFonts w:cs="Times New Roman"/>
          <w:szCs w:val="24"/>
        </w:rPr>
        <w:t xml:space="preserve">the company exacts </w:t>
      </w:r>
      <w:r w:rsidR="00765BCE" w:rsidRPr="00EC1E96">
        <w:rPr>
          <w:rFonts w:cs="Times New Roman"/>
          <w:szCs w:val="24"/>
        </w:rPr>
        <w:t xml:space="preserve">compensation for </w:t>
      </w:r>
      <w:r w:rsidR="00B94FC1">
        <w:rPr>
          <w:rFonts w:cs="Times New Roman"/>
          <w:szCs w:val="24"/>
        </w:rPr>
        <w:t xml:space="preserve">its water </w:t>
      </w:r>
      <w:r w:rsidR="00765BCE" w:rsidRPr="00EC1E96">
        <w:rPr>
          <w:rFonts w:cs="Times New Roman"/>
          <w:szCs w:val="24"/>
        </w:rPr>
        <w:t>services</w:t>
      </w:r>
      <w:r w:rsidR="00620D41">
        <w:rPr>
          <w:rFonts w:cs="Times New Roman"/>
          <w:szCs w:val="24"/>
        </w:rPr>
        <w:t xml:space="preserve">.  </w:t>
      </w:r>
      <w:r w:rsidR="00BE5A46">
        <w:rPr>
          <w:rFonts w:cs="Times New Roman"/>
          <w:szCs w:val="24"/>
        </w:rPr>
        <w:t xml:space="preserve">Because </w:t>
      </w:r>
      <w:r w:rsidR="00765BCE" w:rsidRPr="00EC1E96">
        <w:rPr>
          <w:rFonts w:cs="Times New Roman"/>
          <w:szCs w:val="24"/>
        </w:rPr>
        <w:t xml:space="preserve">SPIC </w:t>
      </w:r>
      <w:r w:rsidR="00BE5A46">
        <w:rPr>
          <w:rFonts w:cs="Times New Roman"/>
          <w:szCs w:val="24"/>
        </w:rPr>
        <w:t>exacts compensation for its water service,</w:t>
      </w:r>
      <w:r w:rsidR="00765BCE" w:rsidRPr="00EC1E96">
        <w:rPr>
          <w:rFonts w:cs="Times New Roman"/>
          <w:szCs w:val="24"/>
        </w:rPr>
        <w:t xml:space="preserve"> the Company satisfies </w:t>
      </w:r>
      <w:r w:rsidR="00AC68F7">
        <w:rPr>
          <w:rFonts w:cs="Times New Roman"/>
          <w:szCs w:val="24"/>
        </w:rPr>
        <w:t xml:space="preserve">all elements of </w:t>
      </w:r>
      <w:r w:rsidR="00765BCE" w:rsidRPr="00EC1E96">
        <w:rPr>
          <w:rFonts w:cs="Times New Roman"/>
          <w:szCs w:val="24"/>
        </w:rPr>
        <w:t>the definition of “water company” in RCW 80.04.010(30).</w:t>
      </w:r>
    </w:p>
    <w:p w:rsidR="004C5B62" w:rsidRDefault="00724B29" w:rsidP="004C5B62">
      <w:pPr>
        <w:pStyle w:val="ListParagraph"/>
        <w:keepNext/>
        <w:spacing w:line="480" w:lineRule="auto"/>
        <w:ind w:left="0"/>
        <w:contextualSpacing w:val="0"/>
        <w:rPr>
          <w:rFonts w:cs="Times New Roman"/>
          <w:szCs w:val="24"/>
        </w:rPr>
      </w:pPr>
      <w:r>
        <w:rPr>
          <w:rFonts w:cs="Times New Roman"/>
          <w:b/>
          <w:szCs w:val="24"/>
        </w:rPr>
        <w:lastRenderedPageBreak/>
        <w:t>C</w:t>
      </w:r>
      <w:r w:rsidR="00EC1E96" w:rsidRPr="00EC1E96">
        <w:rPr>
          <w:rFonts w:cs="Times New Roman"/>
          <w:b/>
          <w:szCs w:val="24"/>
        </w:rPr>
        <w:t>.</w:t>
      </w:r>
      <w:r w:rsidR="00EC1E96" w:rsidRPr="00EC1E96">
        <w:rPr>
          <w:rFonts w:cs="Times New Roman"/>
          <w:b/>
          <w:szCs w:val="24"/>
        </w:rPr>
        <w:tab/>
        <w:t xml:space="preserve">The “service to the public” test </w:t>
      </w:r>
    </w:p>
    <w:p w:rsidR="00EC1E96" w:rsidRDefault="00354D7F" w:rsidP="00EC1E96">
      <w:pPr>
        <w:pStyle w:val="ListParagraph"/>
        <w:keepNext/>
        <w:numPr>
          <w:ilvl w:val="0"/>
          <w:numId w:val="6"/>
        </w:numPr>
        <w:spacing w:line="480" w:lineRule="auto"/>
        <w:ind w:left="0" w:hanging="720"/>
        <w:contextualSpacing w:val="0"/>
        <w:rPr>
          <w:rFonts w:cs="Times New Roman"/>
          <w:szCs w:val="24"/>
        </w:rPr>
      </w:pPr>
      <w:r>
        <w:rPr>
          <w:rFonts w:cs="Times New Roman"/>
          <w:szCs w:val="24"/>
        </w:rPr>
        <w:tab/>
      </w:r>
      <w:r w:rsidR="00765BCE" w:rsidRPr="00EC1E96">
        <w:rPr>
          <w:rFonts w:cs="Times New Roman"/>
          <w:szCs w:val="24"/>
        </w:rPr>
        <w:t xml:space="preserve">In </w:t>
      </w:r>
      <w:r w:rsidR="00765BCE" w:rsidRPr="00EC1E96">
        <w:rPr>
          <w:rFonts w:cs="Times New Roman"/>
          <w:i/>
          <w:szCs w:val="24"/>
        </w:rPr>
        <w:t>Inland Empire</w:t>
      </w:r>
      <w:r w:rsidR="00765BCE" w:rsidRPr="00EC1E96">
        <w:rPr>
          <w:rFonts w:cs="Times New Roman"/>
          <w:szCs w:val="24"/>
        </w:rPr>
        <w:t>, the court described th</w:t>
      </w:r>
      <w:r w:rsidR="00676F77">
        <w:rPr>
          <w:rFonts w:cs="Times New Roman"/>
          <w:szCs w:val="24"/>
        </w:rPr>
        <w:t>e “serve to the public” test</w:t>
      </w:r>
      <w:r w:rsidR="00EB5D49">
        <w:rPr>
          <w:rFonts w:cs="Times New Roman"/>
          <w:szCs w:val="24"/>
        </w:rPr>
        <w:t xml:space="preserve"> as follows</w:t>
      </w:r>
      <w:r w:rsidR="00EC1E96" w:rsidRPr="00EC1E96">
        <w:rPr>
          <w:rFonts w:cs="Times New Roman"/>
          <w:szCs w:val="24"/>
        </w:rPr>
        <w:t>:</w:t>
      </w:r>
    </w:p>
    <w:p w:rsidR="00EC1E96" w:rsidRPr="00765BCE" w:rsidRDefault="00EC1E96" w:rsidP="00EC1E96">
      <w:pPr>
        <w:widowControl w:val="0"/>
        <w:ind w:left="720"/>
        <w:rPr>
          <w:rFonts w:cs="Times New Roman"/>
          <w:szCs w:val="24"/>
        </w:rPr>
      </w:pPr>
      <w:r w:rsidRPr="00765BCE">
        <w:rPr>
          <w:rFonts w:cs="Times New Roman"/>
          <w:szCs w:val="24"/>
        </w:rPr>
        <w:t xml:space="preserve">A corporation becomes a public service corporation subject to regulation by [the UTC’s predecessor agency] only when, and to the extent that, its business is dedicated or devoted to public use.  </w:t>
      </w:r>
      <w:r w:rsidRPr="00765BCE">
        <w:rPr>
          <w:rFonts w:cs="Times New Roman"/>
          <w:i/>
          <w:szCs w:val="24"/>
        </w:rPr>
        <w:t>The test to be applied is whether or not the corporation holds itself out, expressly or impliedly, to supply its service or product for use either by the public as a class or that portion of it that can be served by the utility; or whether, on the contrary, it merely offers to serve only particular customers of its own selection</w:t>
      </w:r>
      <w:r w:rsidRPr="00765BCE">
        <w:rPr>
          <w:rFonts w:cs="Times New Roman"/>
          <w:szCs w:val="24"/>
        </w:rPr>
        <w:t>.</w:t>
      </w:r>
    </w:p>
    <w:p w:rsidR="00EC1E96" w:rsidRPr="00765BCE" w:rsidRDefault="00EC1E96" w:rsidP="00EC1E96">
      <w:pPr>
        <w:rPr>
          <w:rFonts w:cs="Times New Roman"/>
          <w:szCs w:val="24"/>
        </w:rPr>
      </w:pPr>
    </w:p>
    <w:p w:rsidR="00EC1E96" w:rsidRDefault="00EC1E96" w:rsidP="00EC1E96">
      <w:pPr>
        <w:widowControl w:val="0"/>
        <w:spacing w:line="480" w:lineRule="auto"/>
        <w:rPr>
          <w:rFonts w:cs="Times New Roman"/>
          <w:szCs w:val="24"/>
        </w:rPr>
      </w:pPr>
      <w:r w:rsidRPr="00765BCE">
        <w:rPr>
          <w:rFonts w:cs="Times New Roman"/>
          <w:szCs w:val="24"/>
        </w:rPr>
        <w:t xml:space="preserve">199 Wash. at 537 (citations omitted, emphasis </w:t>
      </w:r>
      <w:r w:rsidR="00F57700">
        <w:rPr>
          <w:rFonts w:cs="Times New Roman"/>
          <w:szCs w:val="24"/>
        </w:rPr>
        <w:t>added</w:t>
      </w:r>
      <w:r w:rsidRPr="00765BCE">
        <w:rPr>
          <w:rFonts w:cs="Times New Roman"/>
          <w:szCs w:val="24"/>
        </w:rPr>
        <w:t xml:space="preserve">).  </w:t>
      </w:r>
    </w:p>
    <w:p w:rsidR="004C5B62" w:rsidRDefault="004C5B62" w:rsidP="00322F8E">
      <w:pPr>
        <w:pStyle w:val="ListParagraph"/>
        <w:numPr>
          <w:ilvl w:val="0"/>
          <w:numId w:val="6"/>
        </w:numPr>
        <w:spacing w:line="480" w:lineRule="auto"/>
        <w:ind w:left="0" w:hanging="720"/>
        <w:contextualSpacing w:val="0"/>
        <w:rPr>
          <w:rFonts w:cs="Times New Roman"/>
          <w:szCs w:val="24"/>
        </w:rPr>
      </w:pPr>
      <w:r w:rsidRPr="004C5B62">
        <w:rPr>
          <w:rFonts w:cs="Times New Roman"/>
          <w:szCs w:val="24"/>
        </w:rPr>
        <w:tab/>
        <w:t xml:space="preserve">In applying this test in both </w:t>
      </w:r>
      <w:r w:rsidRPr="004C5B62">
        <w:rPr>
          <w:rFonts w:cs="Times New Roman"/>
          <w:i/>
          <w:szCs w:val="24"/>
        </w:rPr>
        <w:t xml:space="preserve">Inland Empire </w:t>
      </w:r>
      <w:r w:rsidRPr="004C5B62">
        <w:rPr>
          <w:rFonts w:cs="Times New Roman"/>
          <w:szCs w:val="24"/>
        </w:rPr>
        <w:t xml:space="preserve">and </w:t>
      </w:r>
      <w:r w:rsidRPr="004C5B62">
        <w:rPr>
          <w:rFonts w:cs="Times New Roman"/>
          <w:i/>
          <w:szCs w:val="24"/>
        </w:rPr>
        <w:t xml:space="preserve">West Valley Land, </w:t>
      </w:r>
      <w:r w:rsidRPr="004C5B62">
        <w:rPr>
          <w:rFonts w:cs="Times New Roman"/>
          <w:szCs w:val="24"/>
        </w:rPr>
        <w:t>however, the court focused primarily on the utility</w:t>
      </w:r>
      <w:r w:rsidR="00F57700">
        <w:rPr>
          <w:rFonts w:cs="Times New Roman"/>
          <w:szCs w:val="24"/>
        </w:rPr>
        <w:t>-</w:t>
      </w:r>
      <w:r w:rsidRPr="004C5B62">
        <w:rPr>
          <w:rFonts w:cs="Times New Roman"/>
          <w:szCs w:val="24"/>
        </w:rPr>
        <w:t xml:space="preserve">customer relationship to determine whether customers have a “complete identity of interest” with the utility serving those customers.  If they do, the court will exempt that company from regulation to that extent.  </w:t>
      </w:r>
    </w:p>
    <w:p w:rsidR="00676F77" w:rsidRPr="004C5B62" w:rsidRDefault="004C5B62" w:rsidP="00322F8E">
      <w:pPr>
        <w:pStyle w:val="ListParagraph"/>
        <w:widowControl w:val="0"/>
        <w:numPr>
          <w:ilvl w:val="0"/>
          <w:numId w:val="6"/>
        </w:numPr>
        <w:spacing w:line="480" w:lineRule="auto"/>
        <w:ind w:left="0" w:hanging="720"/>
        <w:contextualSpacing w:val="0"/>
        <w:rPr>
          <w:rFonts w:cs="Times New Roman"/>
          <w:szCs w:val="24"/>
        </w:rPr>
      </w:pPr>
      <w:r w:rsidRPr="004C5B62">
        <w:rPr>
          <w:rFonts w:cs="Times New Roman"/>
          <w:szCs w:val="24"/>
        </w:rPr>
        <w:tab/>
        <w:t xml:space="preserve">In Section III.C.1 below, we apply the literal wording of the “service to the public” test.  In Section III.C.2 below, we focus on the relationship between SPIC and its customers.  </w:t>
      </w:r>
      <w:r>
        <w:rPr>
          <w:rFonts w:cs="Times New Roman"/>
          <w:szCs w:val="24"/>
        </w:rPr>
        <w:t>W</w:t>
      </w:r>
      <w:r w:rsidRPr="004C5B62">
        <w:rPr>
          <w:rFonts w:cs="Times New Roman"/>
          <w:szCs w:val="24"/>
        </w:rPr>
        <w:t>e demonstrate</w:t>
      </w:r>
      <w:r>
        <w:rPr>
          <w:rFonts w:cs="Times New Roman"/>
          <w:szCs w:val="24"/>
        </w:rPr>
        <w:t xml:space="preserve"> that </w:t>
      </w:r>
      <w:r w:rsidRPr="004C5B62">
        <w:rPr>
          <w:rFonts w:cs="Times New Roman"/>
          <w:szCs w:val="24"/>
        </w:rPr>
        <w:t>SPIC provides service to the public to the extent of its ability, and it does not merely serve particular individuals of its own selection.  An analysis of the utility</w:t>
      </w:r>
      <w:r w:rsidR="00F57700">
        <w:rPr>
          <w:rFonts w:cs="Times New Roman"/>
          <w:szCs w:val="24"/>
        </w:rPr>
        <w:t>-</w:t>
      </w:r>
      <w:r w:rsidRPr="004C5B62">
        <w:rPr>
          <w:rFonts w:cs="Times New Roman"/>
          <w:szCs w:val="24"/>
        </w:rPr>
        <w:t>customer relationship shows that SPIC is subject to Commission regulation regarding service to Class C shareholders/customers and non-shareholders, but not regarding the Company’s service to Class A shareholders/customers.</w:t>
      </w:r>
    </w:p>
    <w:p w:rsidR="00BD4FF0" w:rsidRDefault="00BD4FF0" w:rsidP="00BD4FF0">
      <w:pPr>
        <w:pStyle w:val="ListParagraph"/>
        <w:ind w:left="1440" w:hanging="720"/>
        <w:rPr>
          <w:rFonts w:cs="Times New Roman"/>
          <w:b/>
          <w:szCs w:val="24"/>
        </w:rPr>
      </w:pPr>
      <w:r>
        <w:rPr>
          <w:rFonts w:cs="Times New Roman"/>
          <w:b/>
          <w:szCs w:val="24"/>
        </w:rPr>
        <w:t>1</w:t>
      </w:r>
      <w:r w:rsidRPr="00DF0D1C">
        <w:rPr>
          <w:rFonts w:cs="Times New Roman"/>
          <w:b/>
          <w:szCs w:val="24"/>
        </w:rPr>
        <w:t>.</w:t>
      </w:r>
      <w:r w:rsidRPr="00DF0D1C">
        <w:rPr>
          <w:rFonts w:cs="Times New Roman"/>
          <w:szCs w:val="24"/>
        </w:rPr>
        <w:tab/>
      </w:r>
      <w:r w:rsidRPr="00DF0D1C">
        <w:rPr>
          <w:rFonts w:cs="Times New Roman"/>
          <w:b/>
          <w:szCs w:val="24"/>
        </w:rPr>
        <w:t xml:space="preserve">SPIC </w:t>
      </w:r>
      <w:r>
        <w:rPr>
          <w:rFonts w:cs="Times New Roman"/>
          <w:b/>
          <w:szCs w:val="24"/>
        </w:rPr>
        <w:t>serves the public to the extent of its ability</w:t>
      </w:r>
      <w:r w:rsidR="00A01CCE">
        <w:rPr>
          <w:rFonts w:cs="Times New Roman"/>
          <w:b/>
          <w:szCs w:val="24"/>
        </w:rPr>
        <w:t xml:space="preserve"> to serve</w:t>
      </w:r>
      <w:r>
        <w:rPr>
          <w:rFonts w:cs="Times New Roman"/>
          <w:b/>
          <w:szCs w:val="24"/>
        </w:rPr>
        <w:t>; the Company does not merely serve particular individuals of its own selection</w:t>
      </w:r>
      <w:r w:rsidRPr="00DF0D1C">
        <w:rPr>
          <w:rFonts w:cs="Times New Roman"/>
          <w:b/>
          <w:szCs w:val="24"/>
        </w:rPr>
        <w:t xml:space="preserve"> </w:t>
      </w:r>
    </w:p>
    <w:p w:rsidR="00BD4FF0" w:rsidRPr="00DF0D1C" w:rsidRDefault="00BD4FF0" w:rsidP="00BD4FF0">
      <w:pPr>
        <w:pStyle w:val="ListParagraph"/>
        <w:ind w:left="1440" w:hanging="720"/>
        <w:rPr>
          <w:rFonts w:cs="Times New Roman"/>
          <w:szCs w:val="24"/>
        </w:rPr>
      </w:pPr>
    </w:p>
    <w:p w:rsidR="00BD4FF0" w:rsidRDefault="00BD4FF0" w:rsidP="00BD4FF0">
      <w:pPr>
        <w:pStyle w:val="ListParagraph"/>
        <w:numPr>
          <w:ilvl w:val="0"/>
          <w:numId w:val="6"/>
        </w:numPr>
        <w:spacing w:line="480" w:lineRule="auto"/>
        <w:ind w:left="0" w:hanging="720"/>
        <w:rPr>
          <w:rFonts w:cs="Times New Roman"/>
          <w:szCs w:val="24"/>
        </w:rPr>
      </w:pPr>
      <w:r>
        <w:rPr>
          <w:rFonts w:cs="Times New Roman"/>
          <w:szCs w:val="24"/>
        </w:rPr>
        <w:tab/>
        <w:t>As described</w:t>
      </w:r>
      <w:r w:rsidR="00F57700">
        <w:rPr>
          <w:rFonts w:cs="Times New Roman"/>
          <w:szCs w:val="24"/>
        </w:rPr>
        <w:t xml:space="preserve"> above</w:t>
      </w:r>
      <w:r>
        <w:rPr>
          <w:rFonts w:cs="Times New Roman"/>
          <w:szCs w:val="24"/>
        </w:rPr>
        <w:t>, the</w:t>
      </w:r>
      <w:r w:rsidR="00954E75">
        <w:rPr>
          <w:rFonts w:cs="Times New Roman"/>
          <w:szCs w:val="24"/>
        </w:rPr>
        <w:t>re are two</w:t>
      </w:r>
      <w:r>
        <w:rPr>
          <w:rFonts w:cs="Times New Roman"/>
          <w:szCs w:val="24"/>
        </w:rPr>
        <w:t xml:space="preserve"> elements of the </w:t>
      </w:r>
      <w:r w:rsidR="00954E75">
        <w:rPr>
          <w:rFonts w:cs="Times New Roman"/>
          <w:szCs w:val="24"/>
        </w:rPr>
        <w:t xml:space="preserve">literal </w:t>
      </w:r>
      <w:r>
        <w:rPr>
          <w:rFonts w:cs="Times New Roman"/>
          <w:szCs w:val="24"/>
        </w:rPr>
        <w:t>“service to the public” test</w:t>
      </w:r>
      <w:r w:rsidR="00954E75">
        <w:rPr>
          <w:rFonts w:cs="Times New Roman"/>
          <w:szCs w:val="24"/>
        </w:rPr>
        <w:t xml:space="preserve">; first, </w:t>
      </w:r>
      <w:r>
        <w:rPr>
          <w:rFonts w:cs="Times New Roman"/>
          <w:szCs w:val="24"/>
        </w:rPr>
        <w:t>whether the company “</w:t>
      </w:r>
      <w:r w:rsidRPr="00DF0D1C">
        <w:rPr>
          <w:rFonts w:cs="Times New Roman"/>
          <w:szCs w:val="24"/>
        </w:rPr>
        <w:t>hold</w:t>
      </w:r>
      <w:r>
        <w:rPr>
          <w:rFonts w:cs="Times New Roman"/>
          <w:szCs w:val="24"/>
        </w:rPr>
        <w:t>s</w:t>
      </w:r>
      <w:r w:rsidRPr="00DF0D1C">
        <w:rPr>
          <w:rFonts w:cs="Times New Roman"/>
          <w:szCs w:val="24"/>
        </w:rPr>
        <w:t xml:space="preserve"> itself out</w:t>
      </w:r>
      <w:r>
        <w:rPr>
          <w:rFonts w:cs="Times New Roman"/>
          <w:szCs w:val="24"/>
        </w:rPr>
        <w:t>, expressly or impliedly,</w:t>
      </w:r>
      <w:r w:rsidRPr="00DF0D1C">
        <w:rPr>
          <w:rFonts w:cs="Times New Roman"/>
          <w:szCs w:val="24"/>
        </w:rPr>
        <w:t xml:space="preserve"> to supply </w:t>
      </w:r>
      <w:r>
        <w:rPr>
          <w:rFonts w:cs="Times New Roman"/>
          <w:szCs w:val="24"/>
        </w:rPr>
        <w:t xml:space="preserve">its service … for use either by the public as a class or </w:t>
      </w:r>
      <w:r w:rsidRPr="00DF0D1C">
        <w:rPr>
          <w:rFonts w:cs="Times New Roman"/>
          <w:szCs w:val="24"/>
        </w:rPr>
        <w:t>that portion of the public that can be served</w:t>
      </w:r>
      <w:r>
        <w:rPr>
          <w:rFonts w:cs="Times New Roman"/>
          <w:szCs w:val="24"/>
        </w:rPr>
        <w:t xml:space="preserve"> by the utility</w:t>
      </w:r>
      <w:r w:rsidR="00DC3E85">
        <w:rPr>
          <w:rFonts w:cs="Times New Roman"/>
          <w:szCs w:val="24"/>
        </w:rPr>
        <w:t>;</w:t>
      </w:r>
      <w:r w:rsidRPr="00DF0D1C">
        <w:rPr>
          <w:rFonts w:cs="Times New Roman"/>
          <w:szCs w:val="24"/>
        </w:rPr>
        <w:t>”</w:t>
      </w:r>
      <w:r w:rsidR="00954E75">
        <w:rPr>
          <w:rFonts w:cs="Times New Roman"/>
          <w:szCs w:val="24"/>
        </w:rPr>
        <w:t xml:space="preserve"> </w:t>
      </w:r>
      <w:r w:rsidR="00120267">
        <w:rPr>
          <w:rFonts w:cs="Times New Roman"/>
          <w:szCs w:val="24"/>
        </w:rPr>
        <w:t>or</w:t>
      </w:r>
      <w:r w:rsidR="00954E75">
        <w:rPr>
          <w:rFonts w:cs="Times New Roman"/>
          <w:szCs w:val="24"/>
        </w:rPr>
        <w:t xml:space="preserve"> second, whether the company</w:t>
      </w:r>
      <w:r w:rsidRPr="00DF0D1C">
        <w:rPr>
          <w:rFonts w:cs="Times New Roman"/>
          <w:szCs w:val="24"/>
        </w:rPr>
        <w:t xml:space="preserve"> “merely </w:t>
      </w:r>
      <w:r>
        <w:rPr>
          <w:rFonts w:cs="Times New Roman"/>
          <w:szCs w:val="24"/>
        </w:rPr>
        <w:t>offer</w:t>
      </w:r>
      <w:r w:rsidR="00120267">
        <w:rPr>
          <w:rFonts w:cs="Times New Roman"/>
          <w:szCs w:val="24"/>
        </w:rPr>
        <w:t>s</w:t>
      </w:r>
      <w:r>
        <w:rPr>
          <w:rFonts w:cs="Times New Roman"/>
          <w:szCs w:val="24"/>
        </w:rPr>
        <w:t xml:space="preserve"> to </w:t>
      </w:r>
      <w:r w:rsidRPr="00DF0D1C">
        <w:rPr>
          <w:rFonts w:cs="Times New Roman"/>
          <w:szCs w:val="24"/>
        </w:rPr>
        <w:t xml:space="preserve">serve </w:t>
      </w:r>
      <w:r>
        <w:rPr>
          <w:rFonts w:cs="Times New Roman"/>
          <w:szCs w:val="24"/>
        </w:rPr>
        <w:t xml:space="preserve">only </w:t>
      </w:r>
      <w:r w:rsidRPr="00DF0D1C">
        <w:rPr>
          <w:rFonts w:cs="Times New Roman"/>
          <w:szCs w:val="24"/>
        </w:rPr>
        <w:t xml:space="preserve">particular </w:t>
      </w:r>
      <w:r>
        <w:rPr>
          <w:rFonts w:cs="Times New Roman"/>
          <w:szCs w:val="24"/>
        </w:rPr>
        <w:t>individuals</w:t>
      </w:r>
      <w:r w:rsidRPr="00DF0D1C">
        <w:rPr>
          <w:rFonts w:cs="Times New Roman"/>
          <w:szCs w:val="24"/>
        </w:rPr>
        <w:t xml:space="preserve"> </w:t>
      </w:r>
      <w:r w:rsidRPr="00DF0D1C">
        <w:rPr>
          <w:rFonts w:cs="Times New Roman"/>
          <w:szCs w:val="24"/>
        </w:rPr>
        <w:lastRenderedPageBreak/>
        <w:t xml:space="preserve">of its own </w:t>
      </w:r>
      <w:r>
        <w:rPr>
          <w:rFonts w:cs="Times New Roman"/>
          <w:szCs w:val="24"/>
        </w:rPr>
        <w:t>selection</w:t>
      </w:r>
      <w:r w:rsidRPr="00DF0D1C">
        <w:rPr>
          <w:rFonts w:cs="Times New Roman"/>
          <w:szCs w:val="24"/>
        </w:rPr>
        <w:t>.”</w:t>
      </w:r>
      <w:r>
        <w:rPr>
          <w:rFonts w:cs="Times New Roman"/>
          <w:szCs w:val="24"/>
        </w:rPr>
        <w:t xml:space="preserve">  </w:t>
      </w:r>
      <w:r w:rsidR="00437E87">
        <w:rPr>
          <w:rFonts w:cs="Times New Roman"/>
          <w:szCs w:val="24"/>
        </w:rPr>
        <w:t>(Quote</w:t>
      </w:r>
      <w:r w:rsidR="00EB5D49">
        <w:rPr>
          <w:rFonts w:cs="Times New Roman"/>
          <w:szCs w:val="24"/>
        </w:rPr>
        <w:t>s are</w:t>
      </w:r>
      <w:r w:rsidR="00437E87">
        <w:rPr>
          <w:rFonts w:cs="Times New Roman"/>
          <w:szCs w:val="24"/>
        </w:rPr>
        <w:t xml:space="preserve"> from </w:t>
      </w:r>
      <w:r>
        <w:rPr>
          <w:rFonts w:cs="Times New Roman"/>
          <w:i/>
          <w:szCs w:val="24"/>
        </w:rPr>
        <w:t>Inland Empire</w:t>
      </w:r>
      <w:r>
        <w:rPr>
          <w:rFonts w:cs="Times New Roman"/>
          <w:szCs w:val="24"/>
        </w:rPr>
        <w:t>, 199 Wash. at 537 (citations omitted)</w:t>
      </w:r>
      <w:r w:rsidR="00437E87">
        <w:rPr>
          <w:rFonts w:cs="Times New Roman"/>
          <w:szCs w:val="24"/>
        </w:rPr>
        <w:t>)</w:t>
      </w:r>
      <w:r>
        <w:rPr>
          <w:rFonts w:cs="Times New Roman"/>
          <w:szCs w:val="24"/>
        </w:rPr>
        <w:t>.</w:t>
      </w:r>
    </w:p>
    <w:p w:rsidR="00BD4FF0" w:rsidRDefault="00BD4FF0" w:rsidP="00BD4FF0">
      <w:pPr>
        <w:pStyle w:val="ListParagraph"/>
        <w:numPr>
          <w:ilvl w:val="0"/>
          <w:numId w:val="6"/>
        </w:numPr>
        <w:spacing w:line="480" w:lineRule="auto"/>
        <w:ind w:left="0" w:hanging="720"/>
        <w:rPr>
          <w:rFonts w:cs="Times New Roman"/>
          <w:szCs w:val="24"/>
        </w:rPr>
      </w:pPr>
      <w:r>
        <w:rPr>
          <w:rFonts w:cs="Times New Roman"/>
          <w:szCs w:val="24"/>
        </w:rPr>
        <w:tab/>
        <w:t xml:space="preserve">SPIC satisfies </w:t>
      </w:r>
      <w:r w:rsidR="00F43A77">
        <w:rPr>
          <w:rFonts w:cs="Times New Roman"/>
          <w:szCs w:val="24"/>
        </w:rPr>
        <w:t xml:space="preserve">both </w:t>
      </w:r>
      <w:r>
        <w:rPr>
          <w:rFonts w:cs="Times New Roman"/>
          <w:szCs w:val="24"/>
        </w:rPr>
        <w:t xml:space="preserve">elements.  </w:t>
      </w:r>
      <w:r w:rsidRPr="00DF0D1C">
        <w:rPr>
          <w:rFonts w:cs="Times New Roman"/>
          <w:szCs w:val="24"/>
        </w:rPr>
        <w:t xml:space="preserve">As </w:t>
      </w:r>
      <w:r>
        <w:rPr>
          <w:rFonts w:cs="Times New Roman"/>
          <w:szCs w:val="24"/>
        </w:rPr>
        <w:t xml:space="preserve">we outlined earlier, </w:t>
      </w:r>
      <w:r w:rsidRPr="00DF0D1C">
        <w:rPr>
          <w:rFonts w:cs="Times New Roman"/>
          <w:szCs w:val="24"/>
        </w:rPr>
        <w:t xml:space="preserve">the Company </w:t>
      </w:r>
      <w:r>
        <w:rPr>
          <w:rFonts w:cs="Times New Roman"/>
          <w:szCs w:val="24"/>
        </w:rPr>
        <w:t xml:space="preserve">commits to </w:t>
      </w:r>
      <w:r w:rsidRPr="00DF0D1C">
        <w:rPr>
          <w:rFonts w:cs="Times New Roman"/>
          <w:szCs w:val="24"/>
        </w:rPr>
        <w:t xml:space="preserve">serve </w:t>
      </w:r>
      <w:r>
        <w:rPr>
          <w:rFonts w:cs="Times New Roman"/>
          <w:szCs w:val="24"/>
        </w:rPr>
        <w:t xml:space="preserve">any customer in its service area </w:t>
      </w:r>
      <w:r w:rsidRPr="00DF0D1C">
        <w:rPr>
          <w:rFonts w:cs="Times New Roman"/>
          <w:szCs w:val="24"/>
        </w:rPr>
        <w:t>“in a timely and reasonable manner</w:t>
      </w:r>
      <w:r w:rsidR="0044629A">
        <w:rPr>
          <w:rFonts w:cs="Times New Roman"/>
          <w:szCs w:val="24"/>
        </w:rPr>
        <w:t>,”</w:t>
      </w:r>
      <w:r w:rsidR="0044629A" w:rsidRPr="00DF0D1C">
        <w:rPr>
          <w:rFonts w:cs="Times New Roman"/>
          <w:szCs w:val="24"/>
        </w:rPr>
        <w:t xml:space="preserve"> </w:t>
      </w:r>
      <w:r w:rsidRPr="00DF0D1C">
        <w:rPr>
          <w:rFonts w:cs="Times New Roman"/>
          <w:szCs w:val="24"/>
        </w:rPr>
        <w:t>when there are “sufficient water rights to provide water service</w:t>
      </w:r>
      <w:r w:rsidR="0044629A">
        <w:rPr>
          <w:rFonts w:cs="Times New Roman"/>
          <w:szCs w:val="24"/>
        </w:rPr>
        <w:t>,”</w:t>
      </w:r>
      <w:r w:rsidRPr="00DF0D1C">
        <w:rPr>
          <w:rFonts w:cs="Times New Roman"/>
          <w:szCs w:val="24"/>
        </w:rPr>
        <w:t xml:space="preserve"> there is “sufficient capacity to serve the water in a safe and reliable manner as determined by WSDOH” and such service “is consistent with the requirements of local plans and regulations.”</w:t>
      </w:r>
      <w:r w:rsidRPr="00765BCE">
        <w:rPr>
          <w:rStyle w:val="FootnoteReference"/>
          <w:rFonts w:cs="Times New Roman"/>
          <w:szCs w:val="24"/>
        </w:rPr>
        <w:footnoteReference w:id="39"/>
      </w:r>
      <w:r>
        <w:rPr>
          <w:rFonts w:cs="Times New Roman"/>
          <w:szCs w:val="24"/>
        </w:rPr>
        <w:t xml:space="preserve">  Simply put, </w:t>
      </w:r>
      <w:r w:rsidR="0049613B">
        <w:rPr>
          <w:rFonts w:cs="Times New Roman"/>
          <w:szCs w:val="24"/>
        </w:rPr>
        <w:t>SPIC</w:t>
      </w:r>
      <w:r>
        <w:rPr>
          <w:rFonts w:cs="Times New Roman"/>
          <w:szCs w:val="24"/>
        </w:rPr>
        <w:t xml:space="preserve"> serves all persons in its service area to the extent </w:t>
      </w:r>
      <w:r w:rsidR="00EC1FD3">
        <w:rPr>
          <w:rFonts w:cs="Times New Roman"/>
          <w:szCs w:val="24"/>
        </w:rPr>
        <w:t xml:space="preserve">of </w:t>
      </w:r>
      <w:r w:rsidR="0049613B">
        <w:rPr>
          <w:rFonts w:cs="Times New Roman"/>
          <w:szCs w:val="24"/>
        </w:rPr>
        <w:t>its ability</w:t>
      </w:r>
      <w:r w:rsidR="00EC1FD3">
        <w:rPr>
          <w:rFonts w:cs="Times New Roman"/>
          <w:szCs w:val="24"/>
        </w:rPr>
        <w:t xml:space="preserve"> </w:t>
      </w:r>
      <w:r>
        <w:rPr>
          <w:rFonts w:cs="Times New Roman"/>
          <w:szCs w:val="24"/>
        </w:rPr>
        <w:t xml:space="preserve">to </w:t>
      </w:r>
      <w:r w:rsidR="00B907FD">
        <w:rPr>
          <w:rFonts w:cs="Times New Roman"/>
          <w:szCs w:val="24"/>
        </w:rPr>
        <w:t>serve</w:t>
      </w:r>
      <w:r>
        <w:rPr>
          <w:rFonts w:cs="Times New Roman"/>
          <w:szCs w:val="24"/>
        </w:rPr>
        <w:t>.</w:t>
      </w:r>
      <w:r w:rsidRPr="00DF0D1C">
        <w:rPr>
          <w:rFonts w:cs="Times New Roman"/>
          <w:szCs w:val="24"/>
        </w:rPr>
        <w:t xml:space="preserve">  </w:t>
      </w:r>
    </w:p>
    <w:p w:rsidR="00BD4FF0" w:rsidRDefault="00BD4FF0" w:rsidP="00BD4FF0">
      <w:pPr>
        <w:pStyle w:val="ListParagraph"/>
        <w:numPr>
          <w:ilvl w:val="0"/>
          <w:numId w:val="6"/>
        </w:numPr>
        <w:spacing w:line="480" w:lineRule="auto"/>
        <w:ind w:left="0" w:hanging="720"/>
        <w:rPr>
          <w:rFonts w:cs="Times New Roman"/>
          <w:szCs w:val="24"/>
        </w:rPr>
      </w:pPr>
      <w:r>
        <w:rPr>
          <w:rFonts w:cs="Times New Roman"/>
          <w:szCs w:val="24"/>
        </w:rPr>
        <w:tab/>
        <w:t>In fact, w</w:t>
      </w:r>
      <w:r w:rsidRPr="00DF0D1C">
        <w:rPr>
          <w:rFonts w:cs="Times New Roman"/>
          <w:szCs w:val="24"/>
        </w:rPr>
        <w:t xml:space="preserve">hen additional water connections </w:t>
      </w:r>
      <w:r>
        <w:rPr>
          <w:rFonts w:cs="Times New Roman"/>
          <w:szCs w:val="24"/>
        </w:rPr>
        <w:t>were</w:t>
      </w:r>
      <w:r w:rsidRPr="00DF0D1C">
        <w:rPr>
          <w:rFonts w:cs="Times New Roman"/>
          <w:szCs w:val="24"/>
        </w:rPr>
        <w:t xml:space="preserve"> made available to SPIC, the Company use</w:t>
      </w:r>
      <w:r>
        <w:rPr>
          <w:rFonts w:cs="Times New Roman"/>
          <w:szCs w:val="24"/>
        </w:rPr>
        <w:t>d</w:t>
      </w:r>
      <w:r w:rsidRPr="00DF0D1C">
        <w:rPr>
          <w:rFonts w:cs="Times New Roman"/>
          <w:szCs w:val="24"/>
        </w:rPr>
        <w:t xml:space="preserve"> a lottery</w:t>
      </w:r>
      <w:r>
        <w:rPr>
          <w:rFonts w:cs="Times New Roman"/>
          <w:szCs w:val="24"/>
        </w:rPr>
        <w:t xml:space="preserve"> procedure in which </w:t>
      </w:r>
      <w:r w:rsidRPr="00DF0D1C">
        <w:rPr>
          <w:rFonts w:cs="Times New Roman"/>
          <w:szCs w:val="24"/>
        </w:rPr>
        <w:t>anyone residing in the Company’s service area, shareholders or no</w:t>
      </w:r>
      <w:r>
        <w:rPr>
          <w:rFonts w:cs="Times New Roman"/>
          <w:szCs w:val="24"/>
        </w:rPr>
        <w:t xml:space="preserve">n-shareholders, was </w:t>
      </w:r>
      <w:r w:rsidR="00437E87">
        <w:rPr>
          <w:rFonts w:cs="Times New Roman"/>
          <w:szCs w:val="24"/>
        </w:rPr>
        <w:t xml:space="preserve">equally </w:t>
      </w:r>
      <w:r>
        <w:rPr>
          <w:rFonts w:cs="Times New Roman"/>
          <w:szCs w:val="24"/>
        </w:rPr>
        <w:t xml:space="preserve">eligible to apply for </w:t>
      </w:r>
      <w:r w:rsidR="00437E87">
        <w:rPr>
          <w:rFonts w:cs="Times New Roman"/>
          <w:szCs w:val="24"/>
        </w:rPr>
        <w:t>water service.  If the Company randomly selected their name, they received water service</w:t>
      </w:r>
      <w:r w:rsidRPr="00DF0D1C">
        <w:rPr>
          <w:rFonts w:cs="Times New Roman"/>
          <w:szCs w:val="24"/>
        </w:rPr>
        <w:t>.</w:t>
      </w:r>
      <w:r>
        <w:rPr>
          <w:rFonts w:cs="Times New Roman"/>
          <w:szCs w:val="24"/>
        </w:rPr>
        <w:t xml:space="preserve">  As it turned out, </w:t>
      </w:r>
      <w:r w:rsidR="004C5B62">
        <w:rPr>
          <w:rFonts w:cs="Times New Roman"/>
          <w:szCs w:val="24"/>
        </w:rPr>
        <w:t xml:space="preserve">the Company had sufficient capacity to serve all </w:t>
      </w:r>
      <w:r w:rsidR="00B907FD">
        <w:rPr>
          <w:rFonts w:cs="Times New Roman"/>
          <w:szCs w:val="24"/>
        </w:rPr>
        <w:t xml:space="preserve">who </w:t>
      </w:r>
      <w:r w:rsidR="00457824">
        <w:rPr>
          <w:rFonts w:cs="Times New Roman"/>
          <w:szCs w:val="24"/>
        </w:rPr>
        <w:t xml:space="preserve">participated throughout </w:t>
      </w:r>
      <w:r w:rsidR="00954E75">
        <w:rPr>
          <w:rFonts w:cs="Times New Roman"/>
          <w:szCs w:val="24"/>
        </w:rPr>
        <w:t>the lottery</w:t>
      </w:r>
      <w:r w:rsidR="00457824">
        <w:rPr>
          <w:rFonts w:cs="Times New Roman"/>
          <w:szCs w:val="24"/>
        </w:rPr>
        <w:t xml:space="preserve"> process</w:t>
      </w:r>
      <w:r>
        <w:rPr>
          <w:rFonts w:cs="Times New Roman"/>
          <w:szCs w:val="24"/>
        </w:rPr>
        <w:t>.</w:t>
      </w:r>
      <w:r w:rsidRPr="00765BCE">
        <w:rPr>
          <w:rStyle w:val="FootnoteReference"/>
          <w:rFonts w:cs="Times New Roman"/>
          <w:szCs w:val="24"/>
        </w:rPr>
        <w:footnoteReference w:id="40"/>
      </w:r>
      <w:r w:rsidRPr="00DF0D1C">
        <w:rPr>
          <w:rFonts w:cs="Times New Roman"/>
          <w:szCs w:val="24"/>
        </w:rPr>
        <w:t xml:space="preserve">  </w:t>
      </w:r>
    </w:p>
    <w:p w:rsidR="00BD4FF0" w:rsidRDefault="00BD4FF0" w:rsidP="00BD4FF0">
      <w:pPr>
        <w:pStyle w:val="ListParagraph"/>
        <w:numPr>
          <w:ilvl w:val="0"/>
          <w:numId w:val="6"/>
        </w:numPr>
        <w:spacing w:line="480" w:lineRule="auto"/>
        <w:ind w:left="0" w:hanging="720"/>
        <w:rPr>
          <w:rFonts w:cs="Times New Roman"/>
          <w:szCs w:val="24"/>
        </w:rPr>
      </w:pPr>
      <w:r>
        <w:rPr>
          <w:rFonts w:cs="Times New Roman"/>
          <w:szCs w:val="24"/>
        </w:rPr>
        <w:tab/>
        <w:t xml:space="preserve">This lottery process also provides conclusive evidence that </w:t>
      </w:r>
      <w:r w:rsidRPr="00DF0D1C">
        <w:rPr>
          <w:rFonts w:cs="Times New Roman"/>
          <w:szCs w:val="24"/>
        </w:rPr>
        <w:t xml:space="preserve">SPIC does not “merely offer to serve only particular </w:t>
      </w:r>
      <w:r>
        <w:rPr>
          <w:rFonts w:cs="Times New Roman"/>
          <w:szCs w:val="24"/>
        </w:rPr>
        <w:t xml:space="preserve">individuals </w:t>
      </w:r>
      <w:r w:rsidRPr="00DF0D1C">
        <w:rPr>
          <w:rFonts w:cs="Times New Roman"/>
          <w:szCs w:val="24"/>
        </w:rPr>
        <w:t xml:space="preserve">of its own </w:t>
      </w:r>
      <w:r>
        <w:rPr>
          <w:rFonts w:cs="Times New Roman"/>
          <w:szCs w:val="24"/>
        </w:rPr>
        <w:t>selection,</w:t>
      </w:r>
      <w:r w:rsidRPr="00DF0D1C">
        <w:rPr>
          <w:rFonts w:cs="Times New Roman"/>
          <w:szCs w:val="24"/>
        </w:rPr>
        <w:t xml:space="preserve">” </w:t>
      </w:r>
      <w:r>
        <w:rPr>
          <w:rFonts w:cs="Times New Roman"/>
          <w:szCs w:val="24"/>
        </w:rPr>
        <w:t xml:space="preserve">because </w:t>
      </w:r>
      <w:r w:rsidR="0049613B">
        <w:rPr>
          <w:rFonts w:cs="Times New Roman"/>
          <w:szCs w:val="24"/>
        </w:rPr>
        <w:t xml:space="preserve">by the random nature of that </w:t>
      </w:r>
      <w:r w:rsidR="00A01CCE">
        <w:rPr>
          <w:rFonts w:cs="Times New Roman"/>
          <w:szCs w:val="24"/>
        </w:rPr>
        <w:t>process</w:t>
      </w:r>
      <w:r w:rsidR="0049613B">
        <w:rPr>
          <w:rFonts w:cs="Times New Roman"/>
          <w:szCs w:val="24"/>
        </w:rPr>
        <w:t xml:space="preserve">, </w:t>
      </w:r>
      <w:r>
        <w:rPr>
          <w:rFonts w:cs="Times New Roman"/>
          <w:szCs w:val="24"/>
        </w:rPr>
        <w:t xml:space="preserve">the Company </w:t>
      </w:r>
      <w:r w:rsidR="0049613B">
        <w:rPr>
          <w:rFonts w:cs="Times New Roman"/>
          <w:szCs w:val="24"/>
        </w:rPr>
        <w:t xml:space="preserve">assures it </w:t>
      </w:r>
      <w:r>
        <w:rPr>
          <w:rFonts w:cs="Times New Roman"/>
          <w:szCs w:val="24"/>
        </w:rPr>
        <w:t xml:space="preserve">does not select </w:t>
      </w:r>
      <w:r w:rsidR="0049613B">
        <w:rPr>
          <w:rFonts w:cs="Times New Roman"/>
          <w:szCs w:val="24"/>
        </w:rPr>
        <w:t xml:space="preserve">any </w:t>
      </w:r>
      <w:r w:rsidR="00A01CCE">
        <w:rPr>
          <w:rFonts w:cs="Times New Roman"/>
          <w:szCs w:val="24"/>
        </w:rPr>
        <w:t>“</w:t>
      </w:r>
      <w:r>
        <w:rPr>
          <w:rFonts w:cs="Times New Roman"/>
          <w:szCs w:val="24"/>
        </w:rPr>
        <w:t>particular individual</w:t>
      </w:r>
      <w:r w:rsidR="00A01CCE">
        <w:rPr>
          <w:rFonts w:cs="Times New Roman"/>
          <w:szCs w:val="24"/>
        </w:rPr>
        <w:t>”</w:t>
      </w:r>
      <w:r>
        <w:rPr>
          <w:rFonts w:cs="Times New Roman"/>
          <w:szCs w:val="24"/>
        </w:rPr>
        <w:t xml:space="preserve"> whom it will serve.  </w:t>
      </w:r>
      <w:r w:rsidR="00F43A77">
        <w:rPr>
          <w:rFonts w:cs="Times New Roman"/>
          <w:szCs w:val="24"/>
        </w:rPr>
        <w:t xml:space="preserve">Similarly, </w:t>
      </w:r>
      <w:r w:rsidRPr="00DF0D1C">
        <w:rPr>
          <w:rFonts w:cs="Times New Roman"/>
          <w:szCs w:val="24"/>
        </w:rPr>
        <w:t xml:space="preserve">SPIC </w:t>
      </w:r>
      <w:r w:rsidR="00F43A77">
        <w:rPr>
          <w:rFonts w:cs="Times New Roman"/>
          <w:szCs w:val="24"/>
        </w:rPr>
        <w:t xml:space="preserve">does not select the </w:t>
      </w:r>
      <w:r w:rsidRPr="00DF0D1C">
        <w:rPr>
          <w:rFonts w:cs="Times New Roman"/>
          <w:szCs w:val="24"/>
        </w:rPr>
        <w:t xml:space="preserve">particular </w:t>
      </w:r>
      <w:r>
        <w:rPr>
          <w:rFonts w:cs="Times New Roman"/>
          <w:szCs w:val="24"/>
        </w:rPr>
        <w:t>individuals</w:t>
      </w:r>
      <w:r w:rsidRPr="00DF0D1C">
        <w:rPr>
          <w:rFonts w:cs="Times New Roman"/>
          <w:szCs w:val="24"/>
        </w:rPr>
        <w:t xml:space="preserve"> </w:t>
      </w:r>
      <w:r>
        <w:rPr>
          <w:rFonts w:cs="Times New Roman"/>
          <w:szCs w:val="24"/>
        </w:rPr>
        <w:t xml:space="preserve">who </w:t>
      </w:r>
      <w:r w:rsidRPr="00DF0D1C">
        <w:rPr>
          <w:rFonts w:cs="Times New Roman"/>
          <w:szCs w:val="24"/>
        </w:rPr>
        <w:t xml:space="preserve">become a SPIC </w:t>
      </w:r>
      <w:r>
        <w:rPr>
          <w:rFonts w:cs="Times New Roman"/>
          <w:szCs w:val="24"/>
        </w:rPr>
        <w:t xml:space="preserve">water </w:t>
      </w:r>
      <w:r w:rsidRPr="00DF0D1C">
        <w:rPr>
          <w:rFonts w:cs="Times New Roman"/>
          <w:szCs w:val="24"/>
        </w:rPr>
        <w:t>customer by purchasing the property of an existing SPIC water customer</w:t>
      </w:r>
      <w:r w:rsidR="00954E75">
        <w:rPr>
          <w:rFonts w:cs="Times New Roman"/>
          <w:szCs w:val="24"/>
        </w:rPr>
        <w:t xml:space="preserve">, because the </w:t>
      </w:r>
      <w:r w:rsidR="00954E75">
        <w:rPr>
          <w:rFonts w:cs="Times New Roman"/>
          <w:szCs w:val="24"/>
        </w:rPr>
        <w:lastRenderedPageBreak/>
        <w:t xml:space="preserve">Company </w:t>
      </w:r>
      <w:r w:rsidR="00954E75" w:rsidRPr="006D5CA2">
        <w:rPr>
          <w:rFonts w:cs="Times New Roman"/>
          <w:szCs w:val="24"/>
        </w:rPr>
        <w:t>“ha</w:t>
      </w:r>
      <w:r w:rsidR="00954E75">
        <w:rPr>
          <w:rFonts w:cs="Times New Roman"/>
          <w:szCs w:val="24"/>
        </w:rPr>
        <w:t xml:space="preserve">s no role in deciding who </w:t>
      </w:r>
      <w:r w:rsidR="00954E75" w:rsidRPr="006D5CA2">
        <w:rPr>
          <w:rFonts w:cs="Times New Roman"/>
          <w:szCs w:val="24"/>
        </w:rPr>
        <w:t>may purchase a home or lot located within the Company’s water service area.”</w:t>
      </w:r>
      <w:r w:rsidRPr="00765BCE">
        <w:rPr>
          <w:rStyle w:val="FootnoteReference"/>
          <w:rFonts w:cs="Times New Roman"/>
          <w:szCs w:val="24"/>
        </w:rPr>
        <w:footnoteReference w:id="41"/>
      </w:r>
      <w:r>
        <w:rPr>
          <w:rFonts w:cs="Times New Roman"/>
          <w:szCs w:val="24"/>
        </w:rPr>
        <w:t xml:space="preserve">  </w:t>
      </w:r>
    </w:p>
    <w:p w:rsidR="00BD4FF0" w:rsidRPr="00322F8E" w:rsidRDefault="00322F8E" w:rsidP="00322F8E">
      <w:pPr>
        <w:pStyle w:val="ListParagraph"/>
        <w:widowControl w:val="0"/>
        <w:numPr>
          <w:ilvl w:val="0"/>
          <w:numId w:val="6"/>
        </w:numPr>
        <w:spacing w:line="480" w:lineRule="auto"/>
        <w:ind w:left="0" w:hanging="720"/>
        <w:rPr>
          <w:rFonts w:cs="Times New Roman"/>
          <w:szCs w:val="24"/>
        </w:rPr>
      </w:pPr>
      <w:r>
        <w:rPr>
          <w:rFonts w:cs="Times New Roman"/>
          <w:szCs w:val="24"/>
        </w:rPr>
        <w:tab/>
      </w:r>
      <w:r w:rsidR="00BD4FF0" w:rsidRPr="00322F8E">
        <w:rPr>
          <w:rFonts w:cs="Times New Roman"/>
          <w:szCs w:val="24"/>
        </w:rPr>
        <w:t>In sum, the Company satisfies the court’s “service to the public” test because</w:t>
      </w:r>
      <w:r w:rsidR="00756D63" w:rsidRPr="00322F8E">
        <w:rPr>
          <w:rFonts w:cs="Times New Roman"/>
          <w:szCs w:val="24"/>
        </w:rPr>
        <w:t xml:space="preserve"> </w:t>
      </w:r>
      <w:r w:rsidR="00BD4FF0" w:rsidRPr="00322F8E">
        <w:rPr>
          <w:rFonts w:cs="Times New Roman"/>
          <w:szCs w:val="24"/>
        </w:rPr>
        <w:t xml:space="preserve">SPIC holds itself out to the public to provide service to </w:t>
      </w:r>
      <w:r w:rsidR="00437E87" w:rsidRPr="00322F8E">
        <w:rPr>
          <w:rFonts w:cs="Times New Roman"/>
          <w:szCs w:val="24"/>
        </w:rPr>
        <w:t xml:space="preserve">any person in its service area to </w:t>
      </w:r>
      <w:r w:rsidR="00BD4FF0" w:rsidRPr="00322F8E">
        <w:rPr>
          <w:rFonts w:cs="Times New Roman"/>
          <w:szCs w:val="24"/>
        </w:rPr>
        <w:t xml:space="preserve">the extent of the Company’s ability to serve, and the Company does not </w:t>
      </w:r>
      <w:r w:rsidR="00120267">
        <w:rPr>
          <w:rFonts w:cs="Times New Roman"/>
          <w:szCs w:val="24"/>
        </w:rPr>
        <w:t xml:space="preserve">merely </w:t>
      </w:r>
      <w:r w:rsidR="00BD4FF0" w:rsidRPr="00322F8E">
        <w:rPr>
          <w:rFonts w:cs="Times New Roman"/>
          <w:szCs w:val="24"/>
        </w:rPr>
        <w:t>offer to serve only particular individuals of its own selection.</w:t>
      </w:r>
    </w:p>
    <w:p w:rsidR="00BD4FF0" w:rsidRDefault="00BD4FF0" w:rsidP="00322F8E">
      <w:pPr>
        <w:keepNext/>
        <w:keepLines/>
        <w:widowControl w:val="0"/>
        <w:ind w:left="1440" w:hanging="720"/>
        <w:rPr>
          <w:rFonts w:cs="Times New Roman"/>
          <w:b/>
          <w:szCs w:val="24"/>
        </w:rPr>
      </w:pPr>
      <w:r>
        <w:rPr>
          <w:rFonts w:cs="Times New Roman"/>
          <w:b/>
          <w:szCs w:val="24"/>
        </w:rPr>
        <w:t>2.</w:t>
      </w:r>
      <w:r>
        <w:rPr>
          <w:rFonts w:cs="Times New Roman"/>
          <w:b/>
          <w:szCs w:val="24"/>
        </w:rPr>
        <w:tab/>
      </w:r>
      <w:r w:rsidR="00EC1FD3">
        <w:rPr>
          <w:rFonts w:cs="Times New Roman"/>
          <w:b/>
          <w:szCs w:val="24"/>
        </w:rPr>
        <w:t xml:space="preserve">Analysis of the </w:t>
      </w:r>
      <w:r w:rsidR="00A01CCE">
        <w:rPr>
          <w:rFonts w:cs="Times New Roman"/>
          <w:b/>
          <w:szCs w:val="24"/>
        </w:rPr>
        <w:t>SPIC</w:t>
      </w:r>
      <w:r w:rsidR="00F57700">
        <w:rPr>
          <w:rFonts w:cs="Times New Roman"/>
          <w:b/>
          <w:szCs w:val="24"/>
        </w:rPr>
        <w:t>-</w:t>
      </w:r>
      <w:r w:rsidR="00EC1FD3">
        <w:rPr>
          <w:rFonts w:cs="Times New Roman"/>
          <w:b/>
          <w:szCs w:val="24"/>
        </w:rPr>
        <w:t xml:space="preserve">customer relationship confirms the Company is subject to Commission </w:t>
      </w:r>
      <w:r w:rsidR="00A01CCE">
        <w:rPr>
          <w:rFonts w:cs="Times New Roman"/>
          <w:b/>
          <w:szCs w:val="24"/>
        </w:rPr>
        <w:t>regulation</w:t>
      </w:r>
      <w:r w:rsidR="00EC1FD3">
        <w:rPr>
          <w:rFonts w:cs="Times New Roman"/>
          <w:b/>
          <w:szCs w:val="24"/>
        </w:rPr>
        <w:t xml:space="preserve"> regarding the Company’s </w:t>
      </w:r>
      <w:r w:rsidR="00A01CCE">
        <w:rPr>
          <w:rFonts w:cs="Times New Roman"/>
          <w:b/>
          <w:szCs w:val="24"/>
        </w:rPr>
        <w:t xml:space="preserve">service to Class C shareholders/customers and non-shareholders </w:t>
      </w:r>
      <w:r>
        <w:rPr>
          <w:rFonts w:cs="Times New Roman"/>
          <w:b/>
          <w:szCs w:val="24"/>
        </w:rPr>
        <w:t xml:space="preserve"> </w:t>
      </w:r>
    </w:p>
    <w:p w:rsidR="00A01CCE" w:rsidRDefault="00A01CCE" w:rsidP="00A01CCE">
      <w:pPr>
        <w:widowControl w:val="0"/>
        <w:rPr>
          <w:rFonts w:cs="Times New Roman"/>
          <w:szCs w:val="24"/>
        </w:rPr>
      </w:pPr>
    </w:p>
    <w:p w:rsidR="00A01CCE" w:rsidRDefault="00EC1E96" w:rsidP="00765BCE">
      <w:pPr>
        <w:pStyle w:val="ListParagraph"/>
        <w:widowControl w:val="0"/>
        <w:numPr>
          <w:ilvl w:val="0"/>
          <w:numId w:val="6"/>
        </w:numPr>
        <w:spacing w:line="480" w:lineRule="auto"/>
        <w:ind w:left="0" w:hanging="720"/>
        <w:rPr>
          <w:rFonts w:cs="Times New Roman"/>
          <w:szCs w:val="24"/>
        </w:rPr>
      </w:pPr>
      <w:r>
        <w:rPr>
          <w:rFonts w:cs="Times New Roman"/>
          <w:szCs w:val="24"/>
        </w:rPr>
        <w:tab/>
      </w:r>
      <w:r w:rsidR="00EC1FD3">
        <w:rPr>
          <w:rFonts w:cs="Times New Roman"/>
          <w:szCs w:val="24"/>
        </w:rPr>
        <w:t xml:space="preserve">As noted earlier, </w:t>
      </w:r>
      <w:r w:rsidR="00BD4FF0">
        <w:rPr>
          <w:rFonts w:cs="Times New Roman"/>
          <w:szCs w:val="24"/>
        </w:rPr>
        <w:t xml:space="preserve">when </w:t>
      </w:r>
      <w:r w:rsidR="00DC2C9F">
        <w:rPr>
          <w:rFonts w:cs="Times New Roman"/>
          <w:szCs w:val="24"/>
        </w:rPr>
        <w:t xml:space="preserve">implementing </w:t>
      </w:r>
      <w:r w:rsidR="00B03109">
        <w:rPr>
          <w:rFonts w:cs="Times New Roman"/>
          <w:szCs w:val="24"/>
        </w:rPr>
        <w:t>th</w:t>
      </w:r>
      <w:r w:rsidR="00BD4FF0">
        <w:rPr>
          <w:rFonts w:cs="Times New Roman"/>
          <w:szCs w:val="24"/>
        </w:rPr>
        <w:t xml:space="preserve">e “service to the public” </w:t>
      </w:r>
      <w:r w:rsidR="00B03109">
        <w:rPr>
          <w:rFonts w:cs="Times New Roman"/>
          <w:szCs w:val="24"/>
        </w:rPr>
        <w:t>test</w:t>
      </w:r>
      <w:r w:rsidR="00CC0A94">
        <w:rPr>
          <w:rFonts w:cs="Times New Roman"/>
          <w:szCs w:val="24"/>
        </w:rPr>
        <w:t>, the court</w:t>
      </w:r>
      <w:r w:rsidR="00765BCE" w:rsidRPr="00EC1E96">
        <w:rPr>
          <w:rFonts w:cs="Times New Roman"/>
          <w:szCs w:val="24"/>
        </w:rPr>
        <w:t xml:space="preserve"> </w:t>
      </w:r>
      <w:r w:rsidR="003117FF">
        <w:rPr>
          <w:rFonts w:cs="Times New Roman"/>
          <w:szCs w:val="24"/>
        </w:rPr>
        <w:t xml:space="preserve">also </w:t>
      </w:r>
      <w:r w:rsidR="00A01CCE">
        <w:rPr>
          <w:rFonts w:cs="Times New Roman"/>
          <w:szCs w:val="24"/>
        </w:rPr>
        <w:t xml:space="preserve">has </w:t>
      </w:r>
      <w:r w:rsidR="004C5B62">
        <w:rPr>
          <w:rFonts w:cs="Times New Roman"/>
          <w:szCs w:val="24"/>
        </w:rPr>
        <w:t xml:space="preserve">focused on </w:t>
      </w:r>
      <w:r w:rsidR="00B82240">
        <w:rPr>
          <w:rFonts w:cs="Times New Roman"/>
          <w:szCs w:val="24"/>
        </w:rPr>
        <w:t xml:space="preserve">the </w:t>
      </w:r>
      <w:r w:rsidR="00CC0A94">
        <w:rPr>
          <w:rFonts w:cs="Times New Roman"/>
          <w:szCs w:val="24"/>
        </w:rPr>
        <w:t>utility</w:t>
      </w:r>
      <w:r w:rsidR="00F57700">
        <w:rPr>
          <w:rFonts w:cs="Times New Roman"/>
          <w:szCs w:val="24"/>
        </w:rPr>
        <w:t>-</w:t>
      </w:r>
      <w:r w:rsidR="00B94FC1">
        <w:rPr>
          <w:rFonts w:cs="Times New Roman"/>
          <w:szCs w:val="24"/>
        </w:rPr>
        <w:t xml:space="preserve">customer </w:t>
      </w:r>
      <w:r w:rsidR="00CC0A94">
        <w:rPr>
          <w:rFonts w:cs="Times New Roman"/>
          <w:szCs w:val="24"/>
        </w:rPr>
        <w:t xml:space="preserve">relationship </w:t>
      </w:r>
      <w:r w:rsidR="00B94FC1">
        <w:rPr>
          <w:rFonts w:cs="Times New Roman"/>
          <w:szCs w:val="24"/>
        </w:rPr>
        <w:t xml:space="preserve">in light of the </w:t>
      </w:r>
      <w:r w:rsidR="00765BCE" w:rsidRPr="00EC1E96">
        <w:rPr>
          <w:rFonts w:cs="Times New Roman"/>
          <w:szCs w:val="24"/>
        </w:rPr>
        <w:t xml:space="preserve">organizational structure of the company </w:t>
      </w:r>
      <w:r w:rsidR="00A01CCE">
        <w:rPr>
          <w:rFonts w:cs="Times New Roman"/>
          <w:szCs w:val="24"/>
        </w:rPr>
        <w:t>and its operations</w:t>
      </w:r>
      <w:r w:rsidR="00765BCE" w:rsidRPr="00EC1E96">
        <w:rPr>
          <w:rFonts w:cs="Times New Roman"/>
          <w:szCs w:val="24"/>
        </w:rPr>
        <w:t xml:space="preserve">.  </w:t>
      </w:r>
      <w:r w:rsidR="004C5B62">
        <w:rPr>
          <w:rFonts w:cs="Times New Roman"/>
          <w:szCs w:val="24"/>
        </w:rPr>
        <w:t>If the company and its customers have a “complete identity of interest”</w:t>
      </w:r>
      <w:r w:rsidR="00432F03">
        <w:rPr>
          <w:rFonts w:cs="Times New Roman"/>
          <w:szCs w:val="24"/>
        </w:rPr>
        <w:t>,</w:t>
      </w:r>
      <w:r w:rsidR="004C5B62">
        <w:rPr>
          <w:rFonts w:cs="Times New Roman"/>
          <w:szCs w:val="24"/>
        </w:rPr>
        <w:t xml:space="preserve"> the company is not subject to </w:t>
      </w:r>
      <w:r w:rsidR="00F43A77">
        <w:rPr>
          <w:rFonts w:cs="Times New Roman"/>
          <w:szCs w:val="24"/>
        </w:rPr>
        <w:t>Commission regulation to th</w:t>
      </w:r>
      <w:r w:rsidR="00432F03">
        <w:rPr>
          <w:rFonts w:cs="Times New Roman"/>
          <w:szCs w:val="24"/>
        </w:rPr>
        <w:t>at</w:t>
      </w:r>
      <w:r w:rsidR="00F43A77">
        <w:rPr>
          <w:rFonts w:cs="Times New Roman"/>
          <w:szCs w:val="24"/>
        </w:rPr>
        <w:t xml:space="preserve"> extent</w:t>
      </w:r>
      <w:r w:rsidR="004C5B62">
        <w:rPr>
          <w:rFonts w:cs="Times New Roman"/>
          <w:szCs w:val="24"/>
        </w:rPr>
        <w:t>.</w:t>
      </w:r>
      <w:r w:rsidR="00F43A77">
        <w:rPr>
          <w:rFonts w:cs="Times New Roman"/>
          <w:szCs w:val="24"/>
        </w:rPr>
        <w:t xml:space="preserve"> </w:t>
      </w:r>
    </w:p>
    <w:p w:rsidR="00AC68F7" w:rsidRDefault="00A01CCE" w:rsidP="00765BCE">
      <w:pPr>
        <w:pStyle w:val="ListParagraph"/>
        <w:widowControl w:val="0"/>
        <w:numPr>
          <w:ilvl w:val="0"/>
          <w:numId w:val="6"/>
        </w:numPr>
        <w:spacing w:line="480" w:lineRule="auto"/>
        <w:ind w:left="0" w:hanging="720"/>
        <w:rPr>
          <w:rFonts w:cs="Times New Roman"/>
          <w:szCs w:val="24"/>
        </w:rPr>
      </w:pPr>
      <w:r>
        <w:rPr>
          <w:rFonts w:cs="Times New Roman"/>
          <w:szCs w:val="24"/>
        </w:rPr>
        <w:tab/>
      </w:r>
      <w:r w:rsidR="00CC0A94">
        <w:rPr>
          <w:rFonts w:cs="Times New Roman"/>
          <w:szCs w:val="24"/>
        </w:rPr>
        <w:t>For example, in</w:t>
      </w:r>
      <w:r w:rsidR="00765BCE" w:rsidRPr="00EC1E96">
        <w:rPr>
          <w:rFonts w:cs="Times New Roman"/>
          <w:szCs w:val="24"/>
        </w:rPr>
        <w:t xml:space="preserve"> </w:t>
      </w:r>
      <w:r w:rsidR="00765BCE" w:rsidRPr="00EC1E96">
        <w:rPr>
          <w:rFonts w:cs="Times New Roman"/>
          <w:i/>
          <w:szCs w:val="24"/>
        </w:rPr>
        <w:t xml:space="preserve">Inland Empire, </w:t>
      </w:r>
      <w:r w:rsidR="00F43A77">
        <w:rPr>
          <w:rFonts w:cs="Times New Roman"/>
          <w:szCs w:val="24"/>
        </w:rPr>
        <w:t>while the corporation at issue met the literal definition of “</w:t>
      </w:r>
      <w:r w:rsidR="00753FD6">
        <w:rPr>
          <w:rFonts w:cs="Times New Roman"/>
          <w:szCs w:val="24"/>
        </w:rPr>
        <w:t xml:space="preserve">electric </w:t>
      </w:r>
      <w:r w:rsidR="00F43A77">
        <w:rPr>
          <w:rFonts w:cs="Times New Roman"/>
          <w:szCs w:val="24"/>
        </w:rPr>
        <w:t xml:space="preserve">company” in RCW 80.04.010, </w:t>
      </w:r>
      <w:r w:rsidR="008C3779">
        <w:rPr>
          <w:rFonts w:cs="Times New Roman"/>
          <w:szCs w:val="24"/>
        </w:rPr>
        <w:t xml:space="preserve">the court held that the company was </w:t>
      </w:r>
      <w:r w:rsidR="00F43A77">
        <w:rPr>
          <w:rFonts w:cs="Times New Roman"/>
          <w:szCs w:val="24"/>
        </w:rPr>
        <w:t>exempt from Commission regulation</w:t>
      </w:r>
      <w:r w:rsidR="008C3779">
        <w:rPr>
          <w:rFonts w:cs="Times New Roman"/>
          <w:szCs w:val="24"/>
        </w:rPr>
        <w:t xml:space="preserve">.  The company </w:t>
      </w:r>
      <w:r>
        <w:rPr>
          <w:rFonts w:cs="Times New Roman"/>
          <w:szCs w:val="24"/>
        </w:rPr>
        <w:t xml:space="preserve">was a mutual corporation that </w:t>
      </w:r>
      <w:r w:rsidR="00EB5D49">
        <w:rPr>
          <w:rFonts w:cs="Times New Roman"/>
          <w:szCs w:val="24"/>
        </w:rPr>
        <w:t>provided electric service to</w:t>
      </w:r>
      <w:r w:rsidR="00765BCE" w:rsidRPr="00EC1E96">
        <w:rPr>
          <w:rFonts w:cs="Times New Roman"/>
          <w:szCs w:val="24"/>
        </w:rPr>
        <w:t xml:space="preserve"> its </w:t>
      </w:r>
      <w:r w:rsidR="008C3779">
        <w:rPr>
          <w:rFonts w:cs="Times New Roman"/>
          <w:szCs w:val="24"/>
        </w:rPr>
        <w:t xml:space="preserve">own </w:t>
      </w:r>
      <w:r w:rsidR="00765BCE" w:rsidRPr="00EC1E96">
        <w:rPr>
          <w:rFonts w:cs="Times New Roman"/>
          <w:szCs w:val="24"/>
        </w:rPr>
        <w:t>shareholders</w:t>
      </w:r>
      <w:r w:rsidR="00AC68F7">
        <w:rPr>
          <w:rFonts w:cs="Times New Roman"/>
          <w:szCs w:val="24"/>
        </w:rPr>
        <w:t xml:space="preserve"> exclusively</w:t>
      </w:r>
      <w:r w:rsidR="00765BCE" w:rsidRPr="00EC1E96">
        <w:rPr>
          <w:rFonts w:cs="Times New Roman"/>
          <w:szCs w:val="24"/>
        </w:rPr>
        <w:t xml:space="preserve">.  </w:t>
      </w:r>
      <w:r w:rsidR="00F43A77">
        <w:rPr>
          <w:rFonts w:cs="Times New Roman"/>
          <w:szCs w:val="24"/>
        </w:rPr>
        <w:t>B</w:t>
      </w:r>
      <w:r w:rsidR="00765BCE" w:rsidRPr="00EC1E96">
        <w:rPr>
          <w:rFonts w:cs="Times New Roman"/>
          <w:szCs w:val="24"/>
        </w:rPr>
        <w:t xml:space="preserve">ecause of the way the corporation was structured, the court concluded </w:t>
      </w:r>
      <w:r w:rsidR="00620D41">
        <w:rPr>
          <w:rFonts w:cs="Times New Roman"/>
          <w:szCs w:val="24"/>
        </w:rPr>
        <w:t xml:space="preserve">the corporation </w:t>
      </w:r>
      <w:r w:rsidR="00765BCE" w:rsidRPr="00EC1E96">
        <w:rPr>
          <w:rFonts w:cs="Times New Roman"/>
          <w:szCs w:val="24"/>
        </w:rPr>
        <w:t>was not “engaged in business for profit for itself at the expense of a consuming public that has no voice in the management of its affairs and no interest in the financial returns”</w:t>
      </w:r>
      <w:r w:rsidR="00432F03">
        <w:rPr>
          <w:rFonts w:cs="Times New Roman"/>
          <w:szCs w:val="24"/>
        </w:rPr>
        <w:t>,</w:t>
      </w:r>
      <w:r w:rsidR="00765BCE" w:rsidRPr="00EC1E96">
        <w:rPr>
          <w:rFonts w:cs="Times New Roman"/>
          <w:szCs w:val="24"/>
        </w:rPr>
        <w:t xml:space="preserve"> and thus its customers did not require protection of the public ser</w:t>
      </w:r>
      <w:r w:rsidR="00AC68F7">
        <w:rPr>
          <w:rFonts w:cs="Times New Roman"/>
          <w:szCs w:val="24"/>
        </w:rPr>
        <w:t xml:space="preserve">vice laws.  199 Wash. at 539.  </w:t>
      </w:r>
    </w:p>
    <w:p w:rsidR="00EC1E96" w:rsidRDefault="00AC68F7" w:rsidP="00765BCE">
      <w:pPr>
        <w:pStyle w:val="ListParagraph"/>
        <w:widowControl w:val="0"/>
        <w:numPr>
          <w:ilvl w:val="0"/>
          <w:numId w:val="6"/>
        </w:numPr>
        <w:spacing w:line="480" w:lineRule="auto"/>
        <w:ind w:left="0" w:hanging="720"/>
        <w:rPr>
          <w:rFonts w:cs="Times New Roman"/>
          <w:szCs w:val="24"/>
        </w:rPr>
      </w:pPr>
      <w:r>
        <w:rPr>
          <w:rFonts w:cs="Times New Roman"/>
          <w:szCs w:val="24"/>
        </w:rPr>
        <w:tab/>
      </w:r>
      <w:r w:rsidR="00765BCE" w:rsidRPr="00EC1E96">
        <w:rPr>
          <w:rFonts w:cs="Times New Roman"/>
          <w:szCs w:val="24"/>
        </w:rPr>
        <w:t xml:space="preserve">The court emphasized that the corporation served only its members, at cost, and any surplus funds were returned to those members ratably each year.  199 Wash. at 540.  The court </w:t>
      </w:r>
      <w:r w:rsidR="00A01CCE">
        <w:rPr>
          <w:rFonts w:cs="Times New Roman"/>
          <w:szCs w:val="24"/>
        </w:rPr>
        <w:t xml:space="preserve">was able to </w:t>
      </w:r>
      <w:r>
        <w:rPr>
          <w:rFonts w:cs="Times New Roman"/>
          <w:szCs w:val="24"/>
        </w:rPr>
        <w:t xml:space="preserve">conclude </w:t>
      </w:r>
      <w:r w:rsidR="00765BCE" w:rsidRPr="00EC1E96">
        <w:rPr>
          <w:rFonts w:cs="Times New Roman"/>
          <w:szCs w:val="24"/>
        </w:rPr>
        <w:t>there was a “</w:t>
      </w:r>
      <w:r w:rsidR="00765BCE" w:rsidRPr="00EC1E96">
        <w:rPr>
          <w:rFonts w:cs="Times New Roman"/>
          <w:i/>
          <w:szCs w:val="24"/>
        </w:rPr>
        <w:t>complete identity of interest</w:t>
      </w:r>
      <w:r w:rsidR="00765BCE" w:rsidRPr="00EC1E96">
        <w:rPr>
          <w:rFonts w:cs="Times New Roman"/>
          <w:szCs w:val="24"/>
        </w:rPr>
        <w:t xml:space="preserve"> between the corporate </w:t>
      </w:r>
      <w:r w:rsidR="00765BCE" w:rsidRPr="00EC1E96">
        <w:rPr>
          <w:rFonts w:cs="Times New Roman"/>
          <w:szCs w:val="24"/>
        </w:rPr>
        <w:lastRenderedPageBreak/>
        <w:t xml:space="preserve">agency supplying the service and the persons who are being served.  It is a league of individuals associated together in corporate form for the sole purpose of producing and procuring for themselves a needed service at cost.”  </w:t>
      </w:r>
      <w:r w:rsidR="00361F87" w:rsidRPr="00361F87">
        <w:rPr>
          <w:rFonts w:cs="Times New Roman"/>
          <w:i/>
          <w:szCs w:val="24"/>
        </w:rPr>
        <w:t>Id.</w:t>
      </w:r>
      <w:r w:rsidR="00765BCE" w:rsidRPr="00EC1E96">
        <w:rPr>
          <w:rFonts w:cs="Times New Roman"/>
          <w:szCs w:val="24"/>
        </w:rPr>
        <w:t xml:space="preserve"> (emphasis added). </w:t>
      </w:r>
    </w:p>
    <w:p w:rsidR="00EC1E96" w:rsidRDefault="00EC1E96" w:rsidP="00765BCE">
      <w:pPr>
        <w:pStyle w:val="ListParagraph"/>
        <w:numPr>
          <w:ilvl w:val="0"/>
          <w:numId w:val="6"/>
        </w:numPr>
        <w:spacing w:line="480" w:lineRule="auto"/>
        <w:ind w:left="0" w:hanging="720"/>
        <w:rPr>
          <w:rFonts w:cs="Times New Roman"/>
          <w:szCs w:val="24"/>
        </w:rPr>
      </w:pPr>
      <w:r>
        <w:rPr>
          <w:rFonts w:cs="Times New Roman"/>
          <w:szCs w:val="24"/>
        </w:rPr>
        <w:tab/>
      </w:r>
      <w:r w:rsidR="00765BCE" w:rsidRPr="00EC1E96">
        <w:rPr>
          <w:rFonts w:cs="Times New Roman"/>
          <w:szCs w:val="24"/>
        </w:rPr>
        <w:t>Note also that</w:t>
      </w:r>
      <w:r w:rsidR="00437E87">
        <w:rPr>
          <w:rFonts w:cs="Times New Roman"/>
          <w:szCs w:val="24"/>
        </w:rPr>
        <w:t xml:space="preserve"> </w:t>
      </w:r>
      <w:r w:rsidR="00765BCE" w:rsidRPr="00EC1E96">
        <w:rPr>
          <w:rFonts w:cs="Times New Roman"/>
          <w:szCs w:val="24"/>
        </w:rPr>
        <w:t xml:space="preserve">the court qualified the application of the public service laws “to the extent” that the company </w:t>
      </w:r>
      <w:r w:rsidR="00AC68F7">
        <w:rPr>
          <w:rFonts w:cs="Times New Roman"/>
          <w:szCs w:val="24"/>
        </w:rPr>
        <w:t xml:space="preserve">at issue </w:t>
      </w:r>
      <w:r w:rsidR="00765BCE" w:rsidRPr="00EC1E96">
        <w:rPr>
          <w:rFonts w:cs="Times New Roman"/>
          <w:szCs w:val="24"/>
        </w:rPr>
        <w:t xml:space="preserve">dedicated its property to public use.  199 Wash, at 537.  </w:t>
      </w:r>
      <w:r w:rsidR="00AC68F7">
        <w:rPr>
          <w:rFonts w:cs="Times New Roman"/>
          <w:szCs w:val="24"/>
        </w:rPr>
        <w:t xml:space="preserve">In other words, </w:t>
      </w:r>
      <w:r w:rsidR="00765BCE" w:rsidRPr="00EC1E96">
        <w:rPr>
          <w:rFonts w:cs="Times New Roman"/>
          <w:szCs w:val="24"/>
        </w:rPr>
        <w:t xml:space="preserve">had the corporation in </w:t>
      </w:r>
      <w:r w:rsidR="00AC68F7">
        <w:rPr>
          <w:rFonts w:cs="Times New Roman"/>
          <w:i/>
          <w:szCs w:val="24"/>
        </w:rPr>
        <w:t xml:space="preserve">Inland Empire </w:t>
      </w:r>
      <w:r w:rsidR="00765BCE" w:rsidRPr="00EC1E96">
        <w:rPr>
          <w:rFonts w:cs="Times New Roman"/>
          <w:szCs w:val="24"/>
        </w:rPr>
        <w:t xml:space="preserve">served </w:t>
      </w:r>
      <w:r w:rsidR="00AC68F7">
        <w:rPr>
          <w:rFonts w:cs="Times New Roman"/>
          <w:szCs w:val="24"/>
        </w:rPr>
        <w:t>non-shareholders</w:t>
      </w:r>
      <w:r w:rsidR="00765BCE" w:rsidRPr="00EC1E96">
        <w:rPr>
          <w:rFonts w:cs="Times New Roman"/>
          <w:szCs w:val="24"/>
        </w:rPr>
        <w:t xml:space="preserve">, it </w:t>
      </w:r>
      <w:r w:rsidR="00AC68F7">
        <w:rPr>
          <w:rFonts w:cs="Times New Roman"/>
          <w:szCs w:val="24"/>
        </w:rPr>
        <w:t>w</w:t>
      </w:r>
      <w:r w:rsidR="00765BCE" w:rsidRPr="00EC1E96">
        <w:rPr>
          <w:rFonts w:cs="Times New Roman"/>
          <w:szCs w:val="24"/>
        </w:rPr>
        <w:t xml:space="preserve">ould be </w:t>
      </w:r>
      <w:r w:rsidR="00AC68F7">
        <w:rPr>
          <w:rFonts w:cs="Times New Roman"/>
          <w:szCs w:val="24"/>
        </w:rPr>
        <w:t xml:space="preserve">subject to Commission </w:t>
      </w:r>
      <w:r w:rsidR="00765BCE" w:rsidRPr="00EC1E96">
        <w:rPr>
          <w:rFonts w:cs="Times New Roman"/>
          <w:szCs w:val="24"/>
        </w:rPr>
        <w:t>regulat</w:t>
      </w:r>
      <w:r w:rsidR="00AC68F7">
        <w:rPr>
          <w:rFonts w:cs="Times New Roman"/>
          <w:szCs w:val="24"/>
        </w:rPr>
        <w:t>ion</w:t>
      </w:r>
      <w:r w:rsidR="00E03A8D">
        <w:rPr>
          <w:rFonts w:cs="Times New Roman"/>
          <w:szCs w:val="24"/>
        </w:rPr>
        <w:t>, but</w:t>
      </w:r>
      <w:r w:rsidR="00AC68F7">
        <w:rPr>
          <w:rFonts w:cs="Times New Roman"/>
          <w:szCs w:val="24"/>
        </w:rPr>
        <w:t xml:space="preserve"> </w:t>
      </w:r>
      <w:r w:rsidR="00765BCE" w:rsidRPr="00EC1E96">
        <w:rPr>
          <w:rFonts w:cs="Times New Roman"/>
          <w:szCs w:val="24"/>
        </w:rPr>
        <w:t>only “to the extent” it served those non-members.  This is consistent with the court’s underlying rationale that non-member customers need the protection of the public service laws.</w:t>
      </w:r>
    </w:p>
    <w:p w:rsidR="00AC68F7" w:rsidRDefault="00EC1E96" w:rsidP="00765BCE">
      <w:pPr>
        <w:pStyle w:val="ListParagraph"/>
        <w:numPr>
          <w:ilvl w:val="0"/>
          <w:numId w:val="6"/>
        </w:numPr>
        <w:spacing w:line="480" w:lineRule="auto"/>
        <w:ind w:left="0" w:hanging="720"/>
        <w:rPr>
          <w:rFonts w:cs="Times New Roman"/>
          <w:szCs w:val="24"/>
        </w:rPr>
      </w:pPr>
      <w:r>
        <w:rPr>
          <w:rFonts w:cs="Times New Roman"/>
          <w:szCs w:val="24"/>
        </w:rPr>
        <w:tab/>
      </w:r>
      <w:r w:rsidR="00765BCE" w:rsidRPr="00EC1E96">
        <w:rPr>
          <w:rFonts w:cs="Times New Roman"/>
          <w:szCs w:val="24"/>
        </w:rPr>
        <w:t xml:space="preserve">The court applied </w:t>
      </w:r>
      <w:r w:rsidR="00DC2C9F">
        <w:rPr>
          <w:rFonts w:cs="Times New Roman"/>
          <w:szCs w:val="24"/>
        </w:rPr>
        <w:t xml:space="preserve">a similar </w:t>
      </w:r>
      <w:r w:rsidR="00224BAC">
        <w:rPr>
          <w:rFonts w:cs="Times New Roman"/>
          <w:szCs w:val="24"/>
        </w:rPr>
        <w:t>analysis</w:t>
      </w:r>
      <w:r w:rsidR="00765BCE" w:rsidRPr="00EC1E96">
        <w:rPr>
          <w:rFonts w:cs="Times New Roman"/>
          <w:szCs w:val="24"/>
        </w:rPr>
        <w:t xml:space="preserve"> in </w:t>
      </w:r>
      <w:r w:rsidR="00AC68F7">
        <w:rPr>
          <w:rFonts w:cs="Times New Roman"/>
          <w:szCs w:val="24"/>
        </w:rPr>
        <w:t xml:space="preserve">its </w:t>
      </w:r>
      <w:r w:rsidR="00765BCE" w:rsidRPr="00EC1E96">
        <w:rPr>
          <w:rFonts w:cs="Times New Roman"/>
          <w:i/>
          <w:szCs w:val="24"/>
        </w:rPr>
        <w:t>West Valley</w:t>
      </w:r>
      <w:r w:rsidR="00AC68F7">
        <w:rPr>
          <w:rFonts w:cs="Times New Roman"/>
          <w:i/>
          <w:szCs w:val="24"/>
        </w:rPr>
        <w:t xml:space="preserve"> Land</w:t>
      </w:r>
      <w:r w:rsidR="00AC68F7">
        <w:rPr>
          <w:rFonts w:cs="Times New Roman"/>
          <w:szCs w:val="24"/>
        </w:rPr>
        <w:t xml:space="preserve"> decision</w:t>
      </w:r>
      <w:r w:rsidR="00765BCE" w:rsidRPr="00EC1E96">
        <w:rPr>
          <w:rFonts w:cs="Times New Roman"/>
          <w:szCs w:val="24"/>
        </w:rPr>
        <w:t xml:space="preserve">.  In that case, </w:t>
      </w:r>
      <w:r w:rsidR="00F43A77">
        <w:rPr>
          <w:rFonts w:cs="Times New Roman"/>
          <w:szCs w:val="24"/>
        </w:rPr>
        <w:t xml:space="preserve">while the Nob Hill Water Association </w:t>
      </w:r>
      <w:r w:rsidR="003836FA">
        <w:rPr>
          <w:rFonts w:cs="Times New Roman"/>
          <w:szCs w:val="24"/>
        </w:rPr>
        <w:t xml:space="preserve">(Water Association) </w:t>
      </w:r>
      <w:r w:rsidR="004C5B62">
        <w:rPr>
          <w:rFonts w:cs="Times New Roman"/>
          <w:szCs w:val="24"/>
        </w:rPr>
        <w:t xml:space="preserve">also </w:t>
      </w:r>
      <w:r w:rsidR="00F43A77">
        <w:rPr>
          <w:rFonts w:cs="Times New Roman"/>
          <w:szCs w:val="24"/>
        </w:rPr>
        <w:t xml:space="preserve">met the literal definition of “water company” in RCW 80.04.010, </w:t>
      </w:r>
      <w:r w:rsidR="004C5B62">
        <w:rPr>
          <w:rFonts w:cs="Times New Roman"/>
          <w:szCs w:val="24"/>
        </w:rPr>
        <w:t xml:space="preserve">the court held the </w:t>
      </w:r>
      <w:r w:rsidR="003836FA">
        <w:rPr>
          <w:rFonts w:cs="Times New Roman"/>
          <w:szCs w:val="24"/>
        </w:rPr>
        <w:t xml:space="preserve">Water </w:t>
      </w:r>
      <w:r w:rsidR="004C5B62">
        <w:rPr>
          <w:rFonts w:cs="Times New Roman"/>
          <w:szCs w:val="24"/>
        </w:rPr>
        <w:t xml:space="preserve">Association </w:t>
      </w:r>
      <w:r w:rsidR="00F43A77">
        <w:rPr>
          <w:rFonts w:cs="Times New Roman"/>
          <w:szCs w:val="24"/>
        </w:rPr>
        <w:t xml:space="preserve">exempt from Commission regulation because it </w:t>
      </w:r>
      <w:r w:rsidR="00765BCE" w:rsidRPr="00EC1E96">
        <w:rPr>
          <w:rFonts w:cs="Times New Roman"/>
          <w:szCs w:val="24"/>
        </w:rPr>
        <w:t xml:space="preserve">“did not conduct its operations for gain to itself, or for the profit of investing stockholders, but functions entirely on a cooperative basis.”  107 Wn.2d at 367.  </w:t>
      </w:r>
      <w:r w:rsidR="00F43A77">
        <w:rPr>
          <w:rFonts w:cs="Times New Roman"/>
          <w:szCs w:val="24"/>
        </w:rPr>
        <w:t>Moreover, t</w:t>
      </w:r>
      <w:r w:rsidR="00AC68F7">
        <w:rPr>
          <w:rFonts w:cs="Times New Roman"/>
          <w:szCs w:val="24"/>
        </w:rPr>
        <w:t xml:space="preserve">he </w:t>
      </w:r>
      <w:r w:rsidR="003836FA">
        <w:rPr>
          <w:rFonts w:cs="Times New Roman"/>
          <w:szCs w:val="24"/>
        </w:rPr>
        <w:t xml:space="preserve">Water </w:t>
      </w:r>
      <w:r w:rsidR="00AC68F7">
        <w:rPr>
          <w:rFonts w:cs="Times New Roman"/>
          <w:szCs w:val="24"/>
        </w:rPr>
        <w:t xml:space="preserve">Association </w:t>
      </w:r>
      <w:r w:rsidR="00765BCE" w:rsidRPr="00EC1E96">
        <w:rPr>
          <w:rFonts w:cs="Times New Roman"/>
          <w:szCs w:val="24"/>
        </w:rPr>
        <w:t xml:space="preserve">served only its shareholder members, all of whom “have a ‘voice’ in the management of its affairs.”  107 Wn.2d at 368.  </w:t>
      </w:r>
    </w:p>
    <w:p w:rsidR="00EC1E96" w:rsidRDefault="00AC68F7" w:rsidP="00765BCE">
      <w:pPr>
        <w:pStyle w:val="ListParagraph"/>
        <w:numPr>
          <w:ilvl w:val="0"/>
          <w:numId w:val="6"/>
        </w:numPr>
        <w:spacing w:line="480" w:lineRule="auto"/>
        <w:ind w:left="0" w:hanging="720"/>
        <w:rPr>
          <w:rFonts w:cs="Times New Roman"/>
          <w:szCs w:val="24"/>
        </w:rPr>
      </w:pPr>
      <w:r>
        <w:rPr>
          <w:rFonts w:cs="Times New Roman"/>
          <w:szCs w:val="24"/>
        </w:rPr>
        <w:tab/>
      </w:r>
      <w:r w:rsidR="00765BCE" w:rsidRPr="00EC1E96">
        <w:rPr>
          <w:rFonts w:cs="Times New Roman"/>
          <w:szCs w:val="24"/>
        </w:rPr>
        <w:t xml:space="preserve">The court concluded that </w:t>
      </w:r>
      <w:r w:rsidR="003836FA">
        <w:rPr>
          <w:rFonts w:cs="Times New Roman"/>
          <w:szCs w:val="24"/>
        </w:rPr>
        <w:t xml:space="preserve">the Water </w:t>
      </w:r>
      <w:r w:rsidR="00765BCE" w:rsidRPr="00EC1E96">
        <w:rPr>
          <w:rFonts w:cs="Times New Roman"/>
          <w:szCs w:val="24"/>
        </w:rPr>
        <w:t xml:space="preserve">Association was not </w:t>
      </w:r>
      <w:r w:rsidR="00224BAC">
        <w:rPr>
          <w:rFonts w:cs="Times New Roman"/>
          <w:szCs w:val="24"/>
        </w:rPr>
        <w:t xml:space="preserve">subject to Commission regulation because it was not </w:t>
      </w:r>
      <w:r w:rsidR="00765BCE" w:rsidRPr="00EC1E96">
        <w:rPr>
          <w:rFonts w:cs="Times New Roman"/>
          <w:szCs w:val="24"/>
        </w:rPr>
        <w:t>a corporation “engaged in business for itself at the expense of a consuming public which has no voice in the management of its affairs and no interest in its financial returns.”  107 Wn.2d at</w:t>
      </w:r>
      <w:r w:rsidR="00EC1E96">
        <w:rPr>
          <w:rFonts w:cs="Times New Roman"/>
          <w:szCs w:val="24"/>
        </w:rPr>
        <w:t xml:space="preserve"> 368. </w:t>
      </w:r>
    </w:p>
    <w:p w:rsidR="00765BCE" w:rsidRPr="00EC1E96" w:rsidRDefault="00EC1E96" w:rsidP="00765BCE">
      <w:pPr>
        <w:pStyle w:val="ListParagraph"/>
        <w:numPr>
          <w:ilvl w:val="0"/>
          <w:numId w:val="6"/>
        </w:numPr>
        <w:spacing w:line="480" w:lineRule="auto"/>
        <w:ind w:left="0" w:hanging="720"/>
        <w:rPr>
          <w:rFonts w:cs="Times New Roman"/>
          <w:szCs w:val="24"/>
        </w:rPr>
      </w:pPr>
      <w:r>
        <w:rPr>
          <w:rFonts w:cs="Times New Roman"/>
          <w:szCs w:val="24"/>
        </w:rPr>
        <w:tab/>
      </w:r>
      <w:r w:rsidR="00765BCE" w:rsidRPr="00EC1E96">
        <w:rPr>
          <w:rFonts w:cs="Times New Roman"/>
          <w:szCs w:val="24"/>
        </w:rPr>
        <w:t xml:space="preserve">From these decisions, it is reasonable to conclude that a corporation such as SPIC, which meets the </w:t>
      </w:r>
      <w:r w:rsidR="00AC68F7">
        <w:rPr>
          <w:rFonts w:cs="Times New Roman"/>
          <w:szCs w:val="24"/>
        </w:rPr>
        <w:t xml:space="preserve">literal </w:t>
      </w:r>
      <w:r w:rsidR="00765BCE" w:rsidRPr="00EC1E96">
        <w:rPr>
          <w:rFonts w:cs="Times New Roman"/>
          <w:szCs w:val="24"/>
        </w:rPr>
        <w:t>definition of “water company” in RCW 80.04.01</w:t>
      </w:r>
      <w:r w:rsidR="00AF3A39">
        <w:rPr>
          <w:rFonts w:cs="Times New Roman"/>
          <w:szCs w:val="24"/>
        </w:rPr>
        <w:t>0</w:t>
      </w:r>
      <w:r w:rsidR="00765BCE" w:rsidRPr="00EC1E96">
        <w:rPr>
          <w:rFonts w:cs="Times New Roman"/>
          <w:szCs w:val="24"/>
        </w:rPr>
        <w:t xml:space="preserve">, can nonetheless be exempt from Commission regulation </w:t>
      </w:r>
      <w:r w:rsidR="00765BCE" w:rsidRPr="003836FA">
        <w:rPr>
          <w:rFonts w:cs="Times New Roman"/>
          <w:szCs w:val="24"/>
        </w:rPr>
        <w:t>to the extent it</w:t>
      </w:r>
      <w:r w:rsidR="00765BCE" w:rsidRPr="00EC1E96">
        <w:rPr>
          <w:rFonts w:cs="Times New Roman"/>
          <w:szCs w:val="24"/>
        </w:rPr>
        <w:t xml:space="preserve"> serves its shareholders (and up to 99 </w:t>
      </w:r>
      <w:r w:rsidR="00765BCE" w:rsidRPr="00EC1E96">
        <w:rPr>
          <w:rFonts w:cs="Times New Roman"/>
          <w:szCs w:val="24"/>
        </w:rPr>
        <w:lastRenderedPageBreak/>
        <w:t xml:space="preserve">non-shareholder customers who have average annual </w:t>
      </w:r>
      <w:r w:rsidR="00B82240">
        <w:rPr>
          <w:rFonts w:cs="Times New Roman"/>
          <w:szCs w:val="24"/>
        </w:rPr>
        <w:t xml:space="preserve">gross </w:t>
      </w:r>
      <w:r w:rsidR="00765BCE" w:rsidRPr="00EC1E96">
        <w:rPr>
          <w:rFonts w:cs="Times New Roman"/>
          <w:szCs w:val="24"/>
        </w:rPr>
        <w:t>revenue of $557</w:t>
      </w:r>
      <w:r w:rsidR="007E3F95">
        <w:rPr>
          <w:rFonts w:cs="Times New Roman"/>
          <w:szCs w:val="24"/>
        </w:rPr>
        <w:t xml:space="preserve"> or less</w:t>
      </w:r>
      <w:r w:rsidR="00765BCE" w:rsidRPr="00EC1E96">
        <w:rPr>
          <w:rFonts w:cs="Times New Roman"/>
          <w:szCs w:val="24"/>
        </w:rPr>
        <w:t xml:space="preserve">), </w:t>
      </w:r>
      <w:r w:rsidR="00AC68F7">
        <w:rPr>
          <w:rFonts w:cs="Times New Roman"/>
          <w:szCs w:val="24"/>
        </w:rPr>
        <w:t xml:space="preserve">so long as </w:t>
      </w:r>
      <w:r w:rsidR="00765BCE" w:rsidRPr="00EC1E96">
        <w:rPr>
          <w:rFonts w:cs="Times New Roman"/>
          <w:szCs w:val="24"/>
        </w:rPr>
        <w:t>each shareholder has a</w:t>
      </w:r>
      <w:r w:rsidR="00B94FC1">
        <w:rPr>
          <w:rFonts w:cs="Times New Roman"/>
          <w:szCs w:val="24"/>
        </w:rPr>
        <w:t xml:space="preserve"> “complete </w:t>
      </w:r>
      <w:r w:rsidR="00765BCE" w:rsidRPr="00EC1E96">
        <w:rPr>
          <w:rFonts w:cs="Times New Roman"/>
          <w:szCs w:val="24"/>
        </w:rPr>
        <w:t>identi</w:t>
      </w:r>
      <w:r w:rsidR="00411CE2">
        <w:rPr>
          <w:rFonts w:cs="Times New Roman"/>
          <w:szCs w:val="24"/>
        </w:rPr>
        <w:t>t</w:t>
      </w:r>
      <w:r w:rsidR="00765BCE" w:rsidRPr="00EC1E96">
        <w:rPr>
          <w:rFonts w:cs="Times New Roman"/>
          <w:szCs w:val="24"/>
        </w:rPr>
        <w:t xml:space="preserve">y of interest” with </w:t>
      </w:r>
      <w:r w:rsidR="00AC68F7">
        <w:rPr>
          <w:rFonts w:cs="Times New Roman"/>
          <w:szCs w:val="24"/>
        </w:rPr>
        <w:t>SPIC</w:t>
      </w:r>
      <w:r w:rsidR="00EB5D49">
        <w:rPr>
          <w:rFonts w:cs="Times New Roman"/>
          <w:szCs w:val="24"/>
        </w:rPr>
        <w:t xml:space="preserve">, </w:t>
      </w:r>
      <w:r w:rsidR="00EB5D49">
        <w:rPr>
          <w:rFonts w:cs="Times New Roman"/>
          <w:i/>
          <w:szCs w:val="24"/>
        </w:rPr>
        <w:t xml:space="preserve">i.e., </w:t>
      </w:r>
      <w:r w:rsidR="00E03A8D">
        <w:rPr>
          <w:rFonts w:cs="Times New Roman"/>
          <w:szCs w:val="24"/>
        </w:rPr>
        <w:t>they</w:t>
      </w:r>
      <w:r w:rsidR="00765BCE" w:rsidRPr="00EC1E96">
        <w:rPr>
          <w:rFonts w:cs="Times New Roman"/>
          <w:szCs w:val="24"/>
        </w:rPr>
        <w:t xml:space="preserve">: </w:t>
      </w:r>
    </w:p>
    <w:p w:rsidR="00765BCE" w:rsidRPr="00765BCE" w:rsidRDefault="00765BCE" w:rsidP="00765BCE">
      <w:pPr>
        <w:pStyle w:val="ListParagraph"/>
        <w:numPr>
          <w:ilvl w:val="0"/>
          <w:numId w:val="5"/>
        </w:numPr>
        <w:spacing w:line="480" w:lineRule="auto"/>
        <w:ind w:left="1440" w:hanging="720"/>
        <w:rPr>
          <w:rFonts w:cs="Times New Roman"/>
          <w:szCs w:val="24"/>
        </w:rPr>
      </w:pPr>
      <w:r w:rsidRPr="00765BCE">
        <w:rPr>
          <w:rFonts w:cs="Times New Roman"/>
          <w:szCs w:val="24"/>
        </w:rPr>
        <w:t>Hav</w:t>
      </w:r>
      <w:r w:rsidR="00E03A8D">
        <w:rPr>
          <w:rFonts w:cs="Times New Roman"/>
          <w:szCs w:val="24"/>
        </w:rPr>
        <w:t>e</w:t>
      </w:r>
      <w:r w:rsidRPr="00765BCE">
        <w:rPr>
          <w:rFonts w:cs="Times New Roman"/>
          <w:szCs w:val="24"/>
        </w:rPr>
        <w:t xml:space="preserve"> a </w:t>
      </w:r>
      <w:r w:rsidR="00214B38">
        <w:rPr>
          <w:rFonts w:cs="Times New Roman"/>
          <w:szCs w:val="24"/>
        </w:rPr>
        <w:t>“</w:t>
      </w:r>
      <w:r w:rsidRPr="00765BCE">
        <w:rPr>
          <w:rFonts w:cs="Times New Roman"/>
          <w:szCs w:val="24"/>
        </w:rPr>
        <w:t xml:space="preserve">voice” in the management of water-related matters, and </w:t>
      </w:r>
    </w:p>
    <w:p w:rsidR="00765BCE" w:rsidRPr="00765BCE" w:rsidRDefault="00765BCE" w:rsidP="00765BCE">
      <w:pPr>
        <w:pStyle w:val="ListParagraph"/>
        <w:numPr>
          <w:ilvl w:val="0"/>
          <w:numId w:val="5"/>
        </w:numPr>
        <w:spacing w:line="480" w:lineRule="auto"/>
        <w:ind w:left="1440" w:hanging="720"/>
        <w:rPr>
          <w:rFonts w:cs="Times New Roman"/>
          <w:szCs w:val="24"/>
        </w:rPr>
      </w:pPr>
      <w:r w:rsidRPr="00765BCE">
        <w:rPr>
          <w:rFonts w:cs="Times New Roman"/>
          <w:szCs w:val="24"/>
        </w:rPr>
        <w:t>Hav</w:t>
      </w:r>
      <w:r w:rsidR="00E03A8D">
        <w:rPr>
          <w:rFonts w:cs="Times New Roman"/>
          <w:szCs w:val="24"/>
        </w:rPr>
        <w:t>e</w:t>
      </w:r>
      <w:r w:rsidRPr="00765BCE">
        <w:rPr>
          <w:rFonts w:cs="Times New Roman"/>
          <w:szCs w:val="24"/>
        </w:rPr>
        <w:t xml:space="preserve"> a</w:t>
      </w:r>
      <w:r w:rsidR="00B72792">
        <w:rPr>
          <w:rFonts w:cs="Times New Roman"/>
          <w:szCs w:val="24"/>
        </w:rPr>
        <w:t>n</w:t>
      </w:r>
      <w:r w:rsidRPr="00765BCE">
        <w:rPr>
          <w:rFonts w:cs="Times New Roman"/>
          <w:szCs w:val="24"/>
        </w:rPr>
        <w:t xml:space="preserve"> “interest in the financial returns” of the Company</w:t>
      </w:r>
    </w:p>
    <w:p w:rsidR="00EC1E96" w:rsidRPr="00BD4FF0" w:rsidRDefault="00BD4FF0" w:rsidP="00EC1E96">
      <w:pPr>
        <w:pStyle w:val="ListParagraph"/>
        <w:numPr>
          <w:ilvl w:val="0"/>
          <w:numId w:val="6"/>
        </w:numPr>
        <w:spacing w:line="480" w:lineRule="auto"/>
        <w:ind w:left="0" w:hanging="720"/>
        <w:rPr>
          <w:rFonts w:cs="Times New Roman"/>
          <w:szCs w:val="24"/>
        </w:rPr>
      </w:pPr>
      <w:r>
        <w:rPr>
          <w:rFonts w:cs="Times New Roman"/>
          <w:szCs w:val="24"/>
        </w:rPr>
        <w:tab/>
        <w:t xml:space="preserve">As </w:t>
      </w:r>
      <w:r w:rsidR="00F57700">
        <w:rPr>
          <w:rFonts w:cs="Times New Roman"/>
          <w:szCs w:val="24"/>
        </w:rPr>
        <w:t>discussed below</w:t>
      </w:r>
      <w:r>
        <w:rPr>
          <w:rFonts w:cs="Times New Roman"/>
          <w:szCs w:val="24"/>
        </w:rPr>
        <w:t xml:space="preserve">, </w:t>
      </w:r>
      <w:r w:rsidR="00620D41" w:rsidRPr="00BD4FF0">
        <w:rPr>
          <w:rFonts w:cs="Times New Roman"/>
          <w:szCs w:val="24"/>
        </w:rPr>
        <w:t xml:space="preserve">while </w:t>
      </w:r>
      <w:r w:rsidR="00765BCE" w:rsidRPr="00BD4FF0">
        <w:rPr>
          <w:rFonts w:cs="Times New Roman"/>
          <w:szCs w:val="24"/>
        </w:rPr>
        <w:t>SPIC’s Class A shareholders</w:t>
      </w:r>
      <w:r w:rsidR="00620D41" w:rsidRPr="00BD4FF0">
        <w:rPr>
          <w:rFonts w:cs="Times New Roman"/>
          <w:szCs w:val="24"/>
        </w:rPr>
        <w:t>/customers</w:t>
      </w:r>
      <w:r w:rsidR="00765BCE" w:rsidRPr="00BD4FF0">
        <w:rPr>
          <w:rFonts w:cs="Times New Roman"/>
          <w:szCs w:val="24"/>
        </w:rPr>
        <w:t xml:space="preserve"> have a “</w:t>
      </w:r>
      <w:r w:rsidR="00B94FC1" w:rsidRPr="00BD4FF0">
        <w:rPr>
          <w:rFonts w:cs="Times New Roman"/>
          <w:szCs w:val="24"/>
        </w:rPr>
        <w:t xml:space="preserve">complete </w:t>
      </w:r>
      <w:r w:rsidR="00765BCE" w:rsidRPr="00BD4FF0">
        <w:rPr>
          <w:rFonts w:cs="Times New Roman"/>
          <w:szCs w:val="24"/>
        </w:rPr>
        <w:t xml:space="preserve">identity of interest” with the Company, </w:t>
      </w:r>
      <w:r w:rsidR="00A01CCE">
        <w:rPr>
          <w:rFonts w:cs="Times New Roman"/>
          <w:szCs w:val="24"/>
        </w:rPr>
        <w:t>the Company’s</w:t>
      </w:r>
      <w:r w:rsidR="00EC1E96" w:rsidRPr="00BD4FF0">
        <w:rPr>
          <w:rFonts w:cs="Times New Roman"/>
          <w:szCs w:val="24"/>
        </w:rPr>
        <w:t xml:space="preserve"> Class C shareholders</w:t>
      </w:r>
      <w:r w:rsidR="00620D41" w:rsidRPr="00BD4FF0">
        <w:rPr>
          <w:rFonts w:cs="Times New Roman"/>
          <w:szCs w:val="24"/>
        </w:rPr>
        <w:t>/customers</w:t>
      </w:r>
      <w:r w:rsidR="00EC1E96" w:rsidRPr="00BD4FF0">
        <w:rPr>
          <w:rFonts w:cs="Times New Roman"/>
          <w:szCs w:val="24"/>
        </w:rPr>
        <w:t xml:space="preserve"> </w:t>
      </w:r>
      <w:r w:rsidR="00620D41" w:rsidRPr="00BD4FF0">
        <w:rPr>
          <w:rFonts w:cs="Times New Roman"/>
          <w:szCs w:val="24"/>
        </w:rPr>
        <w:t xml:space="preserve">and non-shareholders/customers </w:t>
      </w:r>
      <w:r w:rsidR="00EC1E96" w:rsidRPr="00BD4FF0">
        <w:rPr>
          <w:rFonts w:cs="Times New Roman"/>
          <w:szCs w:val="24"/>
        </w:rPr>
        <w:t>do not.</w:t>
      </w:r>
      <w:r w:rsidR="00AC68F7" w:rsidRPr="00BD4FF0">
        <w:rPr>
          <w:rFonts w:cs="Times New Roman"/>
          <w:szCs w:val="24"/>
        </w:rPr>
        <w:t xml:space="preserve">  Consequently, SPIC pass</w:t>
      </w:r>
      <w:r w:rsidR="00313332" w:rsidRPr="00BD4FF0">
        <w:rPr>
          <w:rFonts w:cs="Times New Roman"/>
          <w:szCs w:val="24"/>
        </w:rPr>
        <w:t>es</w:t>
      </w:r>
      <w:r w:rsidR="00AC68F7" w:rsidRPr="00BD4FF0">
        <w:rPr>
          <w:rFonts w:cs="Times New Roman"/>
          <w:szCs w:val="24"/>
        </w:rPr>
        <w:t xml:space="preserve"> th</w:t>
      </w:r>
      <w:r w:rsidR="00A01CCE">
        <w:rPr>
          <w:rFonts w:cs="Times New Roman"/>
          <w:szCs w:val="24"/>
        </w:rPr>
        <w:t xml:space="preserve">is aspect of the </w:t>
      </w:r>
      <w:r w:rsidR="00AC68F7" w:rsidRPr="00BD4FF0">
        <w:rPr>
          <w:rFonts w:cs="Times New Roman"/>
          <w:szCs w:val="24"/>
        </w:rPr>
        <w:t>“</w:t>
      </w:r>
      <w:r w:rsidR="00AF3A39" w:rsidRPr="00BD4FF0">
        <w:rPr>
          <w:rFonts w:cs="Times New Roman"/>
          <w:szCs w:val="24"/>
        </w:rPr>
        <w:t xml:space="preserve">service </w:t>
      </w:r>
      <w:r w:rsidR="00AC68F7" w:rsidRPr="00BD4FF0">
        <w:rPr>
          <w:rFonts w:cs="Times New Roman"/>
          <w:szCs w:val="24"/>
        </w:rPr>
        <w:t xml:space="preserve">to the public” test </w:t>
      </w:r>
      <w:r w:rsidR="00A01CCE">
        <w:rPr>
          <w:rFonts w:cs="Times New Roman"/>
          <w:szCs w:val="24"/>
        </w:rPr>
        <w:t xml:space="preserve">regarding </w:t>
      </w:r>
      <w:r w:rsidR="00302C1F" w:rsidRPr="00BD4FF0">
        <w:rPr>
          <w:rFonts w:cs="Times New Roman"/>
          <w:szCs w:val="24"/>
        </w:rPr>
        <w:t xml:space="preserve">service to </w:t>
      </w:r>
      <w:r w:rsidR="00A01CCE">
        <w:rPr>
          <w:rFonts w:cs="Times New Roman"/>
          <w:szCs w:val="24"/>
        </w:rPr>
        <w:t>the Company’s</w:t>
      </w:r>
      <w:r w:rsidR="00DC2C9F" w:rsidRPr="00BD4FF0">
        <w:rPr>
          <w:rFonts w:cs="Times New Roman"/>
          <w:szCs w:val="24"/>
        </w:rPr>
        <w:t xml:space="preserve"> </w:t>
      </w:r>
      <w:r w:rsidR="00AC68F7" w:rsidRPr="00BD4FF0">
        <w:rPr>
          <w:rFonts w:cs="Times New Roman"/>
          <w:szCs w:val="24"/>
        </w:rPr>
        <w:t>Class C shareholder/customers</w:t>
      </w:r>
      <w:r w:rsidR="00302C1F" w:rsidRPr="00BD4FF0">
        <w:rPr>
          <w:rFonts w:cs="Times New Roman"/>
          <w:szCs w:val="24"/>
        </w:rPr>
        <w:t xml:space="preserve">, and thus </w:t>
      </w:r>
      <w:r w:rsidR="00A01CCE">
        <w:rPr>
          <w:rFonts w:cs="Times New Roman"/>
          <w:szCs w:val="24"/>
        </w:rPr>
        <w:t xml:space="preserve">SPIC is </w:t>
      </w:r>
      <w:r w:rsidR="00302C1F" w:rsidRPr="00BD4FF0">
        <w:rPr>
          <w:rFonts w:cs="Times New Roman"/>
          <w:szCs w:val="24"/>
        </w:rPr>
        <w:t>subject to Commission jurisdiction to that extent.</w:t>
      </w:r>
      <w:r w:rsidR="00620D41" w:rsidRPr="00BD4FF0">
        <w:rPr>
          <w:rFonts w:cs="Times New Roman"/>
          <w:szCs w:val="24"/>
        </w:rPr>
        <w:t xml:space="preserve">  </w:t>
      </w:r>
      <w:r w:rsidR="00A01CCE">
        <w:rPr>
          <w:rFonts w:cs="Times New Roman"/>
          <w:szCs w:val="24"/>
        </w:rPr>
        <w:t>Moreover, b</w:t>
      </w:r>
      <w:r w:rsidR="00DC2C9F" w:rsidRPr="00BD4FF0">
        <w:rPr>
          <w:rFonts w:cs="Times New Roman"/>
          <w:szCs w:val="24"/>
        </w:rPr>
        <w:t>ecause t</w:t>
      </w:r>
      <w:r w:rsidR="00620D41" w:rsidRPr="00BD4FF0">
        <w:rPr>
          <w:rFonts w:cs="Times New Roman"/>
          <w:szCs w:val="24"/>
        </w:rPr>
        <w:t>h</w:t>
      </w:r>
      <w:r w:rsidR="00DC2C9F" w:rsidRPr="00BD4FF0">
        <w:rPr>
          <w:rFonts w:cs="Times New Roman"/>
          <w:szCs w:val="24"/>
        </w:rPr>
        <w:t xml:space="preserve">ese </w:t>
      </w:r>
      <w:r w:rsidR="00E03A8D">
        <w:rPr>
          <w:rFonts w:cs="Times New Roman"/>
          <w:szCs w:val="24"/>
        </w:rPr>
        <w:t>11</w:t>
      </w:r>
      <w:r w:rsidR="004B7F9B">
        <w:rPr>
          <w:rFonts w:cs="Times New Roman"/>
          <w:szCs w:val="24"/>
        </w:rPr>
        <w:t>9</w:t>
      </w:r>
      <w:r w:rsidR="00E03A8D">
        <w:rPr>
          <w:rFonts w:cs="Times New Roman"/>
          <w:szCs w:val="24"/>
        </w:rPr>
        <w:t xml:space="preserve"> </w:t>
      </w:r>
      <w:r w:rsidR="00DC2C9F" w:rsidRPr="00BD4FF0">
        <w:rPr>
          <w:rFonts w:cs="Times New Roman"/>
          <w:szCs w:val="24"/>
        </w:rPr>
        <w:t xml:space="preserve">customers </w:t>
      </w:r>
      <w:r w:rsidR="00620D41" w:rsidRPr="00BD4FF0">
        <w:rPr>
          <w:rFonts w:cs="Times New Roman"/>
          <w:szCs w:val="24"/>
        </w:rPr>
        <w:t xml:space="preserve">place SPIC over the </w:t>
      </w:r>
      <w:r w:rsidR="00D362F5" w:rsidRPr="00BD4FF0">
        <w:rPr>
          <w:rFonts w:cs="Times New Roman"/>
          <w:szCs w:val="24"/>
        </w:rPr>
        <w:t xml:space="preserve">exemption </w:t>
      </w:r>
      <w:r w:rsidR="00620D41" w:rsidRPr="00BD4FF0">
        <w:rPr>
          <w:rFonts w:cs="Times New Roman"/>
          <w:szCs w:val="24"/>
        </w:rPr>
        <w:t>maximum of 99 customers</w:t>
      </w:r>
      <w:r w:rsidR="00D362F5" w:rsidRPr="00BD4FF0">
        <w:rPr>
          <w:rFonts w:cs="Times New Roman"/>
          <w:szCs w:val="24"/>
        </w:rPr>
        <w:t xml:space="preserve"> in RCW 80.04.010(30)(b)</w:t>
      </w:r>
      <w:r w:rsidR="00620D41" w:rsidRPr="00BD4FF0">
        <w:rPr>
          <w:rFonts w:cs="Times New Roman"/>
          <w:szCs w:val="24"/>
        </w:rPr>
        <w:t xml:space="preserve">, the Company is subject to Commission regulation </w:t>
      </w:r>
      <w:r w:rsidR="00DC2C9F" w:rsidRPr="00BD4FF0">
        <w:rPr>
          <w:rFonts w:cs="Times New Roman"/>
          <w:szCs w:val="24"/>
        </w:rPr>
        <w:t xml:space="preserve">regarding </w:t>
      </w:r>
      <w:r w:rsidR="00302C1F" w:rsidRPr="00BD4FF0">
        <w:rPr>
          <w:rFonts w:cs="Times New Roman"/>
          <w:szCs w:val="24"/>
        </w:rPr>
        <w:t xml:space="preserve">its </w:t>
      </w:r>
      <w:r w:rsidR="00620D41" w:rsidRPr="00BD4FF0">
        <w:rPr>
          <w:rFonts w:cs="Times New Roman"/>
          <w:szCs w:val="24"/>
        </w:rPr>
        <w:t>non-shareholder customers</w:t>
      </w:r>
      <w:r w:rsidR="00DC2C9F" w:rsidRPr="00BD4FF0">
        <w:rPr>
          <w:rFonts w:cs="Times New Roman"/>
          <w:szCs w:val="24"/>
        </w:rPr>
        <w:t xml:space="preserve"> as well</w:t>
      </w:r>
      <w:r w:rsidR="00620D41" w:rsidRPr="00BD4FF0">
        <w:rPr>
          <w:rFonts w:cs="Times New Roman"/>
          <w:szCs w:val="24"/>
        </w:rPr>
        <w:t xml:space="preserve">. </w:t>
      </w:r>
    </w:p>
    <w:p w:rsidR="00EC1E96" w:rsidRPr="00AF3A39" w:rsidRDefault="00BD4FF0" w:rsidP="00BD4FF0">
      <w:pPr>
        <w:pStyle w:val="ListParagraph"/>
        <w:ind w:left="2160" w:hanging="720"/>
        <w:rPr>
          <w:rFonts w:cs="Times New Roman"/>
          <w:b/>
          <w:szCs w:val="24"/>
        </w:rPr>
      </w:pPr>
      <w:r>
        <w:rPr>
          <w:rFonts w:cs="Times New Roman"/>
          <w:b/>
          <w:szCs w:val="24"/>
        </w:rPr>
        <w:t>a</w:t>
      </w:r>
      <w:r w:rsidR="00EC1E96" w:rsidRPr="00EC1E96">
        <w:rPr>
          <w:rFonts w:cs="Times New Roman"/>
          <w:b/>
          <w:szCs w:val="24"/>
        </w:rPr>
        <w:t>.</w:t>
      </w:r>
      <w:r w:rsidR="00EC1E96" w:rsidRPr="00EC1E96">
        <w:rPr>
          <w:rFonts w:cs="Times New Roman"/>
          <w:b/>
          <w:szCs w:val="24"/>
        </w:rPr>
        <w:tab/>
        <w:t>SPIC</w:t>
      </w:r>
      <w:r w:rsidR="009B14EA">
        <w:rPr>
          <w:rFonts w:cs="Times New Roman"/>
          <w:b/>
          <w:szCs w:val="24"/>
        </w:rPr>
        <w:t>’s</w:t>
      </w:r>
      <w:r w:rsidR="00B228E8">
        <w:rPr>
          <w:rFonts w:cs="Times New Roman"/>
          <w:b/>
          <w:szCs w:val="24"/>
        </w:rPr>
        <w:t xml:space="preserve"> </w:t>
      </w:r>
      <w:r w:rsidR="00EC1E96" w:rsidRPr="00EC1E96">
        <w:rPr>
          <w:rFonts w:cs="Times New Roman"/>
          <w:b/>
          <w:szCs w:val="24"/>
        </w:rPr>
        <w:t>Class A shareholders/customers</w:t>
      </w:r>
      <w:r w:rsidR="00B228E8">
        <w:rPr>
          <w:rFonts w:cs="Times New Roman"/>
          <w:b/>
          <w:szCs w:val="24"/>
        </w:rPr>
        <w:t xml:space="preserve"> </w:t>
      </w:r>
      <w:r w:rsidR="0041605C">
        <w:rPr>
          <w:rFonts w:cs="Times New Roman"/>
          <w:b/>
          <w:szCs w:val="24"/>
        </w:rPr>
        <w:t>have a “</w:t>
      </w:r>
      <w:r w:rsidR="00B94FC1">
        <w:rPr>
          <w:rFonts w:cs="Times New Roman"/>
          <w:b/>
          <w:szCs w:val="24"/>
        </w:rPr>
        <w:t xml:space="preserve">complete </w:t>
      </w:r>
      <w:r w:rsidR="00EE14E0">
        <w:rPr>
          <w:rFonts w:cs="Times New Roman"/>
          <w:b/>
          <w:szCs w:val="24"/>
        </w:rPr>
        <w:t>identity</w:t>
      </w:r>
      <w:r w:rsidR="0041605C">
        <w:rPr>
          <w:rFonts w:cs="Times New Roman"/>
          <w:b/>
          <w:szCs w:val="24"/>
        </w:rPr>
        <w:t xml:space="preserve"> of interest” with the Company</w:t>
      </w:r>
      <w:r w:rsidR="00D362F5">
        <w:rPr>
          <w:rFonts w:cs="Times New Roman"/>
          <w:b/>
          <w:szCs w:val="24"/>
        </w:rPr>
        <w:t>.  Therefore,</w:t>
      </w:r>
      <w:r w:rsidR="00B228E8">
        <w:rPr>
          <w:rFonts w:cs="Times New Roman"/>
          <w:b/>
          <w:szCs w:val="24"/>
        </w:rPr>
        <w:t xml:space="preserve"> </w:t>
      </w:r>
      <w:r w:rsidR="0041605C">
        <w:rPr>
          <w:rFonts w:cs="Times New Roman"/>
          <w:b/>
          <w:szCs w:val="24"/>
        </w:rPr>
        <w:t xml:space="preserve">the Company is exempt from Commission regulation </w:t>
      </w:r>
      <w:r w:rsidR="00302C1F">
        <w:rPr>
          <w:rFonts w:cs="Times New Roman"/>
          <w:b/>
          <w:szCs w:val="24"/>
        </w:rPr>
        <w:t xml:space="preserve">regarding </w:t>
      </w:r>
      <w:r w:rsidR="00B94FC1">
        <w:rPr>
          <w:rFonts w:cs="Times New Roman"/>
          <w:b/>
          <w:szCs w:val="24"/>
        </w:rPr>
        <w:t>th</w:t>
      </w:r>
      <w:r w:rsidR="00B228E8">
        <w:rPr>
          <w:rFonts w:cs="Times New Roman"/>
          <w:b/>
          <w:szCs w:val="24"/>
        </w:rPr>
        <w:t>at service</w:t>
      </w:r>
      <w:r w:rsidR="00B94FC1">
        <w:rPr>
          <w:rFonts w:cs="Times New Roman"/>
          <w:b/>
          <w:szCs w:val="24"/>
        </w:rPr>
        <w:t xml:space="preserve"> </w:t>
      </w:r>
    </w:p>
    <w:p w:rsidR="00EC1E96" w:rsidRPr="00765BCE" w:rsidRDefault="00EC1E96" w:rsidP="00EC1E96">
      <w:pPr>
        <w:ind w:left="2160" w:hanging="720"/>
        <w:rPr>
          <w:rFonts w:cs="Times New Roman"/>
          <w:b/>
          <w:szCs w:val="24"/>
        </w:rPr>
      </w:pPr>
    </w:p>
    <w:p w:rsidR="00EC1E96" w:rsidRDefault="00EC1E96" w:rsidP="00EC1E96">
      <w:pPr>
        <w:pStyle w:val="ListParagraph"/>
        <w:numPr>
          <w:ilvl w:val="0"/>
          <w:numId w:val="6"/>
        </w:numPr>
        <w:spacing w:line="480" w:lineRule="auto"/>
        <w:ind w:left="0" w:hanging="720"/>
        <w:rPr>
          <w:rFonts w:cs="Times New Roman"/>
          <w:szCs w:val="24"/>
        </w:rPr>
      </w:pPr>
      <w:r>
        <w:rPr>
          <w:rFonts w:cs="Times New Roman"/>
          <w:szCs w:val="24"/>
        </w:rPr>
        <w:tab/>
      </w:r>
      <w:r w:rsidR="00765BCE" w:rsidRPr="00EC1E96">
        <w:rPr>
          <w:rFonts w:cs="Times New Roman"/>
          <w:szCs w:val="24"/>
        </w:rPr>
        <w:t>The facts show that SPIC’s Class A shareholders/customers own the company</w:t>
      </w:r>
      <w:r w:rsidR="00620D41">
        <w:rPr>
          <w:rStyle w:val="FootnoteReference"/>
          <w:rFonts w:cs="Times New Roman"/>
          <w:szCs w:val="24"/>
        </w:rPr>
        <w:footnoteReference w:id="42"/>
      </w:r>
      <w:r w:rsidR="00765BCE" w:rsidRPr="00EC1E96">
        <w:rPr>
          <w:rFonts w:cs="Times New Roman"/>
          <w:szCs w:val="24"/>
        </w:rPr>
        <w:t xml:space="preserve"> and have voting rights</w:t>
      </w:r>
      <w:r w:rsidR="00333409">
        <w:rPr>
          <w:rFonts w:cs="Times New Roman"/>
          <w:szCs w:val="24"/>
        </w:rPr>
        <w:t xml:space="preserve"> “on any matter presented to the shareholders”</w:t>
      </w:r>
      <w:r w:rsidR="00432F03">
        <w:rPr>
          <w:rFonts w:cs="Times New Roman"/>
          <w:szCs w:val="24"/>
        </w:rPr>
        <w:t>.</w:t>
      </w:r>
      <w:r w:rsidR="00765BCE" w:rsidRPr="00765BCE">
        <w:rPr>
          <w:rStyle w:val="FootnoteReference"/>
          <w:rFonts w:cs="Times New Roman"/>
          <w:szCs w:val="24"/>
        </w:rPr>
        <w:footnoteReference w:id="43"/>
      </w:r>
      <w:r w:rsidR="00765BCE" w:rsidRPr="00EC1E96">
        <w:rPr>
          <w:rFonts w:cs="Times New Roman"/>
          <w:szCs w:val="24"/>
        </w:rPr>
        <w:t xml:space="preserve"> </w:t>
      </w:r>
      <w:r w:rsidR="00FE55A8">
        <w:rPr>
          <w:rFonts w:cs="Times New Roman"/>
          <w:szCs w:val="24"/>
        </w:rPr>
        <w:t xml:space="preserve"> Therefore, these shareholders/customers </w:t>
      </w:r>
      <w:r w:rsidR="00765BCE" w:rsidRPr="00EC1E96">
        <w:rPr>
          <w:rFonts w:cs="Times New Roman"/>
          <w:szCs w:val="24"/>
        </w:rPr>
        <w:t xml:space="preserve">have both a “voice in the management of the corporation” and an “interest in the financial returns” of the Company.  </w:t>
      </w:r>
      <w:r w:rsidR="0041605C">
        <w:rPr>
          <w:rFonts w:cs="Times New Roman"/>
          <w:szCs w:val="24"/>
        </w:rPr>
        <w:t xml:space="preserve">Consequently, </w:t>
      </w:r>
      <w:r w:rsidR="00EE14E0">
        <w:rPr>
          <w:rFonts w:cs="Times New Roman"/>
          <w:szCs w:val="24"/>
        </w:rPr>
        <w:t xml:space="preserve">per the </w:t>
      </w:r>
      <w:r w:rsidR="00EE14E0" w:rsidRPr="00EC1E96">
        <w:rPr>
          <w:rFonts w:cs="Times New Roman"/>
          <w:i/>
          <w:szCs w:val="24"/>
        </w:rPr>
        <w:t xml:space="preserve">West Valley </w:t>
      </w:r>
      <w:r w:rsidR="00EE14E0">
        <w:rPr>
          <w:rFonts w:cs="Times New Roman"/>
          <w:i/>
          <w:szCs w:val="24"/>
        </w:rPr>
        <w:t xml:space="preserve">Land </w:t>
      </w:r>
      <w:r w:rsidR="00EE14E0" w:rsidRPr="00EC1E96">
        <w:rPr>
          <w:rFonts w:cs="Times New Roman"/>
          <w:szCs w:val="24"/>
        </w:rPr>
        <w:t xml:space="preserve">and </w:t>
      </w:r>
      <w:r w:rsidR="00EE14E0" w:rsidRPr="00EC1E96">
        <w:rPr>
          <w:rFonts w:cs="Times New Roman"/>
          <w:i/>
          <w:szCs w:val="24"/>
        </w:rPr>
        <w:t xml:space="preserve">Inland Empire </w:t>
      </w:r>
      <w:r w:rsidR="00EE14E0" w:rsidRPr="00EC1E96">
        <w:rPr>
          <w:rFonts w:cs="Times New Roman"/>
          <w:szCs w:val="24"/>
        </w:rPr>
        <w:t>decisions</w:t>
      </w:r>
      <w:r w:rsidR="00EE14E0">
        <w:rPr>
          <w:rFonts w:cs="Times New Roman"/>
          <w:szCs w:val="24"/>
        </w:rPr>
        <w:t xml:space="preserve">, </w:t>
      </w:r>
      <w:r w:rsidR="0041605C" w:rsidRPr="00EC1E96">
        <w:rPr>
          <w:rFonts w:cs="Times New Roman"/>
          <w:szCs w:val="24"/>
        </w:rPr>
        <w:t xml:space="preserve">SPIC is not subject to </w:t>
      </w:r>
      <w:r w:rsidR="0041605C">
        <w:rPr>
          <w:rFonts w:cs="Times New Roman"/>
          <w:szCs w:val="24"/>
        </w:rPr>
        <w:t xml:space="preserve">Commission </w:t>
      </w:r>
      <w:r w:rsidR="0041605C" w:rsidRPr="00EC1E96">
        <w:rPr>
          <w:rFonts w:cs="Times New Roman"/>
          <w:szCs w:val="24"/>
        </w:rPr>
        <w:t>regulation</w:t>
      </w:r>
      <w:r w:rsidR="00302C1F">
        <w:rPr>
          <w:rFonts w:cs="Times New Roman"/>
          <w:szCs w:val="24"/>
        </w:rPr>
        <w:t xml:space="preserve"> </w:t>
      </w:r>
      <w:r w:rsidR="00B72792">
        <w:rPr>
          <w:rFonts w:cs="Times New Roman"/>
          <w:szCs w:val="24"/>
        </w:rPr>
        <w:t xml:space="preserve">to </w:t>
      </w:r>
      <w:r w:rsidR="00302C1F">
        <w:rPr>
          <w:rFonts w:cs="Times New Roman"/>
          <w:szCs w:val="24"/>
        </w:rPr>
        <w:t xml:space="preserve">the extent it </w:t>
      </w:r>
      <w:r w:rsidR="00302C1F">
        <w:rPr>
          <w:rFonts w:cs="Times New Roman"/>
          <w:szCs w:val="24"/>
        </w:rPr>
        <w:lastRenderedPageBreak/>
        <w:t xml:space="preserve">serves </w:t>
      </w:r>
      <w:r w:rsidR="003117FF">
        <w:rPr>
          <w:rFonts w:cs="Times New Roman"/>
          <w:szCs w:val="24"/>
        </w:rPr>
        <w:t xml:space="preserve">its </w:t>
      </w:r>
      <w:r w:rsidR="0041605C" w:rsidRPr="00EC1E96">
        <w:rPr>
          <w:rFonts w:cs="Times New Roman"/>
          <w:szCs w:val="24"/>
        </w:rPr>
        <w:t>Class A shareholders</w:t>
      </w:r>
      <w:r w:rsidR="00EE14E0">
        <w:rPr>
          <w:rFonts w:cs="Times New Roman"/>
          <w:szCs w:val="24"/>
        </w:rPr>
        <w:t>/customers</w:t>
      </w:r>
      <w:r w:rsidR="00B72792">
        <w:rPr>
          <w:rFonts w:cs="Times New Roman"/>
          <w:szCs w:val="24"/>
        </w:rPr>
        <w:t>,</w:t>
      </w:r>
      <w:r w:rsidR="0041605C" w:rsidRPr="00EC1E96">
        <w:rPr>
          <w:rFonts w:cs="Times New Roman"/>
          <w:szCs w:val="24"/>
        </w:rPr>
        <w:t xml:space="preserve"> because th</w:t>
      </w:r>
      <w:r w:rsidR="00EE14E0">
        <w:rPr>
          <w:rFonts w:cs="Times New Roman"/>
          <w:szCs w:val="24"/>
        </w:rPr>
        <w:t>o</w:t>
      </w:r>
      <w:r w:rsidR="0041605C" w:rsidRPr="00EC1E96">
        <w:rPr>
          <w:rFonts w:cs="Times New Roman"/>
          <w:szCs w:val="24"/>
        </w:rPr>
        <w:t>se shareholders</w:t>
      </w:r>
      <w:r w:rsidR="00B72792">
        <w:rPr>
          <w:rFonts w:cs="Times New Roman"/>
          <w:szCs w:val="24"/>
        </w:rPr>
        <w:t>/customers</w:t>
      </w:r>
      <w:r w:rsidR="0041605C" w:rsidRPr="00EC1E96">
        <w:rPr>
          <w:rFonts w:cs="Times New Roman"/>
          <w:szCs w:val="24"/>
        </w:rPr>
        <w:t xml:space="preserve"> have a “</w:t>
      </w:r>
      <w:r w:rsidR="00B94FC1">
        <w:rPr>
          <w:rFonts w:cs="Times New Roman"/>
          <w:szCs w:val="24"/>
        </w:rPr>
        <w:t xml:space="preserve">complete </w:t>
      </w:r>
      <w:r w:rsidR="0041605C" w:rsidRPr="00EC1E96">
        <w:rPr>
          <w:rFonts w:cs="Times New Roman"/>
          <w:szCs w:val="24"/>
        </w:rPr>
        <w:t>identity of interest” with the Company</w:t>
      </w:r>
      <w:r w:rsidR="00EE14E0">
        <w:rPr>
          <w:rFonts w:cs="Times New Roman"/>
          <w:szCs w:val="24"/>
        </w:rPr>
        <w:t>.</w:t>
      </w:r>
      <w:r w:rsidR="00333409">
        <w:rPr>
          <w:rStyle w:val="FootnoteReference"/>
          <w:rFonts w:cs="Times New Roman"/>
          <w:szCs w:val="24"/>
        </w:rPr>
        <w:footnoteReference w:id="44"/>
      </w:r>
    </w:p>
    <w:p w:rsidR="00EC1E96" w:rsidRDefault="00BD4FF0" w:rsidP="00322F8E">
      <w:pPr>
        <w:pStyle w:val="ListParagraph"/>
        <w:keepNext/>
        <w:keepLines/>
        <w:ind w:left="2160" w:hanging="720"/>
        <w:rPr>
          <w:rFonts w:cs="Times New Roman"/>
          <w:b/>
          <w:szCs w:val="24"/>
        </w:rPr>
      </w:pPr>
      <w:r>
        <w:rPr>
          <w:rFonts w:cs="Times New Roman"/>
          <w:b/>
          <w:szCs w:val="24"/>
        </w:rPr>
        <w:t>b</w:t>
      </w:r>
      <w:r w:rsidR="00B228E8">
        <w:rPr>
          <w:rFonts w:cs="Times New Roman"/>
          <w:b/>
          <w:szCs w:val="24"/>
        </w:rPr>
        <w:t>.</w:t>
      </w:r>
      <w:r w:rsidR="00B228E8">
        <w:rPr>
          <w:rFonts w:cs="Times New Roman"/>
          <w:b/>
          <w:szCs w:val="24"/>
        </w:rPr>
        <w:tab/>
        <w:t>SPIC</w:t>
      </w:r>
      <w:r w:rsidR="009B14EA">
        <w:rPr>
          <w:rFonts w:cs="Times New Roman"/>
          <w:b/>
          <w:szCs w:val="24"/>
        </w:rPr>
        <w:t>’s</w:t>
      </w:r>
      <w:r w:rsidR="00302C1F">
        <w:rPr>
          <w:rFonts w:cs="Times New Roman"/>
          <w:b/>
          <w:szCs w:val="24"/>
        </w:rPr>
        <w:t xml:space="preserve"> </w:t>
      </w:r>
      <w:r w:rsidR="009B14EA">
        <w:rPr>
          <w:rFonts w:cs="Times New Roman"/>
          <w:b/>
          <w:szCs w:val="24"/>
        </w:rPr>
        <w:t xml:space="preserve">Class C </w:t>
      </w:r>
      <w:r w:rsidR="00302C1F">
        <w:rPr>
          <w:rFonts w:cs="Times New Roman"/>
          <w:b/>
          <w:szCs w:val="24"/>
        </w:rPr>
        <w:t>shareholders</w:t>
      </w:r>
      <w:r w:rsidR="009B14EA">
        <w:rPr>
          <w:rFonts w:cs="Times New Roman"/>
          <w:b/>
          <w:szCs w:val="24"/>
        </w:rPr>
        <w:t>/customers and non-shareholder customers</w:t>
      </w:r>
      <w:r w:rsidR="00302C1F">
        <w:rPr>
          <w:rFonts w:cs="Times New Roman"/>
          <w:b/>
          <w:szCs w:val="24"/>
        </w:rPr>
        <w:t xml:space="preserve"> do not </w:t>
      </w:r>
      <w:r w:rsidR="0041605C">
        <w:rPr>
          <w:rFonts w:cs="Times New Roman"/>
          <w:b/>
          <w:szCs w:val="24"/>
        </w:rPr>
        <w:t>have a</w:t>
      </w:r>
      <w:r w:rsidR="00EE14E0">
        <w:rPr>
          <w:rFonts w:cs="Times New Roman"/>
          <w:b/>
          <w:szCs w:val="24"/>
        </w:rPr>
        <w:t xml:space="preserve"> “</w:t>
      </w:r>
      <w:r w:rsidR="00B94FC1">
        <w:rPr>
          <w:rFonts w:cs="Times New Roman"/>
          <w:b/>
          <w:szCs w:val="24"/>
        </w:rPr>
        <w:t xml:space="preserve">complete </w:t>
      </w:r>
      <w:r w:rsidR="00EE14E0">
        <w:rPr>
          <w:rFonts w:cs="Times New Roman"/>
          <w:b/>
          <w:szCs w:val="24"/>
        </w:rPr>
        <w:t>identity of interest</w:t>
      </w:r>
      <w:r w:rsidR="0041605C">
        <w:rPr>
          <w:rFonts w:cs="Times New Roman"/>
          <w:b/>
          <w:szCs w:val="24"/>
        </w:rPr>
        <w:t>” with the Company</w:t>
      </w:r>
      <w:r w:rsidR="00EC1FD3">
        <w:rPr>
          <w:rFonts w:cs="Times New Roman"/>
          <w:b/>
          <w:szCs w:val="24"/>
        </w:rPr>
        <w:t>; SPIC’s service to those customers is subject to Commission regulation</w:t>
      </w:r>
    </w:p>
    <w:p w:rsidR="00EC1E96" w:rsidRPr="00EC1E96" w:rsidRDefault="00EC1E96" w:rsidP="00EC1E96">
      <w:pPr>
        <w:pStyle w:val="ListParagraph"/>
        <w:ind w:hanging="720"/>
        <w:rPr>
          <w:rFonts w:cs="Times New Roman"/>
          <w:szCs w:val="24"/>
        </w:rPr>
      </w:pPr>
    </w:p>
    <w:p w:rsidR="00CD49F3" w:rsidRDefault="00EC1E96" w:rsidP="00EC1E96">
      <w:pPr>
        <w:pStyle w:val="ListParagraph"/>
        <w:numPr>
          <w:ilvl w:val="0"/>
          <w:numId w:val="6"/>
        </w:numPr>
        <w:spacing w:line="480" w:lineRule="auto"/>
        <w:ind w:left="0" w:hanging="720"/>
        <w:rPr>
          <w:rFonts w:cs="Times New Roman"/>
          <w:szCs w:val="24"/>
        </w:rPr>
      </w:pPr>
      <w:r w:rsidRPr="00CD49F3">
        <w:rPr>
          <w:rFonts w:cs="Times New Roman"/>
          <w:szCs w:val="24"/>
        </w:rPr>
        <w:tab/>
      </w:r>
      <w:r w:rsidR="0041605C" w:rsidRPr="00CD49F3">
        <w:rPr>
          <w:rFonts w:cs="Times New Roman"/>
          <w:szCs w:val="24"/>
        </w:rPr>
        <w:t xml:space="preserve">SPIC’s </w:t>
      </w:r>
      <w:r w:rsidR="00BF3103">
        <w:rPr>
          <w:rFonts w:cs="Times New Roman"/>
          <w:szCs w:val="24"/>
        </w:rPr>
        <w:t xml:space="preserve">119 </w:t>
      </w:r>
      <w:r w:rsidR="00765BCE" w:rsidRPr="00CD49F3">
        <w:rPr>
          <w:rFonts w:cs="Times New Roman"/>
          <w:szCs w:val="24"/>
        </w:rPr>
        <w:t xml:space="preserve">Class C shareholders/customers are situated </w:t>
      </w:r>
      <w:r w:rsidR="00CD49F3" w:rsidRPr="00CD49F3">
        <w:rPr>
          <w:rFonts w:cs="Times New Roman"/>
          <w:szCs w:val="24"/>
        </w:rPr>
        <w:t xml:space="preserve">quite </w:t>
      </w:r>
      <w:r w:rsidR="00765BCE" w:rsidRPr="00CD49F3">
        <w:rPr>
          <w:rFonts w:cs="Times New Roman"/>
          <w:szCs w:val="24"/>
        </w:rPr>
        <w:t xml:space="preserve">differently from the Class A shareholders/customers.  While the Class C shareholders also “have a voice” in the Company’s management via a vote on Board elections and on water-related issues that are presented by the Board for a </w:t>
      </w:r>
      <w:r w:rsidR="007E3F95" w:rsidRPr="00CD49F3">
        <w:rPr>
          <w:rFonts w:cs="Times New Roman"/>
          <w:szCs w:val="24"/>
        </w:rPr>
        <w:t xml:space="preserve">shareholder </w:t>
      </w:r>
      <w:r w:rsidR="00765BCE" w:rsidRPr="00CD49F3">
        <w:rPr>
          <w:rFonts w:cs="Times New Roman"/>
          <w:szCs w:val="24"/>
        </w:rPr>
        <w:t>vote,</w:t>
      </w:r>
      <w:r w:rsidR="00765BCE" w:rsidRPr="00765BCE">
        <w:rPr>
          <w:rStyle w:val="FootnoteReference"/>
          <w:rFonts w:cs="Times New Roman"/>
          <w:szCs w:val="24"/>
        </w:rPr>
        <w:footnoteReference w:id="45"/>
      </w:r>
      <w:r w:rsidR="00765BCE" w:rsidRPr="00CD49F3">
        <w:rPr>
          <w:rFonts w:cs="Times New Roman"/>
          <w:szCs w:val="24"/>
        </w:rPr>
        <w:t xml:space="preserve"> Class C shareholders have no interest in the fin</w:t>
      </w:r>
      <w:r w:rsidRPr="00CD49F3">
        <w:rPr>
          <w:rFonts w:cs="Times New Roman"/>
          <w:szCs w:val="24"/>
        </w:rPr>
        <w:t>ancial returns of the Company.</w:t>
      </w:r>
      <w:r w:rsidR="00DC2C9F" w:rsidRPr="00CD49F3">
        <w:rPr>
          <w:rFonts w:cs="Times New Roman"/>
          <w:szCs w:val="24"/>
        </w:rPr>
        <w:t xml:space="preserve">  </w:t>
      </w:r>
    </w:p>
    <w:p w:rsidR="00EC1E96" w:rsidRPr="00CD49F3" w:rsidRDefault="00CD49F3" w:rsidP="00EC1E96">
      <w:pPr>
        <w:pStyle w:val="ListParagraph"/>
        <w:numPr>
          <w:ilvl w:val="0"/>
          <w:numId w:val="6"/>
        </w:numPr>
        <w:spacing w:line="480" w:lineRule="auto"/>
        <w:ind w:left="0" w:hanging="720"/>
        <w:rPr>
          <w:rFonts w:cs="Times New Roman"/>
          <w:szCs w:val="24"/>
        </w:rPr>
      </w:pPr>
      <w:r w:rsidRPr="00CD49F3">
        <w:rPr>
          <w:rFonts w:cs="Times New Roman"/>
          <w:szCs w:val="24"/>
        </w:rPr>
        <w:tab/>
        <w:t>In other words, a</w:t>
      </w:r>
      <w:r w:rsidR="0041605C" w:rsidRPr="00CD49F3">
        <w:rPr>
          <w:rFonts w:cs="Times New Roman"/>
          <w:szCs w:val="24"/>
        </w:rPr>
        <w:t xml:space="preserve">s </w:t>
      </w:r>
      <w:r w:rsidR="00FE55A8" w:rsidRPr="00CD49F3">
        <w:rPr>
          <w:rFonts w:cs="Times New Roman"/>
          <w:szCs w:val="24"/>
        </w:rPr>
        <w:t>the Company’s then</w:t>
      </w:r>
      <w:r w:rsidR="00EE24F9">
        <w:rPr>
          <w:rFonts w:cs="Times New Roman"/>
          <w:szCs w:val="24"/>
        </w:rPr>
        <w:t>-</w:t>
      </w:r>
      <w:r w:rsidR="00FE55A8" w:rsidRPr="00CD49F3">
        <w:rPr>
          <w:rFonts w:cs="Times New Roman"/>
          <w:szCs w:val="24"/>
        </w:rPr>
        <w:t xml:space="preserve">President and Board Chairman </w:t>
      </w:r>
      <w:r w:rsidR="00E03A8D" w:rsidRPr="00CD49F3">
        <w:rPr>
          <w:rFonts w:cs="Times New Roman"/>
          <w:szCs w:val="24"/>
        </w:rPr>
        <w:t>stated</w:t>
      </w:r>
      <w:r w:rsidR="00FE55A8" w:rsidRPr="00CD49F3">
        <w:rPr>
          <w:rFonts w:cs="Times New Roman"/>
          <w:szCs w:val="24"/>
        </w:rPr>
        <w:t xml:space="preserve">: </w:t>
      </w:r>
      <w:r w:rsidR="00D362F5" w:rsidRPr="00CD49F3">
        <w:rPr>
          <w:rFonts w:cs="Times New Roman"/>
          <w:szCs w:val="24"/>
        </w:rPr>
        <w:t xml:space="preserve"> </w:t>
      </w:r>
      <w:r w:rsidR="0041605C" w:rsidRPr="00CD49F3">
        <w:rPr>
          <w:rFonts w:cs="Times New Roman"/>
          <w:szCs w:val="24"/>
        </w:rPr>
        <w:t>“</w:t>
      </w:r>
      <w:r w:rsidR="00FE55A8" w:rsidRPr="00CD49F3">
        <w:rPr>
          <w:rFonts w:cs="Times New Roman"/>
          <w:szCs w:val="24"/>
        </w:rPr>
        <w:t>T</w:t>
      </w:r>
      <w:r w:rsidR="0041605C" w:rsidRPr="00CD49F3">
        <w:rPr>
          <w:rFonts w:cs="Times New Roman"/>
          <w:szCs w:val="24"/>
        </w:rPr>
        <w:t>he Class C shareholder has no ownership interest in SPIC or its assets ….”</w:t>
      </w:r>
      <w:r w:rsidR="00A26B01">
        <w:rPr>
          <w:rStyle w:val="FootnoteReference"/>
          <w:rFonts w:cs="Times New Roman"/>
          <w:szCs w:val="24"/>
        </w:rPr>
        <w:footnoteReference w:id="46"/>
      </w:r>
      <w:r w:rsidR="0041605C" w:rsidRPr="00CD49F3">
        <w:rPr>
          <w:rFonts w:cs="Times New Roman"/>
          <w:szCs w:val="24"/>
        </w:rPr>
        <w:t xml:space="preserve">  </w:t>
      </w:r>
      <w:r w:rsidRPr="00CD49F3">
        <w:rPr>
          <w:rFonts w:cs="Times New Roman"/>
          <w:szCs w:val="24"/>
        </w:rPr>
        <w:tab/>
      </w:r>
      <w:r w:rsidR="0041605C" w:rsidRPr="00CD49F3">
        <w:rPr>
          <w:rFonts w:cs="Times New Roman"/>
          <w:szCs w:val="24"/>
        </w:rPr>
        <w:t xml:space="preserve">This </w:t>
      </w:r>
      <w:r w:rsidR="00DC2C9F" w:rsidRPr="00CD49F3">
        <w:rPr>
          <w:rFonts w:cs="Times New Roman"/>
          <w:szCs w:val="24"/>
        </w:rPr>
        <w:t xml:space="preserve">Company statement </w:t>
      </w:r>
      <w:r w:rsidR="0041605C" w:rsidRPr="00CD49F3">
        <w:rPr>
          <w:rFonts w:cs="Times New Roman"/>
          <w:szCs w:val="24"/>
        </w:rPr>
        <w:t xml:space="preserve">is </w:t>
      </w:r>
      <w:r w:rsidR="00DC2C9F" w:rsidRPr="00CD49F3">
        <w:rPr>
          <w:rFonts w:cs="Times New Roman"/>
          <w:szCs w:val="24"/>
        </w:rPr>
        <w:t xml:space="preserve">firmly </w:t>
      </w:r>
      <w:r w:rsidR="00FE55A8" w:rsidRPr="00CD49F3">
        <w:rPr>
          <w:rFonts w:cs="Times New Roman"/>
          <w:szCs w:val="24"/>
        </w:rPr>
        <w:t xml:space="preserve">cemented by the </w:t>
      </w:r>
      <w:r w:rsidR="00EE14E0" w:rsidRPr="00CD49F3">
        <w:rPr>
          <w:rFonts w:cs="Times New Roman"/>
          <w:szCs w:val="24"/>
        </w:rPr>
        <w:t xml:space="preserve">Company’s </w:t>
      </w:r>
      <w:r w:rsidR="00765BCE" w:rsidRPr="00CD49F3">
        <w:rPr>
          <w:rFonts w:cs="Times New Roman"/>
          <w:szCs w:val="24"/>
        </w:rPr>
        <w:t xml:space="preserve">Articles of Incorporation, </w:t>
      </w:r>
      <w:r w:rsidR="0041605C" w:rsidRPr="00CD49F3">
        <w:rPr>
          <w:rFonts w:cs="Times New Roman"/>
          <w:szCs w:val="24"/>
        </w:rPr>
        <w:t xml:space="preserve">which state </w:t>
      </w:r>
      <w:r w:rsidR="009B14EA" w:rsidRPr="00CD49F3">
        <w:rPr>
          <w:rFonts w:cs="Times New Roman"/>
          <w:szCs w:val="24"/>
        </w:rPr>
        <w:t xml:space="preserve">that </w:t>
      </w:r>
      <w:r w:rsidR="00765BCE" w:rsidRPr="00CD49F3">
        <w:rPr>
          <w:rFonts w:cs="Times New Roman"/>
          <w:szCs w:val="24"/>
        </w:rPr>
        <w:t>a Class C share “shall solely represent the right of the holder thereof to have water service provided by the corporation to real property owned by the shareholder in the vicinity of Sandy Point to which property such share shall be appurtenant …”</w:t>
      </w:r>
      <w:r w:rsidR="00765BCE" w:rsidRPr="00765BCE">
        <w:rPr>
          <w:rStyle w:val="FootnoteReference"/>
          <w:rFonts w:cs="Times New Roman"/>
          <w:szCs w:val="24"/>
        </w:rPr>
        <w:footnoteReference w:id="47"/>
      </w:r>
      <w:r w:rsidR="00765BCE" w:rsidRPr="00CD49F3">
        <w:rPr>
          <w:rFonts w:cs="Times New Roman"/>
          <w:szCs w:val="24"/>
        </w:rPr>
        <w:t xml:space="preserve">  </w:t>
      </w:r>
    </w:p>
    <w:p w:rsidR="00DF0D1C" w:rsidRDefault="00EC1E96" w:rsidP="00EC1E96">
      <w:pPr>
        <w:pStyle w:val="ListParagraph"/>
        <w:numPr>
          <w:ilvl w:val="0"/>
          <w:numId w:val="6"/>
        </w:numPr>
        <w:spacing w:line="480" w:lineRule="auto"/>
        <w:ind w:left="0" w:hanging="720"/>
        <w:rPr>
          <w:rFonts w:cs="Times New Roman"/>
          <w:szCs w:val="24"/>
        </w:rPr>
      </w:pPr>
      <w:r>
        <w:rPr>
          <w:rFonts w:cs="Times New Roman"/>
          <w:szCs w:val="24"/>
        </w:rPr>
        <w:tab/>
      </w:r>
      <w:r w:rsidR="00765BCE" w:rsidRPr="00EC1E96">
        <w:rPr>
          <w:rFonts w:cs="Times New Roman"/>
          <w:szCs w:val="24"/>
        </w:rPr>
        <w:t>In short, unlike the Class A shareholders/customers, the Class C shareholders</w:t>
      </w:r>
      <w:r w:rsidR="00AF5361">
        <w:rPr>
          <w:rFonts w:cs="Times New Roman"/>
          <w:szCs w:val="24"/>
        </w:rPr>
        <w:t>/customers</w:t>
      </w:r>
      <w:r w:rsidR="00765BCE" w:rsidRPr="00EC1E96">
        <w:rPr>
          <w:rFonts w:cs="Times New Roman"/>
          <w:szCs w:val="24"/>
        </w:rPr>
        <w:t xml:space="preserve"> have </w:t>
      </w:r>
      <w:r w:rsidR="00DC2C9F">
        <w:rPr>
          <w:rFonts w:cs="Times New Roman"/>
          <w:szCs w:val="24"/>
        </w:rPr>
        <w:t>“</w:t>
      </w:r>
      <w:r w:rsidR="00DC2C9F" w:rsidRPr="00DC2C9F">
        <w:rPr>
          <w:rFonts w:cs="Times New Roman"/>
          <w:szCs w:val="24"/>
        </w:rPr>
        <w:t>no ownership interest in SPIC or its assets</w:t>
      </w:r>
      <w:r w:rsidR="00DC2C9F">
        <w:rPr>
          <w:rFonts w:cs="Times New Roman"/>
          <w:szCs w:val="24"/>
        </w:rPr>
        <w:t>”</w:t>
      </w:r>
      <w:r w:rsidR="00432F03">
        <w:rPr>
          <w:rFonts w:cs="Times New Roman"/>
          <w:szCs w:val="24"/>
        </w:rPr>
        <w:t>,</w:t>
      </w:r>
      <w:r w:rsidR="00DC2C9F">
        <w:rPr>
          <w:rFonts w:cs="Times New Roman"/>
          <w:szCs w:val="24"/>
        </w:rPr>
        <w:t xml:space="preserve"> and thus</w:t>
      </w:r>
      <w:r w:rsidR="00BD4FF0">
        <w:rPr>
          <w:rFonts w:cs="Times New Roman"/>
          <w:szCs w:val="24"/>
        </w:rPr>
        <w:t xml:space="preserve"> they have</w:t>
      </w:r>
      <w:r w:rsidR="00DC2C9F" w:rsidRPr="00EC1E96">
        <w:rPr>
          <w:rFonts w:cs="Times New Roman"/>
          <w:szCs w:val="24"/>
        </w:rPr>
        <w:t xml:space="preserve"> </w:t>
      </w:r>
      <w:r w:rsidR="00765BCE" w:rsidRPr="00EC1E96">
        <w:rPr>
          <w:rFonts w:cs="Times New Roman"/>
          <w:szCs w:val="24"/>
        </w:rPr>
        <w:t>“no interest in the financial returns” of the Company</w:t>
      </w:r>
      <w:r w:rsidR="00DC2C9F">
        <w:rPr>
          <w:rFonts w:cs="Times New Roman"/>
          <w:szCs w:val="24"/>
        </w:rPr>
        <w:t xml:space="preserve">.  Consequently, the Class C </w:t>
      </w:r>
      <w:r w:rsidR="00DC2C9F">
        <w:rPr>
          <w:rFonts w:cs="Times New Roman"/>
          <w:szCs w:val="24"/>
        </w:rPr>
        <w:lastRenderedPageBreak/>
        <w:t>shareholders/customers</w:t>
      </w:r>
      <w:r w:rsidR="00B72792">
        <w:rPr>
          <w:rFonts w:cs="Times New Roman"/>
          <w:szCs w:val="24"/>
        </w:rPr>
        <w:t xml:space="preserve"> lack a </w:t>
      </w:r>
      <w:r w:rsidR="00765BCE" w:rsidRPr="00EC1E96">
        <w:rPr>
          <w:rFonts w:cs="Times New Roman"/>
          <w:szCs w:val="24"/>
        </w:rPr>
        <w:t>“</w:t>
      </w:r>
      <w:r w:rsidR="00FA32A7">
        <w:rPr>
          <w:rFonts w:cs="Times New Roman"/>
          <w:szCs w:val="24"/>
        </w:rPr>
        <w:t xml:space="preserve">complete </w:t>
      </w:r>
      <w:r w:rsidR="00765BCE" w:rsidRPr="00EC1E96">
        <w:rPr>
          <w:rFonts w:cs="Times New Roman"/>
          <w:szCs w:val="24"/>
        </w:rPr>
        <w:t>identity of interest” with the Company</w:t>
      </w:r>
      <w:r w:rsidR="00DC2C9F">
        <w:rPr>
          <w:rFonts w:cs="Times New Roman"/>
          <w:szCs w:val="24"/>
        </w:rPr>
        <w:t xml:space="preserve">, which means the Company’s water </w:t>
      </w:r>
      <w:r w:rsidR="00B228E8">
        <w:rPr>
          <w:rFonts w:cs="Times New Roman"/>
          <w:szCs w:val="24"/>
        </w:rPr>
        <w:t xml:space="preserve">service to </w:t>
      </w:r>
      <w:r w:rsidR="00B228E8" w:rsidRPr="00EC1E96">
        <w:rPr>
          <w:rFonts w:cs="Times New Roman"/>
          <w:szCs w:val="24"/>
        </w:rPr>
        <w:t>Class C shareholders/customers</w:t>
      </w:r>
      <w:r w:rsidR="00DC2C9F">
        <w:rPr>
          <w:rFonts w:cs="Times New Roman"/>
          <w:szCs w:val="24"/>
        </w:rPr>
        <w:t xml:space="preserve"> is subject to Commission regulation</w:t>
      </w:r>
      <w:r w:rsidR="00B228E8">
        <w:rPr>
          <w:rFonts w:cs="Times New Roman"/>
          <w:szCs w:val="24"/>
        </w:rPr>
        <w:t>.</w:t>
      </w:r>
    </w:p>
    <w:p w:rsidR="00B51D9E" w:rsidRDefault="00DF0D1C" w:rsidP="00DF0D1C">
      <w:pPr>
        <w:pStyle w:val="ListParagraph"/>
        <w:numPr>
          <w:ilvl w:val="0"/>
          <w:numId w:val="6"/>
        </w:numPr>
        <w:spacing w:line="480" w:lineRule="auto"/>
        <w:ind w:left="0" w:hanging="720"/>
        <w:rPr>
          <w:rFonts w:cs="Times New Roman"/>
          <w:szCs w:val="24"/>
        </w:rPr>
      </w:pPr>
      <w:r>
        <w:rPr>
          <w:rFonts w:cs="Times New Roman"/>
          <w:szCs w:val="24"/>
        </w:rPr>
        <w:tab/>
      </w:r>
      <w:r w:rsidR="00FA32A7">
        <w:rPr>
          <w:rFonts w:cs="Times New Roman"/>
          <w:szCs w:val="24"/>
        </w:rPr>
        <w:t xml:space="preserve">Of course, </w:t>
      </w:r>
      <w:r w:rsidR="00765BCE" w:rsidRPr="00EC1E96">
        <w:rPr>
          <w:rFonts w:cs="Times New Roman"/>
          <w:szCs w:val="24"/>
        </w:rPr>
        <w:t xml:space="preserve">SPIC’s 46 non-shareholder water customers have neither a vote nor an interest in the financial returns of the Company.  </w:t>
      </w:r>
      <w:r w:rsidR="00432F03">
        <w:rPr>
          <w:rFonts w:cs="Times New Roman"/>
          <w:szCs w:val="24"/>
        </w:rPr>
        <w:t>S</w:t>
      </w:r>
      <w:r w:rsidR="008C3779">
        <w:rPr>
          <w:rFonts w:cs="Times New Roman"/>
          <w:szCs w:val="24"/>
        </w:rPr>
        <w:t xml:space="preserve">tanding alone, this </w:t>
      </w:r>
      <w:r w:rsidR="00432F03">
        <w:rPr>
          <w:rFonts w:cs="Times New Roman"/>
          <w:szCs w:val="24"/>
        </w:rPr>
        <w:t xml:space="preserve">non-shareholder </w:t>
      </w:r>
      <w:r w:rsidR="008C3779">
        <w:rPr>
          <w:rFonts w:cs="Times New Roman"/>
          <w:szCs w:val="24"/>
        </w:rPr>
        <w:t>group would be exempt from regulation because 46 is within the “99 or fewer” customer number exemption in RCW 80.04.010(30)(b).  However, b</w:t>
      </w:r>
      <w:r w:rsidR="00765BCE" w:rsidRPr="00EC1E96">
        <w:rPr>
          <w:rFonts w:cs="Times New Roman"/>
          <w:szCs w:val="24"/>
        </w:rPr>
        <w:t>ecause the 119 Class C shareholders/customers place SPIC above 99 customer</w:t>
      </w:r>
      <w:r w:rsidR="008C3779">
        <w:rPr>
          <w:rFonts w:cs="Times New Roman"/>
          <w:szCs w:val="24"/>
        </w:rPr>
        <w:t>s</w:t>
      </w:r>
      <w:r w:rsidR="00765BCE" w:rsidRPr="00EC1E96">
        <w:rPr>
          <w:rFonts w:cs="Times New Roman"/>
          <w:szCs w:val="24"/>
        </w:rPr>
        <w:t xml:space="preserve">, SPIC also </w:t>
      </w:r>
      <w:r w:rsidR="00B94FC1">
        <w:rPr>
          <w:rFonts w:cs="Times New Roman"/>
          <w:szCs w:val="24"/>
        </w:rPr>
        <w:t xml:space="preserve">is </w:t>
      </w:r>
      <w:r w:rsidR="00765BCE" w:rsidRPr="00EC1E96">
        <w:rPr>
          <w:rFonts w:cs="Times New Roman"/>
          <w:szCs w:val="24"/>
        </w:rPr>
        <w:t xml:space="preserve">subject to Commission regulation as to </w:t>
      </w:r>
      <w:r w:rsidR="00B228E8">
        <w:rPr>
          <w:rFonts w:cs="Times New Roman"/>
          <w:szCs w:val="24"/>
        </w:rPr>
        <w:t xml:space="preserve">the Company’s service to its </w:t>
      </w:r>
      <w:r>
        <w:rPr>
          <w:rFonts w:cs="Times New Roman"/>
          <w:szCs w:val="24"/>
        </w:rPr>
        <w:t>non-shareholder customers.</w:t>
      </w:r>
      <w:r w:rsidR="008C3779">
        <w:rPr>
          <w:rFonts w:cs="Times New Roman"/>
          <w:szCs w:val="24"/>
        </w:rPr>
        <w:t xml:space="preserve">  </w:t>
      </w:r>
    </w:p>
    <w:p w:rsidR="00DF0D1C" w:rsidRPr="00B51D9E" w:rsidRDefault="00B51D9E" w:rsidP="00765BCE">
      <w:pPr>
        <w:pStyle w:val="ListParagraph"/>
        <w:numPr>
          <w:ilvl w:val="0"/>
          <w:numId w:val="6"/>
        </w:numPr>
        <w:spacing w:line="480" w:lineRule="auto"/>
        <w:ind w:left="0" w:hanging="720"/>
        <w:rPr>
          <w:rFonts w:cs="Times New Roman"/>
          <w:szCs w:val="24"/>
        </w:rPr>
      </w:pPr>
      <w:r w:rsidRPr="00B51D9E">
        <w:rPr>
          <w:rFonts w:cs="Times New Roman"/>
          <w:szCs w:val="24"/>
        </w:rPr>
        <w:tab/>
        <w:t>In other words, there are 165 water service customers</w:t>
      </w:r>
      <w:r>
        <w:rPr>
          <w:rStyle w:val="FootnoteReference"/>
          <w:rFonts w:cs="Times New Roman"/>
          <w:szCs w:val="24"/>
        </w:rPr>
        <w:footnoteReference w:id="48"/>
      </w:r>
      <w:r w:rsidR="008C3779" w:rsidRPr="00B51D9E">
        <w:rPr>
          <w:rFonts w:cs="Times New Roman"/>
          <w:szCs w:val="24"/>
        </w:rPr>
        <w:t>who lack a “complete identity of interest” with the Company.</w:t>
      </w:r>
      <w:r w:rsidRPr="00B51D9E">
        <w:rPr>
          <w:rFonts w:cs="Times New Roman"/>
          <w:szCs w:val="24"/>
        </w:rPr>
        <w:t xml:space="preserve">  </w:t>
      </w:r>
      <w:r>
        <w:rPr>
          <w:rFonts w:cs="Times New Roman"/>
          <w:szCs w:val="24"/>
        </w:rPr>
        <w:t xml:space="preserve">Consequently, </w:t>
      </w:r>
      <w:r w:rsidR="00765BCE" w:rsidRPr="00B51D9E">
        <w:rPr>
          <w:rFonts w:cs="Times New Roman"/>
          <w:szCs w:val="24"/>
        </w:rPr>
        <w:t xml:space="preserve">SPIC is subject to regulation </w:t>
      </w:r>
      <w:r w:rsidR="00302C1F" w:rsidRPr="00B51D9E">
        <w:rPr>
          <w:rFonts w:cs="Times New Roman"/>
          <w:szCs w:val="24"/>
        </w:rPr>
        <w:t xml:space="preserve">regarding its service to </w:t>
      </w:r>
      <w:r w:rsidR="00CC771A">
        <w:rPr>
          <w:rFonts w:cs="Times New Roman"/>
          <w:szCs w:val="24"/>
        </w:rPr>
        <w:t xml:space="preserve">those customers:  SPIC’s </w:t>
      </w:r>
      <w:r w:rsidR="00765BCE" w:rsidRPr="00B51D9E">
        <w:rPr>
          <w:rFonts w:cs="Times New Roman"/>
          <w:szCs w:val="24"/>
        </w:rPr>
        <w:t>Class C shareholder</w:t>
      </w:r>
      <w:r w:rsidR="00B94FC1" w:rsidRPr="00B51D9E">
        <w:rPr>
          <w:rFonts w:cs="Times New Roman"/>
          <w:szCs w:val="24"/>
        </w:rPr>
        <w:t>s/</w:t>
      </w:r>
      <w:r w:rsidR="00765BCE" w:rsidRPr="00B51D9E">
        <w:rPr>
          <w:rFonts w:cs="Times New Roman"/>
          <w:szCs w:val="24"/>
        </w:rPr>
        <w:t>customers and non-shareholder customers.</w:t>
      </w:r>
    </w:p>
    <w:p w:rsidR="0088460C" w:rsidRPr="0088460C" w:rsidRDefault="0088460C" w:rsidP="00B70228">
      <w:pPr>
        <w:pStyle w:val="ListParagraph"/>
        <w:spacing w:line="480" w:lineRule="auto"/>
        <w:ind w:left="0"/>
        <w:jc w:val="center"/>
        <w:rPr>
          <w:rFonts w:cs="Times New Roman"/>
          <w:b/>
          <w:szCs w:val="24"/>
        </w:rPr>
      </w:pPr>
      <w:r>
        <w:rPr>
          <w:rFonts w:cs="Times New Roman"/>
          <w:b/>
          <w:szCs w:val="24"/>
        </w:rPr>
        <w:t>IV.</w:t>
      </w:r>
      <w:r>
        <w:rPr>
          <w:rFonts w:cs="Times New Roman"/>
          <w:b/>
          <w:szCs w:val="24"/>
        </w:rPr>
        <w:tab/>
        <w:t>C</w:t>
      </w:r>
      <w:r w:rsidR="00B70228">
        <w:rPr>
          <w:rFonts w:cs="Times New Roman"/>
          <w:b/>
          <w:szCs w:val="24"/>
        </w:rPr>
        <w:t>ONCLUSION</w:t>
      </w:r>
    </w:p>
    <w:p w:rsidR="00B907FD" w:rsidRDefault="0088460C" w:rsidP="00DF0D1C">
      <w:pPr>
        <w:pStyle w:val="ListParagraph"/>
        <w:numPr>
          <w:ilvl w:val="0"/>
          <w:numId w:val="6"/>
        </w:numPr>
        <w:spacing w:line="480" w:lineRule="auto"/>
        <w:ind w:left="0" w:hanging="720"/>
        <w:rPr>
          <w:rFonts w:cs="Times New Roman"/>
          <w:szCs w:val="24"/>
        </w:rPr>
      </w:pPr>
      <w:r>
        <w:rPr>
          <w:rFonts w:cs="Times New Roman"/>
          <w:szCs w:val="24"/>
        </w:rPr>
        <w:tab/>
        <w:t>For the reasons stated above,</w:t>
      </w:r>
      <w:r w:rsidR="00B907FD">
        <w:rPr>
          <w:rFonts w:cs="Times New Roman"/>
          <w:szCs w:val="24"/>
        </w:rPr>
        <w:t xml:space="preserve"> SPIC</w:t>
      </w:r>
      <w:r w:rsidR="00B907FD" w:rsidRPr="00B72792">
        <w:rPr>
          <w:rFonts w:cs="Times New Roman"/>
          <w:szCs w:val="24"/>
        </w:rPr>
        <w:t xml:space="preserve"> </w:t>
      </w:r>
      <w:r w:rsidR="00B907FD">
        <w:rPr>
          <w:rFonts w:cs="Times New Roman"/>
          <w:szCs w:val="24"/>
        </w:rPr>
        <w:t xml:space="preserve">satisfies the literal definition of “water company” in RCW 80.04.010(30) and </w:t>
      </w:r>
      <w:r w:rsidR="00B907FD" w:rsidRPr="00B72792">
        <w:rPr>
          <w:rFonts w:cs="Times New Roman"/>
          <w:szCs w:val="24"/>
        </w:rPr>
        <w:t xml:space="preserve">the </w:t>
      </w:r>
      <w:r w:rsidR="00B907FD">
        <w:rPr>
          <w:rFonts w:cs="Times New Roman"/>
          <w:szCs w:val="24"/>
        </w:rPr>
        <w:t xml:space="preserve">court’s </w:t>
      </w:r>
      <w:r w:rsidR="00B907FD" w:rsidRPr="00B72792">
        <w:rPr>
          <w:rFonts w:cs="Times New Roman"/>
          <w:szCs w:val="24"/>
        </w:rPr>
        <w:t xml:space="preserve">“service to the public” test in regard to its service to </w:t>
      </w:r>
      <w:r w:rsidR="00B907FD">
        <w:rPr>
          <w:rFonts w:cs="Times New Roman"/>
          <w:szCs w:val="24"/>
        </w:rPr>
        <w:t xml:space="preserve">its </w:t>
      </w:r>
      <w:r w:rsidR="00B907FD" w:rsidRPr="00B72792">
        <w:rPr>
          <w:rFonts w:cs="Times New Roman"/>
          <w:szCs w:val="24"/>
        </w:rPr>
        <w:t>Class C shareholders/customers and non-shareholder customers</w:t>
      </w:r>
      <w:r w:rsidR="00B907FD" w:rsidRPr="005F4BE2">
        <w:rPr>
          <w:rFonts w:cs="Times New Roman"/>
          <w:szCs w:val="24"/>
        </w:rPr>
        <w:t xml:space="preserve">. </w:t>
      </w:r>
      <w:r w:rsidR="005C1C4D">
        <w:rPr>
          <w:rFonts w:cs="Times New Roman"/>
          <w:szCs w:val="24"/>
        </w:rPr>
        <w:t xml:space="preserve"> </w:t>
      </w:r>
      <w:r w:rsidR="00B907FD">
        <w:rPr>
          <w:rFonts w:cs="Times New Roman"/>
          <w:szCs w:val="24"/>
        </w:rPr>
        <w:t xml:space="preserve">Consequently, the Commission should issue an order classifying the Company </w:t>
      </w:r>
      <w:r w:rsidR="00B907FD" w:rsidRPr="00B72792">
        <w:rPr>
          <w:rFonts w:cs="Times New Roman"/>
          <w:szCs w:val="24"/>
        </w:rPr>
        <w:t xml:space="preserve">as a water company </w:t>
      </w:r>
      <w:r w:rsidR="00B907FD">
        <w:rPr>
          <w:rFonts w:cs="Times New Roman"/>
          <w:szCs w:val="24"/>
        </w:rPr>
        <w:t xml:space="preserve">subject to Commission jurisdiction </w:t>
      </w:r>
      <w:r w:rsidR="00B907FD" w:rsidRPr="00B72792">
        <w:rPr>
          <w:rFonts w:cs="Times New Roman"/>
          <w:szCs w:val="24"/>
        </w:rPr>
        <w:t xml:space="preserve">to the extent of </w:t>
      </w:r>
      <w:r w:rsidR="00B907FD">
        <w:rPr>
          <w:rFonts w:cs="Times New Roman"/>
          <w:szCs w:val="24"/>
        </w:rPr>
        <w:t xml:space="preserve">the Company’s </w:t>
      </w:r>
      <w:r w:rsidR="00B907FD" w:rsidRPr="00B72792">
        <w:rPr>
          <w:rFonts w:cs="Times New Roman"/>
          <w:szCs w:val="24"/>
        </w:rPr>
        <w:t>service to Class C shareholders/customers and non-shareholder customers, and proceed to the penalty and rate phases of this docket.</w:t>
      </w:r>
    </w:p>
    <w:p w:rsidR="00B72792" w:rsidRDefault="00B907FD" w:rsidP="00DF0D1C">
      <w:pPr>
        <w:pStyle w:val="ListParagraph"/>
        <w:numPr>
          <w:ilvl w:val="0"/>
          <w:numId w:val="6"/>
        </w:numPr>
        <w:spacing w:line="480" w:lineRule="auto"/>
        <w:ind w:left="0" w:hanging="720"/>
        <w:rPr>
          <w:rFonts w:cs="Times New Roman"/>
          <w:szCs w:val="24"/>
        </w:rPr>
      </w:pPr>
      <w:r>
        <w:rPr>
          <w:rFonts w:cs="Times New Roman"/>
          <w:szCs w:val="24"/>
        </w:rPr>
        <w:lastRenderedPageBreak/>
        <w:tab/>
      </w:r>
      <w:r w:rsidR="0088460C">
        <w:rPr>
          <w:rFonts w:cs="Times New Roman"/>
          <w:szCs w:val="24"/>
        </w:rPr>
        <w:t xml:space="preserve">SPIC </w:t>
      </w:r>
      <w:r w:rsidR="00B72792">
        <w:rPr>
          <w:rFonts w:cs="Times New Roman"/>
          <w:szCs w:val="24"/>
        </w:rPr>
        <w:t xml:space="preserve">does not satisfy the </w:t>
      </w:r>
      <w:r w:rsidR="00E03A8D">
        <w:rPr>
          <w:rFonts w:cs="Times New Roman"/>
          <w:szCs w:val="24"/>
        </w:rPr>
        <w:t xml:space="preserve">judicial </w:t>
      </w:r>
      <w:r w:rsidR="00B72792">
        <w:rPr>
          <w:rFonts w:cs="Times New Roman"/>
          <w:szCs w:val="24"/>
        </w:rPr>
        <w:t xml:space="preserve">“service to the public” test regarding the Company’s service to Class A shareholders/customers.  Consequently, the Company is exempt from Commission regulation to that extent.  </w:t>
      </w:r>
    </w:p>
    <w:p w:rsidR="00A8043A" w:rsidRPr="00765BCE" w:rsidRDefault="004016C8" w:rsidP="00A8043A">
      <w:pPr>
        <w:pStyle w:val="BodyTextIndent2"/>
        <w:spacing w:line="240" w:lineRule="exact"/>
        <w:ind w:left="720"/>
        <w:rPr>
          <w:rFonts w:ascii="Times New Roman" w:hAnsi="Times New Roman"/>
        </w:rPr>
      </w:pPr>
      <w:r w:rsidRPr="00765BCE">
        <w:rPr>
          <w:rFonts w:ascii="Times New Roman" w:hAnsi="Times New Roman"/>
        </w:rPr>
        <w:t xml:space="preserve">Dated this </w:t>
      </w:r>
      <w:r>
        <w:rPr>
          <w:rFonts w:ascii="Times New Roman" w:hAnsi="Times New Roman"/>
        </w:rPr>
        <w:t>6</w:t>
      </w:r>
      <w:r w:rsidRPr="0088460C">
        <w:rPr>
          <w:rFonts w:ascii="Times New Roman" w:hAnsi="Times New Roman"/>
          <w:vertAlign w:val="superscript"/>
        </w:rPr>
        <w:t>th</w:t>
      </w:r>
      <w:r>
        <w:rPr>
          <w:rFonts w:ascii="Times New Roman" w:hAnsi="Times New Roman"/>
        </w:rPr>
        <w:t xml:space="preserve"> day of May</w:t>
      </w:r>
      <w:r w:rsidRPr="00765BCE">
        <w:rPr>
          <w:rFonts w:ascii="Times New Roman" w:hAnsi="Times New Roman"/>
        </w:rPr>
        <w:t xml:space="preserve"> 2013.  </w:t>
      </w:r>
    </w:p>
    <w:p w:rsidR="00A8043A" w:rsidRPr="00765BCE" w:rsidRDefault="00A8043A" w:rsidP="00A8043A">
      <w:pPr>
        <w:pStyle w:val="BodyTextIndent2"/>
        <w:spacing w:line="240" w:lineRule="exact"/>
        <w:rPr>
          <w:rFonts w:ascii="Times New Roman" w:hAnsi="Times New Roman"/>
        </w:rPr>
      </w:pPr>
    </w:p>
    <w:p w:rsidR="00A8043A" w:rsidRPr="00765BCE" w:rsidRDefault="00A8043A" w:rsidP="00A8043A">
      <w:pPr>
        <w:spacing w:line="240" w:lineRule="exact"/>
        <w:ind w:left="720"/>
        <w:rPr>
          <w:rFonts w:cs="Times New Roman"/>
          <w:szCs w:val="24"/>
        </w:rPr>
      </w:pPr>
      <w:r w:rsidRPr="00765BCE">
        <w:rPr>
          <w:rFonts w:cs="Times New Roman"/>
          <w:szCs w:val="24"/>
        </w:rPr>
        <w:tab/>
      </w:r>
      <w:r w:rsidRPr="00765BCE">
        <w:rPr>
          <w:rFonts w:cs="Times New Roman"/>
          <w:szCs w:val="24"/>
        </w:rPr>
        <w:tab/>
      </w:r>
      <w:r w:rsidRPr="00765BCE">
        <w:rPr>
          <w:rFonts w:cs="Times New Roman"/>
          <w:szCs w:val="24"/>
        </w:rPr>
        <w:tab/>
      </w:r>
      <w:r w:rsidRPr="00765BCE">
        <w:rPr>
          <w:rFonts w:cs="Times New Roman"/>
          <w:szCs w:val="24"/>
        </w:rPr>
        <w:tab/>
      </w:r>
      <w:r w:rsidRPr="00765BCE">
        <w:rPr>
          <w:rFonts w:cs="Times New Roman"/>
          <w:szCs w:val="24"/>
        </w:rPr>
        <w:tab/>
      </w:r>
      <w:r w:rsidRPr="00765BCE">
        <w:rPr>
          <w:rFonts w:cs="Times New Roman"/>
          <w:szCs w:val="24"/>
        </w:rPr>
        <w:tab/>
        <w:t xml:space="preserve">Respectfully submitted, </w:t>
      </w:r>
    </w:p>
    <w:p w:rsidR="00A8043A" w:rsidRPr="00765BCE" w:rsidRDefault="00A8043A" w:rsidP="00A8043A">
      <w:pPr>
        <w:pStyle w:val="BodyTextIndent2"/>
        <w:spacing w:line="240" w:lineRule="exact"/>
        <w:rPr>
          <w:rFonts w:ascii="Times New Roman" w:hAnsi="Times New Roman"/>
        </w:rPr>
      </w:pPr>
    </w:p>
    <w:p w:rsidR="00A8043A" w:rsidRPr="00765BCE" w:rsidRDefault="00A8043A" w:rsidP="00A8043A">
      <w:pPr>
        <w:spacing w:line="240" w:lineRule="exact"/>
        <w:ind w:left="5040"/>
        <w:jc w:val="both"/>
        <w:rPr>
          <w:rFonts w:cs="Times New Roman"/>
          <w:szCs w:val="24"/>
        </w:rPr>
      </w:pPr>
      <w:r w:rsidRPr="00765BCE">
        <w:rPr>
          <w:rFonts w:cs="Times New Roman"/>
          <w:szCs w:val="24"/>
        </w:rPr>
        <w:t xml:space="preserve">ROBERT </w:t>
      </w:r>
      <w:r w:rsidR="00765BCE">
        <w:rPr>
          <w:rFonts w:cs="Times New Roman"/>
          <w:szCs w:val="24"/>
        </w:rPr>
        <w:t>W. FERGUSON</w:t>
      </w:r>
    </w:p>
    <w:p w:rsidR="00A8043A" w:rsidRPr="00765BCE" w:rsidRDefault="00A8043A" w:rsidP="00A8043A">
      <w:pPr>
        <w:spacing w:line="240" w:lineRule="exact"/>
        <w:ind w:firstLine="5040"/>
        <w:jc w:val="both"/>
        <w:rPr>
          <w:rFonts w:cs="Times New Roman"/>
          <w:szCs w:val="24"/>
        </w:rPr>
      </w:pPr>
      <w:r w:rsidRPr="00765BCE">
        <w:rPr>
          <w:rFonts w:cs="Times New Roman"/>
          <w:szCs w:val="24"/>
        </w:rPr>
        <w:t>Attorney General</w:t>
      </w:r>
    </w:p>
    <w:p w:rsidR="00A8043A" w:rsidRPr="00765BCE" w:rsidRDefault="00A8043A" w:rsidP="00A8043A">
      <w:pPr>
        <w:spacing w:line="240" w:lineRule="exact"/>
        <w:jc w:val="both"/>
        <w:rPr>
          <w:rFonts w:cs="Times New Roman"/>
          <w:szCs w:val="24"/>
        </w:rPr>
      </w:pPr>
    </w:p>
    <w:p w:rsidR="00A8043A" w:rsidRPr="00765BCE" w:rsidRDefault="00A8043A" w:rsidP="00A8043A">
      <w:pPr>
        <w:spacing w:line="240" w:lineRule="exact"/>
        <w:jc w:val="both"/>
        <w:rPr>
          <w:rFonts w:cs="Times New Roman"/>
          <w:szCs w:val="24"/>
        </w:rPr>
      </w:pPr>
    </w:p>
    <w:p w:rsidR="00A8043A" w:rsidRPr="00765BCE" w:rsidRDefault="00A8043A" w:rsidP="00A8043A">
      <w:pPr>
        <w:spacing w:line="240" w:lineRule="exact"/>
        <w:ind w:left="1440" w:firstLine="3600"/>
        <w:jc w:val="both"/>
        <w:rPr>
          <w:rFonts w:cs="Times New Roman"/>
          <w:szCs w:val="24"/>
        </w:rPr>
      </w:pPr>
      <w:r w:rsidRPr="00765BCE">
        <w:rPr>
          <w:rFonts w:cs="Times New Roman"/>
          <w:szCs w:val="24"/>
        </w:rPr>
        <w:t>______________________________</w:t>
      </w:r>
    </w:p>
    <w:p w:rsidR="00A8043A" w:rsidRPr="00765BCE" w:rsidRDefault="00A8043A" w:rsidP="00A8043A">
      <w:pPr>
        <w:spacing w:line="240" w:lineRule="exact"/>
        <w:ind w:firstLine="5040"/>
        <w:jc w:val="both"/>
        <w:rPr>
          <w:rFonts w:cs="Times New Roman"/>
          <w:szCs w:val="24"/>
        </w:rPr>
      </w:pPr>
      <w:r w:rsidRPr="00765BCE">
        <w:rPr>
          <w:rFonts w:cs="Times New Roman"/>
          <w:szCs w:val="24"/>
        </w:rPr>
        <w:t>DONALD T. TROTTER</w:t>
      </w:r>
    </w:p>
    <w:p w:rsidR="00A8043A" w:rsidRPr="00765BCE" w:rsidRDefault="00A8043A" w:rsidP="00A8043A">
      <w:pPr>
        <w:spacing w:line="240" w:lineRule="exact"/>
        <w:ind w:left="1440" w:firstLine="3600"/>
        <w:jc w:val="both"/>
        <w:rPr>
          <w:rFonts w:cs="Times New Roman"/>
          <w:szCs w:val="24"/>
        </w:rPr>
      </w:pPr>
      <w:r w:rsidRPr="00765BCE">
        <w:rPr>
          <w:rFonts w:cs="Times New Roman"/>
          <w:szCs w:val="24"/>
        </w:rPr>
        <w:t>Assistant Attorney General</w:t>
      </w:r>
    </w:p>
    <w:p w:rsidR="00A8043A" w:rsidRPr="00765BCE" w:rsidRDefault="00A8043A" w:rsidP="00A8043A">
      <w:pPr>
        <w:spacing w:line="240" w:lineRule="exact"/>
        <w:ind w:left="2160" w:firstLine="2880"/>
        <w:jc w:val="both"/>
        <w:rPr>
          <w:rFonts w:cs="Times New Roman"/>
          <w:szCs w:val="24"/>
        </w:rPr>
      </w:pPr>
      <w:r w:rsidRPr="00765BCE">
        <w:rPr>
          <w:rFonts w:cs="Times New Roman"/>
          <w:szCs w:val="24"/>
        </w:rPr>
        <w:t>Counsel for Washington Utilities and</w:t>
      </w:r>
    </w:p>
    <w:p w:rsidR="00A8043A" w:rsidRPr="00765BCE" w:rsidRDefault="00A8043A" w:rsidP="00A8043A">
      <w:pPr>
        <w:spacing w:line="240" w:lineRule="exact"/>
        <w:ind w:left="2880" w:firstLine="2160"/>
        <w:jc w:val="both"/>
        <w:rPr>
          <w:rFonts w:cs="Times New Roman"/>
          <w:szCs w:val="24"/>
        </w:rPr>
      </w:pPr>
      <w:r w:rsidRPr="00765BCE">
        <w:rPr>
          <w:rFonts w:cs="Times New Roman"/>
          <w:szCs w:val="24"/>
        </w:rPr>
        <w:t>Transportation Commission Staff</w:t>
      </w:r>
    </w:p>
    <w:p w:rsidR="00891924" w:rsidRPr="00765BCE" w:rsidRDefault="00891924" w:rsidP="004A6288">
      <w:pPr>
        <w:spacing w:line="480" w:lineRule="auto"/>
        <w:rPr>
          <w:rFonts w:cs="Times New Roman"/>
          <w:szCs w:val="24"/>
        </w:rPr>
      </w:pPr>
    </w:p>
    <w:sectPr w:rsidR="00891924" w:rsidRPr="00765BCE" w:rsidSect="00A8043A">
      <w:footerReference w:type="default" r:id="rId10"/>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668" w:rsidRDefault="00643668" w:rsidP="004A6288">
      <w:r>
        <w:separator/>
      </w:r>
    </w:p>
  </w:endnote>
  <w:endnote w:type="continuationSeparator" w:id="0">
    <w:p w:rsidR="00643668" w:rsidRDefault="00643668" w:rsidP="004A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9E7" w:rsidRPr="00C25DB9" w:rsidRDefault="005079E7">
    <w:pPr>
      <w:pStyle w:val="Footer"/>
      <w:rPr>
        <w:sz w:val="20"/>
        <w:szCs w:val="20"/>
      </w:rPr>
    </w:pPr>
  </w:p>
  <w:p w:rsidR="005079E7" w:rsidRPr="00C25DB9" w:rsidRDefault="005079E7">
    <w:pPr>
      <w:pStyle w:val="Footer"/>
      <w:rPr>
        <w:sz w:val="20"/>
        <w:szCs w:val="20"/>
      </w:rPr>
    </w:pPr>
    <w:r>
      <w:rPr>
        <w:sz w:val="20"/>
        <w:szCs w:val="20"/>
      </w:rPr>
      <w:t>COMMISSION STAFF MOTION FOR SUMMARY DETERMINATION</w:t>
    </w:r>
    <w:r w:rsidRPr="00C25DB9">
      <w:rPr>
        <w:sz w:val="20"/>
        <w:szCs w:val="20"/>
      </w:rPr>
      <w:t xml:space="preserve"> - </w:t>
    </w:r>
    <w:r w:rsidRPr="00C25DB9">
      <w:rPr>
        <w:sz w:val="20"/>
        <w:szCs w:val="20"/>
      </w:rPr>
      <w:fldChar w:fldCharType="begin"/>
    </w:r>
    <w:r w:rsidRPr="00C25DB9">
      <w:rPr>
        <w:sz w:val="20"/>
        <w:szCs w:val="20"/>
      </w:rPr>
      <w:instrText xml:space="preserve"> PAGE   \* MERGEFORMAT </w:instrText>
    </w:r>
    <w:r w:rsidRPr="00C25DB9">
      <w:rPr>
        <w:sz w:val="20"/>
        <w:szCs w:val="20"/>
      </w:rPr>
      <w:fldChar w:fldCharType="separate"/>
    </w:r>
    <w:r w:rsidR="00843D70">
      <w:rPr>
        <w:noProof/>
        <w:sz w:val="20"/>
        <w:szCs w:val="20"/>
      </w:rPr>
      <w:t>7</w:t>
    </w:r>
    <w:r w:rsidRPr="00C25DB9">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668" w:rsidRDefault="00643668" w:rsidP="004A6288">
      <w:r>
        <w:separator/>
      </w:r>
    </w:p>
  </w:footnote>
  <w:footnote w:type="continuationSeparator" w:id="0">
    <w:p w:rsidR="00643668" w:rsidRDefault="00643668" w:rsidP="004A6288">
      <w:r>
        <w:continuationSeparator/>
      </w:r>
    </w:p>
  </w:footnote>
  <w:footnote w:id="1">
    <w:p w:rsidR="005079E7" w:rsidRDefault="005079E7" w:rsidP="00765BCE">
      <w:pPr>
        <w:pStyle w:val="FootnoteText"/>
      </w:pPr>
      <w:r>
        <w:rPr>
          <w:rStyle w:val="FootnoteReference"/>
        </w:rPr>
        <w:footnoteRef/>
      </w:r>
      <w:r>
        <w:t xml:space="preserve"> Order 01, Order Initiating Special Proceeding Under RCW 80.04.015; Complaint Against Rates and Charges; and Complaint for Penalties (November 21, 2012) at 1, ¶ 1.</w:t>
      </w:r>
    </w:p>
  </w:footnote>
  <w:footnote w:id="2">
    <w:p w:rsidR="005079E7" w:rsidRDefault="005079E7" w:rsidP="00765BCE">
      <w:pPr>
        <w:pStyle w:val="FootnoteText"/>
      </w:pPr>
      <w:r w:rsidRPr="00486AA3">
        <w:rPr>
          <w:rStyle w:val="FootnoteReference"/>
        </w:rPr>
        <w:footnoteRef/>
      </w:r>
      <w:r w:rsidRPr="00486AA3">
        <w:t xml:space="preserve"> </w:t>
      </w:r>
      <w:r w:rsidRPr="00DC3E85">
        <w:rPr>
          <w:i/>
        </w:rPr>
        <w:t>Id</w:t>
      </w:r>
      <w:r w:rsidRPr="00486AA3">
        <w:t>., at 3-</w:t>
      </w:r>
      <w:r>
        <w:t>5, ¶¶ 15-30.</w:t>
      </w:r>
    </w:p>
  </w:footnote>
  <w:footnote w:id="3">
    <w:p w:rsidR="005079E7" w:rsidRDefault="005079E7" w:rsidP="00765BCE">
      <w:pPr>
        <w:pStyle w:val="FootnoteText"/>
      </w:pPr>
      <w:r>
        <w:rPr>
          <w:rStyle w:val="FootnoteReference"/>
        </w:rPr>
        <w:footnoteRef/>
      </w:r>
      <w:r>
        <w:t xml:space="preserve"> Order 02, Prehearing Conference Order (January 15, 2013), at 2, ¶ 6.</w:t>
      </w:r>
    </w:p>
  </w:footnote>
  <w:footnote w:id="4">
    <w:p w:rsidR="005079E7" w:rsidRDefault="005079E7" w:rsidP="00195A0A">
      <w:pPr>
        <w:pStyle w:val="FootnoteText"/>
      </w:pPr>
      <w:r>
        <w:rPr>
          <w:rStyle w:val="FootnoteReference"/>
        </w:rPr>
        <w:footnoteRef/>
      </w:r>
      <w:r>
        <w:t xml:space="preserve"> This map is an excerpt from the Company’s response to Commission Staff Data Request 2.  A complete copy of that response is attached as Exhibit 1.</w:t>
      </w:r>
    </w:p>
  </w:footnote>
  <w:footnote w:id="5">
    <w:p w:rsidR="005079E7" w:rsidRDefault="005079E7" w:rsidP="0056679D">
      <w:pPr>
        <w:pStyle w:val="FootnoteText"/>
      </w:pPr>
      <w:r>
        <w:rPr>
          <w:rStyle w:val="FootnoteReference"/>
        </w:rPr>
        <w:footnoteRef/>
      </w:r>
      <w:r>
        <w:t xml:space="preserve"> This table is an excerpt from the Company’s response to Commission Staff Data Request 20.  A complete copy of that response is attached as Exhibit 2.</w:t>
      </w:r>
    </w:p>
  </w:footnote>
  <w:footnote w:id="6">
    <w:p w:rsidR="005079E7" w:rsidRDefault="005079E7" w:rsidP="0056679D">
      <w:pPr>
        <w:pStyle w:val="FootnoteText"/>
      </w:pPr>
      <w:r>
        <w:rPr>
          <w:rStyle w:val="FootnoteReference"/>
        </w:rPr>
        <w:footnoteRef/>
      </w:r>
      <w:r>
        <w:t xml:space="preserve"> We say “at least $328,000”, because the table below calculates average annual gross revenues per customer using the formula in WAC 480-110-255.  The Company earns additional revenues from assessments and other water-related charges that are not included in that formula.</w:t>
      </w:r>
    </w:p>
  </w:footnote>
  <w:footnote w:id="7">
    <w:p w:rsidR="005079E7" w:rsidRDefault="005079E7" w:rsidP="0087208E">
      <w:pPr>
        <w:pStyle w:val="FootnoteText"/>
      </w:pPr>
      <w:r>
        <w:rPr>
          <w:rStyle w:val="FootnoteReference"/>
        </w:rPr>
        <w:footnoteRef/>
      </w:r>
      <w:r>
        <w:t xml:space="preserve"> Exhibit 3: SPIC’s response to the UTC’s “Water System Questionnaire” (April 13, 2012), last two pages.</w:t>
      </w:r>
    </w:p>
  </w:footnote>
  <w:footnote w:id="8">
    <w:p w:rsidR="005079E7" w:rsidRDefault="005079E7" w:rsidP="00765BCE">
      <w:pPr>
        <w:pStyle w:val="FootnoteText"/>
      </w:pPr>
      <w:r>
        <w:rPr>
          <w:rStyle w:val="FootnoteReference"/>
        </w:rPr>
        <w:footnoteRef/>
      </w:r>
      <w:r>
        <w:t xml:space="preserve"> Exhibit 4:  Excerpts from Sandy Point Improvement Company “Water System Plan 2011” (July 11, 2011), at page 6-1, provided as part of the Company’s response to Commission Staff Data Request 10.</w:t>
      </w:r>
    </w:p>
  </w:footnote>
  <w:footnote w:id="9">
    <w:p w:rsidR="005079E7" w:rsidRDefault="005079E7" w:rsidP="00765BCE">
      <w:pPr>
        <w:pStyle w:val="FootnoteText"/>
      </w:pPr>
      <w:r>
        <w:rPr>
          <w:rStyle w:val="FootnoteReference"/>
        </w:rPr>
        <w:footnoteRef/>
      </w:r>
      <w:r>
        <w:t xml:space="preserve"> </w:t>
      </w:r>
      <w:r w:rsidRPr="00D32E3D">
        <w:rPr>
          <w:i/>
        </w:rPr>
        <w:t>Id</w:t>
      </w:r>
      <w:r>
        <w:t xml:space="preserve">., at pages 4-1 to 4-6. </w:t>
      </w:r>
    </w:p>
  </w:footnote>
  <w:footnote w:id="10">
    <w:p w:rsidR="005079E7" w:rsidRDefault="005079E7" w:rsidP="00765BCE">
      <w:pPr>
        <w:pStyle w:val="FootnoteText"/>
      </w:pPr>
      <w:r>
        <w:rPr>
          <w:rStyle w:val="FootnoteReference"/>
        </w:rPr>
        <w:footnoteRef/>
      </w:r>
      <w:r>
        <w:t xml:space="preserve"> </w:t>
      </w:r>
      <w:r w:rsidRPr="00361F87">
        <w:rPr>
          <w:i/>
        </w:rPr>
        <w:t>Id</w:t>
      </w:r>
      <w:r>
        <w:t>., at pages 4-5 to 4-6.</w:t>
      </w:r>
    </w:p>
  </w:footnote>
  <w:footnote w:id="11">
    <w:p w:rsidR="005079E7" w:rsidRDefault="005079E7" w:rsidP="00765BCE">
      <w:pPr>
        <w:pStyle w:val="FootnoteText"/>
      </w:pPr>
      <w:r>
        <w:rPr>
          <w:rStyle w:val="FootnoteReference"/>
        </w:rPr>
        <w:footnoteRef/>
      </w:r>
      <w:r>
        <w:t xml:space="preserve"> </w:t>
      </w:r>
      <w:r w:rsidRPr="00361F87">
        <w:rPr>
          <w:i/>
        </w:rPr>
        <w:t>Id</w:t>
      </w:r>
      <w:r>
        <w:t xml:space="preserve">., at page 4-3. </w:t>
      </w:r>
    </w:p>
  </w:footnote>
  <w:footnote w:id="12">
    <w:p w:rsidR="005079E7" w:rsidRDefault="005079E7" w:rsidP="00765BCE">
      <w:pPr>
        <w:pStyle w:val="FootnoteText"/>
      </w:pPr>
      <w:r>
        <w:rPr>
          <w:rStyle w:val="FootnoteReference"/>
        </w:rPr>
        <w:footnoteRef/>
      </w:r>
      <w:r>
        <w:t xml:space="preserve"> </w:t>
      </w:r>
      <w:r w:rsidRPr="00361F87">
        <w:rPr>
          <w:i/>
        </w:rPr>
        <w:t>Id.</w:t>
      </w:r>
      <w:r>
        <w:t>, at page 5-5.</w:t>
      </w:r>
    </w:p>
  </w:footnote>
  <w:footnote w:id="13">
    <w:p w:rsidR="005079E7" w:rsidRDefault="005079E7" w:rsidP="00765BCE">
      <w:pPr>
        <w:pStyle w:val="FootnoteText"/>
      </w:pPr>
      <w:r>
        <w:rPr>
          <w:rStyle w:val="FootnoteReference"/>
        </w:rPr>
        <w:footnoteRef/>
      </w:r>
      <w:r>
        <w:t xml:space="preserve"> </w:t>
      </w:r>
      <w:proofErr w:type="gramStart"/>
      <w:r>
        <w:t>Exhibit 5:  March 2010 letter to shareholders from Ronald T. Jepson, then Chairman of the Board of Directors and President of Sandy Point Improvement Company</w:t>
      </w:r>
      <w:r w:rsidR="00843D70">
        <w:t>,</w:t>
      </w:r>
      <w:r w:rsidR="00457824">
        <w:t xml:space="preserve"> first page, first </w:t>
      </w:r>
      <w:r w:rsidR="00457824">
        <w:rPr>
          <w:rFonts w:cs="Times New Roman"/>
        </w:rPr>
        <w:t>¶</w:t>
      </w:r>
      <w:r w:rsidR="00457824">
        <w:t xml:space="preserve"> under “Corporate Structure.”</w:t>
      </w:r>
      <w:proofErr w:type="gramEnd"/>
      <w:r>
        <w:t xml:space="preserve">  Commission Staff obtained this document during its investigation, and produced it as part of </w:t>
      </w:r>
      <w:r w:rsidR="00457824">
        <w:t>Commission Staff’s</w:t>
      </w:r>
      <w:r>
        <w:t xml:space="preserve"> response to the Company’s Data Request 2.</w:t>
      </w:r>
    </w:p>
  </w:footnote>
  <w:footnote w:id="14">
    <w:p w:rsidR="005079E7" w:rsidRDefault="005079E7" w:rsidP="00765BCE">
      <w:pPr>
        <w:pStyle w:val="FootnoteText"/>
      </w:pPr>
      <w:r>
        <w:rPr>
          <w:rStyle w:val="FootnoteReference"/>
        </w:rPr>
        <w:footnoteRef/>
      </w:r>
      <w:r>
        <w:t xml:space="preserve"> Exhibit 6:  Respondent Sandy Point Improvement Company’s Answer to Order Initiating Special Proceeding Under RCW 80.04.015; Complaint Against Rates and Charges; and Complaint for Penalties (December 7, 2012) (Answer) at 3, ¶ 6(2).</w:t>
      </w:r>
    </w:p>
  </w:footnote>
  <w:footnote w:id="15">
    <w:p w:rsidR="005079E7" w:rsidRDefault="005079E7" w:rsidP="00765BCE">
      <w:pPr>
        <w:pStyle w:val="FootnoteText"/>
      </w:pPr>
      <w:r>
        <w:rPr>
          <w:rStyle w:val="FootnoteReference"/>
        </w:rPr>
        <w:footnoteRef/>
      </w:r>
      <w:r>
        <w:t xml:space="preserve"> </w:t>
      </w:r>
      <w:r w:rsidRPr="00EC1FD3">
        <w:rPr>
          <w:i/>
        </w:rPr>
        <w:t xml:space="preserve">See </w:t>
      </w:r>
      <w:r>
        <w:t>Exhibit 7:  SPIC’s most recent registration with the Secretary of State’s Office</w:t>
      </w:r>
      <w:r w:rsidR="00457824">
        <w:t>, first page, under “Your Fees.”</w:t>
      </w:r>
      <w:r>
        <w:t xml:space="preserve">  Commission Staff obtained this document from the Secretary of State’s Office and provided it to the Company as part of Commission Staff’s response to Company Data Request 10.</w:t>
      </w:r>
    </w:p>
  </w:footnote>
  <w:footnote w:id="16">
    <w:p w:rsidR="005079E7" w:rsidRDefault="005079E7" w:rsidP="00765BCE">
      <w:pPr>
        <w:pStyle w:val="FootnoteText"/>
      </w:pPr>
      <w:r>
        <w:rPr>
          <w:rStyle w:val="FootnoteReference"/>
        </w:rPr>
        <w:footnoteRef/>
      </w:r>
      <w:r>
        <w:t xml:space="preserve"> Exhibit 8:  Sandy Point Improvement Company’s Articles of Incorporation (dated February 10, 2012, and filed February 13, 2012)(produced in the Company’s response to Commission Staff Data Request 12), at 2 and 3, Article V, Sections 1 and 3, respectively.  The Articles also refer to Class B shares (Articles V, Section 2), but these shares are no longer outstanding; the Company redeemed these shares in September, 2012.  </w:t>
      </w:r>
      <w:r w:rsidRPr="00195A0A">
        <w:rPr>
          <w:i/>
        </w:rPr>
        <w:t>See</w:t>
      </w:r>
      <w:r>
        <w:t xml:space="preserve"> Exhibit 9: September 20, 2012, letter to SPIC from Roy Clumpner, Vice President of SPIC, showing the Company redeemed the Class B shares and they will be “permanently retired”.</w:t>
      </w:r>
    </w:p>
  </w:footnote>
  <w:footnote w:id="17">
    <w:p w:rsidR="005079E7" w:rsidRDefault="005079E7" w:rsidP="00765BCE">
      <w:pPr>
        <w:pStyle w:val="FootnoteText"/>
      </w:pPr>
      <w:r>
        <w:rPr>
          <w:rStyle w:val="FootnoteReference"/>
        </w:rPr>
        <w:footnoteRef/>
      </w:r>
      <w:r>
        <w:t xml:space="preserve"> </w:t>
      </w:r>
      <w:r w:rsidRPr="00195A0A">
        <w:rPr>
          <w:i/>
        </w:rPr>
        <w:t>See</w:t>
      </w:r>
      <w:r>
        <w:t xml:space="preserve"> Exhibit 10:  Company response to Commission Staff Data Request 3, and Exhibit 11:  Company response to Commission Staff Data Request 6.</w:t>
      </w:r>
    </w:p>
  </w:footnote>
  <w:footnote w:id="18">
    <w:p w:rsidR="005079E7" w:rsidRDefault="005079E7" w:rsidP="00BC669F">
      <w:pPr>
        <w:pStyle w:val="FootnoteText"/>
      </w:pPr>
      <w:r>
        <w:rPr>
          <w:rStyle w:val="FootnoteReference"/>
        </w:rPr>
        <w:footnoteRef/>
      </w:r>
      <w:r>
        <w:t xml:space="preserve"> Exhibit 5:  March 2010 letter to shareholders from Ronald T. Jepson, then Chairman of the Board of Directors and President of Sandy Point Improvement Company, at 1, 4</w:t>
      </w:r>
      <w:r w:rsidRPr="00C55A53">
        <w:rPr>
          <w:vertAlign w:val="superscript"/>
        </w:rPr>
        <w:t>th</w:t>
      </w:r>
      <w:r>
        <w:t xml:space="preserve"> </w:t>
      </w:r>
      <w:r>
        <w:rPr>
          <w:rFonts w:cs="Times New Roman"/>
        </w:rPr>
        <w:t>¶</w:t>
      </w:r>
      <w:r>
        <w:t xml:space="preserve"> under “Corporate Structure”.  </w:t>
      </w:r>
    </w:p>
  </w:footnote>
  <w:footnote w:id="19">
    <w:p w:rsidR="005079E7" w:rsidRDefault="005079E7" w:rsidP="00BC669F">
      <w:pPr>
        <w:pStyle w:val="FootnoteText"/>
      </w:pPr>
      <w:r>
        <w:rPr>
          <w:rStyle w:val="FootnoteReference"/>
        </w:rPr>
        <w:footnoteRef/>
      </w:r>
      <w:r>
        <w:t xml:space="preserve"> Exhibit 8:  Company Articles of Incorporation, Article V, Section 3. </w:t>
      </w:r>
    </w:p>
  </w:footnote>
  <w:footnote w:id="20">
    <w:p w:rsidR="005079E7" w:rsidRDefault="005079E7" w:rsidP="00BC669F">
      <w:pPr>
        <w:pStyle w:val="FootnoteText"/>
      </w:pPr>
      <w:r>
        <w:rPr>
          <w:rStyle w:val="FootnoteReference"/>
        </w:rPr>
        <w:footnoteRef/>
      </w:r>
      <w:r>
        <w:t xml:space="preserve"> </w:t>
      </w:r>
      <w:r w:rsidRPr="00D32E3D">
        <w:rPr>
          <w:i/>
        </w:rPr>
        <w:t>Id</w:t>
      </w:r>
      <w:r>
        <w:t>.</w:t>
      </w:r>
    </w:p>
  </w:footnote>
  <w:footnote w:id="21">
    <w:p w:rsidR="00222BD3" w:rsidRPr="00222BD3" w:rsidRDefault="00222BD3">
      <w:pPr>
        <w:pStyle w:val="FootnoteText"/>
      </w:pPr>
      <w:r>
        <w:rPr>
          <w:rStyle w:val="FootnoteReference"/>
        </w:rPr>
        <w:footnoteRef/>
      </w:r>
      <w:r>
        <w:t xml:space="preserve"> </w:t>
      </w:r>
      <w:r>
        <w:rPr>
          <w:i/>
        </w:rPr>
        <w:t>Id.</w:t>
      </w:r>
      <w:r>
        <w:t>, Article V, Section 1.</w:t>
      </w:r>
    </w:p>
  </w:footnote>
  <w:footnote w:id="22">
    <w:p w:rsidR="005079E7" w:rsidRDefault="005079E7" w:rsidP="00B03109">
      <w:pPr>
        <w:pStyle w:val="FootnoteText"/>
      </w:pPr>
      <w:r>
        <w:rPr>
          <w:rStyle w:val="FootnoteReference"/>
        </w:rPr>
        <w:footnoteRef/>
      </w:r>
      <w:r>
        <w:t xml:space="preserve"> Exhibit 12:  Company response to Commission Staff Data Request 11.  </w:t>
      </w:r>
      <w:r>
        <w:rPr>
          <w:rFonts w:cs="Times New Roman"/>
          <w:szCs w:val="24"/>
        </w:rPr>
        <w:t xml:space="preserve">The Company prepares separate income statements for (1) Administration, (2) Clubhouse, Pool and Grounds, (3) Golf Course, (4) Marina, and (5) Water.  </w:t>
      </w:r>
      <w:r w:rsidRPr="00842EB3">
        <w:rPr>
          <w:rFonts w:cs="Times New Roman"/>
          <w:i/>
          <w:szCs w:val="24"/>
        </w:rPr>
        <w:t>See</w:t>
      </w:r>
      <w:r>
        <w:rPr>
          <w:rFonts w:cs="Times New Roman"/>
          <w:szCs w:val="24"/>
        </w:rPr>
        <w:t xml:space="preserve"> Exhibit 13:  </w:t>
      </w:r>
      <w:r>
        <w:t>Company response to Commission Staff Data Request 19.</w:t>
      </w:r>
    </w:p>
  </w:footnote>
  <w:footnote w:id="23">
    <w:p w:rsidR="005079E7" w:rsidRDefault="005079E7" w:rsidP="00B03109">
      <w:pPr>
        <w:pStyle w:val="FootnoteText"/>
      </w:pPr>
      <w:r>
        <w:rPr>
          <w:rStyle w:val="FootnoteReference"/>
        </w:rPr>
        <w:footnoteRef/>
      </w:r>
      <w:r>
        <w:t xml:space="preserve"> Exhibit 14:  Company response to Commission Staff Data Request 9.</w:t>
      </w:r>
    </w:p>
  </w:footnote>
  <w:footnote w:id="24">
    <w:p w:rsidR="005079E7" w:rsidRDefault="005079E7" w:rsidP="00765BCE">
      <w:pPr>
        <w:pStyle w:val="FootnoteText"/>
      </w:pPr>
      <w:r>
        <w:rPr>
          <w:rStyle w:val="FootnoteReference"/>
        </w:rPr>
        <w:footnoteRef/>
      </w:r>
      <w:r>
        <w:t xml:space="preserve"> Exhibit 4:  Excerpts from Sandy Point Improvement Company “Water System Plan 2011”, at 2-3 to 2-4, quoting WAC 246-290-106(1).   </w:t>
      </w:r>
    </w:p>
  </w:footnote>
  <w:footnote w:id="25">
    <w:p w:rsidR="005079E7" w:rsidRDefault="005079E7" w:rsidP="00765BCE">
      <w:pPr>
        <w:pStyle w:val="FootnoteText"/>
      </w:pPr>
      <w:r>
        <w:rPr>
          <w:rStyle w:val="FootnoteReference"/>
        </w:rPr>
        <w:footnoteRef/>
      </w:r>
      <w:r>
        <w:t xml:space="preserve"> Exhibit 11:  Company response to Commission Staff Data Request 6</w:t>
      </w:r>
      <w:r w:rsidR="00457824">
        <w:t xml:space="preserve"> (including supplemental response)</w:t>
      </w:r>
      <w:r>
        <w:t>.</w:t>
      </w:r>
    </w:p>
  </w:footnote>
  <w:footnote w:id="26">
    <w:p w:rsidR="005079E7" w:rsidRDefault="005079E7" w:rsidP="00765BCE">
      <w:pPr>
        <w:pStyle w:val="FootnoteText"/>
      </w:pPr>
      <w:r>
        <w:rPr>
          <w:rStyle w:val="FootnoteReference"/>
        </w:rPr>
        <w:footnoteRef/>
      </w:r>
      <w:r>
        <w:t xml:space="preserve"> Exhibit 15:  Company response to Commission Staff Data Request 29.</w:t>
      </w:r>
    </w:p>
  </w:footnote>
  <w:footnote w:id="27">
    <w:p w:rsidR="005079E7" w:rsidRDefault="005079E7" w:rsidP="00765BCE">
      <w:pPr>
        <w:pStyle w:val="FootnoteText"/>
      </w:pPr>
      <w:r>
        <w:rPr>
          <w:rStyle w:val="FootnoteReference"/>
        </w:rPr>
        <w:footnoteRef/>
      </w:r>
      <w:r>
        <w:t xml:space="preserve"> </w:t>
      </w:r>
      <w:r>
        <w:rPr>
          <w:i/>
        </w:rPr>
        <w:t>Id</w:t>
      </w:r>
      <w:r>
        <w:t>., at 1, “Response” section, 1</w:t>
      </w:r>
      <w:r w:rsidRPr="00B42B74">
        <w:rPr>
          <w:vertAlign w:val="superscript"/>
        </w:rPr>
        <w:t>st</w:t>
      </w:r>
      <w:r>
        <w:t xml:space="preserve"> </w:t>
      </w:r>
      <w:r>
        <w:rPr>
          <w:rFonts w:cs="Times New Roman"/>
        </w:rPr>
        <w:t>¶</w:t>
      </w:r>
      <w:r>
        <w:t>.</w:t>
      </w:r>
    </w:p>
  </w:footnote>
  <w:footnote w:id="28">
    <w:p w:rsidR="005079E7" w:rsidRDefault="005079E7" w:rsidP="00765BCE">
      <w:pPr>
        <w:pStyle w:val="FootnoteText"/>
      </w:pPr>
      <w:r>
        <w:rPr>
          <w:rStyle w:val="FootnoteReference"/>
        </w:rPr>
        <w:footnoteRef/>
      </w:r>
      <w:r>
        <w:t xml:space="preserve"> </w:t>
      </w:r>
      <w:r w:rsidRPr="00361F87">
        <w:rPr>
          <w:i/>
        </w:rPr>
        <w:t>Id</w:t>
      </w:r>
      <w:r>
        <w:t>., at 1, “Response” section, 2</w:t>
      </w:r>
      <w:r w:rsidRPr="00B42B74">
        <w:rPr>
          <w:vertAlign w:val="superscript"/>
        </w:rPr>
        <w:t>nd</w:t>
      </w:r>
      <w:r>
        <w:t xml:space="preserve"> </w:t>
      </w:r>
      <w:r>
        <w:rPr>
          <w:rFonts w:cs="Times New Roman"/>
        </w:rPr>
        <w:t>¶</w:t>
      </w:r>
      <w:r>
        <w:t>.</w:t>
      </w:r>
    </w:p>
  </w:footnote>
  <w:footnote w:id="29">
    <w:p w:rsidR="005079E7" w:rsidRDefault="005079E7" w:rsidP="00765BCE">
      <w:pPr>
        <w:pStyle w:val="FootnoteText"/>
      </w:pPr>
      <w:r>
        <w:rPr>
          <w:rStyle w:val="FootnoteReference"/>
        </w:rPr>
        <w:footnoteRef/>
      </w:r>
      <w:r>
        <w:t xml:space="preserve"> Exhibit 16:  Company response to Comm</w:t>
      </w:r>
      <w:r w:rsidR="00DC3E85">
        <w:t xml:space="preserve">ission Staff Data Request 30.  </w:t>
      </w:r>
      <w:r>
        <w:t>As Exhibit 15 shows</w:t>
      </w:r>
      <w:r w:rsidR="00457824">
        <w:t xml:space="preserve"> (third page, July 2006 notice, 3</w:t>
      </w:r>
      <w:r w:rsidR="00457824" w:rsidRPr="00457824">
        <w:rPr>
          <w:vertAlign w:val="superscript"/>
        </w:rPr>
        <w:t>rd</w:t>
      </w:r>
      <w:r w:rsidR="00457824">
        <w:t xml:space="preserve"> </w:t>
      </w:r>
      <w:r w:rsidR="00457824">
        <w:rPr>
          <w:rFonts w:cs="Times New Roman"/>
        </w:rPr>
        <w:t>¶</w:t>
      </w:r>
      <w:r w:rsidR="00457824">
        <w:t>)</w:t>
      </w:r>
      <w:r>
        <w:t xml:space="preserve">, the Company charges </w:t>
      </w:r>
      <w:r w:rsidR="00120267">
        <w:t xml:space="preserve">each new customer </w:t>
      </w:r>
      <w:r>
        <w:t>a “base fee”</w:t>
      </w:r>
      <w:r w:rsidR="00120267">
        <w:t xml:space="preserve"> of $5000.</w:t>
      </w:r>
    </w:p>
  </w:footnote>
  <w:footnote w:id="30">
    <w:p w:rsidR="005079E7" w:rsidRDefault="005079E7" w:rsidP="004B7F9B">
      <w:pPr>
        <w:pStyle w:val="FootnoteText"/>
      </w:pPr>
      <w:r>
        <w:rPr>
          <w:rStyle w:val="FootnoteReference"/>
        </w:rPr>
        <w:footnoteRef/>
      </w:r>
      <w:r w:rsidR="00843D70">
        <w:t xml:space="preserve"> </w:t>
      </w:r>
      <w:r>
        <w:t>This $557 figure is set by the Commission, as authorized by RCW 80.04.010(30</w:t>
      </w:r>
      <w:proofErr w:type="gramStart"/>
      <w:r>
        <w:t>)(</w:t>
      </w:r>
      <w:proofErr w:type="gramEnd"/>
      <w:r>
        <w:t>b).  The figure is codified in WAC 480-110-255(1)(b),</w:t>
      </w:r>
    </w:p>
  </w:footnote>
  <w:footnote w:id="31">
    <w:p w:rsidR="005079E7" w:rsidRDefault="005079E7">
      <w:pPr>
        <w:pStyle w:val="FootnoteText"/>
      </w:pPr>
      <w:r>
        <w:rPr>
          <w:rStyle w:val="FootnoteReference"/>
        </w:rPr>
        <w:footnoteRef/>
      </w:r>
      <w:r w:rsidRPr="00765BCE">
        <w:rPr>
          <w:rFonts w:cs="Times New Roman"/>
          <w:szCs w:val="24"/>
        </w:rPr>
        <w:t xml:space="preserve"> </w:t>
      </w:r>
      <w:r>
        <w:rPr>
          <w:rFonts w:cs="Times New Roman"/>
          <w:szCs w:val="24"/>
        </w:rPr>
        <w:t xml:space="preserve">Consistent with this precedent, </w:t>
      </w:r>
      <w:r w:rsidRPr="00765BCE">
        <w:rPr>
          <w:rFonts w:cs="Times New Roman"/>
          <w:szCs w:val="24"/>
        </w:rPr>
        <w:t>WAC 480-100-245</w:t>
      </w:r>
      <w:r>
        <w:rPr>
          <w:rFonts w:cs="Times New Roman"/>
          <w:szCs w:val="24"/>
        </w:rPr>
        <w:t xml:space="preserve"> includes the term “to the public” </w:t>
      </w:r>
      <w:r w:rsidRPr="00765BCE">
        <w:rPr>
          <w:rFonts w:cs="Times New Roman"/>
          <w:szCs w:val="24"/>
        </w:rPr>
        <w:t>i</w:t>
      </w:r>
      <w:r>
        <w:rPr>
          <w:rFonts w:cs="Times New Roman"/>
          <w:szCs w:val="24"/>
        </w:rPr>
        <w:t>n</w:t>
      </w:r>
      <w:r w:rsidRPr="00765BCE">
        <w:rPr>
          <w:rFonts w:cs="Times New Roman"/>
          <w:szCs w:val="24"/>
        </w:rPr>
        <w:t xml:space="preserve"> the defin</w:t>
      </w:r>
      <w:r>
        <w:rPr>
          <w:rFonts w:cs="Times New Roman"/>
          <w:szCs w:val="24"/>
        </w:rPr>
        <w:t>ition of</w:t>
      </w:r>
      <w:r w:rsidRPr="00765BCE">
        <w:rPr>
          <w:rFonts w:cs="Times New Roman"/>
          <w:szCs w:val="24"/>
        </w:rPr>
        <w:t xml:space="preserve"> “water company”</w:t>
      </w:r>
      <w:r>
        <w:rPr>
          <w:rFonts w:cs="Times New Roman"/>
          <w:szCs w:val="24"/>
        </w:rPr>
        <w:t>.</w:t>
      </w:r>
      <w:r w:rsidRPr="00765BCE">
        <w:rPr>
          <w:rFonts w:cs="Times New Roman"/>
          <w:szCs w:val="24"/>
        </w:rPr>
        <w:t xml:space="preserve">  </w:t>
      </w:r>
    </w:p>
  </w:footnote>
  <w:footnote w:id="32">
    <w:p w:rsidR="005079E7" w:rsidRDefault="005079E7" w:rsidP="00F961C8">
      <w:pPr>
        <w:pStyle w:val="FootnoteText"/>
      </w:pPr>
      <w:r>
        <w:rPr>
          <w:rStyle w:val="FootnoteReference"/>
        </w:rPr>
        <w:footnoteRef/>
      </w:r>
      <w:r w:rsidR="00843D70">
        <w:t xml:space="preserve"> </w:t>
      </w:r>
      <w:r>
        <w:t xml:space="preserve">Exhibit 6: Answer at 3, </w:t>
      </w:r>
      <w:r>
        <w:rPr>
          <w:rFonts w:cs="Times New Roman"/>
        </w:rPr>
        <w:t>¶</w:t>
      </w:r>
      <w:r>
        <w:t xml:space="preserve"> 6(2) and at 2, ¶ 5(1).</w:t>
      </w:r>
    </w:p>
  </w:footnote>
  <w:footnote w:id="33">
    <w:p w:rsidR="005079E7" w:rsidRPr="00DA12FB" w:rsidRDefault="005079E7">
      <w:pPr>
        <w:pStyle w:val="FootnoteText"/>
      </w:pPr>
      <w:r>
        <w:rPr>
          <w:rStyle w:val="FootnoteReference"/>
        </w:rPr>
        <w:footnoteRef/>
      </w:r>
      <w:r>
        <w:t xml:space="preserve"> </w:t>
      </w:r>
      <w:r>
        <w:rPr>
          <w:i/>
        </w:rPr>
        <w:t xml:space="preserve">Supra, </w:t>
      </w:r>
      <w:r>
        <w:t xml:space="preserve">at </w:t>
      </w:r>
      <w:r w:rsidR="001471FF">
        <w:t>3</w:t>
      </w:r>
      <w:r>
        <w:t xml:space="preserve">, </w:t>
      </w:r>
      <w:r>
        <w:rPr>
          <w:rFonts w:cs="Times New Roman"/>
        </w:rPr>
        <w:t>¶</w:t>
      </w:r>
      <w:r>
        <w:t xml:space="preserve"> 5, table, excerpted from Exhibit 2:  Company response to Commission Staff Data Request 20.</w:t>
      </w:r>
    </w:p>
  </w:footnote>
  <w:footnote w:id="34">
    <w:p w:rsidR="005079E7" w:rsidRDefault="005079E7" w:rsidP="00DA12FB">
      <w:pPr>
        <w:pStyle w:val="FootnoteText"/>
      </w:pPr>
      <w:r>
        <w:rPr>
          <w:rStyle w:val="FootnoteReference"/>
        </w:rPr>
        <w:footnoteRef/>
      </w:r>
      <w:r>
        <w:t xml:space="preserve"> </w:t>
      </w:r>
      <w:r>
        <w:rPr>
          <w:i/>
        </w:rPr>
        <w:t>Id.</w:t>
      </w:r>
    </w:p>
  </w:footnote>
  <w:footnote w:id="35">
    <w:p w:rsidR="005079E7" w:rsidRPr="00A658F8" w:rsidRDefault="005079E7" w:rsidP="00765BCE">
      <w:pPr>
        <w:pStyle w:val="FootnoteText"/>
      </w:pPr>
      <w:r>
        <w:rPr>
          <w:rStyle w:val="FootnoteReference"/>
        </w:rPr>
        <w:footnoteRef/>
      </w:r>
      <w:r>
        <w:t xml:space="preserve"> </w:t>
      </w:r>
      <w:r>
        <w:rPr>
          <w:i/>
        </w:rPr>
        <w:t>Supra</w:t>
      </w:r>
      <w:r>
        <w:t>,</w:t>
      </w:r>
      <w:r>
        <w:rPr>
          <w:i/>
        </w:rPr>
        <w:t xml:space="preserve"> </w:t>
      </w:r>
      <w:r>
        <w:t xml:space="preserve">at 3, </w:t>
      </w:r>
      <w:r>
        <w:rPr>
          <w:rFonts w:cs="Times New Roman"/>
        </w:rPr>
        <w:t>¶</w:t>
      </w:r>
      <w:r>
        <w:t xml:space="preserve"> 5.</w:t>
      </w:r>
    </w:p>
  </w:footnote>
  <w:footnote w:id="36">
    <w:p w:rsidR="005079E7" w:rsidRDefault="005079E7">
      <w:pPr>
        <w:pStyle w:val="FootnoteText"/>
      </w:pPr>
      <w:r>
        <w:rPr>
          <w:rStyle w:val="FootnoteReference"/>
        </w:rPr>
        <w:footnoteRef/>
      </w:r>
      <w:r>
        <w:t xml:space="preserve"> </w:t>
      </w:r>
      <w:r>
        <w:rPr>
          <w:rFonts w:cs="Times New Roman"/>
          <w:szCs w:val="24"/>
        </w:rPr>
        <w:t xml:space="preserve">Even though </w:t>
      </w:r>
      <w:r w:rsidR="00120267">
        <w:rPr>
          <w:rFonts w:cs="Times New Roman"/>
          <w:szCs w:val="24"/>
        </w:rPr>
        <w:t>Inland Empire Rural Electrification, Inc.</w:t>
      </w:r>
      <w:r>
        <w:rPr>
          <w:rFonts w:cs="Times New Roman"/>
          <w:szCs w:val="24"/>
        </w:rPr>
        <w:t xml:space="preserve"> met the statutory definition</w:t>
      </w:r>
      <w:r w:rsidR="00120267">
        <w:rPr>
          <w:rFonts w:cs="Times New Roman"/>
          <w:szCs w:val="24"/>
        </w:rPr>
        <w:t xml:space="preserve"> of “water company”</w:t>
      </w:r>
      <w:r>
        <w:rPr>
          <w:rFonts w:cs="Times New Roman"/>
          <w:szCs w:val="24"/>
        </w:rPr>
        <w:t>, including the “for hire” element, t</w:t>
      </w:r>
      <w:r w:rsidRPr="00EC1E96">
        <w:rPr>
          <w:rFonts w:cs="Times New Roman"/>
          <w:szCs w:val="24"/>
        </w:rPr>
        <w:t>he court conclude</w:t>
      </w:r>
      <w:r>
        <w:rPr>
          <w:rFonts w:cs="Times New Roman"/>
          <w:szCs w:val="24"/>
        </w:rPr>
        <w:t>d</w:t>
      </w:r>
      <w:r w:rsidRPr="00EC1E96">
        <w:rPr>
          <w:rFonts w:cs="Times New Roman"/>
          <w:szCs w:val="24"/>
        </w:rPr>
        <w:t xml:space="preserve"> that </w:t>
      </w:r>
      <w:r>
        <w:rPr>
          <w:rFonts w:cs="Times New Roman"/>
          <w:szCs w:val="24"/>
        </w:rPr>
        <w:t xml:space="preserve">the </w:t>
      </w:r>
      <w:r w:rsidRPr="00EC1E96">
        <w:rPr>
          <w:rFonts w:cs="Times New Roman"/>
          <w:szCs w:val="24"/>
        </w:rPr>
        <w:t>company was not subject to Commission regulation because it did not offer service to the public</w:t>
      </w:r>
      <w:r>
        <w:rPr>
          <w:rFonts w:cs="Times New Roman"/>
          <w:szCs w:val="24"/>
        </w:rPr>
        <w:t>;</w:t>
      </w:r>
      <w:r w:rsidRPr="00EC1E96">
        <w:rPr>
          <w:rFonts w:cs="Times New Roman"/>
          <w:szCs w:val="24"/>
        </w:rPr>
        <w:t xml:space="preserve"> among other things, </w:t>
      </w:r>
      <w:r>
        <w:rPr>
          <w:rFonts w:cs="Times New Roman"/>
          <w:szCs w:val="24"/>
        </w:rPr>
        <w:t xml:space="preserve">the company </w:t>
      </w:r>
      <w:r w:rsidRPr="00EC1E96">
        <w:rPr>
          <w:rFonts w:cs="Times New Roman"/>
          <w:szCs w:val="24"/>
        </w:rPr>
        <w:t>“functions entirely on a cooperative basis”</w:t>
      </w:r>
      <w:r>
        <w:rPr>
          <w:rFonts w:cs="Times New Roman"/>
          <w:szCs w:val="24"/>
        </w:rPr>
        <w:t>.</w:t>
      </w:r>
      <w:r w:rsidRPr="00EC1E96">
        <w:rPr>
          <w:rFonts w:cs="Times New Roman"/>
          <w:szCs w:val="24"/>
        </w:rPr>
        <w:t xml:space="preserve">  199 Wash. at 539-40.</w:t>
      </w:r>
      <w:r>
        <w:rPr>
          <w:rFonts w:cs="Times New Roman"/>
          <w:szCs w:val="24"/>
        </w:rPr>
        <w:t xml:space="preserve">  We discuss the “service to the public” test in the next section, Section III.C.</w:t>
      </w:r>
    </w:p>
  </w:footnote>
  <w:footnote w:id="37">
    <w:p w:rsidR="005079E7" w:rsidRDefault="005079E7">
      <w:pPr>
        <w:pStyle w:val="FootnoteText"/>
      </w:pPr>
      <w:r>
        <w:rPr>
          <w:rStyle w:val="FootnoteReference"/>
        </w:rPr>
        <w:footnoteRef/>
      </w:r>
      <w:r>
        <w:t xml:space="preserve"> At the time of the </w:t>
      </w:r>
      <w:r>
        <w:rPr>
          <w:i/>
        </w:rPr>
        <w:t xml:space="preserve">West Valley Land </w:t>
      </w:r>
      <w:r w:rsidRPr="00AC68F7">
        <w:t>decision</w:t>
      </w:r>
      <w:r>
        <w:t xml:space="preserve"> (1986)</w:t>
      </w:r>
      <w:r>
        <w:rPr>
          <w:i/>
        </w:rPr>
        <w:t xml:space="preserve">, </w:t>
      </w:r>
      <w:r w:rsidRPr="00EC1E96">
        <w:rPr>
          <w:rFonts w:cs="Times New Roman"/>
          <w:szCs w:val="24"/>
        </w:rPr>
        <w:t xml:space="preserve">the statutory exemption had smaller maxima for </w:t>
      </w:r>
      <w:r>
        <w:rPr>
          <w:rFonts w:cs="Times New Roman"/>
          <w:szCs w:val="24"/>
        </w:rPr>
        <w:t>dollars and number of customers.</w:t>
      </w:r>
    </w:p>
  </w:footnote>
  <w:footnote w:id="38">
    <w:p w:rsidR="005079E7" w:rsidRDefault="005079E7">
      <w:pPr>
        <w:pStyle w:val="FootnoteText"/>
      </w:pPr>
      <w:r>
        <w:rPr>
          <w:rStyle w:val="FootnoteReference"/>
        </w:rPr>
        <w:footnoteRef/>
      </w:r>
      <w:r w:rsidRPr="00AC68F7">
        <w:rPr>
          <w:rFonts w:cs="Times New Roman"/>
          <w:szCs w:val="24"/>
        </w:rPr>
        <w:t xml:space="preserve">  In the end, the court in </w:t>
      </w:r>
      <w:r w:rsidRPr="00AC68F7">
        <w:rPr>
          <w:rFonts w:cs="Times New Roman"/>
          <w:i/>
          <w:szCs w:val="24"/>
        </w:rPr>
        <w:t xml:space="preserve">West Valley </w:t>
      </w:r>
      <w:r>
        <w:rPr>
          <w:rFonts w:cs="Times New Roman"/>
          <w:i/>
          <w:szCs w:val="24"/>
        </w:rPr>
        <w:t xml:space="preserve">Land </w:t>
      </w:r>
      <w:r>
        <w:rPr>
          <w:rFonts w:cs="Times New Roman"/>
          <w:szCs w:val="24"/>
        </w:rPr>
        <w:t xml:space="preserve">ruled </w:t>
      </w:r>
      <w:r w:rsidRPr="00AC68F7">
        <w:rPr>
          <w:rFonts w:cs="Times New Roman"/>
          <w:szCs w:val="24"/>
        </w:rPr>
        <w:t xml:space="preserve">that the </w:t>
      </w:r>
      <w:r>
        <w:rPr>
          <w:rFonts w:cs="Times New Roman"/>
          <w:szCs w:val="24"/>
        </w:rPr>
        <w:t xml:space="preserve">Nob Hill Water Association, as a </w:t>
      </w:r>
      <w:r w:rsidRPr="00AC68F7">
        <w:rPr>
          <w:rFonts w:cs="Times New Roman"/>
          <w:szCs w:val="24"/>
        </w:rPr>
        <w:t>cooperative</w:t>
      </w:r>
      <w:r>
        <w:rPr>
          <w:rFonts w:cs="Times New Roman"/>
          <w:szCs w:val="24"/>
        </w:rPr>
        <w:t>,</w:t>
      </w:r>
      <w:r w:rsidRPr="00AC68F7">
        <w:rPr>
          <w:rFonts w:cs="Times New Roman"/>
          <w:szCs w:val="24"/>
        </w:rPr>
        <w:t xml:space="preserve"> was exempt from </w:t>
      </w:r>
      <w:r>
        <w:rPr>
          <w:rFonts w:cs="Times New Roman"/>
          <w:szCs w:val="24"/>
        </w:rPr>
        <w:t xml:space="preserve">Commission </w:t>
      </w:r>
      <w:r w:rsidRPr="00AC68F7">
        <w:rPr>
          <w:rFonts w:cs="Times New Roman"/>
          <w:szCs w:val="24"/>
        </w:rPr>
        <w:t>regulation because it did not satisfy th</w:t>
      </w:r>
      <w:r>
        <w:rPr>
          <w:rFonts w:cs="Times New Roman"/>
          <w:szCs w:val="24"/>
        </w:rPr>
        <w:t>e “service to the public”</w:t>
      </w:r>
      <w:r w:rsidRPr="00AC68F7">
        <w:rPr>
          <w:rFonts w:cs="Times New Roman"/>
          <w:szCs w:val="24"/>
        </w:rPr>
        <w:t xml:space="preserve"> test.  107 Wn.2d at 367-69.</w:t>
      </w:r>
      <w:r>
        <w:rPr>
          <w:rFonts w:cs="Times New Roman"/>
          <w:szCs w:val="24"/>
        </w:rPr>
        <w:t xml:space="preserve">  We discuss the “service to the public” test in the next section, Section III.C.</w:t>
      </w:r>
    </w:p>
  </w:footnote>
  <w:footnote w:id="39">
    <w:p w:rsidR="005079E7" w:rsidRDefault="005079E7" w:rsidP="00BD4FF0">
      <w:pPr>
        <w:pStyle w:val="FootnoteText"/>
      </w:pPr>
      <w:r>
        <w:rPr>
          <w:rStyle w:val="FootnoteReference"/>
        </w:rPr>
        <w:footnoteRef/>
      </w:r>
      <w:r>
        <w:t xml:space="preserve"> </w:t>
      </w:r>
      <w:r>
        <w:rPr>
          <w:i/>
        </w:rPr>
        <w:t xml:space="preserve">Supra, </w:t>
      </w:r>
      <w:r>
        <w:t xml:space="preserve">at 5, </w:t>
      </w:r>
      <w:r>
        <w:rPr>
          <w:rFonts w:cs="Times New Roman"/>
        </w:rPr>
        <w:t xml:space="preserve">¶ 12, </w:t>
      </w:r>
      <w:r w:rsidRPr="008F3CC5">
        <w:rPr>
          <w:rFonts w:cs="Times New Roman"/>
        </w:rPr>
        <w:t xml:space="preserve">quoting </w:t>
      </w:r>
      <w:r>
        <w:rPr>
          <w:rFonts w:cs="Times New Roman"/>
        </w:rPr>
        <w:t>SPIC statements describing the Company’s</w:t>
      </w:r>
      <w:r>
        <w:t xml:space="preserve"> service commitment </w:t>
      </w:r>
      <w:r>
        <w:rPr>
          <w:rFonts w:cs="Times New Roman"/>
        </w:rPr>
        <w:t xml:space="preserve">in Exhibit 4:  </w:t>
      </w:r>
      <w:r w:rsidRPr="00EC1FD3">
        <w:t xml:space="preserve"> </w:t>
      </w:r>
      <w:r>
        <w:t>Excerpts from Sandy Point Improvement Company “Water System Plan 2011” at 2-3 to 2-4.</w:t>
      </w:r>
    </w:p>
  </w:footnote>
  <w:footnote w:id="40">
    <w:p w:rsidR="005079E7" w:rsidRDefault="005079E7" w:rsidP="00BD4FF0">
      <w:pPr>
        <w:pStyle w:val="FootnoteText"/>
      </w:pPr>
      <w:r>
        <w:rPr>
          <w:rStyle w:val="FootnoteReference"/>
        </w:rPr>
        <w:footnoteRef/>
      </w:r>
      <w:r>
        <w:t xml:space="preserve"> </w:t>
      </w:r>
      <w:r>
        <w:rPr>
          <w:i/>
        </w:rPr>
        <w:t>Supra</w:t>
      </w:r>
      <w:r>
        <w:t xml:space="preserve">, at 6, </w:t>
      </w:r>
      <w:r>
        <w:rPr>
          <w:rFonts w:cs="Times New Roman"/>
        </w:rPr>
        <w:t>¶</w:t>
      </w:r>
      <w:r>
        <w:t xml:space="preserve"> 13</w:t>
      </w:r>
      <w:r>
        <w:rPr>
          <w:i/>
        </w:rPr>
        <w:t xml:space="preserve">.  </w:t>
      </w:r>
      <w:r>
        <w:t>In addition, as shown in Exhibit 3, which is the Company’s answers to Commission Staff’s “Water System Questionnaire” at 2, answer 6, the Company answered “No” to the question whether it “reserve[s] the right to serve particular individuals of its own choosing.”  The Company qualified that No response, by referring to the lottery and to its Water System Plan, noting that the Company “prioritizes” service “based on current water shareholder agreements with Sandy Point.”  As shown in Exhibit 17,</w:t>
      </w:r>
      <w:r>
        <w:rPr>
          <w:rFonts w:cs="Times New Roman"/>
          <w:szCs w:val="24"/>
        </w:rPr>
        <w:t xml:space="preserve"> Company response to Commission Staff Data Request 31, at 1-2, part (3), this simply means SPIC “prioritizes its commitments to serve existing customers over the possibility of potential new customers.”  </w:t>
      </w:r>
    </w:p>
  </w:footnote>
  <w:footnote w:id="41">
    <w:p w:rsidR="005079E7" w:rsidRDefault="005079E7" w:rsidP="00BD4FF0">
      <w:pPr>
        <w:pStyle w:val="FootnoteText"/>
      </w:pPr>
      <w:r>
        <w:rPr>
          <w:rStyle w:val="FootnoteReference"/>
        </w:rPr>
        <w:footnoteRef/>
      </w:r>
      <w:r>
        <w:t xml:space="preserve"> </w:t>
      </w:r>
      <w:r w:rsidRPr="00B76773">
        <w:rPr>
          <w:i/>
        </w:rPr>
        <w:t>Supra</w:t>
      </w:r>
      <w:r>
        <w:rPr>
          <w:i/>
        </w:rPr>
        <w:t xml:space="preserve">, </w:t>
      </w:r>
      <w:r>
        <w:t xml:space="preserve">at 6, </w:t>
      </w:r>
      <w:r>
        <w:rPr>
          <w:rFonts w:cs="Times New Roman"/>
        </w:rPr>
        <w:t>¶</w:t>
      </w:r>
      <w:r>
        <w:t xml:space="preserve"> 14, quoting Exhibit 16:  Company response to Commission Staff Data Request 30. </w:t>
      </w:r>
    </w:p>
  </w:footnote>
  <w:footnote w:id="42">
    <w:p w:rsidR="005079E7" w:rsidRDefault="005079E7">
      <w:pPr>
        <w:pStyle w:val="FootnoteText"/>
      </w:pPr>
      <w:r>
        <w:rPr>
          <w:rStyle w:val="FootnoteReference"/>
        </w:rPr>
        <w:footnoteRef/>
      </w:r>
      <w:r>
        <w:t xml:space="preserve"> Per RCW 23B.01.400 (</w:t>
      </w:r>
      <w:r w:rsidRPr="008C3779">
        <w:rPr>
          <w:i/>
        </w:rPr>
        <w:t>i.e</w:t>
      </w:r>
      <w:r>
        <w:t>., in the title under</w:t>
      </w:r>
      <w:r w:rsidR="003172F7">
        <w:t xml:space="preserve"> which SPIC is incorporated), “‘shares’</w:t>
      </w:r>
      <w:r>
        <w:t xml:space="preserve"> means the units into which the proprietary interests in a corporation are divided.”  As the facts described</w:t>
      </w:r>
      <w:r w:rsidR="003172F7">
        <w:t>,</w:t>
      </w:r>
      <w:r>
        <w:t xml:space="preserve"> </w:t>
      </w:r>
      <w:r w:rsidR="003172F7" w:rsidRPr="003172F7">
        <w:rPr>
          <w:i/>
        </w:rPr>
        <w:t>supra</w:t>
      </w:r>
      <w:r w:rsidR="003172F7">
        <w:t>, at pages 4-5,</w:t>
      </w:r>
      <w:r>
        <w:t xml:space="preserve"> </w:t>
      </w:r>
      <w:r>
        <w:rPr>
          <w:rFonts w:cs="Times New Roman"/>
        </w:rPr>
        <w:t>¶¶</w:t>
      </w:r>
      <w:r>
        <w:t xml:space="preserve"> 8-1</w:t>
      </w:r>
      <w:r w:rsidR="00120267">
        <w:t>1</w:t>
      </w:r>
      <w:r w:rsidR="003172F7">
        <w:t>,</w:t>
      </w:r>
      <w:r>
        <w:t xml:space="preserve"> show, the Company’s Articles of Incorporation place no limitation on the proprietary interest of Class A shareholders in the corporation, but they provide for no (or virtually no) proprietary interest for the Class C shareholders.</w:t>
      </w:r>
    </w:p>
  </w:footnote>
  <w:footnote w:id="43">
    <w:p w:rsidR="005079E7" w:rsidRDefault="005079E7" w:rsidP="00765BCE">
      <w:pPr>
        <w:pStyle w:val="FootnoteText"/>
      </w:pPr>
      <w:r>
        <w:rPr>
          <w:rStyle w:val="FootnoteReference"/>
        </w:rPr>
        <w:footnoteRef/>
      </w:r>
      <w:r>
        <w:t xml:space="preserve"> </w:t>
      </w:r>
      <w:r>
        <w:rPr>
          <w:i/>
        </w:rPr>
        <w:t>Supra,</w:t>
      </w:r>
      <w:r>
        <w:t xml:space="preserve"> at 5, </w:t>
      </w:r>
      <w:r>
        <w:rPr>
          <w:rFonts w:cs="Times New Roman"/>
        </w:rPr>
        <w:t>¶</w:t>
      </w:r>
      <w:r>
        <w:t xml:space="preserve"> 11, quoting Exhibit 8:  Company’s Articles of Incorporation at 2-3, Article V, Section 1. </w:t>
      </w:r>
    </w:p>
  </w:footnote>
  <w:footnote w:id="44">
    <w:p w:rsidR="005079E7" w:rsidRPr="00333409" w:rsidRDefault="005079E7">
      <w:pPr>
        <w:pStyle w:val="FootnoteText"/>
      </w:pPr>
      <w:r>
        <w:rPr>
          <w:rStyle w:val="FootnoteReference"/>
        </w:rPr>
        <w:footnoteRef/>
      </w:r>
      <w:r>
        <w:t xml:space="preserve"> Commission Staff notes that in both </w:t>
      </w:r>
      <w:r>
        <w:rPr>
          <w:i/>
        </w:rPr>
        <w:t xml:space="preserve">Inland Empire </w:t>
      </w:r>
      <w:r>
        <w:t xml:space="preserve">and </w:t>
      </w:r>
      <w:r>
        <w:rPr>
          <w:i/>
        </w:rPr>
        <w:t>West Valley Land</w:t>
      </w:r>
      <w:r>
        <w:t xml:space="preserve">, the court emphasized the fact that each of the entities at issue provided service at cost, and any revenue in excess of cost would be returned to the customers/owners of the corporation or cooperative, respectively.  SPIC is under no such obligation.  Nonetheless, Commission Staff believes that because the Class A shareholders have the proprietary interest in the Company by virtue of their share ownership, SPIC’s for profit status does not negate the Class A shareholders’ “complete identity of interest” with the Company. </w:t>
      </w:r>
    </w:p>
  </w:footnote>
  <w:footnote w:id="45">
    <w:p w:rsidR="005079E7" w:rsidRPr="00FA32A7" w:rsidRDefault="005079E7" w:rsidP="00765BCE">
      <w:pPr>
        <w:pStyle w:val="FootnoteText"/>
        <w:rPr>
          <w:i/>
        </w:rPr>
      </w:pPr>
      <w:r>
        <w:rPr>
          <w:rStyle w:val="FootnoteReference"/>
        </w:rPr>
        <w:footnoteRef/>
      </w:r>
      <w:r>
        <w:t xml:space="preserve"> </w:t>
      </w:r>
      <w:r>
        <w:rPr>
          <w:i/>
        </w:rPr>
        <w:t xml:space="preserve">Supra, </w:t>
      </w:r>
      <w:r>
        <w:t xml:space="preserve">at 5, </w:t>
      </w:r>
      <w:r>
        <w:rPr>
          <w:rFonts w:cs="Times New Roman"/>
        </w:rPr>
        <w:t>¶</w:t>
      </w:r>
      <w:r>
        <w:t xml:space="preserve"> 11</w:t>
      </w:r>
      <w:r>
        <w:rPr>
          <w:i/>
        </w:rPr>
        <w:t>.</w:t>
      </w:r>
    </w:p>
  </w:footnote>
  <w:footnote w:id="46">
    <w:p w:rsidR="005079E7" w:rsidRDefault="005079E7">
      <w:pPr>
        <w:pStyle w:val="FootnoteText"/>
      </w:pPr>
      <w:r>
        <w:rPr>
          <w:rStyle w:val="FootnoteReference"/>
        </w:rPr>
        <w:footnoteRef/>
      </w:r>
      <w:r>
        <w:t xml:space="preserve"> </w:t>
      </w:r>
      <w:r w:rsidR="00712F88">
        <w:rPr>
          <w:i/>
        </w:rPr>
        <w:t xml:space="preserve">Supra, </w:t>
      </w:r>
      <w:r w:rsidR="00712F88">
        <w:t xml:space="preserve">at 4-5, </w:t>
      </w:r>
      <w:r w:rsidR="00712F88">
        <w:rPr>
          <w:rFonts w:cs="Times New Roman"/>
        </w:rPr>
        <w:t>¶</w:t>
      </w:r>
      <w:r w:rsidR="00712F88">
        <w:t xml:space="preserve"> 10</w:t>
      </w:r>
      <w:r>
        <w:rPr>
          <w:i/>
        </w:rPr>
        <w:t xml:space="preserve">, </w:t>
      </w:r>
      <w:r>
        <w:t>quoting Exhibit 5:  March 2010 letter to shareholders from its then President and Chairman of the Board of Directors at 1, 4</w:t>
      </w:r>
      <w:r w:rsidRPr="00C55A53">
        <w:rPr>
          <w:vertAlign w:val="superscript"/>
        </w:rPr>
        <w:t>th</w:t>
      </w:r>
      <w:r>
        <w:t xml:space="preserve"> </w:t>
      </w:r>
      <w:r>
        <w:rPr>
          <w:rFonts w:cs="Times New Roman"/>
        </w:rPr>
        <w:t>¶</w:t>
      </w:r>
      <w:r>
        <w:t xml:space="preserve"> under “Corporate Structure”.</w:t>
      </w:r>
    </w:p>
  </w:footnote>
  <w:footnote w:id="47">
    <w:p w:rsidR="005079E7" w:rsidRDefault="005079E7" w:rsidP="00765BCE">
      <w:pPr>
        <w:pStyle w:val="FootnoteText"/>
      </w:pPr>
      <w:r>
        <w:rPr>
          <w:rStyle w:val="FootnoteReference"/>
        </w:rPr>
        <w:footnoteRef/>
      </w:r>
      <w:r>
        <w:t xml:space="preserve"> </w:t>
      </w:r>
      <w:r>
        <w:rPr>
          <w:i/>
        </w:rPr>
        <w:t xml:space="preserve">Supra, </w:t>
      </w:r>
      <w:r>
        <w:t xml:space="preserve">at 5, </w:t>
      </w:r>
      <w:r>
        <w:rPr>
          <w:rFonts w:cs="Times New Roman"/>
        </w:rPr>
        <w:t>¶</w:t>
      </w:r>
      <w:r>
        <w:t xml:space="preserve"> 1</w:t>
      </w:r>
      <w:r w:rsidR="00712F88">
        <w:t>0</w:t>
      </w:r>
      <w:r>
        <w:t xml:space="preserve">, quoting Exhibit 8:  Company’s Articles of Incorporation at 3, Article V, Section 3. </w:t>
      </w:r>
    </w:p>
  </w:footnote>
  <w:footnote w:id="48">
    <w:p w:rsidR="005079E7" w:rsidRDefault="005079E7">
      <w:pPr>
        <w:pStyle w:val="FootnoteText"/>
      </w:pPr>
      <w:r>
        <w:rPr>
          <w:rStyle w:val="FootnoteReference"/>
        </w:rPr>
        <w:footnoteRef/>
      </w:r>
      <w:r w:rsidRPr="00B51D9E">
        <w:rPr>
          <w:rFonts w:cs="Times New Roman"/>
          <w:szCs w:val="24"/>
        </w:rPr>
        <w:t xml:space="preserve"> </w:t>
      </w:r>
      <w:r>
        <w:rPr>
          <w:rFonts w:cs="Times New Roman"/>
          <w:szCs w:val="24"/>
        </w:rPr>
        <w:t>119 Class C shareholders/customers + 46 non-shareholder customers = 164 customers.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0250"/>
    <w:multiLevelType w:val="hybridMultilevel"/>
    <w:tmpl w:val="ADECA2E2"/>
    <w:lvl w:ilvl="0" w:tplc="1E981514">
      <w:start w:val="1"/>
      <w:numFmt w:val="decimal"/>
      <w:lvlText w:val="%1"/>
      <w:lvlJc w:val="left"/>
      <w:pPr>
        <w:ind w:left="36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B4A41"/>
    <w:multiLevelType w:val="hybridMultilevel"/>
    <w:tmpl w:val="C2141682"/>
    <w:lvl w:ilvl="0" w:tplc="FFB20BAA">
      <w:start w:val="1"/>
      <w:numFmt w:val="decimal"/>
      <w:lvlText w:val="%1"/>
      <w:lvlJc w:val="left"/>
      <w:pPr>
        <w:ind w:left="360" w:hanging="360"/>
      </w:pPr>
      <w:rPr>
        <w:rFonts w:ascii="Times New Roman" w:hAnsi="Times New Roman" w:hint="default"/>
        <w:b w:val="0"/>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543D03"/>
    <w:multiLevelType w:val="hybridMultilevel"/>
    <w:tmpl w:val="F284376E"/>
    <w:lvl w:ilvl="0" w:tplc="FFB20BAA">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602CB3"/>
    <w:multiLevelType w:val="hybridMultilevel"/>
    <w:tmpl w:val="28689E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88"/>
    <w:rsid w:val="000327D3"/>
    <w:rsid w:val="000357D4"/>
    <w:rsid w:val="00073A7B"/>
    <w:rsid w:val="00084C06"/>
    <w:rsid w:val="000F4B2B"/>
    <w:rsid w:val="00120267"/>
    <w:rsid w:val="001471FF"/>
    <w:rsid w:val="00195A0A"/>
    <w:rsid w:val="001A4F60"/>
    <w:rsid w:val="001C7BCD"/>
    <w:rsid w:val="00214B38"/>
    <w:rsid w:val="0022055E"/>
    <w:rsid w:val="00222BD3"/>
    <w:rsid w:val="00224BAC"/>
    <w:rsid w:val="00227E4C"/>
    <w:rsid w:val="002D4942"/>
    <w:rsid w:val="002D559E"/>
    <w:rsid w:val="00302C1F"/>
    <w:rsid w:val="003117FF"/>
    <w:rsid w:val="00313332"/>
    <w:rsid w:val="003172F7"/>
    <w:rsid w:val="00322F8E"/>
    <w:rsid w:val="00331DDE"/>
    <w:rsid w:val="00333409"/>
    <w:rsid w:val="00354D7F"/>
    <w:rsid w:val="00355333"/>
    <w:rsid w:val="00361F87"/>
    <w:rsid w:val="003836FA"/>
    <w:rsid w:val="004016C8"/>
    <w:rsid w:val="00411CE2"/>
    <w:rsid w:val="0041352C"/>
    <w:rsid w:val="0041605C"/>
    <w:rsid w:val="00432F03"/>
    <w:rsid w:val="00437E87"/>
    <w:rsid w:val="0044629A"/>
    <w:rsid w:val="00457824"/>
    <w:rsid w:val="00464CBA"/>
    <w:rsid w:val="00481F48"/>
    <w:rsid w:val="00486AA3"/>
    <w:rsid w:val="0049613B"/>
    <w:rsid w:val="00496E94"/>
    <w:rsid w:val="004A6288"/>
    <w:rsid w:val="004B7F9B"/>
    <w:rsid w:val="004C5B62"/>
    <w:rsid w:val="005079E7"/>
    <w:rsid w:val="00544911"/>
    <w:rsid w:val="0056365D"/>
    <w:rsid w:val="0056679D"/>
    <w:rsid w:val="005973FF"/>
    <w:rsid w:val="005B34D8"/>
    <w:rsid w:val="005C1C4D"/>
    <w:rsid w:val="005C2A61"/>
    <w:rsid w:val="005D4ACF"/>
    <w:rsid w:val="005F4BE2"/>
    <w:rsid w:val="00620D41"/>
    <w:rsid w:val="00643668"/>
    <w:rsid w:val="006461E3"/>
    <w:rsid w:val="00665124"/>
    <w:rsid w:val="00676F77"/>
    <w:rsid w:val="0068648E"/>
    <w:rsid w:val="006A3A59"/>
    <w:rsid w:val="006D0EFB"/>
    <w:rsid w:val="006D5CA2"/>
    <w:rsid w:val="00712F88"/>
    <w:rsid w:val="00724B29"/>
    <w:rsid w:val="00725FDB"/>
    <w:rsid w:val="00746E46"/>
    <w:rsid w:val="00753FD6"/>
    <w:rsid w:val="00756D63"/>
    <w:rsid w:val="00765BCE"/>
    <w:rsid w:val="007C5C21"/>
    <w:rsid w:val="007D0DEA"/>
    <w:rsid w:val="007E3F95"/>
    <w:rsid w:val="008226B8"/>
    <w:rsid w:val="0082766E"/>
    <w:rsid w:val="00842EB3"/>
    <w:rsid w:val="00843D70"/>
    <w:rsid w:val="008513EE"/>
    <w:rsid w:val="0087208E"/>
    <w:rsid w:val="0088460C"/>
    <w:rsid w:val="00891924"/>
    <w:rsid w:val="008C3779"/>
    <w:rsid w:val="008D4AD0"/>
    <w:rsid w:val="008F3CC5"/>
    <w:rsid w:val="008F716E"/>
    <w:rsid w:val="00907A66"/>
    <w:rsid w:val="009216B3"/>
    <w:rsid w:val="00925B83"/>
    <w:rsid w:val="00940FCF"/>
    <w:rsid w:val="009537C0"/>
    <w:rsid w:val="00954E75"/>
    <w:rsid w:val="00985D25"/>
    <w:rsid w:val="009912B5"/>
    <w:rsid w:val="0099374D"/>
    <w:rsid w:val="00996F42"/>
    <w:rsid w:val="009A01D9"/>
    <w:rsid w:val="009B14EA"/>
    <w:rsid w:val="00A01CCE"/>
    <w:rsid w:val="00A20484"/>
    <w:rsid w:val="00A26B01"/>
    <w:rsid w:val="00A40B79"/>
    <w:rsid w:val="00A658F8"/>
    <w:rsid w:val="00A8043A"/>
    <w:rsid w:val="00A8620C"/>
    <w:rsid w:val="00AC5622"/>
    <w:rsid w:val="00AC68F7"/>
    <w:rsid w:val="00AF3A39"/>
    <w:rsid w:val="00AF5361"/>
    <w:rsid w:val="00B022AE"/>
    <w:rsid w:val="00B03109"/>
    <w:rsid w:val="00B228E8"/>
    <w:rsid w:val="00B42B74"/>
    <w:rsid w:val="00B50691"/>
    <w:rsid w:val="00B51D9E"/>
    <w:rsid w:val="00B70228"/>
    <w:rsid w:val="00B72792"/>
    <w:rsid w:val="00B74343"/>
    <w:rsid w:val="00B76773"/>
    <w:rsid w:val="00B77825"/>
    <w:rsid w:val="00B82240"/>
    <w:rsid w:val="00B907FD"/>
    <w:rsid w:val="00B94FC1"/>
    <w:rsid w:val="00BA4083"/>
    <w:rsid w:val="00BC669F"/>
    <w:rsid w:val="00BD4FF0"/>
    <w:rsid w:val="00BE0E5C"/>
    <w:rsid w:val="00BE264A"/>
    <w:rsid w:val="00BE39A0"/>
    <w:rsid w:val="00BE5A46"/>
    <w:rsid w:val="00BF3103"/>
    <w:rsid w:val="00C25DB9"/>
    <w:rsid w:val="00C270E0"/>
    <w:rsid w:val="00C44A61"/>
    <w:rsid w:val="00C55A53"/>
    <w:rsid w:val="00C6270C"/>
    <w:rsid w:val="00CB250B"/>
    <w:rsid w:val="00CC0A94"/>
    <w:rsid w:val="00CC771A"/>
    <w:rsid w:val="00CD49F3"/>
    <w:rsid w:val="00CF2B76"/>
    <w:rsid w:val="00D026DF"/>
    <w:rsid w:val="00D32E3D"/>
    <w:rsid w:val="00D362F5"/>
    <w:rsid w:val="00D36C7B"/>
    <w:rsid w:val="00D808C5"/>
    <w:rsid w:val="00DA12FB"/>
    <w:rsid w:val="00DA7BD9"/>
    <w:rsid w:val="00DC10EA"/>
    <w:rsid w:val="00DC2C9F"/>
    <w:rsid w:val="00DC3E85"/>
    <w:rsid w:val="00DF0D1C"/>
    <w:rsid w:val="00DF3117"/>
    <w:rsid w:val="00E03A8D"/>
    <w:rsid w:val="00E25DB4"/>
    <w:rsid w:val="00E26FF2"/>
    <w:rsid w:val="00E35140"/>
    <w:rsid w:val="00E45719"/>
    <w:rsid w:val="00EA0B19"/>
    <w:rsid w:val="00EB5D49"/>
    <w:rsid w:val="00EC1E96"/>
    <w:rsid w:val="00EC1FD3"/>
    <w:rsid w:val="00ED347E"/>
    <w:rsid w:val="00EE14E0"/>
    <w:rsid w:val="00EE1C0F"/>
    <w:rsid w:val="00EE24F9"/>
    <w:rsid w:val="00EF1E91"/>
    <w:rsid w:val="00EF22E2"/>
    <w:rsid w:val="00F24067"/>
    <w:rsid w:val="00F43A77"/>
    <w:rsid w:val="00F5714A"/>
    <w:rsid w:val="00F57700"/>
    <w:rsid w:val="00F961C8"/>
    <w:rsid w:val="00FA1702"/>
    <w:rsid w:val="00FA32A7"/>
    <w:rsid w:val="00FA374D"/>
    <w:rsid w:val="00FA6B37"/>
    <w:rsid w:val="00FB46AE"/>
    <w:rsid w:val="00FC20C5"/>
    <w:rsid w:val="00FD25E0"/>
    <w:rsid w:val="00FE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6288"/>
    <w:rPr>
      <w:sz w:val="20"/>
      <w:szCs w:val="20"/>
    </w:rPr>
  </w:style>
  <w:style w:type="character" w:customStyle="1" w:styleId="FootnoteTextChar">
    <w:name w:val="Footnote Text Char"/>
    <w:basedOn w:val="DefaultParagraphFont"/>
    <w:link w:val="FootnoteText"/>
    <w:uiPriority w:val="99"/>
    <w:semiHidden/>
    <w:rsid w:val="004A6288"/>
    <w:rPr>
      <w:sz w:val="20"/>
      <w:szCs w:val="20"/>
    </w:rPr>
  </w:style>
  <w:style w:type="character" w:styleId="FootnoteReference">
    <w:name w:val="footnote reference"/>
    <w:basedOn w:val="DefaultParagraphFont"/>
    <w:uiPriority w:val="99"/>
    <w:semiHidden/>
    <w:unhideWhenUsed/>
    <w:rsid w:val="004A6288"/>
    <w:rPr>
      <w:vertAlign w:val="superscript"/>
    </w:rPr>
  </w:style>
  <w:style w:type="paragraph" w:styleId="BodyTextIndent2">
    <w:name w:val="Body Text Indent 2"/>
    <w:basedOn w:val="Normal"/>
    <w:link w:val="BodyTextIndent2Char"/>
    <w:rsid w:val="00A8043A"/>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A8043A"/>
    <w:rPr>
      <w:rFonts w:ascii="Palatino Linotype" w:eastAsia="Times New Roman" w:hAnsi="Palatino Linotype" w:cs="Times New Roman"/>
      <w:szCs w:val="24"/>
    </w:rPr>
  </w:style>
  <w:style w:type="paragraph" w:styleId="Header">
    <w:name w:val="header"/>
    <w:basedOn w:val="Normal"/>
    <w:link w:val="HeaderChar"/>
    <w:rsid w:val="00A8043A"/>
    <w:pPr>
      <w:tabs>
        <w:tab w:val="center" w:pos="4320"/>
        <w:tab w:val="right" w:pos="8640"/>
      </w:tabs>
    </w:pPr>
    <w:rPr>
      <w:rFonts w:ascii="Palatino Linotype" w:eastAsia="Times New Roman" w:hAnsi="Palatino Linotype" w:cs="Times New Roman"/>
      <w:szCs w:val="24"/>
    </w:rPr>
  </w:style>
  <w:style w:type="character" w:customStyle="1" w:styleId="HeaderChar">
    <w:name w:val="Header Char"/>
    <w:basedOn w:val="DefaultParagraphFont"/>
    <w:link w:val="Header"/>
    <w:rsid w:val="00A8043A"/>
    <w:rPr>
      <w:rFonts w:ascii="Palatino Linotype" w:eastAsia="Times New Roman" w:hAnsi="Palatino Linotype" w:cs="Times New Roman"/>
      <w:szCs w:val="24"/>
    </w:rPr>
  </w:style>
  <w:style w:type="paragraph" w:styleId="ListParagraph">
    <w:name w:val="List Paragraph"/>
    <w:basedOn w:val="Normal"/>
    <w:uiPriority w:val="34"/>
    <w:qFormat/>
    <w:rsid w:val="00A8043A"/>
    <w:pPr>
      <w:ind w:left="720"/>
      <w:contextualSpacing/>
    </w:pPr>
  </w:style>
  <w:style w:type="paragraph" w:styleId="Footer">
    <w:name w:val="footer"/>
    <w:basedOn w:val="Normal"/>
    <w:link w:val="FooterChar"/>
    <w:uiPriority w:val="99"/>
    <w:unhideWhenUsed/>
    <w:rsid w:val="00C25DB9"/>
    <w:pPr>
      <w:tabs>
        <w:tab w:val="center" w:pos="4680"/>
        <w:tab w:val="right" w:pos="9360"/>
      </w:tabs>
    </w:pPr>
  </w:style>
  <w:style w:type="character" w:customStyle="1" w:styleId="FooterChar">
    <w:name w:val="Footer Char"/>
    <w:basedOn w:val="DefaultParagraphFont"/>
    <w:link w:val="Footer"/>
    <w:uiPriority w:val="99"/>
    <w:rsid w:val="00C25DB9"/>
  </w:style>
  <w:style w:type="character" w:styleId="CommentReference">
    <w:name w:val="annotation reference"/>
    <w:basedOn w:val="DefaultParagraphFont"/>
    <w:uiPriority w:val="99"/>
    <w:semiHidden/>
    <w:unhideWhenUsed/>
    <w:rsid w:val="00665124"/>
    <w:rPr>
      <w:sz w:val="16"/>
      <w:szCs w:val="16"/>
    </w:rPr>
  </w:style>
  <w:style w:type="paragraph" w:styleId="CommentText">
    <w:name w:val="annotation text"/>
    <w:basedOn w:val="Normal"/>
    <w:link w:val="CommentTextChar"/>
    <w:uiPriority w:val="99"/>
    <w:semiHidden/>
    <w:unhideWhenUsed/>
    <w:rsid w:val="00665124"/>
    <w:rPr>
      <w:sz w:val="20"/>
      <w:szCs w:val="20"/>
    </w:rPr>
  </w:style>
  <w:style w:type="character" w:customStyle="1" w:styleId="CommentTextChar">
    <w:name w:val="Comment Text Char"/>
    <w:basedOn w:val="DefaultParagraphFont"/>
    <w:link w:val="CommentText"/>
    <w:uiPriority w:val="99"/>
    <w:semiHidden/>
    <w:rsid w:val="00665124"/>
    <w:rPr>
      <w:sz w:val="20"/>
      <w:szCs w:val="20"/>
    </w:rPr>
  </w:style>
  <w:style w:type="paragraph" w:styleId="CommentSubject">
    <w:name w:val="annotation subject"/>
    <w:basedOn w:val="CommentText"/>
    <w:next w:val="CommentText"/>
    <w:link w:val="CommentSubjectChar"/>
    <w:uiPriority w:val="99"/>
    <w:semiHidden/>
    <w:unhideWhenUsed/>
    <w:rsid w:val="00665124"/>
    <w:rPr>
      <w:b/>
      <w:bCs/>
    </w:rPr>
  </w:style>
  <w:style w:type="character" w:customStyle="1" w:styleId="CommentSubjectChar">
    <w:name w:val="Comment Subject Char"/>
    <w:basedOn w:val="CommentTextChar"/>
    <w:link w:val="CommentSubject"/>
    <w:uiPriority w:val="99"/>
    <w:semiHidden/>
    <w:rsid w:val="00665124"/>
    <w:rPr>
      <w:b/>
      <w:bCs/>
      <w:sz w:val="20"/>
      <w:szCs w:val="20"/>
    </w:rPr>
  </w:style>
  <w:style w:type="paragraph" w:styleId="BalloonText">
    <w:name w:val="Balloon Text"/>
    <w:basedOn w:val="Normal"/>
    <w:link w:val="BalloonTextChar"/>
    <w:uiPriority w:val="99"/>
    <w:semiHidden/>
    <w:unhideWhenUsed/>
    <w:rsid w:val="00665124"/>
    <w:rPr>
      <w:rFonts w:ascii="Tahoma" w:hAnsi="Tahoma" w:cs="Tahoma"/>
      <w:sz w:val="16"/>
      <w:szCs w:val="16"/>
    </w:rPr>
  </w:style>
  <w:style w:type="character" w:customStyle="1" w:styleId="BalloonTextChar">
    <w:name w:val="Balloon Text Char"/>
    <w:basedOn w:val="DefaultParagraphFont"/>
    <w:link w:val="BalloonText"/>
    <w:uiPriority w:val="99"/>
    <w:semiHidden/>
    <w:rsid w:val="00665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6288"/>
    <w:rPr>
      <w:sz w:val="20"/>
      <w:szCs w:val="20"/>
    </w:rPr>
  </w:style>
  <w:style w:type="character" w:customStyle="1" w:styleId="FootnoteTextChar">
    <w:name w:val="Footnote Text Char"/>
    <w:basedOn w:val="DefaultParagraphFont"/>
    <w:link w:val="FootnoteText"/>
    <w:uiPriority w:val="99"/>
    <w:semiHidden/>
    <w:rsid w:val="004A6288"/>
    <w:rPr>
      <w:sz w:val="20"/>
      <w:szCs w:val="20"/>
    </w:rPr>
  </w:style>
  <w:style w:type="character" w:styleId="FootnoteReference">
    <w:name w:val="footnote reference"/>
    <w:basedOn w:val="DefaultParagraphFont"/>
    <w:uiPriority w:val="99"/>
    <w:semiHidden/>
    <w:unhideWhenUsed/>
    <w:rsid w:val="004A6288"/>
    <w:rPr>
      <w:vertAlign w:val="superscript"/>
    </w:rPr>
  </w:style>
  <w:style w:type="paragraph" w:styleId="BodyTextIndent2">
    <w:name w:val="Body Text Indent 2"/>
    <w:basedOn w:val="Normal"/>
    <w:link w:val="BodyTextIndent2Char"/>
    <w:rsid w:val="00A8043A"/>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A8043A"/>
    <w:rPr>
      <w:rFonts w:ascii="Palatino Linotype" w:eastAsia="Times New Roman" w:hAnsi="Palatino Linotype" w:cs="Times New Roman"/>
      <w:szCs w:val="24"/>
    </w:rPr>
  </w:style>
  <w:style w:type="paragraph" w:styleId="Header">
    <w:name w:val="header"/>
    <w:basedOn w:val="Normal"/>
    <w:link w:val="HeaderChar"/>
    <w:rsid w:val="00A8043A"/>
    <w:pPr>
      <w:tabs>
        <w:tab w:val="center" w:pos="4320"/>
        <w:tab w:val="right" w:pos="8640"/>
      </w:tabs>
    </w:pPr>
    <w:rPr>
      <w:rFonts w:ascii="Palatino Linotype" w:eastAsia="Times New Roman" w:hAnsi="Palatino Linotype" w:cs="Times New Roman"/>
      <w:szCs w:val="24"/>
    </w:rPr>
  </w:style>
  <w:style w:type="character" w:customStyle="1" w:styleId="HeaderChar">
    <w:name w:val="Header Char"/>
    <w:basedOn w:val="DefaultParagraphFont"/>
    <w:link w:val="Header"/>
    <w:rsid w:val="00A8043A"/>
    <w:rPr>
      <w:rFonts w:ascii="Palatino Linotype" w:eastAsia="Times New Roman" w:hAnsi="Palatino Linotype" w:cs="Times New Roman"/>
      <w:szCs w:val="24"/>
    </w:rPr>
  </w:style>
  <w:style w:type="paragraph" w:styleId="ListParagraph">
    <w:name w:val="List Paragraph"/>
    <w:basedOn w:val="Normal"/>
    <w:uiPriority w:val="34"/>
    <w:qFormat/>
    <w:rsid w:val="00A8043A"/>
    <w:pPr>
      <w:ind w:left="720"/>
      <w:contextualSpacing/>
    </w:pPr>
  </w:style>
  <w:style w:type="paragraph" w:styleId="Footer">
    <w:name w:val="footer"/>
    <w:basedOn w:val="Normal"/>
    <w:link w:val="FooterChar"/>
    <w:uiPriority w:val="99"/>
    <w:unhideWhenUsed/>
    <w:rsid w:val="00C25DB9"/>
    <w:pPr>
      <w:tabs>
        <w:tab w:val="center" w:pos="4680"/>
        <w:tab w:val="right" w:pos="9360"/>
      </w:tabs>
    </w:pPr>
  </w:style>
  <w:style w:type="character" w:customStyle="1" w:styleId="FooterChar">
    <w:name w:val="Footer Char"/>
    <w:basedOn w:val="DefaultParagraphFont"/>
    <w:link w:val="Footer"/>
    <w:uiPriority w:val="99"/>
    <w:rsid w:val="00C25DB9"/>
  </w:style>
  <w:style w:type="character" w:styleId="CommentReference">
    <w:name w:val="annotation reference"/>
    <w:basedOn w:val="DefaultParagraphFont"/>
    <w:uiPriority w:val="99"/>
    <w:semiHidden/>
    <w:unhideWhenUsed/>
    <w:rsid w:val="00665124"/>
    <w:rPr>
      <w:sz w:val="16"/>
      <w:szCs w:val="16"/>
    </w:rPr>
  </w:style>
  <w:style w:type="paragraph" w:styleId="CommentText">
    <w:name w:val="annotation text"/>
    <w:basedOn w:val="Normal"/>
    <w:link w:val="CommentTextChar"/>
    <w:uiPriority w:val="99"/>
    <w:semiHidden/>
    <w:unhideWhenUsed/>
    <w:rsid w:val="00665124"/>
    <w:rPr>
      <w:sz w:val="20"/>
      <w:szCs w:val="20"/>
    </w:rPr>
  </w:style>
  <w:style w:type="character" w:customStyle="1" w:styleId="CommentTextChar">
    <w:name w:val="Comment Text Char"/>
    <w:basedOn w:val="DefaultParagraphFont"/>
    <w:link w:val="CommentText"/>
    <w:uiPriority w:val="99"/>
    <w:semiHidden/>
    <w:rsid w:val="00665124"/>
    <w:rPr>
      <w:sz w:val="20"/>
      <w:szCs w:val="20"/>
    </w:rPr>
  </w:style>
  <w:style w:type="paragraph" w:styleId="CommentSubject">
    <w:name w:val="annotation subject"/>
    <w:basedOn w:val="CommentText"/>
    <w:next w:val="CommentText"/>
    <w:link w:val="CommentSubjectChar"/>
    <w:uiPriority w:val="99"/>
    <w:semiHidden/>
    <w:unhideWhenUsed/>
    <w:rsid w:val="00665124"/>
    <w:rPr>
      <w:b/>
      <w:bCs/>
    </w:rPr>
  </w:style>
  <w:style w:type="character" w:customStyle="1" w:styleId="CommentSubjectChar">
    <w:name w:val="Comment Subject Char"/>
    <w:basedOn w:val="CommentTextChar"/>
    <w:link w:val="CommentSubject"/>
    <w:uiPriority w:val="99"/>
    <w:semiHidden/>
    <w:rsid w:val="00665124"/>
    <w:rPr>
      <w:b/>
      <w:bCs/>
      <w:sz w:val="20"/>
      <w:szCs w:val="20"/>
    </w:rPr>
  </w:style>
  <w:style w:type="paragraph" w:styleId="BalloonText">
    <w:name w:val="Balloon Text"/>
    <w:basedOn w:val="Normal"/>
    <w:link w:val="BalloonTextChar"/>
    <w:uiPriority w:val="99"/>
    <w:semiHidden/>
    <w:unhideWhenUsed/>
    <w:rsid w:val="00665124"/>
    <w:rPr>
      <w:rFonts w:ascii="Tahoma" w:hAnsi="Tahoma" w:cs="Tahoma"/>
      <w:sz w:val="16"/>
      <w:szCs w:val="16"/>
    </w:rPr>
  </w:style>
  <w:style w:type="character" w:customStyle="1" w:styleId="BalloonTextChar">
    <w:name w:val="Balloon Text Char"/>
    <w:basedOn w:val="DefaultParagraphFont"/>
    <w:link w:val="BalloonText"/>
    <w:uiPriority w:val="99"/>
    <w:semiHidden/>
    <w:rsid w:val="00665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77078EBEA22A4783D04DECA4775E3A" ma:contentTypeVersion="139" ma:contentTypeDescription="" ma:contentTypeScope="" ma:versionID="1d9a8c01d8d13f56086b67bd9aec7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Motion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2012-08-28T07:00:00+00:00</OpenedDate>
    <Date1 xmlns="dc463f71-b30c-4ab2-9473-d307f9d35888">2013-05-06T07:00:00+00:00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121408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1367F0F-DF4B-4812-BE3D-28F52231E8B8}"/>
</file>

<file path=customXml/itemProps2.xml><?xml version="1.0" encoding="utf-8"?>
<ds:datastoreItem xmlns:ds="http://schemas.openxmlformats.org/officeDocument/2006/customXml" ds:itemID="{D46EECD8-549E-41F5-AAD4-AD5C4B7AFC49}"/>
</file>

<file path=customXml/itemProps3.xml><?xml version="1.0" encoding="utf-8"?>
<ds:datastoreItem xmlns:ds="http://schemas.openxmlformats.org/officeDocument/2006/customXml" ds:itemID="{3C8FE122-99F6-4A2F-AE2C-2473033025E7}"/>
</file>

<file path=customXml/itemProps4.xml><?xml version="1.0" encoding="utf-8"?>
<ds:datastoreItem xmlns:ds="http://schemas.openxmlformats.org/officeDocument/2006/customXml" ds:itemID="{B50EB8F4-8AAF-4C71-A412-CCE17F2C1CCC}"/>
</file>

<file path=customXml/itemProps5.xml><?xml version="1.0" encoding="utf-8"?>
<ds:datastoreItem xmlns:ds="http://schemas.openxmlformats.org/officeDocument/2006/customXml" ds:itemID="{49E0C5B3-8134-4A5F-9A66-47A1548322CA}"/>
</file>

<file path=docProps/app.xml><?xml version="1.0" encoding="utf-8"?>
<Properties xmlns="http://schemas.openxmlformats.org/officeDocument/2006/extended-properties" xmlns:vt="http://schemas.openxmlformats.org/officeDocument/2006/docPropsVTypes">
  <Template>Normal.dotm</Template>
  <TotalTime>11</TotalTime>
  <Pages>17</Pages>
  <Words>3684</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Trotter</dc:creator>
  <cp:lastModifiedBy>Krista Gross</cp:lastModifiedBy>
  <cp:revision>7</cp:revision>
  <cp:lastPrinted>2013-05-03T00:57:00Z</cp:lastPrinted>
  <dcterms:created xsi:type="dcterms:W3CDTF">2013-05-03T18:47:00Z</dcterms:created>
  <dcterms:modified xsi:type="dcterms:W3CDTF">2013-05-06T17:17:00Z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0x0101006E56B4D1795A2E4DB2F0B01679ED314A00EE77078EBEA22A4783D04DECA4775E3A</vt:lpwstr>
  </property>
  <property fmtid="{D5CDD505-2E9C-101B-9397-08002B2CF9AE}" pid="3" name="_docset_NoMedatataSyncRequired">
    <vt:lpwstr>False</vt:lpwstr>
  </property>
</Properties>
</file>