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p w14:paraId="1CB0D9BF" w14:textId="77777777" w:rsidR="001B01B4" w:rsidRPr="00B140E5" w:rsidRDefault="000F68B2" w:rsidP="001B01B4">
      <w:pPr>
        <w:rPr>
          <w:sz w:val="20"/>
        </w:rPr>
      </w:pPr>
      <w:r>
        <w:rPr>
          <w:noProof/>
          <w:sz w:val="20"/>
        </w:rPr>
        <mc:AlternateContent>
          <mc:Choice Requires="wps">
            <w:drawing>
              <wp:anchor distT="0" distB="0" distL="114300" distR="114300" simplePos="0" relativeHeight="251656704" behindDoc="0" locked="0" layoutInCell="1" allowOverlap="1" wp14:anchorId="0F1F7965" wp14:editId="4580DE0D">
                <wp:simplePos x="0" y="0"/>
                <wp:positionH relativeFrom="column">
                  <wp:posOffset>-2234565</wp:posOffset>
                </wp:positionH>
                <wp:positionV relativeFrom="paragraph">
                  <wp:posOffset>-820420</wp:posOffset>
                </wp:positionV>
                <wp:extent cx="2057400" cy="100584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058400"/>
                        </a:xfrm>
                        <a:prstGeom prst="rect">
                          <a:avLst/>
                        </a:prstGeom>
                        <a:solidFill>
                          <a:srgbClr val="F7F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751B9" w14:textId="77777777" w:rsidR="00543B97" w:rsidRDefault="00543B97"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30F71B52" w14:textId="77777777" w:rsidR="00543B97" w:rsidRDefault="00543B97"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2DFEEF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33DF028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0D6FA5A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0F3266D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B9EF21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3BB901A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4380C26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3DAEAA62"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70CB379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3F2041FF"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539098A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6D3CD6F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520ED60F"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E36D6B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38D7049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2BD7E8D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150CBE6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24F21D2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77558542"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26E62D3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6762452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40044B7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7FCF69E4" w14:textId="77777777" w:rsidR="00543B97"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531E5E5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4F161C0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E3E0C04" w14:textId="77777777" w:rsidR="00543B97"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D5FB64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6BE02D1C"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122F8648" w14:textId="77777777" w:rsidR="00543B97"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443F3C6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48FD9A8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41F109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76CBD32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04718E9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1378DD1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1EC6ED8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5093785C"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447D483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154894A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C7B1A9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39B6EEF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39FB303C"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74763CD8"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77091C82"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39792C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58E59C6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BADEE4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5A9B62A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16255FF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32DE52E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161F4428"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48867D0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6A76A4B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64991AE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0A8F7E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4D3AAA9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5EB01922"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4C10DDC"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1D3D88F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5CBC2F9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3A7B899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305AC48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2532DC0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2B3059C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78F1019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50D6863F"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50E905E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1694B27C"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618FF5A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6AD08AE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5D6E457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6A6CD0C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6B936D7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11DB470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24406E1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56CC8268"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7EB3BB0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019EC6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0D90148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6B6F327D"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23F0C3E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669803F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70DD7B37" w14:textId="77777777" w:rsidR="00543B97"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7BCCCE4F"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7B13AB1A"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3C97EEC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2BAFCBD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122AD90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10D3F187"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2DE58CAE" w14:textId="77777777" w:rsidR="00543B97"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5A52B15F"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16B724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020B4BA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66150C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E64D4B6"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5D41229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6D925FE"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73935604"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657C20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1FBA5F3B"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4BE41D32"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940DAF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181BDF8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005A728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28E80833"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688F42A0"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5AFBE1E5"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C15EC01"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0BA5B9" w14:textId="77777777" w:rsidR="00543B97" w:rsidRPr="00412EDA" w:rsidRDefault="00543B97"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19E18F5D" w14:textId="77777777" w:rsidR="00543B97" w:rsidRPr="00412EDA" w:rsidRDefault="00543B97"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7D459E80" w14:textId="77777777" w:rsidR="00543B97" w:rsidRPr="002C6B3F" w:rsidRDefault="00543B97" w:rsidP="002C6B3F">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9pt;margin-top:-64.55pt;width:162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" fillcolor="#f7f4b5" stroked="f">
                <v:textbox inset="14.4pt">
                  <w:txbxContent>
                    <w:p w14:paraId="5FA751B9" w14:textId="77777777" w:rsidR="001D2EAD" w:rsidRDefault="001D2EAD"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30F71B52" w14:textId="77777777" w:rsidR="001D2EAD" w:rsidRDefault="001D2EAD"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2DFEEF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33DF028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0D6FA5A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0F3266D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B9EF21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3BB901A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4380C26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3DAEAA62"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70CB379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3F2041FF"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539098A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6D3CD6F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520ED60F"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E36D6B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38D7049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2BD7E8D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150CBE6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24F21D2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77558542"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26E62D3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6762452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40044B7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7FCF69E4" w14:textId="77777777" w:rsidR="001D2EAD"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531E5E5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4F161C0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E3E0C04" w14:textId="77777777" w:rsidR="001D2EAD"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D5FB64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6BE02D1C"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122F8648" w14:textId="77777777" w:rsidR="001D2EAD"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443F3C6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48FD9A8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41F109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76CBD32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04718E9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1378DD1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1EC6ED8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5093785C"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447D483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154894A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C7B1A9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39B6EEF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39FB303C"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74763CD8"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77091C82"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39792C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58E59C6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BADEE4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5A9B62A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16255FF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32DE52E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161F4428"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48867D0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6A76A4B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64991AE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0A8F7E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4D3AAA9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5EB01922"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4C10DDC"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1D3D88F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5CBC2F9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3A7B899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305AC48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2532DC0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2B3059C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78F1019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50D6863F"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50E905E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1694B27C"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618FF5A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6AD08AE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5D6E457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6A6CD0C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6B936D7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11DB470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24406E1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56CC8268"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7EB3BB0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019EC6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0D90148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6B6F327D"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23F0C3E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669803F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70DD7B37" w14:textId="77777777" w:rsidR="001D2EAD"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7BCCCE4F"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7B13AB1A"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3C97EEC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2BAFCBD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122AD90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10D3F187"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2DE58CAE" w14:textId="77777777" w:rsidR="001D2EAD"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5A52B15F"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16B724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020B4BA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66150C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E64D4B6"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5D41229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6D925FE"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73935604"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657C20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1FBA5F3B"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4BE41D32"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940DAF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181BDF8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005A728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28E80833"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688F42A0"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5AFBE1E5"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C15EC01"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0BA5B9" w14:textId="77777777" w:rsidR="001D2EAD" w:rsidRPr="00412EDA" w:rsidRDefault="001D2EAD"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19E18F5D" w14:textId="77777777" w:rsidR="001D2EAD" w:rsidRPr="00412EDA" w:rsidRDefault="001D2EAD"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7D459E80" w14:textId="77777777" w:rsidR="001D2EAD" w:rsidRPr="002C6B3F" w:rsidRDefault="001D2EAD" w:rsidP="002C6B3F">
                      <w:pPr>
                        <w:tabs>
                          <w:tab w:val="left" w:pos="90"/>
                        </w:tabs>
                        <w:spacing w:after="15"/>
                        <w:rPr>
                          <w:rFonts w:ascii="Arial" w:hAnsi="Arial" w:cs="Arial"/>
                          <w:sz w:val="11"/>
                          <w:szCs w:val="11"/>
                        </w:rPr>
                      </w:pPr>
                    </w:p>
                  </w:txbxContent>
                </v:textbox>
              </v:shape>
            </w:pict>
          </mc:Fallback>
        </mc:AlternateContent>
      </w:r>
      <w:r>
        <w:rPr>
          <w:noProof/>
        </w:rPr>
        <w:drawing>
          <wp:anchor distT="0" distB="0" distL="114300" distR="114300" simplePos="0" relativeHeight="251657728" behindDoc="0" locked="0" layoutInCell="1" allowOverlap="1" wp14:anchorId="7BD361B3" wp14:editId="77580D14">
            <wp:simplePos x="0" y="0"/>
            <wp:positionH relativeFrom="column">
              <wp:posOffset>1263015</wp:posOffset>
            </wp:positionH>
            <wp:positionV relativeFrom="paragraph">
              <wp:posOffset>-477520</wp:posOffset>
            </wp:positionV>
            <wp:extent cx="2057400" cy="942975"/>
            <wp:effectExtent l="0" t="0" r="0" b="0"/>
            <wp:wrapNone/>
            <wp:docPr id="3" name="Picture 3" descr="nw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e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3E1E" w14:textId="77777777" w:rsidR="001B01B4" w:rsidRPr="00ED40F8" w:rsidRDefault="001B01B4" w:rsidP="001B01B4">
      <w:pPr>
        <w:rPr>
          <w:rFonts w:ascii="Times New Roman" w:hAnsi="Times New Roman"/>
        </w:rPr>
      </w:pPr>
    </w:p>
    <w:p w14:paraId="1CC1D48D" w14:textId="77777777" w:rsidR="001B01B4" w:rsidRPr="00ED40F8" w:rsidRDefault="001B01B4" w:rsidP="001B01B4">
      <w:pPr>
        <w:rPr>
          <w:rFonts w:ascii="Times New Roman" w:hAnsi="Times New Roman"/>
        </w:rPr>
      </w:pPr>
    </w:p>
    <w:p w14:paraId="5303DBEB" w14:textId="77777777" w:rsidR="001B01B4" w:rsidRPr="00ED40F8" w:rsidRDefault="001B01B4" w:rsidP="001B01B4">
      <w:pPr>
        <w:rPr>
          <w:rFonts w:ascii="Times New Roman" w:hAnsi="Times New Roman"/>
        </w:rPr>
      </w:pPr>
    </w:p>
    <w:p w14:paraId="5618B723" w14:textId="77777777" w:rsidR="001B01B4" w:rsidRPr="00ED40F8" w:rsidRDefault="001B01B4" w:rsidP="001B01B4">
      <w:pPr>
        <w:rPr>
          <w:rFonts w:ascii="Times New Roman" w:hAnsi="Times New Roman"/>
        </w:rPr>
      </w:pPr>
    </w:p>
    <w:p w14:paraId="0D36A1B8" w14:textId="64D7C455" w:rsidR="001B01B4" w:rsidRPr="00ED40F8" w:rsidRDefault="002A31B9" w:rsidP="001B01B4">
      <w:pPr>
        <w:rPr>
          <w:rFonts w:ascii="Times New Roman" w:hAnsi="Times New Roman"/>
        </w:rPr>
      </w:pPr>
      <w:r>
        <w:rPr>
          <w:rFonts w:ascii="Times New Roman" w:hAnsi="Times New Roman"/>
        </w:rPr>
        <w:t xml:space="preserve">April </w:t>
      </w:r>
      <w:r w:rsidR="00671770">
        <w:rPr>
          <w:rFonts w:ascii="Times New Roman" w:hAnsi="Times New Roman"/>
        </w:rPr>
        <w:t>8</w:t>
      </w:r>
      <w:r w:rsidR="00AC5991">
        <w:rPr>
          <w:rFonts w:ascii="Times New Roman" w:hAnsi="Times New Roman"/>
        </w:rPr>
        <w:t>, 2013</w:t>
      </w:r>
    </w:p>
    <w:p w14:paraId="03E6C7D2" w14:textId="77777777" w:rsidR="001B01B4" w:rsidRPr="00ED40F8" w:rsidRDefault="001B01B4" w:rsidP="001B01B4">
      <w:pPr>
        <w:rPr>
          <w:rFonts w:ascii="Times New Roman" w:hAnsi="Times New Roman"/>
        </w:rPr>
      </w:pPr>
    </w:p>
    <w:p w14:paraId="478C6AB4" w14:textId="77777777" w:rsidR="001B01B4" w:rsidRPr="00ED40F8" w:rsidRDefault="001B01B4" w:rsidP="001B01B4">
      <w:pPr>
        <w:rPr>
          <w:rFonts w:ascii="Times New Roman" w:hAnsi="Times New Roman"/>
        </w:rPr>
      </w:pPr>
    </w:p>
    <w:p w14:paraId="70E643B2" w14:textId="77777777" w:rsidR="001B01B4" w:rsidRPr="0006184B" w:rsidRDefault="002A31B9">
      <w:pPr>
        <w:rPr>
          <w:rFonts w:ascii="Times New Roman" w:hAnsi="Times New Roman"/>
        </w:rPr>
      </w:pPr>
      <w:r>
        <w:rPr>
          <w:rFonts w:ascii="Times New Roman" w:hAnsi="Times New Roman"/>
        </w:rPr>
        <w:t>Steven V. King</w:t>
      </w:r>
    </w:p>
    <w:p w14:paraId="4CBFE85E" w14:textId="77777777" w:rsidR="001B01B4" w:rsidRPr="0006184B" w:rsidRDefault="002A31B9">
      <w:pPr>
        <w:rPr>
          <w:rFonts w:ascii="Times New Roman" w:hAnsi="Times New Roman"/>
        </w:rPr>
      </w:pPr>
      <w:r>
        <w:rPr>
          <w:rFonts w:ascii="Times New Roman" w:hAnsi="Times New Roman"/>
        </w:rPr>
        <w:t>Acting Executive Director and Secretary</w:t>
      </w:r>
    </w:p>
    <w:p w14:paraId="79423CC8" w14:textId="77777777" w:rsidR="001B01B4" w:rsidRPr="0006184B" w:rsidRDefault="002A31B9" w:rsidP="001B01B4">
      <w:pPr>
        <w:rPr>
          <w:rFonts w:ascii="Times New Roman" w:hAnsi="Times New Roman"/>
          <w:color w:val="000000"/>
          <w:szCs w:val="24"/>
        </w:rPr>
      </w:pPr>
      <w:r>
        <w:rPr>
          <w:rFonts w:ascii="Times New Roman" w:hAnsi="Times New Roman"/>
          <w:color w:val="000000"/>
          <w:szCs w:val="24"/>
        </w:rPr>
        <w:t>Washington Utilities and Transportation Commission</w:t>
      </w:r>
    </w:p>
    <w:p w14:paraId="7D22AE4D" w14:textId="77777777" w:rsidR="001B01B4" w:rsidRDefault="002A31B9">
      <w:pPr>
        <w:rPr>
          <w:rFonts w:ascii="Times New Roman" w:hAnsi="Times New Roman"/>
          <w:color w:val="000000"/>
          <w:szCs w:val="24"/>
        </w:rPr>
      </w:pPr>
      <w:proofErr w:type="gramStart"/>
      <w:r>
        <w:rPr>
          <w:rFonts w:ascii="Times New Roman" w:hAnsi="Times New Roman"/>
          <w:color w:val="000000"/>
          <w:szCs w:val="24"/>
        </w:rPr>
        <w:t>1300 S. Evergreen Park Dr. S.W.</w:t>
      </w:r>
      <w:proofErr w:type="gramEnd"/>
    </w:p>
    <w:p w14:paraId="3685C4AC" w14:textId="77777777" w:rsidR="002A31B9" w:rsidRDefault="002A31B9">
      <w:pPr>
        <w:rPr>
          <w:rFonts w:ascii="Times New Roman" w:hAnsi="Times New Roman"/>
          <w:color w:val="000000"/>
          <w:szCs w:val="24"/>
        </w:rPr>
      </w:pPr>
      <w:r>
        <w:rPr>
          <w:rFonts w:ascii="Times New Roman" w:hAnsi="Times New Roman"/>
          <w:color w:val="000000"/>
          <w:szCs w:val="24"/>
        </w:rPr>
        <w:t>PO Box 47250</w:t>
      </w:r>
    </w:p>
    <w:p w14:paraId="44D6C856" w14:textId="77777777" w:rsidR="002A31B9" w:rsidRPr="0006184B" w:rsidRDefault="002A31B9">
      <w:pPr>
        <w:rPr>
          <w:rFonts w:ascii="Times New Roman" w:hAnsi="Times New Roman"/>
          <w:color w:val="000000"/>
          <w:szCs w:val="24"/>
        </w:rPr>
      </w:pPr>
      <w:r>
        <w:rPr>
          <w:rFonts w:ascii="Times New Roman" w:hAnsi="Times New Roman"/>
          <w:color w:val="000000"/>
          <w:szCs w:val="24"/>
        </w:rPr>
        <w:t>Olympia, WA 98504-7250</w:t>
      </w:r>
    </w:p>
    <w:p w14:paraId="7ED05A83" w14:textId="77777777" w:rsidR="001B01B4" w:rsidRDefault="001B01B4" w:rsidP="001B01B4">
      <w:pPr>
        <w:rPr>
          <w:rFonts w:ascii="Times New Roman" w:hAnsi="Times New Roman"/>
        </w:rPr>
      </w:pPr>
    </w:p>
    <w:p w14:paraId="1A2D5A8A" w14:textId="77777777" w:rsidR="002A31B9" w:rsidRPr="005B20C6" w:rsidRDefault="002A31B9" w:rsidP="002A31B9">
      <w:pPr>
        <w:jc w:val="center"/>
        <w:rPr>
          <w:rFonts w:ascii="Times New Roman" w:hAnsi="Times New Roman"/>
          <w:b/>
        </w:rPr>
      </w:pPr>
      <w:r w:rsidRPr="005B20C6">
        <w:rPr>
          <w:rFonts w:ascii="Times New Roman" w:hAnsi="Times New Roman"/>
          <w:b/>
        </w:rPr>
        <w:t>RE: Docket No. UG 121207, Commission Investigation into Natural Gas Conservation Programs</w:t>
      </w:r>
    </w:p>
    <w:p w14:paraId="58F718DA" w14:textId="77777777" w:rsidR="001B01B4" w:rsidRDefault="001B01B4" w:rsidP="001B01B4">
      <w:pPr>
        <w:rPr>
          <w:rFonts w:ascii="Times New Roman" w:hAnsi="Times New Roman"/>
        </w:rPr>
      </w:pPr>
    </w:p>
    <w:p w14:paraId="1A81504B" w14:textId="77777777" w:rsidR="005B20C6" w:rsidRPr="00ED40F8" w:rsidRDefault="005B20C6" w:rsidP="001B01B4">
      <w:pPr>
        <w:rPr>
          <w:rFonts w:ascii="Times New Roman" w:hAnsi="Times New Roman"/>
        </w:rPr>
      </w:pPr>
    </w:p>
    <w:p w14:paraId="6DF212B4" w14:textId="77777777" w:rsidR="001B01B4" w:rsidRPr="00ED40F8" w:rsidRDefault="001B01B4" w:rsidP="001B01B4">
      <w:pPr>
        <w:rPr>
          <w:rFonts w:ascii="Times New Roman" w:hAnsi="Times New Roman"/>
        </w:rPr>
      </w:pPr>
      <w:r w:rsidRPr="00ED40F8">
        <w:rPr>
          <w:rFonts w:ascii="Times New Roman" w:hAnsi="Times New Roman"/>
        </w:rPr>
        <w:t>Dear</w:t>
      </w:r>
      <w:r w:rsidR="002C6B3F">
        <w:rPr>
          <w:rFonts w:ascii="Times New Roman" w:hAnsi="Times New Roman"/>
        </w:rPr>
        <w:t xml:space="preserve"> </w:t>
      </w:r>
      <w:r w:rsidR="002A31B9">
        <w:rPr>
          <w:rFonts w:ascii="Times New Roman" w:hAnsi="Times New Roman"/>
        </w:rPr>
        <w:t>Mr. King</w:t>
      </w:r>
      <w:r w:rsidRPr="00ED40F8">
        <w:rPr>
          <w:rFonts w:ascii="Times New Roman" w:hAnsi="Times New Roman"/>
        </w:rPr>
        <w:t>:</w:t>
      </w:r>
    </w:p>
    <w:p w14:paraId="7AC46BD6" w14:textId="77777777" w:rsidR="001B01B4" w:rsidRPr="00ED40F8" w:rsidRDefault="001B01B4" w:rsidP="001B01B4">
      <w:pPr>
        <w:rPr>
          <w:rFonts w:ascii="Times New Roman" w:hAnsi="Times New Roman"/>
        </w:rPr>
      </w:pPr>
    </w:p>
    <w:bookmarkEnd w:id="0"/>
    <w:p w14:paraId="5C69F909" w14:textId="77777777" w:rsidR="001B01B4" w:rsidRPr="003F4B68" w:rsidRDefault="002A31B9" w:rsidP="001B01B4">
      <w:r>
        <w:t xml:space="preserve">The following comments are provided by the NW Energy Coalition (“Coalition”) in response to the Commission’s March 22, 2013 Notice of Opportunity to File Written Comments </w:t>
      </w:r>
      <w:r w:rsidR="007272A8">
        <w:t xml:space="preserve">on the Commission Investigation into Natural Gas Conservation Programs.  </w:t>
      </w:r>
    </w:p>
    <w:p w14:paraId="6883B7B1" w14:textId="77777777" w:rsidR="001B01B4" w:rsidRPr="003F4B68" w:rsidRDefault="001B01B4" w:rsidP="001B01B4"/>
    <w:p w14:paraId="202AF0F2" w14:textId="77777777" w:rsidR="001B01B4" w:rsidRPr="003F4B68" w:rsidRDefault="007272A8" w:rsidP="001B01B4">
      <w:r>
        <w:t xml:space="preserve">The Commission has solicited feedback for the following </w:t>
      </w:r>
      <w:r w:rsidR="004F2936">
        <w:t xml:space="preserve">five </w:t>
      </w:r>
      <w:r>
        <w:t xml:space="preserve">questions: </w:t>
      </w:r>
    </w:p>
    <w:p w14:paraId="2A6A401E" w14:textId="77777777" w:rsidR="001B01B4" w:rsidRPr="003F4B68" w:rsidRDefault="001B01B4" w:rsidP="001B01B4"/>
    <w:p w14:paraId="492A8E52" w14:textId="77777777" w:rsidR="001B01B4" w:rsidRDefault="007272A8" w:rsidP="001B01B4">
      <w:r>
        <w:t xml:space="preserve">1.  </w:t>
      </w:r>
      <w:r w:rsidRPr="007272A8">
        <w:rPr>
          <w:u w:val="single"/>
        </w:rPr>
        <w:t>Should Commission continue to use the Total Resource Cost (TRC), or switch to using the Utility Cost Test (UCT), to evaluate the cost-effectiveness of the portfolio of natural gas conservation programs?</w:t>
      </w:r>
    </w:p>
    <w:p w14:paraId="00A2CE50" w14:textId="77777777" w:rsidR="00D16EBB" w:rsidRDefault="00D16EBB" w:rsidP="001B01B4"/>
    <w:p w14:paraId="00D18378" w14:textId="77777777" w:rsidR="00E74345" w:rsidRDefault="00E74345" w:rsidP="001B01B4">
      <w:r>
        <w:t xml:space="preserve">The Coalition believes that the TRC remains the best measure for cost effectiveness, but only when applied correctly.  Currently, the TRC is not working as well as it could be </w:t>
      </w:r>
      <w:r w:rsidR="00EA33E0">
        <w:t xml:space="preserve">because it undervalues non-energy benefits.  </w:t>
      </w:r>
      <w:r w:rsidR="00FF49FA">
        <w:t xml:space="preserve">According to research by the Regulatory Assistance Project, </w:t>
      </w:r>
      <w:r w:rsidR="008E2143">
        <w:t xml:space="preserve">these non-energy benefits or “Other Program Impacts” (OPI’s) are frequently excluded from TRC </w:t>
      </w:r>
      <w:proofErr w:type="gramStart"/>
      <w:r w:rsidR="008E2143">
        <w:t>calculations</w:t>
      </w:r>
      <w:r w:rsidR="005B20C6">
        <w:t>,</w:t>
      </w:r>
      <w:r w:rsidR="008E2143">
        <w:t xml:space="preserve"> </w:t>
      </w:r>
      <w:r w:rsidR="005B20C6">
        <w:t>which</w:t>
      </w:r>
      <w:r w:rsidR="008E2143">
        <w:t xml:space="preserve"> results</w:t>
      </w:r>
      <w:proofErr w:type="gramEnd"/>
      <w:r w:rsidR="008E2143">
        <w:t xml:space="preserve"> in skewed calculations that undervalue</w:t>
      </w:r>
      <w:r w:rsidR="005B20C6">
        <w:t xml:space="preserve"> many</w:t>
      </w:r>
      <w:r w:rsidR="008E2143">
        <w:t xml:space="preserve"> energy efficiency programs.</w:t>
      </w:r>
      <w:r w:rsidR="005B20C6">
        <w:rPr>
          <w:rStyle w:val="FootnoteReference"/>
        </w:rPr>
        <w:footnoteReference w:id="1"/>
      </w:r>
      <w:r w:rsidR="008E2143">
        <w:t xml:space="preserve"> </w:t>
      </w:r>
    </w:p>
    <w:p w14:paraId="00AD531D" w14:textId="77777777" w:rsidR="00EA33E0" w:rsidRDefault="00EA33E0" w:rsidP="001B01B4"/>
    <w:p w14:paraId="145A2736" w14:textId="77777777" w:rsidR="005B20C6" w:rsidRDefault="005B20C6" w:rsidP="001B01B4">
      <w:pPr>
        <w:sectPr w:rsidR="005B20C6" w:rsidSect="002A31B9">
          <w:footerReference w:type="even" r:id="rId10"/>
          <w:footerReference w:type="default" r:id="rId11"/>
          <w:footerReference w:type="first" r:id="rId12"/>
          <w:pgSz w:w="12240" w:h="15840"/>
          <w:pgMar w:top="1296" w:right="1584" w:bottom="1008" w:left="3420" w:header="720" w:footer="720" w:gutter="0"/>
          <w:cols w:space="720"/>
          <w:titlePg/>
        </w:sectPr>
      </w:pPr>
      <w:r>
        <w:t>The difference can be dramatic, as outlined by the bar graph below:</w:t>
      </w:r>
    </w:p>
    <w:p w14:paraId="619EF922" w14:textId="77777777" w:rsidR="00EA33E0" w:rsidRDefault="000F68B2" w:rsidP="00F603FC">
      <w:pPr>
        <w:keepNext/>
        <w:jc w:val="center"/>
      </w:pPr>
      <w:r>
        <w:rPr>
          <w:noProof/>
        </w:rPr>
        <w:lastRenderedPageBreak/>
        <w:drawing>
          <wp:inline distT="0" distB="0" distL="0" distR="0" wp14:anchorId="07FABE9E" wp14:editId="396F5ABD">
            <wp:extent cx="4009602" cy="3277254"/>
            <wp:effectExtent l="152400" t="152400" r="156210" b="17716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1368" cy="32786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C883A5" w14:textId="6DB27065" w:rsidR="005B20C6" w:rsidRDefault="00EA33E0" w:rsidP="00F603FC">
      <w:pPr>
        <w:pStyle w:val="Caption"/>
        <w:ind w:left="180"/>
        <w:jc w:val="center"/>
      </w:pPr>
      <w:r>
        <w:t xml:space="preserve">Regulatory Assistance Project, </w:t>
      </w:r>
      <w:r w:rsidRPr="00EA33E0">
        <w:rPr>
          <w:i/>
        </w:rPr>
        <w:t>Energy Efficiency Cost Effectiveness Screening</w:t>
      </w:r>
      <w:r>
        <w:t>,</w:t>
      </w:r>
    </w:p>
    <w:p w14:paraId="696F2B61" w14:textId="77777777" w:rsidR="00EA33E0" w:rsidRDefault="00EA33E0" w:rsidP="00F603FC">
      <w:pPr>
        <w:pStyle w:val="Caption"/>
        <w:ind w:left="180"/>
        <w:jc w:val="center"/>
      </w:pPr>
      <w:r>
        <w:t>November 2012</w:t>
      </w:r>
    </w:p>
    <w:p w14:paraId="68E00B4B" w14:textId="77777777" w:rsidR="00E74345" w:rsidRDefault="00E74345" w:rsidP="001B01B4"/>
    <w:p w14:paraId="761E1B07" w14:textId="72D0B7F3" w:rsidR="00D16EBB" w:rsidRDefault="00F47C94" w:rsidP="001B01B4">
      <w:r>
        <w:t>If customer costs are included, then their full benefits need to be included as well.  Otherwise, this disparity leads to lost opportunities and reduced customer equity.  Some of these customer benefits are admittedly difficult to quantify</w:t>
      </w:r>
      <w:r w:rsidR="009579AC">
        <w:t xml:space="preserve">, but there are methods available to deal with such uncertainty.  Utilities are already asked to deal with many uncertainties in constructing their Integrated Resource Plans, from the weather to fuel prices.  </w:t>
      </w:r>
      <w:r w:rsidR="00F603FC">
        <w:t>They don’t get to choose a zero value just because some outcomes are hard to predict.  The Coalition recommends quantifying the most readily measureable non-energy benefits and then applying a proxy or adder to account for those that present a greater challenge.</w:t>
      </w:r>
    </w:p>
    <w:p w14:paraId="13454CF1" w14:textId="77777777" w:rsidR="00F47C94" w:rsidRDefault="00F47C94" w:rsidP="001B01B4"/>
    <w:p w14:paraId="1F6F7E19" w14:textId="77777777" w:rsidR="00F47C94" w:rsidRDefault="00F47C94" w:rsidP="001B01B4"/>
    <w:p w14:paraId="7BFFD320" w14:textId="77777777" w:rsidR="007272A8" w:rsidRPr="003F4B68" w:rsidRDefault="007272A8" w:rsidP="001B01B4">
      <w:r>
        <w:t xml:space="preserve">2.  </w:t>
      </w:r>
      <w:r w:rsidRPr="007272A8">
        <w:rPr>
          <w:u w:val="single"/>
        </w:rPr>
        <w:t>What criteria should be met before stopping a portfolio of programs?</w:t>
      </w:r>
    </w:p>
    <w:p w14:paraId="20536EEF" w14:textId="77777777" w:rsidR="001B01B4" w:rsidRDefault="001B01B4" w:rsidP="001B01B4"/>
    <w:p w14:paraId="6B526B26" w14:textId="77777777" w:rsidR="00F51362" w:rsidRDefault="00F51362" w:rsidP="001B01B4"/>
    <w:p w14:paraId="4C2DC7F5" w14:textId="37E9B757" w:rsidR="00F603FC" w:rsidRPr="00F51362" w:rsidRDefault="00F51362" w:rsidP="00F51362">
      <w:pPr>
        <w:pStyle w:val="ListParagraph"/>
        <w:numPr>
          <w:ilvl w:val="0"/>
          <w:numId w:val="2"/>
        </w:numPr>
        <w:rPr>
          <w:b/>
        </w:rPr>
      </w:pPr>
      <w:r w:rsidRPr="00F51362">
        <w:rPr>
          <w:b/>
        </w:rPr>
        <w:t>Communication with other utilities</w:t>
      </w:r>
    </w:p>
    <w:p w14:paraId="64BFB930" w14:textId="5CBF9F3A" w:rsidR="00F51362" w:rsidRDefault="001E2B7B" w:rsidP="00F51362">
      <w:pPr>
        <w:ind w:left="1080"/>
      </w:pPr>
      <w:r>
        <w:t xml:space="preserve">Comparing cost test inputs and publishing technical workbooks are a good first start to understanding why values often differ across utilities.  Creating a regional technical forum for natural gas might be an appropriate next step.  It may be necessary to create a standardized reporting form in order to more easily compare utility practices.  </w:t>
      </w:r>
    </w:p>
    <w:p w14:paraId="53E570B6" w14:textId="77777777" w:rsidR="00F51362" w:rsidRDefault="00F51362" w:rsidP="00F51362">
      <w:pPr>
        <w:ind w:left="1080"/>
      </w:pPr>
    </w:p>
    <w:p w14:paraId="09FEF212" w14:textId="77777777" w:rsidR="002F5BD0" w:rsidRDefault="002F5BD0" w:rsidP="00F51362">
      <w:pPr>
        <w:ind w:left="1080"/>
      </w:pPr>
    </w:p>
    <w:p w14:paraId="14995C15" w14:textId="77777777" w:rsidR="002F5BD0" w:rsidRDefault="002F5BD0" w:rsidP="00F51362">
      <w:pPr>
        <w:ind w:left="1080"/>
      </w:pPr>
    </w:p>
    <w:p w14:paraId="5A6E464D" w14:textId="77777777" w:rsidR="002F5BD0" w:rsidRDefault="002F5BD0" w:rsidP="00F51362">
      <w:pPr>
        <w:ind w:left="1080"/>
      </w:pPr>
    </w:p>
    <w:p w14:paraId="3B843A22" w14:textId="4D9514F9" w:rsidR="00F51362" w:rsidRPr="00F51362" w:rsidRDefault="00F51362" w:rsidP="00F51362">
      <w:pPr>
        <w:pStyle w:val="ListParagraph"/>
        <w:numPr>
          <w:ilvl w:val="0"/>
          <w:numId w:val="2"/>
        </w:numPr>
        <w:rPr>
          <w:b/>
        </w:rPr>
      </w:pPr>
      <w:r w:rsidRPr="00F51362">
        <w:rPr>
          <w:b/>
        </w:rPr>
        <w:t>Consultation with advisory group</w:t>
      </w:r>
    </w:p>
    <w:p w14:paraId="2421E324" w14:textId="36CB0326" w:rsidR="00F51362" w:rsidRDefault="001E2B7B" w:rsidP="00F51362">
      <w:pPr>
        <w:ind w:left="1080"/>
      </w:pPr>
      <w:r>
        <w:t xml:space="preserve">The Coalition supports this directive and encourages utilities to conduct consultation early in the decision making process in order to allow stakeholders meaningful participation. </w:t>
      </w:r>
    </w:p>
    <w:p w14:paraId="362DD103" w14:textId="77777777" w:rsidR="00F51362" w:rsidRDefault="00F51362" w:rsidP="00F51362">
      <w:pPr>
        <w:ind w:left="1080"/>
      </w:pPr>
    </w:p>
    <w:p w14:paraId="31B928FC" w14:textId="3C427CF7" w:rsidR="00F51362" w:rsidRPr="00F51362" w:rsidRDefault="00F51362" w:rsidP="00F51362">
      <w:pPr>
        <w:pStyle w:val="ListParagraph"/>
        <w:numPr>
          <w:ilvl w:val="0"/>
          <w:numId w:val="2"/>
        </w:numPr>
        <w:rPr>
          <w:b/>
        </w:rPr>
      </w:pPr>
      <w:r w:rsidRPr="00F51362">
        <w:rPr>
          <w:b/>
        </w:rPr>
        <w:t>Issue a request for proposals (RFP) for a conservation services provider.</w:t>
      </w:r>
    </w:p>
    <w:p w14:paraId="344522AC" w14:textId="3510BA81" w:rsidR="00F51362" w:rsidRDefault="0044429C" w:rsidP="00F51362">
      <w:pPr>
        <w:ind w:left="1080"/>
      </w:pPr>
      <w:r>
        <w:t>The Coalition supports this process and notes that similar practices have already proven bene</w:t>
      </w:r>
      <w:r w:rsidR="002F5BD0">
        <w:t>ficial for electric utilities.  RFP’s may not be appropriate for low-income programs, however, given the special nature of their delivery model and the need for consistency with federal guidelines.</w:t>
      </w:r>
    </w:p>
    <w:p w14:paraId="452BECDC" w14:textId="77777777" w:rsidR="00F51362" w:rsidRDefault="00F51362" w:rsidP="00F51362"/>
    <w:p w14:paraId="5DC0EBBE" w14:textId="1C66F156" w:rsidR="00F51362" w:rsidRPr="00F51362" w:rsidRDefault="00F51362" w:rsidP="00F51362">
      <w:pPr>
        <w:pStyle w:val="ListParagraph"/>
        <w:numPr>
          <w:ilvl w:val="0"/>
          <w:numId w:val="2"/>
        </w:numPr>
        <w:rPr>
          <w:b/>
        </w:rPr>
      </w:pPr>
      <w:r w:rsidRPr="00F51362">
        <w:rPr>
          <w:b/>
        </w:rPr>
        <w:t>Restart plan.</w:t>
      </w:r>
    </w:p>
    <w:p w14:paraId="32C66E94" w14:textId="3BC5B543" w:rsidR="00F51362" w:rsidRDefault="0044429C" w:rsidP="00F51362">
      <w:pPr>
        <w:ind w:left="1080"/>
      </w:pPr>
      <w:r>
        <w:t xml:space="preserve">A plan for restarting the conservation program should take several additional questions into consideration: </w:t>
      </w:r>
      <w:r w:rsidR="00F51362">
        <w:t>What would the anticipated ramp be to restart the program?  What would the timescale be?</w:t>
      </w:r>
    </w:p>
    <w:p w14:paraId="670E830D" w14:textId="77777777" w:rsidR="00F51362" w:rsidRDefault="00F51362" w:rsidP="00F51362"/>
    <w:p w14:paraId="4D20B3F6" w14:textId="77777777" w:rsidR="00F51362" w:rsidRPr="00F51362" w:rsidRDefault="00F51362" w:rsidP="00F51362">
      <w:pPr>
        <w:pStyle w:val="ListParagraph"/>
        <w:numPr>
          <w:ilvl w:val="0"/>
          <w:numId w:val="2"/>
        </w:numPr>
        <w:rPr>
          <w:b/>
        </w:rPr>
      </w:pPr>
      <w:r w:rsidRPr="00F51362">
        <w:rPr>
          <w:b/>
        </w:rPr>
        <w:t>A request to discontinue conservation programs should be presented in an Annual Conservation Plan or Biennial Conservation Plan.</w:t>
      </w:r>
    </w:p>
    <w:p w14:paraId="3BD3877D" w14:textId="78E6BA6A" w:rsidR="001B01B4" w:rsidRDefault="0044429C" w:rsidP="00F51362">
      <w:pPr>
        <w:ind w:left="1080"/>
      </w:pPr>
      <w:r>
        <w:t xml:space="preserve">The Coalition has concerns that limiting the timing of requests, particularly over periods as long as two years, might </w:t>
      </w:r>
      <w:r w:rsidR="00F51362">
        <w:t xml:space="preserve">tie utilities’ hands </w:t>
      </w:r>
      <w:r>
        <w:t>to make appropriate adjustments.</w:t>
      </w:r>
      <w:r w:rsidR="001509FE">
        <w:t xml:space="preserve">  This is especially true if the discontinuation applies to programs and not portfolios.</w:t>
      </w:r>
    </w:p>
    <w:p w14:paraId="1603A0BE" w14:textId="77777777" w:rsidR="00F51362" w:rsidRDefault="00F51362" w:rsidP="00F51362">
      <w:pPr>
        <w:ind w:left="1080"/>
      </w:pPr>
    </w:p>
    <w:p w14:paraId="4335919C" w14:textId="77777777" w:rsidR="00C01498" w:rsidRDefault="00C01498" w:rsidP="00F51362">
      <w:pPr>
        <w:ind w:left="1080"/>
      </w:pPr>
    </w:p>
    <w:p w14:paraId="3D0196E2" w14:textId="77777777" w:rsidR="004F2936" w:rsidRDefault="004F2936" w:rsidP="001B01B4">
      <w:r>
        <w:t xml:space="preserve">3.  </w:t>
      </w:r>
      <w:r w:rsidRPr="004F2936">
        <w:rPr>
          <w:u w:val="single"/>
        </w:rPr>
        <w:t xml:space="preserve">Accounting for program </w:t>
      </w:r>
      <w:proofErr w:type="gramStart"/>
      <w:r w:rsidRPr="004F2936">
        <w:rPr>
          <w:u w:val="single"/>
        </w:rPr>
        <w:t>start</w:t>
      </w:r>
      <w:proofErr w:type="gramEnd"/>
      <w:r w:rsidRPr="004F2936">
        <w:rPr>
          <w:u w:val="single"/>
        </w:rPr>
        <w:t xml:space="preserve"> and stop costs in the cost effectiveness test</w:t>
      </w:r>
      <w:r>
        <w:t>.</w:t>
      </w:r>
    </w:p>
    <w:p w14:paraId="01063917" w14:textId="77777777" w:rsidR="007272A8" w:rsidRDefault="007272A8" w:rsidP="001B01B4"/>
    <w:p w14:paraId="468A6BDE" w14:textId="549DEDB9" w:rsidR="001509FE" w:rsidRDefault="001509FE" w:rsidP="001B01B4">
      <w:r>
        <w:t xml:space="preserve">The Coalition appreciates the intent of this section, which is to recognize the many impacts that program disruption has on the long-term success of conservation initiatives.  We have some concerns, however, that the methodology prescribed could have some unintended consequences.  </w:t>
      </w:r>
      <w:r w:rsidR="001D2EAD">
        <w:t xml:space="preserve">By </w:t>
      </w:r>
      <w:proofErr w:type="spellStart"/>
      <w:r w:rsidR="001D2EAD">
        <w:t>levelizing</w:t>
      </w:r>
      <w:proofErr w:type="spellEnd"/>
      <w:r w:rsidR="001D2EAD">
        <w:t xml:space="preserve"> the restart costs over the average measure life of t</w:t>
      </w:r>
      <w:r w:rsidR="002C344B">
        <w:t xml:space="preserve">he portfolio, this may negatively impact programs with shorter measure lives.  We also want to make sure utilities have the flexibility they need to pursue pilot projects, which could also be harder to initiate if they must absorb all costs at their outset.  </w:t>
      </w:r>
    </w:p>
    <w:p w14:paraId="5AE8684B" w14:textId="77777777" w:rsidR="004D336F" w:rsidRDefault="004D336F" w:rsidP="001B01B4"/>
    <w:p w14:paraId="49B5A60D" w14:textId="77777777" w:rsidR="002C344B" w:rsidRDefault="002C344B" w:rsidP="001B01B4"/>
    <w:p w14:paraId="44E43381" w14:textId="77777777" w:rsidR="004F2936" w:rsidRDefault="004F2936" w:rsidP="001B01B4">
      <w:r>
        <w:t xml:space="preserve">4.  </w:t>
      </w:r>
      <w:r w:rsidRPr="004F2936">
        <w:rPr>
          <w:u w:val="single"/>
        </w:rPr>
        <w:t>Market transformation programs/ Northwest Energy Efficiency Alliance (NEEA)</w:t>
      </w:r>
      <w:r>
        <w:t>.</w:t>
      </w:r>
    </w:p>
    <w:p w14:paraId="0198C54B" w14:textId="77777777" w:rsidR="004F2936" w:rsidRDefault="004F2936" w:rsidP="001B01B4"/>
    <w:p w14:paraId="2723DFEC" w14:textId="1A8C4C0B" w:rsidR="009579AC" w:rsidRDefault="009579AC" w:rsidP="001B01B4">
      <w:r>
        <w:t xml:space="preserve">The Coalition </w:t>
      </w:r>
      <w:r w:rsidR="00F603FC">
        <w:t xml:space="preserve">agrees that natural gas utilities should financially support NEEA’s effort to establish a pilot market transformation program for natural gas conservation.  </w:t>
      </w:r>
    </w:p>
    <w:p w14:paraId="135CE463" w14:textId="77777777" w:rsidR="00F603FC" w:rsidRDefault="00F603FC" w:rsidP="001B01B4"/>
    <w:p w14:paraId="5CD57129" w14:textId="77777777" w:rsidR="004F2936" w:rsidRDefault="004F2936" w:rsidP="001B01B4"/>
    <w:p w14:paraId="03632477" w14:textId="77777777" w:rsidR="004F2936" w:rsidRDefault="004F2936" w:rsidP="001B01B4">
      <w:r>
        <w:t xml:space="preserve">5.  </w:t>
      </w:r>
      <w:r w:rsidRPr="004F2936">
        <w:rPr>
          <w:u w:val="single"/>
        </w:rPr>
        <w:t>Apply the savings-to-investment ratio test for low-income programs</w:t>
      </w:r>
      <w:r>
        <w:t>.</w:t>
      </w:r>
    </w:p>
    <w:p w14:paraId="0D7A9DC2" w14:textId="77777777" w:rsidR="004F2936" w:rsidRDefault="004F2936" w:rsidP="001B01B4"/>
    <w:p w14:paraId="416B209A" w14:textId="5F167AC7" w:rsidR="00543B97" w:rsidRDefault="004F2936" w:rsidP="001B01B4">
      <w:r>
        <w:t xml:space="preserve">The Coalition agrees that the provision of energy efficiency to low-income households is in the public interest, even </w:t>
      </w:r>
      <w:r w:rsidR="009579AC">
        <w:t xml:space="preserve">when such measures fail to meet </w:t>
      </w:r>
      <w:r>
        <w:t xml:space="preserve">the Commission’s primary cost test.  </w:t>
      </w:r>
      <w:r w:rsidR="00543B97">
        <w:t>Low-income ratepayers often have the most to gain in terms of non-energy benefits, particularly in terms of improved health and comfort.  We fully support the continuation of low-income programs, whether that occurs through the elimination of cost test requirements, a reduction of the TRC ratio, or the application of a different cos</w:t>
      </w:r>
      <w:r w:rsidR="004F2949">
        <w:t xml:space="preserve">t test altogether.  We are uncertain what the best means to pursue this policy objective might be but hope that whatever method is chosen will take all of the program’s many benefits into account.  </w:t>
      </w:r>
    </w:p>
    <w:p w14:paraId="375B15FA" w14:textId="77777777" w:rsidR="004F2936" w:rsidRDefault="004F2936" w:rsidP="001B01B4"/>
    <w:p w14:paraId="3C66D8C9" w14:textId="77777777" w:rsidR="004F2936" w:rsidRDefault="004F2936" w:rsidP="001B01B4">
      <w:bookmarkStart w:id="1" w:name="_GoBack"/>
      <w:bookmarkEnd w:id="1"/>
    </w:p>
    <w:p w14:paraId="50975D00" w14:textId="77777777" w:rsidR="001A3647" w:rsidRDefault="001A3647" w:rsidP="001B01B4">
      <w:r>
        <w:t>Coalition staff plans to participate in the open meeting scheduled for April 11</w:t>
      </w:r>
      <w:r w:rsidRPr="001A3647">
        <w:rPr>
          <w:vertAlign w:val="superscript"/>
        </w:rPr>
        <w:t>th</w:t>
      </w:r>
      <w:r>
        <w:t>.  Any questions regarding this submission should be directed to Lynne Dial, 206-621-0094 or lynne@nwenergy.org.</w:t>
      </w:r>
    </w:p>
    <w:p w14:paraId="59D7BBDD" w14:textId="77777777" w:rsidR="001A3647" w:rsidRPr="003F4B68" w:rsidRDefault="001A3647" w:rsidP="001B01B4"/>
    <w:p w14:paraId="444EF895" w14:textId="77777777" w:rsidR="001B01B4" w:rsidRPr="0006184B" w:rsidRDefault="001B01B4">
      <w:pPr>
        <w:rPr>
          <w:rFonts w:ascii="Times New Roman" w:hAnsi="Times New Roman"/>
        </w:rPr>
      </w:pPr>
    </w:p>
    <w:p w14:paraId="24A34A2A" w14:textId="77777777" w:rsidR="001B01B4" w:rsidRPr="0006184B" w:rsidRDefault="001B01B4">
      <w:pPr>
        <w:rPr>
          <w:rFonts w:ascii="Times New Roman" w:hAnsi="Times New Roman"/>
        </w:rPr>
      </w:pPr>
      <w:r w:rsidRPr="0006184B">
        <w:rPr>
          <w:rFonts w:ascii="Times New Roman" w:hAnsi="Times New Roman"/>
        </w:rPr>
        <w:t>Sincerely,</w:t>
      </w:r>
    </w:p>
    <w:p w14:paraId="27610586" w14:textId="77777777" w:rsidR="001B01B4" w:rsidRPr="0006184B" w:rsidRDefault="000F68B2">
      <w:pPr>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1" allowOverlap="1" wp14:anchorId="7FF8C5FE" wp14:editId="05D0B077">
                <wp:simplePos x="0" y="0"/>
                <wp:positionH relativeFrom="column">
                  <wp:posOffset>-157480</wp:posOffset>
                </wp:positionH>
                <wp:positionV relativeFrom="paragraph">
                  <wp:posOffset>74930</wp:posOffset>
                </wp:positionV>
                <wp:extent cx="932815" cy="569595"/>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EA57E73" w14:textId="77777777" w:rsidR="00543B97" w:rsidRDefault="00543B97">
                            <w:r>
                              <w:t xml:space="preserve"> </w:t>
                            </w:r>
                            <w:r>
                              <w:rPr>
                                <w:noProof/>
                              </w:rPr>
                              <w:drawing>
                                <wp:inline distT="0" distB="0" distL="0" distR="0" wp14:anchorId="1FE26EA2" wp14:editId="4CBB060E">
                                  <wp:extent cx="711200" cy="389255"/>
                                  <wp:effectExtent l="0" t="0" r="0" b="0"/>
                                  <wp:docPr id="38" name="Picture 3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0" cy="38925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35pt;margin-top:5.9pt;width:73.45pt;height:44.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" filled="f" stroked="f">
                <v:textbox style="mso-fit-shape-to-text:t" inset=",7.2pt,,7.2pt">
                  <w:txbxContent>
                    <w:p w14:paraId="5EA57E73" w14:textId="77777777" w:rsidR="001D2EAD" w:rsidRDefault="001D2EAD">
                      <w:r>
                        <w:t xml:space="preserve"> </w:t>
                      </w:r>
                      <w:r>
                        <w:rPr>
                          <w:noProof/>
                        </w:rPr>
                        <w:drawing>
                          <wp:inline distT="0" distB="0" distL="0" distR="0" wp14:anchorId="1FE26EA2" wp14:editId="4CBB060E">
                            <wp:extent cx="711200" cy="389255"/>
                            <wp:effectExtent l="0" t="0" r="0" b="0"/>
                            <wp:docPr id="38" name="Picture 3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389255"/>
                                    </a:xfrm>
                                    <a:prstGeom prst="rect">
                                      <a:avLst/>
                                    </a:prstGeom>
                                    <a:noFill/>
                                    <a:ln>
                                      <a:noFill/>
                                    </a:ln>
                                  </pic:spPr>
                                </pic:pic>
                              </a:graphicData>
                            </a:graphic>
                          </wp:inline>
                        </w:drawing>
                      </w:r>
                    </w:p>
                  </w:txbxContent>
                </v:textbox>
              </v:shape>
            </w:pict>
          </mc:Fallback>
        </mc:AlternateContent>
      </w:r>
    </w:p>
    <w:p w14:paraId="501DBE78" w14:textId="77777777" w:rsidR="00FF49FA" w:rsidRDefault="00FF49FA">
      <w:pPr>
        <w:rPr>
          <w:rFonts w:ascii="Times New Roman" w:hAnsi="Times New Roman"/>
        </w:rPr>
      </w:pPr>
    </w:p>
    <w:p w14:paraId="2020E4CD" w14:textId="77777777" w:rsidR="00FF49FA" w:rsidRDefault="00FF49FA">
      <w:pPr>
        <w:rPr>
          <w:rFonts w:ascii="Times New Roman" w:hAnsi="Times New Roman"/>
        </w:rPr>
      </w:pPr>
    </w:p>
    <w:p w14:paraId="28F652D5" w14:textId="77777777" w:rsidR="001B01B4" w:rsidRPr="0006184B" w:rsidRDefault="007272A8">
      <w:pPr>
        <w:rPr>
          <w:rFonts w:ascii="Times New Roman" w:hAnsi="Times New Roman"/>
        </w:rPr>
      </w:pPr>
      <w:r>
        <w:rPr>
          <w:rFonts w:ascii="Times New Roman" w:hAnsi="Times New Roman"/>
        </w:rPr>
        <w:t>Lynne Dial</w:t>
      </w:r>
    </w:p>
    <w:p w14:paraId="0CD47E5D" w14:textId="77777777" w:rsidR="001B01B4" w:rsidRPr="0006184B" w:rsidRDefault="001B01B4">
      <w:pPr>
        <w:rPr>
          <w:rFonts w:ascii="Times New Roman" w:hAnsi="Times New Roman"/>
        </w:rPr>
      </w:pPr>
    </w:p>
    <w:p w14:paraId="4F00661D" w14:textId="77777777" w:rsidR="001B01B4" w:rsidRDefault="001B01B4" w:rsidP="001B01B4"/>
    <w:p w14:paraId="5D5A4671" w14:textId="77777777" w:rsidR="001B01B4" w:rsidRDefault="001B01B4" w:rsidP="001B01B4"/>
    <w:p w14:paraId="6B4D4A12" w14:textId="77777777" w:rsidR="001B01B4" w:rsidRPr="00B05C0F" w:rsidRDefault="001B01B4" w:rsidP="001B01B4">
      <w:pPr>
        <w:rPr>
          <w:rFonts w:ascii="Times New Roman" w:hAnsi="Times New Roman"/>
          <w:sz w:val="22"/>
        </w:rPr>
      </w:pPr>
    </w:p>
    <w:sectPr w:rsidR="001B01B4" w:rsidRPr="00B05C0F" w:rsidSect="0061766B">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B077A" w14:textId="77777777" w:rsidR="00543B97" w:rsidRDefault="00543B97" w:rsidP="002A31B9">
      <w:r>
        <w:separator/>
      </w:r>
    </w:p>
  </w:endnote>
  <w:endnote w:type="continuationSeparator" w:id="0">
    <w:p w14:paraId="1F823B65" w14:textId="77777777" w:rsidR="00543B97" w:rsidRDefault="00543B97" w:rsidP="002A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venir 55 Roman">
    <w:altName w:val="Times New Roman"/>
    <w:panose1 w:val="00000000000000000000"/>
    <w:charset w:val="4D"/>
    <w:family w:val="roman"/>
    <w:notTrueType/>
    <w:pitch w:val="default"/>
    <w:sig w:usb0="00410056" w:usb1="0045004E" w:usb2="00490052" w:usb3="002D0052" w:csb0="004F004D" w:csb1="0041004E"/>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F56B" w14:textId="77777777" w:rsidR="00543B97" w:rsidRDefault="00543B97"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68E8F" w14:textId="77777777" w:rsidR="00543B97" w:rsidRDefault="00543B97" w:rsidP="009579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8117E" w14:textId="77777777" w:rsidR="00543B97" w:rsidRDefault="00543B97"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949">
      <w:rPr>
        <w:rStyle w:val="PageNumber"/>
        <w:noProof/>
      </w:rPr>
      <w:t>3</w:t>
    </w:r>
    <w:r>
      <w:rPr>
        <w:rStyle w:val="PageNumber"/>
      </w:rPr>
      <w:fldChar w:fldCharType="end"/>
    </w:r>
  </w:p>
  <w:p w14:paraId="7014810F" w14:textId="77777777" w:rsidR="00543B97" w:rsidRDefault="00543B97" w:rsidP="009579AC">
    <w:pPr>
      <w:pStyle w:val="Footer"/>
      <w:ind w:right="360"/>
    </w:pPr>
    <w:r>
      <w:pict w14:anchorId="061BB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DA821E5" w14:textId="768BEA92" w:rsidR="00543B97" w:rsidRDefault="00543B97" w:rsidP="009579AC">
    <w:pPr>
      <w:pStyle w:val="Footer"/>
    </w:pPr>
    <w:r>
      <w:t>UG-121207, Comments of the NW Energy Coalition, submitted April 8, 2012</w:t>
    </w:r>
  </w:p>
  <w:p w14:paraId="7F168507" w14:textId="77777777" w:rsidR="00543B97" w:rsidRDefault="00543B97" w:rsidP="00EE2A03">
    <w:pPr>
      <w:ind w:left="-1440" w:firstLine="1440"/>
      <w:rPr>
        <w:rFonts w:ascii="Avenir 55 Roman" w:hAnsi="Avenir 55 Roman"/>
        <w:color w:val="808080"/>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72571" w14:textId="77777777" w:rsidR="00543B97" w:rsidRDefault="00543B97" w:rsidP="002A31B9">
    <w:pPr>
      <w:ind w:left="1620"/>
      <w:jc w:val="center"/>
      <w:rPr>
        <w:rFonts w:ascii="Avenir 55 Roman" w:hAnsi="Avenir 55 Roman"/>
        <w:color w:val="808080"/>
        <w:sz w:val="18"/>
      </w:rPr>
    </w:pPr>
  </w:p>
  <w:p w14:paraId="4F243937" w14:textId="77777777" w:rsidR="00543B97" w:rsidRPr="00FA1821" w:rsidRDefault="00543B97" w:rsidP="002A31B9">
    <w:pPr>
      <w:ind w:left="1620"/>
      <w:jc w:val="center"/>
      <w:rPr>
        <w:rFonts w:ascii="Avenir 55 Roman" w:hAnsi="Avenir 55 Roman"/>
        <w:color w:val="808080"/>
        <w:sz w:val="18"/>
      </w:rPr>
    </w:pPr>
    <w:r w:rsidRPr="00FA1821">
      <w:rPr>
        <w:rFonts w:ascii="Avenir 55 Roman" w:hAnsi="Avenir 55 Roman"/>
        <w:color w:val="808080"/>
        <w:sz w:val="18"/>
      </w:rPr>
      <w:t>811 1</w:t>
    </w:r>
    <w:r w:rsidRPr="00FA1821">
      <w:rPr>
        <w:rFonts w:ascii="Avenir 55 Roman" w:hAnsi="Avenir 55 Roman"/>
        <w:color w:val="808080"/>
        <w:sz w:val="18"/>
        <w:vertAlign w:val="superscript"/>
      </w:rPr>
      <w:t>st</w:t>
    </w:r>
    <w:r w:rsidRPr="00FA1821">
      <w:rPr>
        <w:rFonts w:ascii="Avenir 55 Roman" w:hAnsi="Avenir 55 Roman"/>
        <w:color w:val="808080"/>
        <w:sz w:val="18"/>
      </w:rPr>
      <w:t xml:space="preserve"> Ave. #305, Seattle, WA 98104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621-0097 fax</w:t>
    </w:r>
  </w:p>
  <w:p w14:paraId="3BB3D2AA" w14:textId="77777777" w:rsidR="00543B97" w:rsidRPr="002A31B9" w:rsidRDefault="00543B97" w:rsidP="002A31B9">
    <w:pPr>
      <w:ind w:left="1620"/>
      <w:jc w:val="center"/>
      <w:rPr>
        <w:rFonts w:ascii="Avenir 55 Roman" w:hAnsi="Avenir 55 Roman"/>
        <w:color w:val="808080"/>
        <w:sz w:val="18"/>
      </w:rPr>
    </w:pPr>
    <w:proofErr w:type="gramStart"/>
    <w:r w:rsidRPr="00FA1821">
      <w:rPr>
        <w:rFonts w:ascii="Avenir 55 Roman" w:hAnsi="Avenir 55 Roman"/>
        <w:color w:val="808080"/>
        <w:sz w:val="18"/>
      </w:rPr>
      <w:t>www.nwenergy.org</w:t>
    </w:r>
    <w:proofErr w:type="gramEnd"/>
    <w:r w:rsidRPr="00FA1821">
      <w:rPr>
        <w:rFonts w:ascii="Avenir 55 Roman" w:hAnsi="Avenir 55 Roman"/>
        <w:color w:val="808080"/>
        <w:sz w:val="18"/>
      </w:rPr>
      <w:t xml:space="preserve"> </w:t>
    </w:r>
    <w:r w:rsidRPr="00FA1821">
      <w:rPr>
        <w:rFonts w:ascii="Avenir 55 Roman" w:hAnsi="Avenir 55 Roman"/>
        <w:color w:val="808080"/>
        <w:sz w:val="18"/>
      </w:rPr>
      <w:sym w:font="Symbol" w:char="F0B7"/>
    </w:r>
    <w:r w:rsidRPr="00FA1821">
      <w:rPr>
        <w:rFonts w:ascii="Avenir 55 Roman" w:hAnsi="Avenir 55 Roman"/>
        <w:color w:val="808080"/>
        <w:sz w:val="18"/>
      </w:rPr>
      <w:t xml:space="preserve"> nwec@nwenergy.org</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5FF3" w14:textId="77777777" w:rsidR="00543B97" w:rsidRDefault="00543B97" w:rsidP="00617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949">
      <w:rPr>
        <w:rStyle w:val="PageNumber"/>
        <w:noProof/>
      </w:rPr>
      <w:t>2</w:t>
    </w:r>
    <w:r>
      <w:rPr>
        <w:rStyle w:val="PageNumber"/>
      </w:rPr>
      <w:fldChar w:fldCharType="end"/>
    </w:r>
  </w:p>
  <w:p w14:paraId="69D3B6C8" w14:textId="77777777" w:rsidR="00543B97" w:rsidRDefault="00543B97" w:rsidP="0061766B">
    <w:pPr>
      <w:pStyle w:val="Footer"/>
      <w:ind w:right="360"/>
    </w:pPr>
    <w:r>
      <w:pict w14:anchorId="21808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 o:title="Default Line"/>
        </v:shape>
      </w:pict>
    </w:r>
  </w:p>
  <w:p w14:paraId="7A17F7C3" w14:textId="4EF18B6A" w:rsidR="00543B97" w:rsidRDefault="00543B97" w:rsidP="0061766B">
    <w:pPr>
      <w:pStyle w:val="Footer"/>
    </w:pPr>
    <w:r>
      <w:t>UG-121207, Comments of the NW Energy Coalition, submitted April 8, 2012</w:t>
    </w:r>
  </w:p>
  <w:p w14:paraId="0488DD45" w14:textId="77777777" w:rsidR="00543B97" w:rsidRPr="002A31B9" w:rsidRDefault="00543B97" w:rsidP="0061766B">
    <w:pPr>
      <w:rPr>
        <w:rFonts w:ascii="Avenir 55 Roman" w:hAnsi="Avenir 55 Roman"/>
        <w:color w:val="808080"/>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7D34" w14:textId="77777777" w:rsidR="00543B97" w:rsidRDefault="00543B97" w:rsidP="002A31B9">
      <w:r>
        <w:separator/>
      </w:r>
    </w:p>
  </w:footnote>
  <w:footnote w:type="continuationSeparator" w:id="0">
    <w:p w14:paraId="42DAC56D" w14:textId="77777777" w:rsidR="00543B97" w:rsidRDefault="00543B97" w:rsidP="002A31B9">
      <w:r>
        <w:continuationSeparator/>
      </w:r>
    </w:p>
  </w:footnote>
  <w:footnote w:id="1">
    <w:p w14:paraId="5B095AFF" w14:textId="77777777" w:rsidR="00543B97" w:rsidRDefault="00543B97">
      <w:pPr>
        <w:pStyle w:val="FootnoteText"/>
        <w:rPr>
          <w:sz w:val="20"/>
          <w:szCs w:val="20"/>
        </w:rPr>
      </w:pPr>
      <w:r>
        <w:rPr>
          <w:rStyle w:val="FootnoteReference"/>
        </w:rPr>
        <w:footnoteRef/>
      </w:r>
      <w:r>
        <w:t xml:space="preserve"> </w:t>
      </w:r>
      <w:r w:rsidRPr="005B20C6">
        <w:rPr>
          <w:sz w:val="20"/>
          <w:szCs w:val="20"/>
        </w:rPr>
        <w:t>“Energy Efficiency Cost Effectiveness Screening: How to Properly Account for ‘Other Program Impacts’ and Environmental Compliance Costs</w:t>
      </w:r>
      <w:r>
        <w:rPr>
          <w:sz w:val="20"/>
          <w:szCs w:val="20"/>
        </w:rPr>
        <w:t xml:space="preserve">”, </w:t>
      </w:r>
      <w:hyperlink r:id="rId1" w:history="1">
        <w:r w:rsidRPr="005B20C6">
          <w:rPr>
            <w:rStyle w:val="Hyperlink"/>
            <w:sz w:val="20"/>
            <w:szCs w:val="20"/>
          </w:rPr>
          <w:t>Regulatory Assistance Project</w:t>
        </w:r>
      </w:hyperlink>
    </w:p>
    <w:p w14:paraId="10F4E146" w14:textId="77777777" w:rsidR="00543B97" w:rsidRDefault="00543B9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3CA"/>
    <w:multiLevelType w:val="hybridMultilevel"/>
    <w:tmpl w:val="844A94C2"/>
    <w:lvl w:ilvl="0" w:tplc="98B02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CB7E80"/>
    <w:multiLevelType w:val="hybridMultilevel"/>
    <w:tmpl w:val="7B945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4100">
      <o:colormru v:ext="edit" colors="#f7f4b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6B"/>
    <w:rsid w:val="000F68B2"/>
    <w:rsid w:val="001509FE"/>
    <w:rsid w:val="00181F8B"/>
    <w:rsid w:val="001A3647"/>
    <w:rsid w:val="001A4BBB"/>
    <w:rsid w:val="001B01B4"/>
    <w:rsid w:val="001D2EAD"/>
    <w:rsid w:val="001E2B7B"/>
    <w:rsid w:val="002A31B9"/>
    <w:rsid w:val="002C344B"/>
    <w:rsid w:val="002C6B3F"/>
    <w:rsid w:val="002F5BD0"/>
    <w:rsid w:val="003507E0"/>
    <w:rsid w:val="0044429C"/>
    <w:rsid w:val="0046063C"/>
    <w:rsid w:val="004D336F"/>
    <w:rsid w:val="004F2936"/>
    <w:rsid w:val="004F2949"/>
    <w:rsid w:val="00511330"/>
    <w:rsid w:val="00532C56"/>
    <w:rsid w:val="00543B97"/>
    <w:rsid w:val="005A5B14"/>
    <w:rsid w:val="005B20C6"/>
    <w:rsid w:val="0061766B"/>
    <w:rsid w:val="00617B7F"/>
    <w:rsid w:val="00646026"/>
    <w:rsid w:val="00671770"/>
    <w:rsid w:val="00690689"/>
    <w:rsid w:val="007272A8"/>
    <w:rsid w:val="00746796"/>
    <w:rsid w:val="007B76E9"/>
    <w:rsid w:val="007C3053"/>
    <w:rsid w:val="008527D8"/>
    <w:rsid w:val="008E2143"/>
    <w:rsid w:val="009579AC"/>
    <w:rsid w:val="00AC5991"/>
    <w:rsid w:val="00C01498"/>
    <w:rsid w:val="00C84B0C"/>
    <w:rsid w:val="00C8641A"/>
    <w:rsid w:val="00CA67C0"/>
    <w:rsid w:val="00CE1224"/>
    <w:rsid w:val="00D16EBB"/>
    <w:rsid w:val="00D7680C"/>
    <w:rsid w:val="00E345FB"/>
    <w:rsid w:val="00E74345"/>
    <w:rsid w:val="00EA33E0"/>
    <w:rsid w:val="00EA7D6B"/>
    <w:rsid w:val="00EE2A03"/>
    <w:rsid w:val="00F05D1E"/>
    <w:rsid w:val="00F06417"/>
    <w:rsid w:val="00F47C94"/>
    <w:rsid w:val="00F51362"/>
    <w:rsid w:val="00F603FC"/>
    <w:rsid w:val="00FF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colormru v:ext="edit" colors="#f7f4b5"/>
    </o:shapedefaults>
    <o:shapelayout v:ext="edit">
      <o:idmap v:ext="edit" data="1"/>
    </o:shapelayout>
  </w:shapeDefaults>
  <w:decimalSymbol w:val="."/>
  <w:listSeparator w:val=","/>
  <w14:docId w14:val="12584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Header">
    <w:name w:val="header"/>
    <w:basedOn w:val="Normal"/>
    <w:link w:val="HeaderChar"/>
    <w:uiPriority w:val="99"/>
    <w:unhideWhenUsed/>
    <w:rsid w:val="002A31B9"/>
    <w:pPr>
      <w:tabs>
        <w:tab w:val="center" w:pos="4320"/>
        <w:tab w:val="right" w:pos="8640"/>
      </w:tabs>
    </w:pPr>
  </w:style>
  <w:style w:type="character" w:customStyle="1" w:styleId="HeaderChar">
    <w:name w:val="Header Char"/>
    <w:basedOn w:val="DefaultParagraphFont"/>
    <w:link w:val="Header"/>
    <w:uiPriority w:val="99"/>
    <w:rsid w:val="002A31B9"/>
    <w:rPr>
      <w:rFonts w:ascii="Times" w:hAnsi="Times"/>
      <w:sz w:val="24"/>
    </w:rPr>
  </w:style>
  <w:style w:type="paragraph" w:styleId="Footer">
    <w:name w:val="footer"/>
    <w:basedOn w:val="Normal"/>
    <w:link w:val="FooterChar"/>
    <w:uiPriority w:val="99"/>
    <w:unhideWhenUsed/>
    <w:rsid w:val="002A31B9"/>
    <w:pPr>
      <w:tabs>
        <w:tab w:val="center" w:pos="4320"/>
        <w:tab w:val="right" w:pos="8640"/>
      </w:tabs>
    </w:pPr>
  </w:style>
  <w:style w:type="character" w:customStyle="1" w:styleId="FooterChar">
    <w:name w:val="Footer Char"/>
    <w:basedOn w:val="DefaultParagraphFont"/>
    <w:link w:val="Footer"/>
    <w:uiPriority w:val="99"/>
    <w:rsid w:val="002A31B9"/>
    <w:rPr>
      <w:rFonts w:ascii="Times" w:hAnsi="Times"/>
      <w:sz w:val="24"/>
    </w:rPr>
  </w:style>
  <w:style w:type="character" w:styleId="PageNumber">
    <w:name w:val="page number"/>
    <w:basedOn w:val="DefaultParagraphFont"/>
    <w:uiPriority w:val="99"/>
    <w:semiHidden/>
    <w:unhideWhenUsed/>
    <w:rsid w:val="0061766B"/>
  </w:style>
  <w:style w:type="paragraph" w:styleId="Caption">
    <w:name w:val="caption"/>
    <w:basedOn w:val="Normal"/>
    <w:next w:val="Normal"/>
    <w:uiPriority w:val="35"/>
    <w:unhideWhenUsed/>
    <w:qFormat/>
    <w:rsid w:val="00EA33E0"/>
    <w:rPr>
      <w:b/>
      <w:bCs/>
      <w:sz w:val="20"/>
    </w:rPr>
  </w:style>
  <w:style w:type="paragraph" w:styleId="FootnoteText">
    <w:name w:val="footnote text"/>
    <w:basedOn w:val="Normal"/>
    <w:link w:val="FootnoteTextChar"/>
    <w:uiPriority w:val="99"/>
    <w:unhideWhenUsed/>
    <w:rsid w:val="005B20C6"/>
    <w:rPr>
      <w:szCs w:val="24"/>
    </w:rPr>
  </w:style>
  <w:style w:type="character" w:customStyle="1" w:styleId="FootnoteTextChar">
    <w:name w:val="Footnote Text Char"/>
    <w:basedOn w:val="DefaultParagraphFont"/>
    <w:link w:val="FootnoteText"/>
    <w:uiPriority w:val="99"/>
    <w:rsid w:val="005B20C6"/>
    <w:rPr>
      <w:rFonts w:ascii="Times" w:hAnsi="Times"/>
      <w:sz w:val="24"/>
      <w:szCs w:val="24"/>
    </w:rPr>
  </w:style>
  <w:style w:type="character" w:styleId="FootnoteReference">
    <w:name w:val="footnote reference"/>
    <w:basedOn w:val="DefaultParagraphFont"/>
    <w:uiPriority w:val="99"/>
    <w:unhideWhenUsed/>
    <w:rsid w:val="005B20C6"/>
    <w:rPr>
      <w:vertAlign w:val="superscript"/>
    </w:rPr>
  </w:style>
  <w:style w:type="paragraph" w:styleId="ListParagraph">
    <w:name w:val="List Paragraph"/>
    <w:basedOn w:val="Normal"/>
    <w:uiPriority w:val="34"/>
    <w:qFormat/>
    <w:rsid w:val="00F513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Header">
    <w:name w:val="header"/>
    <w:basedOn w:val="Normal"/>
    <w:link w:val="HeaderChar"/>
    <w:uiPriority w:val="99"/>
    <w:unhideWhenUsed/>
    <w:rsid w:val="002A31B9"/>
    <w:pPr>
      <w:tabs>
        <w:tab w:val="center" w:pos="4320"/>
        <w:tab w:val="right" w:pos="8640"/>
      </w:tabs>
    </w:pPr>
  </w:style>
  <w:style w:type="character" w:customStyle="1" w:styleId="HeaderChar">
    <w:name w:val="Header Char"/>
    <w:basedOn w:val="DefaultParagraphFont"/>
    <w:link w:val="Header"/>
    <w:uiPriority w:val="99"/>
    <w:rsid w:val="002A31B9"/>
    <w:rPr>
      <w:rFonts w:ascii="Times" w:hAnsi="Times"/>
      <w:sz w:val="24"/>
    </w:rPr>
  </w:style>
  <w:style w:type="paragraph" w:styleId="Footer">
    <w:name w:val="footer"/>
    <w:basedOn w:val="Normal"/>
    <w:link w:val="FooterChar"/>
    <w:uiPriority w:val="99"/>
    <w:unhideWhenUsed/>
    <w:rsid w:val="002A31B9"/>
    <w:pPr>
      <w:tabs>
        <w:tab w:val="center" w:pos="4320"/>
        <w:tab w:val="right" w:pos="8640"/>
      </w:tabs>
    </w:pPr>
  </w:style>
  <w:style w:type="character" w:customStyle="1" w:styleId="FooterChar">
    <w:name w:val="Footer Char"/>
    <w:basedOn w:val="DefaultParagraphFont"/>
    <w:link w:val="Footer"/>
    <w:uiPriority w:val="99"/>
    <w:rsid w:val="002A31B9"/>
    <w:rPr>
      <w:rFonts w:ascii="Times" w:hAnsi="Times"/>
      <w:sz w:val="24"/>
    </w:rPr>
  </w:style>
  <w:style w:type="character" w:styleId="PageNumber">
    <w:name w:val="page number"/>
    <w:basedOn w:val="DefaultParagraphFont"/>
    <w:uiPriority w:val="99"/>
    <w:semiHidden/>
    <w:unhideWhenUsed/>
    <w:rsid w:val="0061766B"/>
  </w:style>
  <w:style w:type="paragraph" w:styleId="Caption">
    <w:name w:val="caption"/>
    <w:basedOn w:val="Normal"/>
    <w:next w:val="Normal"/>
    <w:uiPriority w:val="35"/>
    <w:unhideWhenUsed/>
    <w:qFormat/>
    <w:rsid w:val="00EA33E0"/>
    <w:rPr>
      <w:b/>
      <w:bCs/>
      <w:sz w:val="20"/>
    </w:rPr>
  </w:style>
  <w:style w:type="paragraph" w:styleId="FootnoteText">
    <w:name w:val="footnote text"/>
    <w:basedOn w:val="Normal"/>
    <w:link w:val="FootnoteTextChar"/>
    <w:uiPriority w:val="99"/>
    <w:unhideWhenUsed/>
    <w:rsid w:val="005B20C6"/>
    <w:rPr>
      <w:szCs w:val="24"/>
    </w:rPr>
  </w:style>
  <w:style w:type="character" w:customStyle="1" w:styleId="FootnoteTextChar">
    <w:name w:val="Footnote Text Char"/>
    <w:basedOn w:val="DefaultParagraphFont"/>
    <w:link w:val="FootnoteText"/>
    <w:uiPriority w:val="99"/>
    <w:rsid w:val="005B20C6"/>
    <w:rPr>
      <w:rFonts w:ascii="Times" w:hAnsi="Times"/>
      <w:sz w:val="24"/>
      <w:szCs w:val="24"/>
    </w:rPr>
  </w:style>
  <w:style w:type="character" w:styleId="FootnoteReference">
    <w:name w:val="footnote reference"/>
    <w:basedOn w:val="DefaultParagraphFont"/>
    <w:uiPriority w:val="99"/>
    <w:unhideWhenUsed/>
    <w:rsid w:val="005B20C6"/>
    <w:rPr>
      <w:vertAlign w:val="superscript"/>
    </w:rPr>
  </w:style>
  <w:style w:type="paragraph" w:styleId="ListParagraph">
    <w:name w:val="List Paragraph"/>
    <w:basedOn w:val="Normal"/>
    <w:uiPriority w:val="34"/>
    <w:qFormat/>
    <w:rsid w:val="00F5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footer" Target="footer3.xml"/><Relationship Id="rId17" Type="http://schemas.openxmlformats.org/officeDocument/2006/relationships/fontTable" Target="fontTable.xml"/><Relationship Id="rId7" Type="http://schemas.openxmlformats.org/officeDocument/2006/relationships/footnotes" Target="footnotes.xml"/><Relationship Id="rId16"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0.png"/><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2.xml"/><Relationship Id="rId14"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5.gif"/></Relationships>
</file>

<file path=word/_rels/footnotes.xml.rels><?xml version="1.0" encoding="UTF-8" standalone="yes"?>
<Relationships xmlns="http://schemas.openxmlformats.org/package/2006/relationships"><Relationship Id="rId1" Type="http://schemas.openxmlformats.org/officeDocument/2006/relationships/hyperlink" Target="http://www.raponline.org/document/download/id/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76A4D6A-A537-4213-B5C5-0F573C63FB2C}"/>
</file>

<file path=customXml/itemProps2.xml><?xml version="1.0" encoding="utf-8"?>
<ds:datastoreItem xmlns:ds="http://schemas.openxmlformats.org/officeDocument/2006/customXml" ds:itemID="{199D13F6-4573-4FC2-B3CD-E7AF922BDAEB}"/>
</file>

<file path=customXml/itemProps3.xml><?xml version="1.0" encoding="utf-8"?>
<ds:datastoreItem xmlns:ds="http://schemas.openxmlformats.org/officeDocument/2006/customXml" ds:itemID="{7BB70998-63AF-4C84-816A-55CFFA395B9F}"/>
</file>

<file path=customXml/itemProps4.xml><?xml version="1.0" encoding="utf-8"?>
<ds:datastoreItem xmlns:ds="http://schemas.openxmlformats.org/officeDocument/2006/customXml" ds:itemID="{74AE72C6-86B8-2243-AF43-0430BAB2E5B2}"/>
</file>

<file path=customXml/itemProps5.xml><?xml version="1.0" encoding="utf-8"?>
<ds:datastoreItem xmlns:ds="http://schemas.openxmlformats.org/officeDocument/2006/customXml" ds:itemID="{3E50B591-B459-4AB7-BA08-DC256AAA408D}"/>
</file>

<file path=docProps/app.xml><?xml version="1.0" encoding="utf-8"?>
<Properties xmlns="http://schemas.openxmlformats.org/officeDocument/2006/extended-properties" xmlns:vt="http://schemas.openxmlformats.org/officeDocument/2006/docPropsVTypes">
  <Template>Normal.dotm</Template>
  <TotalTime>120</TotalTime>
  <Pages>4</Pages>
  <Words>866</Words>
  <Characters>4937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July 18, 2005</vt:lpstr>
    </vt:vector>
  </TitlesOfParts>
  <Company>NW Energy Coalition</Company>
  <LinksUpToDate>false</LinksUpToDate>
  <CharactersWithSpaces>5792</CharactersWithSpaces>
  <SharedDoc>false</SharedDoc>
  <HLinks>
    <vt:vector size="6" baseType="variant">
      <vt:variant>
        <vt:i4>2031700</vt:i4>
      </vt:variant>
      <vt:variant>
        <vt:i4>-1</vt:i4>
      </vt:variant>
      <vt:variant>
        <vt:i4>1027</vt:i4>
      </vt:variant>
      <vt:variant>
        <vt:i4>1</vt:i4>
      </vt:variant>
      <vt:variant>
        <vt:lpwstr>nwec_logo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2005</dc:title>
  <dc:subject/>
  <dc:creator>Cy Berryman</dc:creator>
  <cp:keywords/>
  <cp:lastModifiedBy>Lynne Dial</cp:lastModifiedBy>
  <cp:revision>11</cp:revision>
  <cp:lastPrinted>2013-01-17T23:59:00Z</cp:lastPrinted>
  <dcterms:created xsi:type="dcterms:W3CDTF">2013-04-05T23:05:00Z</dcterms:created>
  <dcterms:modified xsi:type="dcterms:W3CDTF">2013-04-08T23:39:00Z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