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word/document.xml" ContentType="application/vnd.openxmlformats-officedocument.wordprocessingml.document.main+xml"/>
  <Override PartName="/word/stylesWithEffects.xml" ContentType="application/vnd.ms-word.stylesWithEffects+xml"/>
  <Override PartName="/word/header3.xml" ContentType="application/vnd.openxmlformats-officedocument.wordprocessingml.header+xml"/>
  <Override PartName="/customXml/itemProps3.xml" ContentType="application/vnd.openxmlformats-officedocument.customXmlProperties+xml"/>
  <Override PartName="/word/theme/theme1.xml" ContentType="application/vnd.openxmlformats-officedocument.theme+xml"/>
  <Override PartName="/word/styles.xml" ContentType="application/vnd.openxmlformats-officedocument.wordprocessingml.styles+xml"/>
  <Override PartName="/word/endnotes.xml" ContentType="application/vnd.openxmlformats-officedocument.wordprocessingml.endnotes+xml"/>
  <Override PartName="/word/footer2.xml" ContentType="application/vnd.openxmlformats-officedocument.wordprocessingml.footer+xml"/>
  <Override PartName="/customXml/itemProps2.xml" ContentType="application/vnd.openxmlformats-officedocument.customXmlProperties+xml"/>
  <Override PartName="/word/footer1.xml" ContentType="application/vnd.openxmlformats-officedocument.wordprocessingml.footer+xml"/>
  <Override PartName="/word/fontTable.xml" ContentType="application/vnd.openxmlformats-officedocument.wordprocessingml.fontTable+xml"/>
  <Override PartName="/customXml/itemProps1.xml" ContentType="application/vnd.openxmlformats-officedocument.customXmlProperties+xml"/>
  <Override PartName="/word/numbering.xml" ContentType="application/vnd.openxmlformats-officedocument.wordprocessingml.numbering+xml"/>
  <Override PartName="/word/footnotes.xml" ContentType="application/vnd.openxmlformats-officedocument.wordprocessingml.footnotes+xml"/>
  <Override PartName="/customXml/itemProps5.xml" ContentType="application/vnd.openxmlformats-officedocument.customXmlProperties+xml"/>
  <Override PartName="/word/header2.xml" ContentType="application/vnd.openxmlformats-officedocument.wordprocessingml.header+xml"/>
  <Override PartName="/word/webSettings.xml" ContentType="application/vnd.openxmlformats-officedocument.wordprocessingml.webSettings+xml"/>
  <Override PartName="/word/footer3.xml" ContentType="application/vnd.openxmlformats-officedocument.wordprocessingml.footer+xml"/>
  <Override PartName="/customXml/itemProps4.xml" ContentType="application/vnd.openxmlformats-officedocument.customXmlProperties+xml"/>
  <Override PartName="/word/settings.xml" ContentType="application/vnd.openxmlformats-officedocument.wordprocessingml.settings+xml"/>
  <Override PartName="/word/header1.xml" ContentType="application/vnd.openxmlformats-officedocument.wordprocessingml.header+xml"/>
  <Override PartName="/word/people.xml" ContentType="application/vnd.openxmlformats-officedocument.wordprocessingml.people+xml"/>
  <Override PartName="/docProps/custom.xml" ContentType="application/vnd.openxmlformats-officedocument.custom-propertie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F9C" w:rsidRDefault="00F748D8" w:rsidP="00D64700">
      <w:pPr>
        <w:tabs>
          <w:tab w:val="center" w:pos="4680"/>
        </w:tabs>
        <w:ind w:right="18"/>
        <w:jc w:val="center"/>
        <w:rPr>
          <w:b/>
          <w:sz w:val="24"/>
        </w:rPr>
      </w:pPr>
      <w:bookmarkStart w:id="0" w:name="_GoBack"/>
      <w:bookmarkEnd w:id="0"/>
      <w:r w:rsidRPr="001A5F9C">
        <w:rPr>
          <w:b/>
          <w:sz w:val="24"/>
        </w:rPr>
        <w:t xml:space="preserve">BEFORE THE WASHINGTON </w:t>
      </w:r>
    </w:p>
    <w:p w:rsidR="00F748D8" w:rsidRPr="001A5F9C" w:rsidRDefault="00F748D8" w:rsidP="00D64700">
      <w:pPr>
        <w:tabs>
          <w:tab w:val="center" w:pos="4680"/>
        </w:tabs>
        <w:ind w:right="18"/>
        <w:jc w:val="center"/>
        <w:rPr>
          <w:b/>
          <w:sz w:val="24"/>
        </w:rPr>
      </w:pPr>
      <w:r w:rsidRPr="001A5F9C">
        <w:rPr>
          <w:b/>
          <w:sz w:val="24"/>
        </w:rPr>
        <w:t>UTILITIES AND TRANSPORTATION COMMISSION</w:t>
      </w:r>
    </w:p>
    <w:p w:rsidR="00F748D8" w:rsidRPr="00084021" w:rsidRDefault="00F748D8" w:rsidP="00B7076C">
      <w:pPr>
        <w:rPr>
          <w:sz w:val="24"/>
        </w:rPr>
      </w:pPr>
    </w:p>
    <w:p w:rsidR="00F748D8" w:rsidRPr="00084021" w:rsidRDefault="00F748D8" w:rsidP="00B7076C">
      <w:pPr>
        <w:rPr>
          <w:sz w:val="24"/>
        </w:rPr>
      </w:pPr>
    </w:p>
    <w:tbl>
      <w:tblPr>
        <w:tblW w:w="9312" w:type="dxa"/>
        <w:tblInd w:w="-8" w:type="dxa"/>
        <w:tblLayout w:type="fixed"/>
        <w:tblCellMar>
          <w:left w:w="124" w:type="dxa"/>
          <w:right w:w="124" w:type="dxa"/>
        </w:tblCellMar>
        <w:tblLook w:val="0000" w:firstRow="0" w:lastRow="0" w:firstColumn="0" w:lastColumn="0" w:noHBand="0" w:noVBand="0"/>
      </w:tblPr>
      <w:tblGrid>
        <w:gridCol w:w="4722"/>
        <w:gridCol w:w="4590"/>
      </w:tblGrid>
      <w:tr w:rsidR="00F748D8" w:rsidRPr="00084021" w:rsidTr="007A78B7">
        <w:tc>
          <w:tcPr>
            <w:tcW w:w="4722" w:type="dxa"/>
            <w:tcBorders>
              <w:top w:val="single" w:sz="6" w:space="0" w:color="FFFFFF"/>
              <w:left w:val="single" w:sz="6" w:space="0" w:color="FFFFFF"/>
              <w:bottom w:val="single" w:sz="7" w:space="0" w:color="000000"/>
              <w:right w:val="single" w:sz="6" w:space="0" w:color="FFFFFF"/>
            </w:tcBorders>
          </w:tcPr>
          <w:p w:rsidR="007A78B7" w:rsidRPr="007A78B7" w:rsidRDefault="007A78B7" w:rsidP="007A78B7">
            <w:pPr>
              <w:ind w:left="-124"/>
              <w:rPr>
                <w:sz w:val="24"/>
              </w:rPr>
            </w:pPr>
            <w:r w:rsidRPr="007A78B7">
              <w:rPr>
                <w:sz w:val="24"/>
              </w:rPr>
              <w:t>WASHINGTON UTILITIES AND TRANSPORTATION COMMISSION,</w:t>
            </w:r>
          </w:p>
          <w:p w:rsidR="007A78B7" w:rsidRPr="007A78B7" w:rsidRDefault="007A78B7" w:rsidP="007A78B7">
            <w:pPr>
              <w:ind w:left="-124"/>
              <w:rPr>
                <w:sz w:val="24"/>
              </w:rPr>
            </w:pPr>
          </w:p>
          <w:p w:rsidR="007A78B7" w:rsidRPr="007A78B7" w:rsidRDefault="007A78B7" w:rsidP="007A78B7">
            <w:pPr>
              <w:ind w:left="-124"/>
              <w:rPr>
                <w:sz w:val="24"/>
              </w:rPr>
            </w:pPr>
            <w:r w:rsidRPr="007A78B7">
              <w:rPr>
                <w:sz w:val="24"/>
              </w:rPr>
              <w:tab/>
            </w:r>
            <w:r>
              <w:rPr>
                <w:sz w:val="24"/>
              </w:rPr>
              <w:tab/>
            </w:r>
            <w:r w:rsidRPr="007A78B7">
              <w:rPr>
                <w:sz w:val="24"/>
              </w:rPr>
              <w:t>Complainant,</w:t>
            </w:r>
          </w:p>
          <w:p w:rsidR="007A78B7" w:rsidRPr="007A78B7" w:rsidRDefault="007A78B7" w:rsidP="007A78B7">
            <w:pPr>
              <w:ind w:left="-124"/>
              <w:rPr>
                <w:sz w:val="24"/>
              </w:rPr>
            </w:pPr>
          </w:p>
          <w:p w:rsidR="007A78B7" w:rsidRPr="007A78B7" w:rsidRDefault="007A78B7" w:rsidP="007A78B7">
            <w:pPr>
              <w:ind w:left="-124"/>
              <w:rPr>
                <w:sz w:val="24"/>
              </w:rPr>
            </w:pPr>
            <w:r w:rsidRPr="007A78B7">
              <w:rPr>
                <w:sz w:val="24"/>
              </w:rPr>
              <w:t>v.</w:t>
            </w:r>
          </w:p>
          <w:p w:rsidR="007A78B7" w:rsidRPr="007A78B7" w:rsidRDefault="007A78B7" w:rsidP="007A78B7">
            <w:pPr>
              <w:ind w:left="-124"/>
              <w:rPr>
                <w:sz w:val="24"/>
              </w:rPr>
            </w:pPr>
          </w:p>
          <w:p w:rsidR="007A78B7" w:rsidRPr="007A78B7" w:rsidRDefault="007A78B7" w:rsidP="007A78B7">
            <w:pPr>
              <w:ind w:left="-124"/>
              <w:rPr>
                <w:sz w:val="24"/>
              </w:rPr>
            </w:pPr>
            <w:r w:rsidRPr="007A78B7">
              <w:rPr>
                <w:sz w:val="24"/>
              </w:rPr>
              <w:t>CASCADE NATURAL GAS CORPORATION,</w:t>
            </w:r>
          </w:p>
          <w:p w:rsidR="007A78B7" w:rsidRPr="007A78B7" w:rsidRDefault="007A78B7" w:rsidP="007A78B7">
            <w:pPr>
              <w:ind w:left="-124"/>
              <w:rPr>
                <w:sz w:val="24"/>
              </w:rPr>
            </w:pPr>
          </w:p>
          <w:p w:rsidR="00871BDE" w:rsidRDefault="007A78B7" w:rsidP="007A78B7">
            <w:pPr>
              <w:ind w:left="-124"/>
              <w:rPr>
                <w:sz w:val="24"/>
              </w:rPr>
            </w:pPr>
            <w:r>
              <w:rPr>
                <w:sz w:val="24"/>
              </w:rPr>
              <w:tab/>
            </w:r>
            <w:r>
              <w:rPr>
                <w:sz w:val="24"/>
              </w:rPr>
              <w:tab/>
            </w:r>
            <w:r w:rsidRPr="007A78B7">
              <w:rPr>
                <w:sz w:val="24"/>
              </w:rPr>
              <w:t>Respondent.</w:t>
            </w:r>
          </w:p>
          <w:p w:rsidR="007A78B7" w:rsidRPr="00084021" w:rsidRDefault="007A78B7" w:rsidP="007A78B7">
            <w:pPr>
              <w:ind w:left="-124"/>
              <w:rPr>
                <w:sz w:val="24"/>
              </w:rPr>
            </w:pPr>
          </w:p>
        </w:tc>
        <w:tc>
          <w:tcPr>
            <w:tcW w:w="4590" w:type="dxa"/>
            <w:tcBorders>
              <w:top w:val="single" w:sz="6" w:space="0" w:color="FFFFFF"/>
              <w:left w:val="single" w:sz="7" w:space="0" w:color="000000"/>
              <w:bottom w:val="single" w:sz="6" w:space="0" w:color="FFFFFF"/>
              <w:right w:val="single" w:sz="6" w:space="0" w:color="FFFFFF"/>
            </w:tcBorders>
          </w:tcPr>
          <w:p w:rsidR="00F748D8" w:rsidRPr="00420738" w:rsidRDefault="004C3D65" w:rsidP="00871BDE">
            <w:pPr>
              <w:ind w:left="236"/>
              <w:rPr>
                <w:sz w:val="24"/>
              </w:rPr>
            </w:pPr>
            <w:r w:rsidRPr="00420738">
              <w:rPr>
                <w:sz w:val="24"/>
              </w:rPr>
              <w:t xml:space="preserve">DOCKET </w:t>
            </w:r>
            <w:r w:rsidR="007A78B7" w:rsidRPr="00420738">
              <w:rPr>
                <w:sz w:val="24"/>
              </w:rPr>
              <w:t>PG-150120</w:t>
            </w:r>
          </w:p>
          <w:p w:rsidR="00F748D8" w:rsidRPr="00420738" w:rsidRDefault="00F748D8" w:rsidP="00871BDE">
            <w:pPr>
              <w:ind w:left="236"/>
              <w:rPr>
                <w:sz w:val="24"/>
              </w:rPr>
            </w:pPr>
          </w:p>
          <w:p w:rsidR="00871BDE" w:rsidRPr="00420738" w:rsidRDefault="0016417C" w:rsidP="00BC45BF">
            <w:pPr>
              <w:ind w:left="236"/>
              <w:rPr>
                <w:sz w:val="24"/>
              </w:rPr>
            </w:pPr>
            <w:r w:rsidRPr="00420738">
              <w:rPr>
                <w:sz w:val="24"/>
              </w:rPr>
              <w:t>SETTLEMENT AGREEMENT</w:t>
            </w:r>
          </w:p>
          <w:p w:rsidR="00871BDE" w:rsidRPr="00084021" w:rsidRDefault="00871BDE" w:rsidP="00871BDE">
            <w:pPr>
              <w:ind w:left="236"/>
              <w:rPr>
                <w:sz w:val="24"/>
              </w:rPr>
            </w:pPr>
          </w:p>
        </w:tc>
      </w:tr>
    </w:tbl>
    <w:p w:rsidR="00BA2E6D" w:rsidRPr="00084021" w:rsidRDefault="00BA2E6D" w:rsidP="00193BE4">
      <w:pPr>
        <w:widowControl/>
        <w:autoSpaceDE/>
        <w:autoSpaceDN/>
        <w:adjustRightInd/>
        <w:jc w:val="center"/>
        <w:rPr>
          <w:b/>
          <w:sz w:val="24"/>
        </w:rPr>
      </w:pPr>
    </w:p>
    <w:p w:rsidR="007A78B7" w:rsidRDefault="007A78B7" w:rsidP="00193BE4">
      <w:pPr>
        <w:widowControl/>
        <w:autoSpaceDE/>
        <w:autoSpaceDN/>
        <w:adjustRightInd/>
        <w:spacing w:line="480" w:lineRule="auto"/>
        <w:jc w:val="center"/>
        <w:rPr>
          <w:b/>
          <w:sz w:val="24"/>
        </w:rPr>
      </w:pPr>
      <w:r>
        <w:rPr>
          <w:b/>
          <w:sz w:val="24"/>
        </w:rPr>
        <w:t>I.</w:t>
      </w:r>
      <w:r>
        <w:rPr>
          <w:b/>
          <w:sz w:val="24"/>
        </w:rPr>
        <w:tab/>
      </w:r>
      <w:r w:rsidR="00193BE4">
        <w:rPr>
          <w:b/>
          <w:sz w:val="24"/>
        </w:rPr>
        <w:t>PARTIES</w:t>
      </w:r>
    </w:p>
    <w:p w:rsidR="007A78B7" w:rsidRDefault="00193BE4" w:rsidP="007A78B7">
      <w:pPr>
        <w:widowControl/>
        <w:numPr>
          <w:ilvl w:val="0"/>
          <w:numId w:val="4"/>
        </w:numPr>
        <w:tabs>
          <w:tab w:val="clear" w:pos="1080"/>
          <w:tab w:val="left" w:pos="720"/>
        </w:tabs>
        <w:autoSpaceDE/>
        <w:autoSpaceDN/>
        <w:adjustRightInd/>
        <w:spacing w:line="480" w:lineRule="auto"/>
        <w:ind w:left="0" w:hanging="720"/>
        <w:rPr>
          <w:b/>
          <w:sz w:val="24"/>
        </w:rPr>
      </w:pPr>
      <w:r>
        <w:rPr>
          <w:sz w:val="24"/>
        </w:rPr>
        <w:tab/>
        <w:t xml:space="preserve">The parties to this settlement agreement (Agreement) are </w:t>
      </w:r>
      <w:r w:rsidR="007A78B7">
        <w:rPr>
          <w:sz w:val="24"/>
        </w:rPr>
        <w:t xml:space="preserve">Staff of the Washington Utilities and Transportation Commission (Staff) and </w:t>
      </w:r>
      <w:r>
        <w:rPr>
          <w:sz w:val="24"/>
        </w:rPr>
        <w:t>Cascade Natural Gas Corporation (CNGC or Company)</w:t>
      </w:r>
      <w:r w:rsidR="007A78B7">
        <w:rPr>
          <w:sz w:val="24"/>
        </w:rPr>
        <w:t>.</w:t>
      </w:r>
      <w:r>
        <w:rPr>
          <w:sz w:val="24"/>
        </w:rPr>
        <w:t xml:space="preserve"> The parties agree</w:t>
      </w:r>
      <w:r w:rsidR="0016417C">
        <w:rPr>
          <w:sz w:val="24"/>
        </w:rPr>
        <w:t xml:space="preserve"> to resolve the Complaint in this docket</w:t>
      </w:r>
      <w:r>
        <w:rPr>
          <w:sz w:val="24"/>
        </w:rPr>
        <w:t xml:space="preserve"> as follows:</w:t>
      </w:r>
    </w:p>
    <w:p w:rsidR="007A78B7" w:rsidRDefault="007A78B7" w:rsidP="007A78B7">
      <w:pPr>
        <w:widowControl/>
        <w:tabs>
          <w:tab w:val="left" w:pos="720"/>
        </w:tabs>
        <w:autoSpaceDE/>
        <w:autoSpaceDN/>
        <w:adjustRightInd/>
        <w:spacing w:line="480" w:lineRule="auto"/>
        <w:jc w:val="center"/>
        <w:rPr>
          <w:b/>
          <w:sz w:val="24"/>
        </w:rPr>
      </w:pPr>
      <w:r>
        <w:rPr>
          <w:b/>
          <w:sz w:val="24"/>
        </w:rPr>
        <w:t>II.</w:t>
      </w:r>
      <w:r>
        <w:rPr>
          <w:b/>
          <w:sz w:val="24"/>
        </w:rPr>
        <w:tab/>
        <w:t>JURISDICTION</w:t>
      </w:r>
    </w:p>
    <w:p w:rsidR="007A78B7" w:rsidRDefault="00193BE4" w:rsidP="007A78B7">
      <w:pPr>
        <w:widowControl/>
        <w:numPr>
          <w:ilvl w:val="0"/>
          <w:numId w:val="4"/>
        </w:numPr>
        <w:tabs>
          <w:tab w:val="clear" w:pos="1080"/>
          <w:tab w:val="left" w:pos="720"/>
        </w:tabs>
        <w:autoSpaceDE/>
        <w:autoSpaceDN/>
        <w:adjustRightInd/>
        <w:spacing w:line="480" w:lineRule="auto"/>
        <w:ind w:left="0" w:hanging="720"/>
        <w:rPr>
          <w:b/>
          <w:sz w:val="24"/>
        </w:rPr>
      </w:pPr>
      <w:r>
        <w:rPr>
          <w:sz w:val="24"/>
        </w:rPr>
        <w:tab/>
      </w:r>
      <w:r w:rsidR="007A78B7">
        <w:rPr>
          <w:sz w:val="24"/>
        </w:rPr>
        <w:t>The Washington Utilities and Transportation Commission (Commission) has jurisdiction to approve and enforce this Agreement</w:t>
      </w:r>
      <w:r w:rsidR="00683A17">
        <w:rPr>
          <w:sz w:val="24"/>
        </w:rPr>
        <w:t>.</w:t>
      </w:r>
    </w:p>
    <w:p w:rsidR="007A78B7" w:rsidRDefault="007A78B7" w:rsidP="00193BE4">
      <w:pPr>
        <w:widowControl/>
        <w:autoSpaceDE/>
        <w:autoSpaceDN/>
        <w:adjustRightInd/>
        <w:spacing w:line="480" w:lineRule="auto"/>
        <w:jc w:val="center"/>
        <w:rPr>
          <w:b/>
          <w:sz w:val="24"/>
        </w:rPr>
      </w:pPr>
      <w:r>
        <w:rPr>
          <w:b/>
          <w:sz w:val="24"/>
        </w:rPr>
        <w:t>III.</w:t>
      </w:r>
      <w:r>
        <w:rPr>
          <w:b/>
          <w:sz w:val="24"/>
        </w:rPr>
        <w:tab/>
        <w:t>EFFECTIVE DATE</w:t>
      </w:r>
    </w:p>
    <w:p w:rsidR="007A78B7" w:rsidRPr="00A91822" w:rsidRDefault="00193BE4" w:rsidP="007A78B7">
      <w:pPr>
        <w:widowControl/>
        <w:numPr>
          <w:ilvl w:val="0"/>
          <w:numId w:val="4"/>
        </w:numPr>
        <w:tabs>
          <w:tab w:val="clear" w:pos="1080"/>
          <w:tab w:val="left" w:pos="720"/>
        </w:tabs>
        <w:autoSpaceDE/>
        <w:autoSpaceDN/>
        <w:adjustRightInd/>
        <w:spacing w:line="480" w:lineRule="auto"/>
        <w:ind w:left="0" w:hanging="720"/>
        <w:rPr>
          <w:b/>
          <w:sz w:val="24"/>
        </w:rPr>
      </w:pPr>
      <w:r>
        <w:rPr>
          <w:sz w:val="24"/>
        </w:rPr>
        <w:tab/>
      </w:r>
      <w:r w:rsidR="00C80570" w:rsidRPr="00A91822">
        <w:rPr>
          <w:sz w:val="24"/>
        </w:rPr>
        <w:t>Section V of t</w:t>
      </w:r>
      <w:r w:rsidR="007A78B7" w:rsidRPr="00A91822">
        <w:rPr>
          <w:sz w:val="24"/>
        </w:rPr>
        <w:t>his</w:t>
      </w:r>
      <w:r w:rsidR="007A78B7">
        <w:rPr>
          <w:sz w:val="24"/>
        </w:rPr>
        <w:t xml:space="preserve"> Agreement is effective on the service date of a final Commission order approving this Agreement, or on the date that an initial order approving this Agreement becomes a final order pursuant to WAC 480-07-825(7).</w:t>
      </w:r>
      <w:r w:rsidR="00634B5A">
        <w:rPr>
          <w:sz w:val="24"/>
        </w:rPr>
        <w:t xml:space="preserve"> </w:t>
      </w:r>
      <w:r w:rsidR="00814675">
        <w:rPr>
          <w:sz w:val="24"/>
        </w:rPr>
        <w:t>The remainder of this Agreement is effective on the latest date of signature on this Agreement.</w:t>
      </w:r>
    </w:p>
    <w:p w:rsidR="0037254E" w:rsidRDefault="0037254E" w:rsidP="0037254E">
      <w:pPr>
        <w:widowControl/>
        <w:autoSpaceDE/>
        <w:autoSpaceDN/>
        <w:adjustRightInd/>
        <w:spacing w:line="480" w:lineRule="auto"/>
        <w:jc w:val="center"/>
        <w:rPr>
          <w:b/>
          <w:sz w:val="24"/>
        </w:rPr>
      </w:pPr>
      <w:r w:rsidRPr="00A91822">
        <w:rPr>
          <w:b/>
          <w:sz w:val="24"/>
        </w:rPr>
        <w:t>IV.</w:t>
      </w:r>
      <w:r>
        <w:rPr>
          <w:b/>
          <w:sz w:val="24"/>
        </w:rPr>
        <w:tab/>
        <w:t>BACKGROUND</w:t>
      </w:r>
    </w:p>
    <w:p w:rsidR="00CB74DF" w:rsidRDefault="0003793C" w:rsidP="007634E6">
      <w:pPr>
        <w:widowControl/>
        <w:numPr>
          <w:ilvl w:val="0"/>
          <w:numId w:val="4"/>
        </w:numPr>
        <w:tabs>
          <w:tab w:val="clear" w:pos="1080"/>
          <w:tab w:val="left" w:pos="720"/>
        </w:tabs>
        <w:autoSpaceDE/>
        <w:autoSpaceDN/>
        <w:adjustRightInd/>
        <w:spacing w:line="480" w:lineRule="auto"/>
        <w:ind w:left="0" w:hanging="720"/>
        <w:rPr>
          <w:sz w:val="24"/>
        </w:rPr>
      </w:pPr>
      <w:r w:rsidRPr="007634E6">
        <w:rPr>
          <w:sz w:val="24"/>
        </w:rPr>
        <w:tab/>
        <w:t>In 2013, Staff conducted standard natural gas pipeline inspections in C</w:t>
      </w:r>
      <w:r w:rsidRPr="00026989">
        <w:rPr>
          <w:sz w:val="24"/>
        </w:rPr>
        <w:t>NGC’s Washington service territory</w:t>
      </w:r>
      <w:r w:rsidRPr="008D5279">
        <w:rPr>
          <w:sz w:val="24"/>
        </w:rPr>
        <w:t>. During these inspections, Staff requested that C</w:t>
      </w:r>
      <w:r w:rsidRPr="004B7EE6">
        <w:rPr>
          <w:sz w:val="24"/>
        </w:rPr>
        <w:t xml:space="preserve">NGC provide </w:t>
      </w:r>
      <w:r w:rsidRPr="004B7EE6">
        <w:rPr>
          <w:sz w:val="24"/>
        </w:rPr>
        <w:lastRenderedPageBreak/>
        <w:t xml:space="preserve">documentation sufficient to confirm the Maximum Allowable Operating Pressure (MAOP) of randomly-selected high pressure pipeline segments. </w:t>
      </w:r>
      <w:r w:rsidR="007634E6">
        <w:rPr>
          <w:sz w:val="24"/>
        </w:rPr>
        <w:t>CNGC</w:t>
      </w:r>
      <w:r w:rsidRPr="007634E6">
        <w:rPr>
          <w:sz w:val="24"/>
        </w:rPr>
        <w:t xml:space="preserve"> failed to provide sufficient documentation for </w:t>
      </w:r>
      <w:r w:rsidR="007634E6" w:rsidRPr="007634E6">
        <w:rPr>
          <w:sz w:val="24"/>
        </w:rPr>
        <w:t xml:space="preserve">certain </w:t>
      </w:r>
      <w:r w:rsidRPr="007634E6">
        <w:rPr>
          <w:sz w:val="24"/>
        </w:rPr>
        <w:t xml:space="preserve">randomly-selected </w:t>
      </w:r>
      <w:r w:rsidR="007634E6" w:rsidRPr="007634E6">
        <w:rPr>
          <w:sz w:val="24"/>
        </w:rPr>
        <w:t>segments. As</w:t>
      </w:r>
      <w:r w:rsidRPr="007634E6">
        <w:rPr>
          <w:sz w:val="24"/>
        </w:rPr>
        <w:t xml:space="preserve"> a result, Staff </w:t>
      </w:r>
      <w:r w:rsidR="007634E6" w:rsidRPr="007634E6">
        <w:rPr>
          <w:sz w:val="24"/>
        </w:rPr>
        <w:t>opened an investigation into CNGC’</w:t>
      </w:r>
      <w:r w:rsidR="007634E6" w:rsidRPr="00026989">
        <w:rPr>
          <w:sz w:val="24"/>
        </w:rPr>
        <w:t>s compliance with</w:t>
      </w:r>
      <w:r w:rsidR="007634E6">
        <w:rPr>
          <w:sz w:val="24"/>
        </w:rPr>
        <w:t xml:space="preserve"> applicable MAOP regulations</w:t>
      </w:r>
      <w:r w:rsidRPr="007634E6">
        <w:rPr>
          <w:sz w:val="24"/>
        </w:rPr>
        <w:t>.</w:t>
      </w:r>
      <w:r w:rsidR="002F76D3">
        <w:rPr>
          <w:sz w:val="24"/>
        </w:rPr>
        <w:t xml:space="preserve"> </w:t>
      </w:r>
    </w:p>
    <w:p w:rsidR="007634E6" w:rsidRPr="007634E6" w:rsidRDefault="00CB74DF" w:rsidP="007634E6">
      <w:pPr>
        <w:widowControl/>
        <w:numPr>
          <w:ilvl w:val="0"/>
          <w:numId w:val="4"/>
        </w:numPr>
        <w:tabs>
          <w:tab w:val="clear" w:pos="1080"/>
          <w:tab w:val="left" w:pos="720"/>
        </w:tabs>
        <w:autoSpaceDE/>
        <w:autoSpaceDN/>
        <w:adjustRightInd/>
        <w:spacing w:line="480" w:lineRule="auto"/>
        <w:ind w:left="0" w:hanging="720"/>
        <w:rPr>
          <w:sz w:val="24"/>
        </w:rPr>
      </w:pPr>
      <w:r>
        <w:rPr>
          <w:sz w:val="24"/>
        </w:rPr>
        <w:tab/>
        <w:t>To address CNGC’s</w:t>
      </w:r>
      <w:r w:rsidR="002F76D3">
        <w:rPr>
          <w:sz w:val="24"/>
        </w:rPr>
        <w:t xml:space="preserve"> lack of documentation, Commission Staff and </w:t>
      </w:r>
      <w:r>
        <w:rPr>
          <w:sz w:val="24"/>
        </w:rPr>
        <w:t>CNGC</w:t>
      </w:r>
      <w:r w:rsidR="002F76D3">
        <w:rPr>
          <w:sz w:val="24"/>
        </w:rPr>
        <w:t xml:space="preserve"> agreed to a systematic process designed to provide Staff detailed information regarding </w:t>
      </w:r>
      <w:r>
        <w:rPr>
          <w:sz w:val="24"/>
        </w:rPr>
        <w:t>CNGC’s</w:t>
      </w:r>
      <w:r w:rsidR="002F76D3">
        <w:rPr>
          <w:sz w:val="24"/>
        </w:rPr>
        <w:t xml:space="preserve"> high pressure pipeline system and to establish a timeline by which CNGC would determine the MAOP of all its high pressure pipelines in Washington.</w:t>
      </w:r>
    </w:p>
    <w:p w:rsidR="0003793C" w:rsidRPr="0003793C" w:rsidRDefault="0003793C" w:rsidP="0003793C">
      <w:pPr>
        <w:widowControl/>
        <w:numPr>
          <w:ilvl w:val="0"/>
          <w:numId w:val="4"/>
        </w:numPr>
        <w:tabs>
          <w:tab w:val="clear" w:pos="1080"/>
          <w:tab w:val="left" w:pos="720"/>
        </w:tabs>
        <w:autoSpaceDE/>
        <w:autoSpaceDN/>
        <w:adjustRightInd/>
        <w:spacing w:line="480" w:lineRule="auto"/>
        <w:ind w:left="0" w:hanging="720"/>
        <w:rPr>
          <w:sz w:val="24"/>
        </w:rPr>
      </w:pPr>
      <w:r>
        <w:rPr>
          <w:sz w:val="24"/>
        </w:rPr>
        <w:tab/>
      </w:r>
      <w:r w:rsidRPr="0003793C">
        <w:rPr>
          <w:sz w:val="24"/>
        </w:rPr>
        <w:t xml:space="preserve">On February 2, 2015, Staff and </w:t>
      </w:r>
      <w:r w:rsidR="007634E6">
        <w:rPr>
          <w:sz w:val="24"/>
        </w:rPr>
        <w:t>CNGC</w:t>
      </w:r>
      <w:r w:rsidRPr="0003793C">
        <w:rPr>
          <w:sz w:val="24"/>
        </w:rPr>
        <w:t xml:space="preserve"> executed a Stipulated Agreement under which the Company agreed to “submit to the Commission a written plan that Cascade intends to implement for the purpose of determining the MAOP of all its high pressure pipelines in Washington for which there is insufficient documentation to confirm the current MAOP.”</w:t>
      </w:r>
      <w:r w:rsidRPr="0003793C">
        <w:rPr>
          <w:rStyle w:val="FootnoteReference"/>
          <w:sz w:val="24"/>
        </w:rPr>
        <w:footnoteReference w:id="1"/>
      </w:r>
      <w:r w:rsidRPr="0003793C">
        <w:rPr>
          <w:sz w:val="24"/>
        </w:rPr>
        <w:t xml:space="preserve"> The Commission approved the Stipulated Agreement on February 12, 2015, in Order 01 in Docket PG-150120. Pursuant to Order 01, </w:t>
      </w:r>
      <w:r w:rsidR="007634E6">
        <w:rPr>
          <w:sz w:val="24"/>
        </w:rPr>
        <w:t>CNGC</w:t>
      </w:r>
      <w:r w:rsidRPr="0003793C">
        <w:rPr>
          <w:sz w:val="24"/>
        </w:rPr>
        <w:t xml:space="preserve"> was required to submit its MAOP compliance plan by August 12, 2015.</w:t>
      </w:r>
    </w:p>
    <w:p w:rsidR="0003793C" w:rsidRPr="0003793C" w:rsidRDefault="0003793C" w:rsidP="0003793C">
      <w:pPr>
        <w:widowControl/>
        <w:numPr>
          <w:ilvl w:val="0"/>
          <w:numId w:val="4"/>
        </w:numPr>
        <w:tabs>
          <w:tab w:val="clear" w:pos="1080"/>
          <w:tab w:val="left" w:pos="720"/>
        </w:tabs>
        <w:autoSpaceDE/>
        <w:autoSpaceDN/>
        <w:adjustRightInd/>
        <w:spacing w:line="480" w:lineRule="auto"/>
        <w:ind w:left="0" w:hanging="720"/>
        <w:rPr>
          <w:sz w:val="24"/>
        </w:rPr>
      </w:pPr>
      <w:r>
        <w:rPr>
          <w:sz w:val="24"/>
        </w:rPr>
        <w:tab/>
      </w:r>
      <w:r w:rsidR="007634E6">
        <w:rPr>
          <w:sz w:val="24"/>
        </w:rPr>
        <w:t>CNGC</w:t>
      </w:r>
      <w:r w:rsidRPr="0003793C">
        <w:rPr>
          <w:sz w:val="24"/>
        </w:rPr>
        <w:t xml:space="preserve"> failed to submit its MAOP compliance plan by August 12, 2015</w:t>
      </w:r>
      <w:r w:rsidR="007634E6">
        <w:rPr>
          <w:sz w:val="24"/>
        </w:rPr>
        <w:t>.</w:t>
      </w:r>
    </w:p>
    <w:p w:rsidR="0003793C" w:rsidRPr="0003793C" w:rsidRDefault="0003793C" w:rsidP="0003793C">
      <w:pPr>
        <w:widowControl/>
        <w:numPr>
          <w:ilvl w:val="0"/>
          <w:numId w:val="4"/>
        </w:numPr>
        <w:tabs>
          <w:tab w:val="clear" w:pos="1080"/>
          <w:tab w:val="left" w:pos="720"/>
        </w:tabs>
        <w:autoSpaceDE/>
        <w:autoSpaceDN/>
        <w:adjustRightInd/>
        <w:spacing w:line="480" w:lineRule="auto"/>
        <w:ind w:left="0" w:hanging="720"/>
        <w:rPr>
          <w:sz w:val="24"/>
        </w:rPr>
      </w:pPr>
      <w:r>
        <w:rPr>
          <w:sz w:val="24"/>
        </w:rPr>
        <w:tab/>
      </w:r>
      <w:r w:rsidRPr="0003793C">
        <w:rPr>
          <w:sz w:val="24"/>
        </w:rPr>
        <w:t xml:space="preserve">On January 29, 2016, </w:t>
      </w:r>
      <w:r w:rsidR="007634E6">
        <w:rPr>
          <w:sz w:val="24"/>
        </w:rPr>
        <w:t xml:space="preserve">CNGC submitted its </w:t>
      </w:r>
      <w:r w:rsidRPr="0003793C">
        <w:rPr>
          <w:sz w:val="24"/>
        </w:rPr>
        <w:t>initial MAOP Determination &amp; Validation Plan.</w:t>
      </w:r>
    </w:p>
    <w:p w:rsidR="0003793C" w:rsidRPr="007634E6" w:rsidRDefault="0003793C" w:rsidP="007634E6">
      <w:pPr>
        <w:widowControl/>
        <w:numPr>
          <w:ilvl w:val="0"/>
          <w:numId w:val="4"/>
        </w:numPr>
        <w:tabs>
          <w:tab w:val="clear" w:pos="1080"/>
          <w:tab w:val="left" w:pos="720"/>
        </w:tabs>
        <w:autoSpaceDE/>
        <w:autoSpaceDN/>
        <w:adjustRightInd/>
        <w:spacing w:line="480" w:lineRule="auto"/>
        <w:ind w:left="0" w:hanging="720"/>
        <w:rPr>
          <w:sz w:val="24"/>
        </w:rPr>
      </w:pPr>
      <w:r w:rsidRPr="007634E6">
        <w:rPr>
          <w:sz w:val="24"/>
        </w:rPr>
        <w:tab/>
        <w:t xml:space="preserve">On April 29, 2016, </w:t>
      </w:r>
      <w:r w:rsidR="007634E6" w:rsidRPr="007634E6">
        <w:rPr>
          <w:sz w:val="24"/>
        </w:rPr>
        <w:t>CNGC</w:t>
      </w:r>
      <w:r w:rsidRPr="007634E6">
        <w:rPr>
          <w:sz w:val="24"/>
        </w:rPr>
        <w:t xml:space="preserve"> submitted </w:t>
      </w:r>
      <w:r w:rsidR="007634E6" w:rsidRPr="007634E6">
        <w:rPr>
          <w:sz w:val="24"/>
        </w:rPr>
        <w:t>its</w:t>
      </w:r>
      <w:r w:rsidRPr="007634E6">
        <w:rPr>
          <w:sz w:val="24"/>
        </w:rPr>
        <w:t xml:space="preserve"> revised MAOP Determination &amp; Validation Plan. </w:t>
      </w:r>
      <w:r w:rsidR="00394F4C">
        <w:rPr>
          <w:sz w:val="24"/>
        </w:rPr>
        <w:t xml:space="preserve">The revised MAOP Determination &amp; Validation Plan demonstrated that </w:t>
      </w:r>
      <w:r w:rsidR="007634E6" w:rsidRPr="007634E6">
        <w:rPr>
          <w:sz w:val="24"/>
        </w:rPr>
        <w:t>CNGC</w:t>
      </w:r>
      <w:r w:rsidRPr="007634E6">
        <w:rPr>
          <w:sz w:val="24"/>
        </w:rPr>
        <w:t xml:space="preserve"> </w:t>
      </w:r>
      <w:r w:rsidR="00026989">
        <w:rPr>
          <w:sz w:val="24"/>
        </w:rPr>
        <w:t>had operated, and was continuing to operate,</w:t>
      </w:r>
      <w:r w:rsidRPr="007634E6">
        <w:rPr>
          <w:sz w:val="24"/>
        </w:rPr>
        <w:t xml:space="preserve"> 116 high pressure pipeline segments without </w:t>
      </w:r>
      <w:r w:rsidR="00026989">
        <w:rPr>
          <w:sz w:val="24"/>
        </w:rPr>
        <w:t>compliant MAOP documentation</w:t>
      </w:r>
      <w:r w:rsidRPr="007634E6">
        <w:rPr>
          <w:sz w:val="24"/>
        </w:rPr>
        <w:t>.</w:t>
      </w:r>
      <w:r w:rsidR="00394F4C">
        <w:rPr>
          <w:sz w:val="24"/>
        </w:rPr>
        <w:t xml:space="preserve"> </w:t>
      </w:r>
    </w:p>
    <w:p w:rsidR="007634E6" w:rsidRPr="007634E6" w:rsidRDefault="007634E6" w:rsidP="007634E6">
      <w:pPr>
        <w:widowControl/>
        <w:numPr>
          <w:ilvl w:val="0"/>
          <w:numId w:val="4"/>
        </w:numPr>
        <w:tabs>
          <w:tab w:val="clear" w:pos="1080"/>
          <w:tab w:val="left" w:pos="720"/>
        </w:tabs>
        <w:autoSpaceDE/>
        <w:autoSpaceDN/>
        <w:adjustRightInd/>
        <w:spacing w:line="480" w:lineRule="auto"/>
        <w:ind w:left="0" w:hanging="720"/>
        <w:rPr>
          <w:sz w:val="24"/>
        </w:rPr>
      </w:pPr>
      <w:r>
        <w:rPr>
          <w:sz w:val="24"/>
        </w:rPr>
        <w:lastRenderedPageBreak/>
        <w:tab/>
        <w:t>On July 12, 2016, the Commission issued a formal complaint against CNGC. The Complaint alleged two causes of action, summarized as follows: (1) violation of a Commission-</w:t>
      </w:r>
      <w:r w:rsidR="00C709F7">
        <w:rPr>
          <w:sz w:val="24"/>
        </w:rPr>
        <w:t>ordered</w:t>
      </w:r>
      <w:r>
        <w:rPr>
          <w:sz w:val="24"/>
        </w:rPr>
        <w:t xml:space="preserve"> </w:t>
      </w:r>
      <w:r w:rsidR="00C709F7">
        <w:rPr>
          <w:sz w:val="24"/>
        </w:rPr>
        <w:t xml:space="preserve">compliance </w:t>
      </w:r>
      <w:r>
        <w:rPr>
          <w:sz w:val="24"/>
        </w:rPr>
        <w:t>deadline; and (2) failure to maintain compliant MAOP records for at least 116 pipeline segments.</w:t>
      </w:r>
      <w:r w:rsidR="00394F4C">
        <w:rPr>
          <w:sz w:val="24"/>
        </w:rPr>
        <w:t xml:space="preserve"> CNGC f</w:t>
      </w:r>
      <w:r w:rsidR="0081522F">
        <w:rPr>
          <w:sz w:val="24"/>
        </w:rPr>
        <w:t>iled an answer to the complaint</w:t>
      </w:r>
      <w:r w:rsidR="006802BB">
        <w:rPr>
          <w:sz w:val="24"/>
        </w:rPr>
        <w:t xml:space="preserve"> in which CNGC </w:t>
      </w:r>
      <w:r w:rsidR="00394F4C">
        <w:rPr>
          <w:sz w:val="24"/>
        </w:rPr>
        <w:t>admitt</w:t>
      </w:r>
      <w:r w:rsidR="006802BB">
        <w:rPr>
          <w:sz w:val="24"/>
        </w:rPr>
        <w:t>ed</w:t>
      </w:r>
      <w:r w:rsidR="00394F4C">
        <w:rPr>
          <w:sz w:val="24"/>
        </w:rPr>
        <w:t xml:space="preserve"> some allegations in the complaint and den</w:t>
      </w:r>
      <w:r w:rsidR="006802BB">
        <w:rPr>
          <w:sz w:val="24"/>
        </w:rPr>
        <w:t>ied</w:t>
      </w:r>
      <w:r w:rsidR="00394F4C">
        <w:rPr>
          <w:sz w:val="24"/>
        </w:rPr>
        <w:t xml:space="preserve"> some</w:t>
      </w:r>
      <w:r w:rsidR="0081522F">
        <w:rPr>
          <w:sz w:val="24"/>
        </w:rPr>
        <w:t xml:space="preserve"> allegations in the complaint. </w:t>
      </w:r>
      <w:r w:rsidR="00394F4C">
        <w:rPr>
          <w:sz w:val="24"/>
        </w:rPr>
        <w:t>CNGC does not contest that it missed the dea</w:t>
      </w:r>
      <w:r w:rsidR="006802BB">
        <w:rPr>
          <w:sz w:val="24"/>
        </w:rPr>
        <w:t>d</w:t>
      </w:r>
      <w:r w:rsidR="00394F4C">
        <w:rPr>
          <w:sz w:val="24"/>
        </w:rPr>
        <w:t>line for fili</w:t>
      </w:r>
      <w:r w:rsidR="006802BB">
        <w:rPr>
          <w:sz w:val="24"/>
        </w:rPr>
        <w:t xml:space="preserve">ng its MAOP plan or that it lacks </w:t>
      </w:r>
      <w:r w:rsidR="00394F4C">
        <w:rPr>
          <w:sz w:val="24"/>
        </w:rPr>
        <w:t xml:space="preserve">compliant MAOP records for at least 116 pipeline segments. </w:t>
      </w:r>
      <w:r w:rsidR="004F4D58">
        <w:rPr>
          <w:sz w:val="24"/>
        </w:rPr>
        <w:t xml:space="preserve">CNGC further responded in the answer that it had commenced a systematic process designed to provide the necessary information regarding </w:t>
      </w:r>
      <w:r w:rsidR="00CB74DF">
        <w:rPr>
          <w:sz w:val="24"/>
        </w:rPr>
        <w:t>CNGC’s</w:t>
      </w:r>
      <w:r w:rsidR="004F4D58">
        <w:rPr>
          <w:sz w:val="24"/>
        </w:rPr>
        <w:t xml:space="preserve"> high pressure pipeline system.  </w:t>
      </w:r>
    </w:p>
    <w:p w:rsidR="007634E6" w:rsidRPr="007634E6" w:rsidRDefault="007634E6" w:rsidP="00026989">
      <w:pPr>
        <w:widowControl/>
        <w:numPr>
          <w:ilvl w:val="0"/>
          <w:numId w:val="4"/>
        </w:numPr>
        <w:tabs>
          <w:tab w:val="clear" w:pos="1080"/>
          <w:tab w:val="left" w:pos="720"/>
        </w:tabs>
        <w:autoSpaceDE/>
        <w:autoSpaceDN/>
        <w:adjustRightInd/>
        <w:spacing w:line="480" w:lineRule="auto"/>
        <w:ind w:left="0" w:hanging="720"/>
        <w:rPr>
          <w:b/>
          <w:sz w:val="24"/>
        </w:rPr>
      </w:pPr>
      <w:r>
        <w:rPr>
          <w:sz w:val="24"/>
        </w:rPr>
        <w:tab/>
        <w:t>On September 2, 2016, the Commission issued a prehearing conference order.</w:t>
      </w:r>
      <w:r>
        <w:rPr>
          <w:rStyle w:val="FootnoteReference"/>
          <w:sz w:val="24"/>
        </w:rPr>
        <w:footnoteReference w:id="2"/>
      </w:r>
      <w:r>
        <w:rPr>
          <w:sz w:val="24"/>
        </w:rPr>
        <w:t xml:space="preserve"> </w:t>
      </w:r>
      <w:r w:rsidR="00026989">
        <w:rPr>
          <w:sz w:val="24"/>
        </w:rPr>
        <w:t>The order stated, among other things, “</w:t>
      </w:r>
      <w:r w:rsidR="00026989" w:rsidRPr="00026989">
        <w:rPr>
          <w:sz w:val="24"/>
        </w:rPr>
        <w:t>Parties are encouraged to consider means of resolving disputes informally.</w:t>
      </w:r>
      <w:r w:rsidR="00026989">
        <w:rPr>
          <w:sz w:val="24"/>
        </w:rPr>
        <w:t>”</w:t>
      </w:r>
    </w:p>
    <w:p w:rsidR="007634E6" w:rsidRPr="007634E6" w:rsidRDefault="007634E6" w:rsidP="007634E6">
      <w:pPr>
        <w:widowControl/>
        <w:numPr>
          <w:ilvl w:val="0"/>
          <w:numId w:val="4"/>
        </w:numPr>
        <w:tabs>
          <w:tab w:val="clear" w:pos="1080"/>
          <w:tab w:val="left" w:pos="720"/>
        </w:tabs>
        <w:autoSpaceDE/>
        <w:autoSpaceDN/>
        <w:adjustRightInd/>
        <w:spacing w:line="480" w:lineRule="auto"/>
        <w:ind w:left="0" w:hanging="720"/>
        <w:rPr>
          <w:b/>
          <w:sz w:val="24"/>
        </w:rPr>
      </w:pPr>
      <w:r>
        <w:rPr>
          <w:sz w:val="24"/>
        </w:rPr>
        <w:tab/>
      </w:r>
      <w:r w:rsidR="00026989">
        <w:rPr>
          <w:sz w:val="24"/>
        </w:rPr>
        <w:t>Following issuance of the prehearing conference order, the parties engaged in good faith negotiations</w:t>
      </w:r>
      <w:r w:rsidR="001D29C8">
        <w:rPr>
          <w:sz w:val="24"/>
        </w:rPr>
        <w:t xml:space="preserve"> to resolve the Commission’s allegations</w:t>
      </w:r>
      <w:r w:rsidR="00026989">
        <w:rPr>
          <w:sz w:val="24"/>
        </w:rPr>
        <w:t xml:space="preserve">. This Agreement </w:t>
      </w:r>
      <w:r w:rsidR="001D29C8">
        <w:rPr>
          <w:sz w:val="24"/>
        </w:rPr>
        <w:t>resulted.</w:t>
      </w:r>
    </w:p>
    <w:p w:rsidR="007A78B7" w:rsidRDefault="007A78B7" w:rsidP="00193BE4">
      <w:pPr>
        <w:widowControl/>
        <w:autoSpaceDE/>
        <w:autoSpaceDN/>
        <w:adjustRightInd/>
        <w:spacing w:line="480" w:lineRule="auto"/>
        <w:jc w:val="center"/>
        <w:rPr>
          <w:b/>
          <w:sz w:val="24"/>
        </w:rPr>
      </w:pPr>
      <w:r w:rsidRPr="00A91822">
        <w:rPr>
          <w:b/>
          <w:sz w:val="24"/>
        </w:rPr>
        <w:t>V</w:t>
      </w:r>
      <w:r>
        <w:rPr>
          <w:b/>
          <w:sz w:val="24"/>
        </w:rPr>
        <w:t>.</w:t>
      </w:r>
      <w:r>
        <w:rPr>
          <w:b/>
          <w:sz w:val="24"/>
        </w:rPr>
        <w:tab/>
        <w:t>TERMS OF AGREEMENT</w:t>
      </w:r>
    </w:p>
    <w:p w:rsidR="001A5F9C" w:rsidRPr="001A5F9C" w:rsidRDefault="0037254E" w:rsidP="001A5F9C">
      <w:pPr>
        <w:widowControl/>
        <w:tabs>
          <w:tab w:val="left" w:pos="720"/>
        </w:tabs>
        <w:autoSpaceDE/>
        <w:autoSpaceDN/>
        <w:adjustRightInd/>
        <w:spacing w:line="480" w:lineRule="auto"/>
        <w:rPr>
          <w:b/>
          <w:sz w:val="24"/>
        </w:rPr>
      </w:pPr>
      <w:r>
        <w:rPr>
          <w:b/>
          <w:sz w:val="24"/>
        </w:rPr>
        <w:t>A</w:t>
      </w:r>
      <w:r w:rsidR="001A5F9C">
        <w:rPr>
          <w:b/>
          <w:sz w:val="24"/>
        </w:rPr>
        <w:t>.</w:t>
      </w:r>
      <w:r w:rsidR="001A5F9C">
        <w:rPr>
          <w:b/>
          <w:sz w:val="24"/>
        </w:rPr>
        <w:tab/>
        <w:t>Monetary Penalty</w:t>
      </w:r>
    </w:p>
    <w:p w:rsidR="00AD514B" w:rsidRPr="001E6269" w:rsidRDefault="00B66E04" w:rsidP="00037EA2">
      <w:pPr>
        <w:widowControl/>
        <w:numPr>
          <w:ilvl w:val="0"/>
          <w:numId w:val="4"/>
        </w:numPr>
        <w:tabs>
          <w:tab w:val="clear" w:pos="1080"/>
          <w:tab w:val="left" w:pos="720"/>
        </w:tabs>
        <w:autoSpaceDE/>
        <w:autoSpaceDN/>
        <w:adjustRightInd/>
        <w:spacing w:line="480" w:lineRule="auto"/>
        <w:ind w:left="0" w:hanging="720"/>
        <w:rPr>
          <w:b/>
          <w:sz w:val="24"/>
        </w:rPr>
      </w:pPr>
      <w:r w:rsidRPr="001E6269">
        <w:rPr>
          <w:sz w:val="24"/>
        </w:rPr>
        <w:tab/>
        <w:t>As authorized by RCW 81.88.040 and WAC 480-93-223, the Commission</w:t>
      </w:r>
      <w:r w:rsidR="00656EE5" w:rsidRPr="001E6269">
        <w:rPr>
          <w:sz w:val="24"/>
        </w:rPr>
        <w:t xml:space="preserve"> </w:t>
      </w:r>
      <w:r w:rsidR="001E6269" w:rsidRPr="001E6269">
        <w:rPr>
          <w:sz w:val="24"/>
        </w:rPr>
        <w:t>will impose</w:t>
      </w:r>
      <w:r w:rsidRPr="001E6269">
        <w:rPr>
          <w:sz w:val="24"/>
        </w:rPr>
        <w:t xml:space="preserve"> a total penalty of</w:t>
      </w:r>
      <w:r w:rsidR="00AD514B" w:rsidRPr="001E6269">
        <w:rPr>
          <w:sz w:val="24"/>
        </w:rPr>
        <w:t xml:space="preserve"> </w:t>
      </w:r>
      <w:r w:rsidR="00AD514B" w:rsidRPr="001E6269">
        <w:rPr>
          <w:b/>
          <w:sz w:val="24"/>
        </w:rPr>
        <w:t>$2,500,000</w:t>
      </w:r>
      <w:r w:rsidR="00AD514B" w:rsidRPr="001E6269">
        <w:rPr>
          <w:sz w:val="24"/>
        </w:rPr>
        <w:t>.</w:t>
      </w:r>
      <w:r w:rsidR="00AD514B" w:rsidRPr="001E6269">
        <w:rPr>
          <w:b/>
          <w:sz w:val="24"/>
        </w:rPr>
        <w:t xml:space="preserve"> </w:t>
      </w:r>
      <w:r w:rsidR="00AD514B" w:rsidRPr="001E6269">
        <w:rPr>
          <w:sz w:val="24"/>
        </w:rPr>
        <w:t xml:space="preserve">The Commission </w:t>
      </w:r>
      <w:r w:rsidR="001E6269" w:rsidRPr="001E6269">
        <w:rPr>
          <w:sz w:val="24"/>
        </w:rPr>
        <w:t>will suspend</w:t>
      </w:r>
      <w:r w:rsidR="00AD514B" w:rsidRPr="001E6269">
        <w:rPr>
          <w:sz w:val="24"/>
        </w:rPr>
        <w:t xml:space="preserve"> </w:t>
      </w:r>
      <w:r w:rsidR="00AD514B" w:rsidRPr="001E6269">
        <w:rPr>
          <w:b/>
          <w:sz w:val="24"/>
        </w:rPr>
        <w:t>$1,500,000</w:t>
      </w:r>
      <w:r w:rsidR="00AD514B" w:rsidRPr="001E6269">
        <w:rPr>
          <w:sz w:val="24"/>
        </w:rPr>
        <w:t xml:space="preserve"> of the total penalty</w:t>
      </w:r>
      <w:r w:rsidRPr="001E6269">
        <w:rPr>
          <w:sz w:val="24"/>
        </w:rPr>
        <w:t xml:space="preserve"> on the condition that</w:t>
      </w:r>
      <w:r w:rsidR="00656EE5" w:rsidRPr="001E6269">
        <w:rPr>
          <w:sz w:val="24"/>
        </w:rPr>
        <w:t xml:space="preserve"> CNGC </w:t>
      </w:r>
      <w:r w:rsidRPr="001E6269">
        <w:rPr>
          <w:sz w:val="24"/>
        </w:rPr>
        <w:t>complet</w:t>
      </w:r>
      <w:r w:rsidR="00656EE5" w:rsidRPr="001E6269">
        <w:rPr>
          <w:sz w:val="24"/>
        </w:rPr>
        <w:t>es</w:t>
      </w:r>
      <w:r w:rsidRPr="001E6269">
        <w:rPr>
          <w:sz w:val="24"/>
        </w:rPr>
        <w:t xml:space="preserve"> specific </w:t>
      </w:r>
      <w:r w:rsidR="00683A17" w:rsidRPr="001E6269">
        <w:rPr>
          <w:sz w:val="24"/>
        </w:rPr>
        <w:t xml:space="preserve">compliance </w:t>
      </w:r>
      <w:r w:rsidRPr="001E6269">
        <w:rPr>
          <w:sz w:val="24"/>
        </w:rPr>
        <w:t xml:space="preserve">tasks as set forth below in the agreed Compliance Program. If CNGC fails to substantially comply with a </w:t>
      </w:r>
      <w:r w:rsidR="00683A17" w:rsidRPr="001E6269">
        <w:rPr>
          <w:sz w:val="24"/>
        </w:rPr>
        <w:t xml:space="preserve">compliance </w:t>
      </w:r>
      <w:r w:rsidRPr="001E6269">
        <w:rPr>
          <w:sz w:val="24"/>
        </w:rPr>
        <w:t xml:space="preserve">task </w:t>
      </w:r>
      <w:r w:rsidR="00656EE5" w:rsidRPr="001E6269">
        <w:rPr>
          <w:sz w:val="24"/>
        </w:rPr>
        <w:t xml:space="preserve">by the </w:t>
      </w:r>
      <w:r w:rsidR="00683A17" w:rsidRPr="001E6269">
        <w:rPr>
          <w:sz w:val="24"/>
        </w:rPr>
        <w:t xml:space="preserve">agreed </w:t>
      </w:r>
      <w:r w:rsidR="00656EE5" w:rsidRPr="001E6269">
        <w:rPr>
          <w:sz w:val="24"/>
        </w:rPr>
        <w:t>deadline</w:t>
      </w:r>
      <w:r w:rsidR="00683A17" w:rsidRPr="001E6269">
        <w:rPr>
          <w:sz w:val="24"/>
        </w:rPr>
        <w:t xml:space="preserve"> associated with that task</w:t>
      </w:r>
      <w:r w:rsidRPr="001E6269">
        <w:rPr>
          <w:sz w:val="24"/>
        </w:rPr>
        <w:t xml:space="preserve">, </w:t>
      </w:r>
      <w:r w:rsidR="00683A17" w:rsidRPr="001E6269">
        <w:rPr>
          <w:sz w:val="24"/>
        </w:rPr>
        <w:t>the suspended penalty associated with that task</w:t>
      </w:r>
      <w:r w:rsidRPr="001E6269">
        <w:rPr>
          <w:sz w:val="24"/>
        </w:rPr>
        <w:t xml:space="preserve"> will become due</w:t>
      </w:r>
      <w:r w:rsidR="00B23464">
        <w:rPr>
          <w:sz w:val="24"/>
        </w:rPr>
        <w:t xml:space="preserve"> and Staff will seek an order of the Commission for immediate imposition of suspended penalties. In such event, </w:t>
      </w:r>
      <w:r w:rsidR="00CB74DF">
        <w:rPr>
          <w:sz w:val="24"/>
        </w:rPr>
        <w:t>CNGC</w:t>
      </w:r>
      <w:r w:rsidR="00B23464">
        <w:rPr>
          <w:sz w:val="24"/>
        </w:rPr>
        <w:t xml:space="preserve"> reserves the right to maintain that substantial compliance has been met</w:t>
      </w:r>
      <w:r w:rsidR="00690729">
        <w:rPr>
          <w:sz w:val="24"/>
        </w:rPr>
        <w:t>,</w:t>
      </w:r>
      <w:r w:rsidR="00B23464">
        <w:rPr>
          <w:sz w:val="24"/>
        </w:rPr>
        <w:t xml:space="preserve"> or to request adjustment of the suspended penalties </w:t>
      </w:r>
      <w:r w:rsidR="00F801F3">
        <w:rPr>
          <w:sz w:val="24"/>
        </w:rPr>
        <w:t xml:space="preserve">due to </w:t>
      </w:r>
      <w:r w:rsidR="00B23464">
        <w:rPr>
          <w:sz w:val="24"/>
        </w:rPr>
        <w:t xml:space="preserve">delays in compliance caused by Force Majeure or actions of parties beyond the control of </w:t>
      </w:r>
      <w:r w:rsidR="00CB74DF">
        <w:rPr>
          <w:sz w:val="24"/>
        </w:rPr>
        <w:t>CNGC</w:t>
      </w:r>
      <w:r w:rsidR="00FD36CF">
        <w:rPr>
          <w:sz w:val="24"/>
        </w:rPr>
        <w:t xml:space="preserve">, </w:t>
      </w:r>
      <w:r w:rsidR="00FD36CF" w:rsidRPr="00A91822">
        <w:rPr>
          <w:sz w:val="24"/>
        </w:rPr>
        <w:t>or to seek mitigation of the penalty</w:t>
      </w:r>
      <w:r w:rsidR="00B23464">
        <w:rPr>
          <w:sz w:val="24"/>
        </w:rPr>
        <w:t>.</w:t>
      </w:r>
      <w:r w:rsidRPr="001E6269">
        <w:rPr>
          <w:sz w:val="24"/>
        </w:rPr>
        <w:t xml:space="preserve"> </w:t>
      </w:r>
      <w:r w:rsidR="00683A17" w:rsidRPr="001E6269">
        <w:rPr>
          <w:sz w:val="24"/>
        </w:rPr>
        <w:t>If necessary, t</w:t>
      </w:r>
      <w:r w:rsidRPr="001E6269">
        <w:rPr>
          <w:sz w:val="24"/>
        </w:rPr>
        <w:t>he Commission will decide issues of substantial compliance</w:t>
      </w:r>
      <w:r w:rsidR="00683A17" w:rsidRPr="001E6269">
        <w:rPr>
          <w:sz w:val="24"/>
        </w:rPr>
        <w:t>.</w:t>
      </w:r>
      <w:r w:rsidR="001E6269">
        <w:rPr>
          <w:sz w:val="24"/>
        </w:rPr>
        <w:t xml:space="preserve"> </w:t>
      </w:r>
      <w:r w:rsidR="00AD514B" w:rsidRPr="001E6269">
        <w:rPr>
          <w:sz w:val="24"/>
        </w:rPr>
        <w:t xml:space="preserve">CNGC must pay the non-suspended penalty amount of </w:t>
      </w:r>
      <w:r w:rsidR="00AD514B" w:rsidRPr="001E6269">
        <w:rPr>
          <w:b/>
          <w:sz w:val="24"/>
        </w:rPr>
        <w:t>$1,</w:t>
      </w:r>
      <w:r w:rsidRPr="001E6269">
        <w:rPr>
          <w:b/>
          <w:sz w:val="24"/>
        </w:rPr>
        <w:t>0</w:t>
      </w:r>
      <w:r w:rsidR="00AD514B" w:rsidRPr="001E6269">
        <w:rPr>
          <w:b/>
          <w:sz w:val="24"/>
        </w:rPr>
        <w:t>00,000</w:t>
      </w:r>
      <w:r w:rsidR="00AD514B" w:rsidRPr="001E6269">
        <w:rPr>
          <w:sz w:val="24"/>
        </w:rPr>
        <w:t xml:space="preserve"> within ten</w:t>
      </w:r>
      <w:r w:rsidRPr="001E6269">
        <w:rPr>
          <w:sz w:val="24"/>
        </w:rPr>
        <w:t xml:space="preserve"> business</w:t>
      </w:r>
      <w:r w:rsidR="00AD514B" w:rsidRPr="001E6269">
        <w:rPr>
          <w:sz w:val="24"/>
        </w:rPr>
        <w:t xml:space="preserve"> days </w:t>
      </w:r>
      <w:r w:rsidRPr="001E6269">
        <w:rPr>
          <w:sz w:val="24"/>
        </w:rPr>
        <w:t xml:space="preserve">after the effective date of </w:t>
      </w:r>
      <w:r w:rsidR="007A470A">
        <w:rPr>
          <w:sz w:val="24"/>
        </w:rPr>
        <w:t xml:space="preserve">the Commission Order approving </w:t>
      </w:r>
      <w:r w:rsidRPr="001E6269">
        <w:rPr>
          <w:sz w:val="24"/>
        </w:rPr>
        <w:t xml:space="preserve">this </w:t>
      </w:r>
      <w:r w:rsidR="007A470A">
        <w:rPr>
          <w:sz w:val="24"/>
        </w:rPr>
        <w:t>A</w:t>
      </w:r>
      <w:r w:rsidR="007A470A" w:rsidRPr="001E6269">
        <w:rPr>
          <w:sz w:val="24"/>
        </w:rPr>
        <w:t>greement</w:t>
      </w:r>
      <w:r w:rsidRPr="001E6269">
        <w:rPr>
          <w:sz w:val="24"/>
        </w:rPr>
        <w:t>.</w:t>
      </w:r>
    </w:p>
    <w:p w:rsidR="001A5F9C" w:rsidRPr="00656EE5" w:rsidRDefault="0037254E" w:rsidP="00656EE5">
      <w:pPr>
        <w:widowControl/>
        <w:tabs>
          <w:tab w:val="left" w:pos="720"/>
        </w:tabs>
        <w:autoSpaceDE/>
        <w:autoSpaceDN/>
        <w:adjustRightInd/>
        <w:spacing w:line="480" w:lineRule="auto"/>
        <w:rPr>
          <w:b/>
          <w:sz w:val="24"/>
        </w:rPr>
      </w:pPr>
      <w:r>
        <w:rPr>
          <w:b/>
          <w:sz w:val="24"/>
        </w:rPr>
        <w:t>B</w:t>
      </w:r>
      <w:r w:rsidR="001A5F9C" w:rsidRPr="00656EE5">
        <w:rPr>
          <w:b/>
          <w:sz w:val="24"/>
        </w:rPr>
        <w:t>.</w:t>
      </w:r>
      <w:r w:rsidR="001A5F9C" w:rsidRPr="00656EE5">
        <w:rPr>
          <w:b/>
          <w:sz w:val="24"/>
        </w:rPr>
        <w:tab/>
        <w:t>Compliance Program</w:t>
      </w:r>
    </w:p>
    <w:p w:rsidR="001A5F9C" w:rsidRPr="001A5F9C" w:rsidRDefault="001A5F9C" w:rsidP="001A5F9C">
      <w:pPr>
        <w:widowControl/>
        <w:numPr>
          <w:ilvl w:val="0"/>
          <w:numId w:val="4"/>
        </w:numPr>
        <w:tabs>
          <w:tab w:val="clear" w:pos="1080"/>
          <w:tab w:val="left" w:pos="720"/>
        </w:tabs>
        <w:autoSpaceDE/>
        <w:autoSpaceDN/>
        <w:adjustRightInd/>
        <w:spacing w:line="480" w:lineRule="auto"/>
        <w:ind w:left="0" w:hanging="720"/>
        <w:rPr>
          <w:b/>
          <w:sz w:val="24"/>
        </w:rPr>
      </w:pPr>
      <w:r>
        <w:rPr>
          <w:b/>
          <w:sz w:val="24"/>
        </w:rPr>
        <w:tab/>
      </w:r>
      <w:r>
        <w:rPr>
          <w:sz w:val="24"/>
        </w:rPr>
        <w:t>CNGC will execute the following compliance program:</w:t>
      </w:r>
    </w:p>
    <w:p w:rsidR="00193BE4" w:rsidRDefault="00193BE4" w:rsidP="00B66E04">
      <w:pPr>
        <w:pStyle w:val="ListParagraph"/>
        <w:numPr>
          <w:ilvl w:val="0"/>
          <w:numId w:val="12"/>
        </w:numPr>
        <w:rPr>
          <w:rFonts w:ascii="Times New Roman" w:hAnsi="Times New Roman" w:cs="Times New Roman"/>
          <w:sz w:val="24"/>
          <w:szCs w:val="24"/>
        </w:rPr>
      </w:pPr>
      <w:r w:rsidRPr="007F1AFC">
        <w:rPr>
          <w:rFonts w:ascii="Times New Roman" w:hAnsi="Times New Roman" w:cs="Times New Roman"/>
          <w:sz w:val="24"/>
          <w:szCs w:val="24"/>
        </w:rPr>
        <w:t>CNGC will document the basis for validation of the MAOP of every pipeline segment operating above 60 psig. Such documentation will be completed in accordance with the provisions of 49 C</w:t>
      </w:r>
      <w:r w:rsidR="001513F0">
        <w:rPr>
          <w:rFonts w:ascii="Times New Roman" w:hAnsi="Times New Roman" w:cs="Times New Roman"/>
          <w:sz w:val="24"/>
          <w:szCs w:val="24"/>
        </w:rPr>
        <w:t>.</w:t>
      </w:r>
      <w:r w:rsidRPr="007F1AFC">
        <w:rPr>
          <w:rFonts w:ascii="Times New Roman" w:hAnsi="Times New Roman" w:cs="Times New Roman"/>
          <w:sz w:val="24"/>
          <w:szCs w:val="24"/>
        </w:rPr>
        <w:t>F</w:t>
      </w:r>
      <w:r w:rsidR="001513F0">
        <w:rPr>
          <w:rFonts w:ascii="Times New Roman" w:hAnsi="Times New Roman" w:cs="Times New Roman"/>
          <w:sz w:val="24"/>
          <w:szCs w:val="24"/>
        </w:rPr>
        <w:t>.</w:t>
      </w:r>
      <w:r w:rsidRPr="007F1AFC">
        <w:rPr>
          <w:rFonts w:ascii="Times New Roman" w:hAnsi="Times New Roman" w:cs="Times New Roman"/>
          <w:sz w:val="24"/>
          <w:szCs w:val="24"/>
        </w:rPr>
        <w:t>R</w:t>
      </w:r>
      <w:r w:rsidR="001513F0">
        <w:rPr>
          <w:rFonts w:ascii="Times New Roman" w:hAnsi="Times New Roman" w:cs="Times New Roman"/>
          <w:sz w:val="24"/>
          <w:szCs w:val="24"/>
        </w:rPr>
        <w:t>.</w:t>
      </w:r>
      <w:r w:rsidRPr="007F1AFC">
        <w:rPr>
          <w:rFonts w:ascii="Times New Roman" w:hAnsi="Times New Roman" w:cs="Times New Roman"/>
          <w:sz w:val="24"/>
          <w:szCs w:val="24"/>
        </w:rPr>
        <w:t xml:space="preserve"> </w:t>
      </w:r>
      <w:r w:rsidR="001513F0">
        <w:rPr>
          <w:rFonts w:ascii="Times New Roman" w:hAnsi="Times New Roman" w:cs="Times New Roman"/>
          <w:sz w:val="24"/>
          <w:szCs w:val="24"/>
        </w:rPr>
        <w:t>§ </w:t>
      </w:r>
      <w:r w:rsidRPr="007F1AFC">
        <w:rPr>
          <w:rFonts w:ascii="Times New Roman" w:hAnsi="Times New Roman" w:cs="Times New Roman"/>
          <w:sz w:val="24"/>
          <w:szCs w:val="24"/>
        </w:rPr>
        <w:t>192.619 as it currently exists, or as it may be amended by PHMSA.</w:t>
      </w:r>
      <w:r>
        <w:rPr>
          <w:rFonts w:ascii="Times New Roman" w:hAnsi="Times New Roman" w:cs="Times New Roman"/>
          <w:sz w:val="24"/>
          <w:szCs w:val="24"/>
        </w:rPr>
        <w:t xml:space="preserve"> CNGC will meet the following timelines:</w:t>
      </w:r>
    </w:p>
    <w:p w:rsidR="00193BE4" w:rsidRDefault="00193BE4" w:rsidP="00193BE4">
      <w:pPr>
        <w:pStyle w:val="ListParagraph"/>
        <w:rPr>
          <w:rFonts w:ascii="Times New Roman" w:hAnsi="Times New Roman" w:cs="Times New Roman"/>
          <w:sz w:val="24"/>
          <w:szCs w:val="24"/>
        </w:rPr>
      </w:pPr>
    </w:p>
    <w:p w:rsidR="00193BE4" w:rsidRDefault="00193BE4" w:rsidP="00193BE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For the 116 pipeline segments currently identified as missing critical information necessary for documenting the basis for validation of MAOP:  </w:t>
      </w:r>
    </w:p>
    <w:p w:rsidR="00193BE4" w:rsidRDefault="00193BE4" w:rsidP="00193BE4">
      <w:pPr>
        <w:pStyle w:val="ListParagraph"/>
        <w:ind w:left="1530"/>
        <w:rPr>
          <w:rFonts w:ascii="Times New Roman" w:hAnsi="Times New Roman" w:cs="Times New Roman"/>
          <w:sz w:val="24"/>
          <w:szCs w:val="24"/>
        </w:rPr>
      </w:pPr>
    </w:p>
    <w:p w:rsidR="00193BE4" w:rsidRPr="001513F0" w:rsidRDefault="00193BE4" w:rsidP="00882C6F">
      <w:pPr>
        <w:pStyle w:val="ListParagraph"/>
        <w:numPr>
          <w:ilvl w:val="2"/>
          <w:numId w:val="6"/>
        </w:numPr>
        <w:rPr>
          <w:rFonts w:ascii="Times New Roman" w:hAnsi="Times New Roman" w:cs="Times New Roman"/>
          <w:sz w:val="24"/>
          <w:szCs w:val="24"/>
        </w:rPr>
      </w:pPr>
      <w:r w:rsidRPr="001513F0">
        <w:rPr>
          <w:rFonts w:ascii="Times New Roman" w:hAnsi="Times New Roman" w:cs="Times New Roman"/>
          <w:sz w:val="24"/>
          <w:szCs w:val="24"/>
        </w:rPr>
        <w:t xml:space="preserve">CNGC will document the basis for validation of the MAOP on at least 50% of the mileage by December 31, 2018. </w:t>
      </w:r>
      <w:r w:rsidR="001513F0">
        <w:rPr>
          <w:rFonts w:ascii="Times New Roman" w:hAnsi="Times New Roman" w:cs="Times New Roman"/>
          <w:b/>
          <w:sz w:val="24"/>
          <w:szCs w:val="24"/>
        </w:rPr>
        <w:t xml:space="preserve">The Commission will impose a </w:t>
      </w:r>
      <w:r w:rsidRPr="001513F0">
        <w:rPr>
          <w:rFonts w:ascii="Times New Roman" w:hAnsi="Times New Roman" w:cs="Times New Roman"/>
          <w:b/>
          <w:sz w:val="24"/>
          <w:szCs w:val="24"/>
        </w:rPr>
        <w:t xml:space="preserve">$250,000 </w:t>
      </w:r>
      <w:r w:rsidR="004864A5">
        <w:rPr>
          <w:rFonts w:ascii="Times New Roman" w:hAnsi="Times New Roman" w:cs="Times New Roman"/>
          <w:b/>
          <w:sz w:val="24"/>
          <w:szCs w:val="24"/>
        </w:rPr>
        <w:t xml:space="preserve">suspended </w:t>
      </w:r>
      <w:r w:rsidRPr="001513F0">
        <w:rPr>
          <w:rFonts w:ascii="Times New Roman" w:hAnsi="Times New Roman" w:cs="Times New Roman"/>
          <w:b/>
          <w:sz w:val="24"/>
          <w:szCs w:val="24"/>
        </w:rPr>
        <w:t>penalty if CNGC fails to comply</w:t>
      </w:r>
      <w:r w:rsidR="001513F0" w:rsidRPr="001513F0">
        <w:rPr>
          <w:rFonts w:ascii="Times New Roman" w:hAnsi="Times New Roman" w:cs="Times New Roman"/>
          <w:b/>
          <w:sz w:val="24"/>
          <w:szCs w:val="24"/>
        </w:rPr>
        <w:t>.</w:t>
      </w:r>
    </w:p>
    <w:p w:rsidR="00193BE4" w:rsidRPr="007F1AFC" w:rsidRDefault="00193BE4" w:rsidP="00193BE4">
      <w:pPr>
        <w:pStyle w:val="ListParagraph"/>
        <w:ind w:left="1530"/>
        <w:rPr>
          <w:rFonts w:ascii="Times New Roman" w:hAnsi="Times New Roman" w:cs="Times New Roman"/>
          <w:sz w:val="24"/>
          <w:szCs w:val="24"/>
        </w:rPr>
      </w:pPr>
    </w:p>
    <w:p w:rsidR="001513F0" w:rsidRPr="001513F0" w:rsidRDefault="00193BE4" w:rsidP="001513F0">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CNGC</w:t>
      </w:r>
      <w:r w:rsidRPr="007F1AFC">
        <w:rPr>
          <w:rFonts w:ascii="Times New Roman" w:hAnsi="Times New Roman" w:cs="Times New Roman"/>
          <w:sz w:val="24"/>
          <w:szCs w:val="24"/>
        </w:rPr>
        <w:t xml:space="preserve"> will </w:t>
      </w:r>
      <w:r>
        <w:rPr>
          <w:rFonts w:ascii="Times New Roman" w:hAnsi="Times New Roman" w:cs="Times New Roman"/>
          <w:sz w:val="24"/>
          <w:szCs w:val="24"/>
        </w:rPr>
        <w:t xml:space="preserve">document the basis for validation of the MAOP on </w:t>
      </w:r>
      <w:r w:rsidRPr="007F1AFC">
        <w:rPr>
          <w:rFonts w:ascii="Times New Roman" w:hAnsi="Times New Roman" w:cs="Times New Roman"/>
          <w:sz w:val="24"/>
          <w:szCs w:val="24"/>
        </w:rPr>
        <w:t xml:space="preserve">100% of </w:t>
      </w:r>
      <w:r>
        <w:rPr>
          <w:rFonts w:ascii="Times New Roman" w:hAnsi="Times New Roman" w:cs="Times New Roman"/>
          <w:sz w:val="24"/>
          <w:szCs w:val="24"/>
        </w:rPr>
        <w:t>the mileage</w:t>
      </w:r>
      <w:r w:rsidRPr="007F1AFC">
        <w:rPr>
          <w:rFonts w:ascii="Times New Roman" w:hAnsi="Times New Roman" w:cs="Times New Roman"/>
          <w:sz w:val="24"/>
          <w:szCs w:val="24"/>
        </w:rPr>
        <w:t xml:space="preserve"> by </w:t>
      </w:r>
      <w:r>
        <w:rPr>
          <w:rFonts w:ascii="Times New Roman" w:hAnsi="Times New Roman" w:cs="Times New Roman"/>
          <w:sz w:val="24"/>
          <w:szCs w:val="24"/>
        </w:rPr>
        <w:t>December 31,</w:t>
      </w:r>
      <w:r w:rsidRPr="007F1AFC">
        <w:rPr>
          <w:rFonts w:ascii="Times New Roman" w:hAnsi="Times New Roman" w:cs="Times New Roman"/>
          <w:sz w:val="24"/>
          <w:szCs w:val="24"/>
        </w:rPr>
        <w:t xml:space="preserve"> 202</w:t>
      </w:r>
      <w:r>
        <w:rPr>
          <w:rFonts w:ascii="Times New Roman" w:hAnsi="Times New Roman" w:cs="Times New Roman"/>
          <w:sz w:val="24"/>
          <w:szCs w:val="24"/>
        </w:rPr>
        <w:t>3</w:t>
      </w:r>
      <w:r w:rsidRPr="007F1AFC">
        <w:rPr>
          <w:rFonts w:ascii="Times New Roman" w:hAnsi="Times New Roman" w:cs="Times New Roman"/>
          <w:sz w:val="24"/>
          <w:szCs w:val="24"/>
        </w:rPr>
        <w:t xml:space="preserve">. </w:t>
      </w:r>
      <w:r w:rsidR="001513F0">
        <w:rPr>
          <w:rFonts w:ascii="Times New Roman" w:hAnsi="Times New Roman" w:cs="Times New Roman"/>
          <w:b/>
          <w:sz w:val="24"/>
          <w:szCs w:val="24"/>
        </w:rPr>
        <w:t xml:space="preserve">The Commission will impose a </w:t>
      </w:r>
      <w:r w:rsidR="001513F0" w:rsidRPr="001513F0">
        <w:rPr>
          <w:rFonts w:ascii="Times New Roman" w:hAnsi="Times New Roman" w:cs="Times New Roman"/>
          <w:b/>
          <w:sz w:val="24"/>
          <w:szCs w:val="24"/>
        </w:rPr>
        <w:t>$250,000</w:t>
      </w:r>
      <w:r w:rsidR="004864A5">
        <w:rPr>
          <w:rFonts w:ascii="Times New Roman" w:hAnsi="Times New Roman" w:cs="Times New Roman"/>
          <w:b/>
          <w:sz w:val="24"/>
          <w:szCs w:val="24"/>
        </w:rPr>
        <w:t xml:space="preserve"> suspended</w:t>
      </w:r>
      <w:r w:rsidR="001513F0" w:rsidRPr="001513F0">
        <w:rPr>
          <w:rFonts w:ascii="Times New Roman" w:hAnsi="Times New Roman" w:cs="Times New Roman"/>
          <w:b/>
          <w:sz w:val="24"/>
          <w:szCs w:val="24"/>
        </w:rPr>
        <w:t xml:space="preserve"> penalty if CNGC fails to comply.</w:t>
      </w:r>
    </w:p>
    <w:p w:rsidR="00193BE4" w:rsidRPr="007F1AFC" w:rsidRDefault="00193BE4" w:rsidP="001513F0">
      <w:pPr>
        <w:pStyle w:val="ListParagraph"/>
        <w:ind w:left="2160"/>
        <w:rPr>
          <w:rFonts w:ascii="Times New Roman" w:hAnsi="Times New Roman" w:cs="Times New Roman"/>
          <w:sz w:val="24"/>
          <w:szCs w:val="24"/>
        </w:rPr>
      </w:pPr>
      <w:r w:rsidRPr="007F1AFC">
        <w:rPr>
          <w:rFonts w:ascii="Times New Roman" w:hAnsi="Times New Roman" w:cs="Times New Roman"/>
          <w:sz w:val="24"/>
          <w:szCs w:val="24"/>
        </w:rPr>
        <w:t xml:space="preserve"> </w:t>
      </w:r>
    </w:p>
    <w:p w:rsidR="001513F0" w:rsidRDefault="001513F0" w:rsidP="001513F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Validation of highest risk pipeline segments:  </w:t>
      </w:r>
      <w:r w:rsidR="00063429">
        <w:rPr>
          <w:rFonts w:ascii="Times New Roman" w:hAnsi="Times New Roman" w:cs="Times New Roman"/>
          <w:sz w:val="24"/>
          <w:szCs w:val="24"/>
        </w:rPr>
        <w:t>CNGC has identified</w:t>
      </w:r>
      <w:r>
        <w:rPr>
          <w:rFonts w:ascii="Times New Roman" w:hAnsi="Times New Roman" w:cs="Times New Roman"/>
          <w:sz w:val="24"/>
          <w:szCs w:val="24"/>
        </w:rPr>
        <w:t xml:space="preserve"> five segments currently operating at 30%</w:t>
      </w:r>
      <w:r w:rsidR="00063429">
        <w:rPr>
          <w:rFonts w:ascii="Times New Roman" w:hAnsi="Times New Roman" w:cs="Times New Roman"/>
          <w:sz w:val="24"/>
          <w:szCs w:val="24"/>
        </w:rPr>
        <w:t xml:space="preserve"> specified minimum yield strength</w:t>
      </w:r>
      <w:r>
        <w:rPr>
          <w:rFonts w:ascii="Times New Roman" w:hAnsi="Times New Roman" w:cs="Times New Roman"/>
          <w:sz w:val="24"/>
          <w:szCs w:val="24"/>
        </w:rPr>
        <w:t xml:space="preserve"> </w:t>
      </w:r>
      <w:r w:rsidR="00063429">
        <w:rPr>
          <w:rFonts w:ascii="Times New Roman" w:hAnsi="Times New Roman" w:cs="Times New Roman"/>
          <w:sz w:val="24"/>
          <w:szCs w:val="24"/>
        </w:rPr>
        <w:t>(</w:t>
      </w:r>
      <w:r>
        <w:rPr>
          <w:rFonts w:ascii="Times New Roman" w:hAnsi="Times New Roman" w:cs="Times New Roman"/>
          <w:sz w:val="24"/>
          <w:szCs w:val="24"/>
        </w:rPr>
        <w:t>SMYS</w:t>
      </w:r>
      <w:r w:rsidR="00063429">
        <w:rPr>
          <w:rFonts w:ascii="Times New Roman" w:hAnsi="Times New Roman" w:cs="Times New Roman"/>
          <w:sz w:val="24"/>
          <w:szCs w:val="24"/>
        </w:rPr>
        <w:t>)</w:t>
      </w:r>
      <w:r>
        <w:rPr>
          <w:rFonts w:ascii="Times New Roman" w:hAnsi="Times New Roman" w:cs="Times New Roman"/>
          <w:sz w:val="24"/>
          <w:szCs w:val="24"/>
        </w:rPr>
        <w:t xml:space="preserve"> or above</w:t>
      </w:r>
      <w:r w:rsidR="00063429">
        <w:rPr>
          <w:rFonts w:ascii="Times New Roman" w:hAnsi="Times New Roman" w:cs="Times New Roman"/>
          <w:sz w:val="24"/>
          <w:szCs w:val="24"/>
        </w:rPr>
        <w:t xml:space="preserve"> that</w:t>
      </w:r>
      <w:r>
        <w:rPr>
          <w:rFonts w:ascii="Times New Roman" w:hAnsi="Times New Roman" w:cs="Times New Roman"/>
          <w:sz w:val="24"/>
          <w:szCs w:val="24"/>
        </w:rPr>
        <w:t xml:space="preserve"> are missing critical information necessary to document the basis for validation of MAOP. CNGC will complete validation of all five segments by December 31, 2017.  </w:t>
      </w:r>
    </w:p>
    <w:p w:rsidR="001513F0" w:rsidRDefault="001513F0" w:rsidP="001513F0">
      <w:pPr>
        <w:pStyle w:val="ListParagraph"/>
        <w:ind w:left="1530"/>
        <w:rPr>
          <w:rFonts w:ascii="Times New Roman" w:hAnsi="Times New Roman" w:cs="Times New Roman"/>
          <w:sz w:val="24"/>
          <w:szCs w:val="24"/>
        </w:rPr>
      </w:pPr>
    </w:p>
    <w:p w:rsidR="001513F0" w:rsidRDefault="001513F0" w:rsidP="001513F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CNGC has retained TRC Pipelines Service LLC (TRC) to complete a records review of all remaining pipelines operating above 60 psig. The TRC MAOP records review will be completed by the end of first quarter 2017. </w:t>
      </w:r>
    </w:p>
    <w:p w:rsidR="001513F0" w:rsidRDefault="001513F0" w:rsidP="001513F0">
      <w:pPr>
        <w:rPr>
          <w:sz w:val="24"/>
        </w:rPr>
      </w:pPr>
    </w:p>
    <w:p w:rsidR="001513F0" w:rsidRDefault="001513F0" w:rsidP="001513F0">
      <w:pPr>
        <w:widowControl/>
        <w:numPr>
          <w:ilvl w:val="0"/>
          <w:numId w:val="7"/>
        </w:numPr>
        <w:autoSpaceDE/>
        <w:autoSpaceDN/>
        <w:adjustRightInd/>
        <w:rPr>
          <w:sz w:val="24"/>
        </w:rPr>
      </w:pPr>
      <w:r>
        <w:rPr>
          <w:sz w:val="24"/>
        </w:rPr>
        <w:t xml:space="preserve">CNGC will incorporate any additional pipeline segments operating above 60 psig </w:t>
      </w:r>
      <w:r w:rsidR="00063429">
        <w:rPr>
          <w:sz w:val="24"/>
        </w:rPr>
        <w:t xml:space="preserve">that have been </w:t>
      </w:r>
      <w:r>
        <w:rPr>
          <w:sz w:val="24"/>
        </w:rPr>
        <w:t>identified by TRC’s review as missing critical information necessary to document the basis for validation of MAOP into the risk matrix to identify mitigation prioritization.</w:t>
      </w:r>
    </w:p>
    <w:p w:rsidR="001513F0" w:rsidRDefault="001513F0" w:rsidP="001513F0">
      <w:pPr>
        <w:ind w:left="1080"/>
        <w:rPr>
          <w:sz w:val="24"/>
        </w:rPr>
      </w:pPr>
    </w:p>
    <w:p w:rsidR="001513F0" w:rsidRDefault="001513F0" w:rsidP="001513F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CNGC will submit an updated timeline/plan that includes the additional segments to Commission Staff by December 31, 2017.</w:t>
      </w:r>
      <w:r>
        <w:rPr>
          <w:rFonts w:ascii="Times New Roman" w:hAnsi="Times New Roman" w:cs="Times New Roman"/>
          <w:b/>
          <w:sz w:val="24"/>
          <w:szCs w:val="24"/>
        </w:rPr>
        <w:t xml:space="preserve"> </w:t>
      </w:r>
    </w:p>
    <w:p w:rsidR="001513F0" w:rsidRDefault="001513F0" w:rsidP="001513F0">
      <w:pPr>
        <w:pStyle w:val="ListParagraph"/>
        <w:ind w:left="2340"/>
        <w:rPr>
          <w:rFonts w:ascii="Times New Roman" w:hAnsi="Times New Roman" w:cs="Times New Roman"/>
          <w:sz w:val="24"/>
          <w:szCs w:val="24"/>
        </w:rPr>
      </w:pPr>
    </w:p>
    <w:p w:rsidR="001513F0" w:rsidRDefault="001513F0" w:rsidP="001513F0">
      <w:pPr>
        <w:pStyle w:val="ListParagraph"/>
        <w:numPr>
          <w:ilvl w:val="0"/>
          <w:numId w:val="9"/>
        </w:numPr>
        <w:rPr>
          <w:rFonts w:ascii="Times New Roman" w:hAnsi="Times New Roman" w:cs="Times New Roman"/>
          <w:b/>
          <w:sz w:val="24"/>
          <w:szCs w:val="24"/>
        </w:rPr>
      </w:pPr>
      <w:r>
        <w:rPr>
          <w:rFonts w:ascii="Times New Roman" w:hAnsi="Times New Roman" w:cs="Times New Roman"/>
          <w:sz w:val="24"/>
          <w:szCs w:val="24"/>
        </w:rPr>
        <w:t>CNGC and Commission Staff will file an Amended Settlement Agreement with the Commission by March 31, 2018</w:t>
      </w:r>
      <w:r w:rsidR="00AD514B">
        <w:rPr>
          <w:rFonts w:ascii="Times New Roman" w:hAnsi="Times New Roman" w:cs="Times New Roman"/>
          <w:sz w:val="24"/>
          <w:szCs w:val="24"/>
        </w:rPr>
        <w:t>,</w:t>
      </w:r>
      <w:r>
        <w:rPr>
          <w:rFonts w:ascii="Times New Roman" w:hAnsi="Times New Roman" w:cs="Times New Roman"/>
          <w:sz w:val="24"/>
          <w:szCs w:val="24"/>
        </w:rPr>
        <w:t xml:space="preserve"> that reflects a completion date by which CNGC will document the basis for validation of all the high pressure (greater than 60 psig) MAOP for  the additional segments identified by TRC. </w:t>
      </w:r>
      <w:r w:rsidRPr="001513F0">
        <w:rPr>
          <w:rFonts w:ascii="Times New Roman" w:hAnsi="Times New Roman" w:cs="Times New Roman"/>
          <w:b/>
          <w:sz w:val="24"/>
          <w:szCs w:val="24"/>
        </w:rPr>
        <w:t>The Amended Settlement Agreement will include a $500,000 suspended penalty, imposed in full if CNGC fails to comply with the completion date associated with any new high pressure segments identified by TRC.</w:t>
      </w:r>
    </w:p>
    <w:p w:rsidR="001513F0" w:rsidRDefault="001513F0" w:rsidP="001513F0">
      <w:pPr>
        <w:pStyle w:val="ListParagraph"/>
        <w:ind w:left="2340"/>
        <w:rPr>
          <w:rFonts w:ascii="Times New Roman" w:hAnsi="Times New Roman" w:cs="Times New Roman"/>
          <w:sz w:val="24"/>
          <w:szCs w:val="24"/>
        </w:rPr>
      </w:pPr>
    </w:p>
    <w:p w:rsidR="001513F0" w:rsidRDefault="001513F0" w:rsidP="001513F0">
      <w:pPr>
        <w:pStyle w:val="ListParagraph"/>
        <w:ind w:left="2340"/>
        <w:rPr>
          <w:rFonts w:ascii="Times New Roman" w:hAnsi="Times New Roman" w:cs="Times New Roman"/>
          <w:sz w:val="24"/>
          <w:szCs w:val="24"/>
        </w:rPr>
      </w:pPr>
      <w:r>
        <w:rPr>
          <w:rFonts w:ascii="Times New Roman" w:hAnsi="Times New Roman" w:cs="Times New Roman"/>
          <w:sz w:val="24"/>
          <w:szCs w:val="24"/>
        </w:rPr>
        <w:t xml:space="preserve">If CNGC and Staff disagree on a completion date, they commit to discuss the nature of the disagreement and </w:t>
      </w:r>
      <w:r w:rsidR="001E6269">
        <w:rPr>
          <w:rFonts w:ascii="Times New Roman" w:hAnsi="Times New Roman" w:cs="Times New Roman"/>
          <w:sz w:val="24"/>
          <w:szCs w:val="24"/>
        </w:rPr>
        <w:t xml:space="preserve">to </w:t>
      </w:r>
      <w:r>
        <w:rPr>
          <w:rFonts w:ascii="Times New Roman" w:hAnsi="Times New Roman" w:cs="Times New Roman"/>
          <w:sz w:val="24"/>
          <w:szCs w:val="24"/>
        </w:rPr>
        <w:t xml:space="preserve">work cooperatively to resolve it. If agreement on the timeline cannot be reached in this way, either Staff or CNGC (or both) may bring the matter to the Commission for decision in a petition to </w:t>
      </w:r>
      <w:r w:rsidR="00AD514B">
        <w:rPr>
          <w:rFonts w:ascii="Times New Roman" w:hAnsi="Times New Roman" w:cs="Times New Roman"/>
          <w:sz w:val="24"/>
          <w:szCs w:val="24"/>
        </w:rPr>
        <w:t>enforce this Agreement.</w:t>
      </w:r>
    </w:p>
    <w:p w:rsidR="001513F0" w:rsidRDefault="001513F0" w:rsidP="001513F0">
      <w:pPr>
        <w:ind w:left="1080"/>
        <w:rPr>
          <w:sz w:val="24"/>
        </w:rPr>
      </w:pPr>
    </w:p>
    <w:p w:rsidR="001513F0" w:rsidRDefault="001513F0" w:rsidP="00B66E04">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CNGC will prioritize the work set forth in No. 1 above, with priorities established for pipeline segments based on risk to public safety. Risk considerations will include but are not limited to:</w:t>
      </w:r>
    </w:p>
    <w:p w:rsidR="001E6269" w:rsidRDefault="001E6269" w:rsidP="001E6269">
      <w:pPr>
        <w:pStyle w:val="ListParagraph"/>
        <w:rPr>
          <w:rFonts w:ascii="Times New Roman" w:hAnsi="Times New Roman" w:cs="Times New Roman"/>
          <w:sz w:val="24"/>
          <w:szCs w:val="24"/>
        </w:rPr>
      </w:pPr>
    </w:p>
    <w:p w:rsidR="001513F0" w:rsidRDefault="001513F0" w:rsidP="001E6269">
      <w:pPr>
        <w:pStyle w:val="ListParagraph"/>
        <w:numPr>
          <w:ilvl w:val="1"/>
          <w:numId w:val="11"/>
        </w:numPr>
        <w:ind w:left="1800"/>
        <w:rPr>
          <w:rFonts w:ascii="Times New Roman" w:hAnsi="Times New Roman" w:cs="Times New Roman"/>
          <w:sz w:val="24"/>
          <w:szCs w:val="24"/>
        </w:rPr>
      </w:pPr>
      <w:r>
        <w:rPr>
          <w:rFonts w:ascii="Times New Roman" w:hAnsi="Times New Roman" w:cs="Times New Roman"/>
          <w:sz w:val="24"/>
          <w:szCs w:val="24"/>
        </w:rPr>
        <w:t>Segment class location;</w:t>
      </w:r>
    </w:p>
    <w:p w:rsidR="001513F0" w:rsidRDefault="001513F0" w:rsidP="001E6269">
      <w:pPr>
        <w:pStyle w:val="ListParagraph"/>
        <w:numPr>
          <w:ilvl w:val="1"/>
          <w:numId w:val="11"/>
        </w:numPr>
        <w:ind w:left="1800"/>
        <w:rPr>
          <w:rFonts w:ascii="Times New Roman" w:hAnsi="Times New Roman" w:cs="Times New Roman"/>
          <w:sz w:val="24"/>
          <w:szCs w:val="24"/>
        </w:rPr>
      </w:pPr>
      <w:r>
        <w:rPr>
          <w:rFonts w:ascii="Times New Roman" w:hAnsi="Times New Roman" w:cs="Times New Roman"/>
          <w:sz w:val="24"/>
          <w:szCs w:val="24"/>
        </w:rPr>
        <w:t>Location of high consequence areas;</w:t>
      </w:r>
    </w:p>
    <w:p w:rsidR="001513F0" w:rsidRDefault="001513F0" w:rsidP="001E6269">
      <w:pPr>
        <w:pStyle w:val="ListParagraph"/>
        <w:numPr>
          <w:ilvl w:val="1"/>
          <w:numId w:val="11"/>
        </w:numPr>
        <w:ind w:left="1800"/>
        <w:rPr>
          <w:rFonts w:ascii="Times New Roman" w:hAnsi="Times New Roman" w:cs="Times New Roman"/>
          <w:sz w:val="24"/>
          <w:szCs w:val="24"/>
        </w:rPr>
      </w:pPr>
      <w:r>
        <w:rPr>
          <w:rFonts w:ascii="Times New Roman" w:hAnsi="Times New Roman" w:cs="Times New Roman"/>
          <w:sz w:val="24"/>
          <w:szCs w:val="24"/>
        </w:rPr>
        <w:t>Segment SMYS percentage based on the most stringent criteria for missing pipe characteristics;</w:t>
      </w:r>
    </w:p>
    <w:p w:rsidR="001513F0" w:rsidRDefault="001513F0" w:rsidP="001E6269">
      <w:pPr>
        <w:pStyle w:val="ListParagraph"/>
        <w:numPr>
          <w:ilvl w:val="1"/>
          <w:numId w:val="11"/>
        </w:numPr>
        <w:ind w:left="1800"/>
        <w:rPr>
          <w:rFonts w:ascii="Times New Roman" w:hAnsi="Times New Roman" w:cs="Times New Roman"/>
          <w:i/>
          <w:sz w:val="24"/>
          <w:szCs w:val="24"/>
        </w:rPr>
      </w:pPr>
      <w:r>
        <w:rPr>
          <w:rFonts w:ascii="Times New Roman" w:hAnsi="Times New Roman" w:cs="Times New Roman"/>
          <w:sz w:val="24"/>
          <w:szCs w:val="24"/>
        </w:rPr>
        <w:t xml:space="preserve">Pipe vintage with special consideration for pre-code pipe with unknown characteristics; </w:t>
      </w:r>
    </w:p>
    <w:p w:rsidR="001513F0" w:rsidRDefault="001513F0" w:rsidP="001E6269">
      <w:pPr>
        <w:pStyle w:val="ListParagraph"/>
        <w:numPr>
          <w:ilvl w:val="1"/>
          <w:numId w:val="11"/>
        </w:numPr>
        <w:ind w:left="1800"/>
        <w:rPr>
          <w:rFonts w:ascii="Times New Roman" w:hAnsi="Times New Roman" w:cs="Times New Roman"/>
          <w:sz w:val="24"/>
          <w:szCs w:val="24"/>
        </w:rPr>
      </w:pPr>
      <w:r>
        <w:rPr>
          <w:rFonts w:ascii="Times New Roman" w:hAnsi="Times New Roman" w:cs="Times New Roman"/>
          <w:sz w:val="24"/>
          <w:szCs w:val="24"/>
        </w:rPr>
        <w:t>Pipe material, installation characteristics, or maintenance records that indicate increased risk; and</w:t>
      </w:r>
    </w:p>
    <w:p w:rsidR="001513F0" w:rsidRDefault="001513F0" w:rsidP="001E6269">
      <w:pPr>
        <w:pStyle w:val="ListParagraph"/>
        <w:numPr>
          <w:ilvl w:val="1"/>
          <w:numId w:val="11"/>
        </w:numPr>
        <w:ind w:left="1800"/>
        <w:rPr>
          <w:rFonts w:ascii="Times New Roman" w:hAnsi="Times New Roman" w:cs="Times New Roman"/>
          <w:sz w:val="24"/>
          <w:szCs w:val="24"/>
        </w:rPr>
      </w:pPr>
      <w:r>
        <w:rPr>
          <w:rFonts w:ascii="Times New Roman" w:hAnsi="Times New Roman" w:cs="Times New Roman"/>
          <w:sz w:val="24"/>
          <w:szCs w:val="24"/>
        </w:rPr>
        <w:t xml:space="preserve">Low frequency </w:t>
      </w:r>
      <w:r w:rsidR="00063429">
        <w:rPr>
          <w:rFonts w:ascii="Times New Roman" w:hAnsi="Times New Roman" w:cs="Times New Roman"/>
          <w:sz w:val="24"/>
          <w:szCs w:val="24"/>
        </w:rPr>
        <w:t>electric resistance welded (</w:t>
      </w:r>
      <w:r>
        <w:rPr>
          <w:rFonts w:ascii="Times New Roman" w:hAnsi="Times New Roman" w:cs="Times New Roman"/>
          <w:sz w:val="24"/>
          <w:szCs w:val="24"/>
        </w:rPr>
        <w:t>ERW</w:t>
      </w:r>
      <w:r w:rsidR="00063429">
        <w:rPr>
          <w:rFonts w:ascii="Times New Roman" w:hAnsi="Times New Roman" w:cs="Times New Roman"/>
          <w:sz w:val="24"/>
          <w:szCs w:val="24"/>
        </w:rPr>
        <w:t>)</w:t>
      </w:r>
      <w:r>
        <w:rPr>
          <w:rFonts w:ascii="Times New Roman" w:hAnsi="Times New Roman" w:cs="Times New Roman"/>
          <w:sz w:val="24"/>
          <w:szCs w:val="24"/>
        </w:rPr>
        <w:t xml:space="preserve"> and unknown seam types when SMYS &gt;25%.</w:t>
      </w:r>
    </w:p>
    <w:p w:rsidR="001513F0" w:rsidRDefault="001513F0" w:rsidP="001513F0">
      <w:pPr>
        <w:rPr>
          <w:sz w:val="24"/>
        </w:rPr>
      </w:pPr>
    </w:p>
    <w:p w:rsidR="001513F0" w:rsidRDefault="001513F0" w:rsidP="00B66E04">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All unvalidated pipeline segments with preliminary SMYS calculations of 20% or greater will be leak surveyed a minimum of four (4) times annually. Once information is available to substantiate SMYS below 20% or to validate the MAOP of a pipeline segment, that pipeline segment will return to leak survey intervals prescribed by code. </w:t>
      </w:r>
      <w:r w:rsidR="00C82476">
        <w:rPr>
          <w:rFonts w:ascii="Times New Roman" w:hAnsi="Times New Roman" w:cs="Times New Roman"/>
          <w:sz w:val="24"/>
          <w:szCs w:val="24"/>
        </w:rPr>
        <w:t xml:space="preserve">CNGC will notify Commission </w:t>
      </w:r>
      <w:r w:rsidR="0083737D">
        <w:rPr>
          <w:rFonts w:ascii="Times New Roman" w:hAnsi="Times New Roman" w:cs="Times New Roman"/>
          <w:sz w:val="24"/>
          <w:szCs w:val="24"/>
        </w:rPr>
        <w:t xml:space="preserve">Staff </w:t>
      </w:r>
      <w:r w:rsidR="00C82476">
        <w:rPr>
          <w:rFonts w:ascii="Times New Roman" w:hAnsi="Times New Roman" w:cs="Times New Roman"/>
          <w:sz w:val="24"/>
          <w:szCs w:val="24"/>
        </w:rPr>
        <w:t xml:space="preserve">when a pipeline segment returns to code-based survey intervals and will make available for Commission </w:t>
      </w:r>
      <w:r w:rsidR="0083737D">
        <w:rPr>
          <w:rFonts w:ascii="Times New Roman" w:hAnsi="Times New Roman" w:cs="Times New Roman"/>
          <w:sz w:val="24"/>
          <w:szCs w:val="24"/>
        </w:rPr>
        <w:t xml:space="preserve">Staff </w:t>
      </w:r>
      <w:r w:rsidR="00C82476">
        <w:rPr>
          <w:rFonts w:ascii="Times New Roman" w:hAnsi="Times New Roman" w:cs="Times New Roman"/>
          <w:sz w:val="24"/>
          <w:szCs w:val="24"/>
        </w:rPr>
        <w:t>inspection documentation of the basis for the</w:t>
      </w:r>
      <w:r w:rsidR="00C82476" w:rsidRPr="00C82476">
        <w:rPr>
          <w:rFonts w:ascii="Times New Roman" w:hAnsi="Times New Roman" w:cs="Times New Roman"/>
          <w:sz w:val="24"/>
          <w:szCs w:val="24"/>
        </w:rPr>
        <w:t xml:space="preserve"> </w:t>
      </w:r>
      <w:r w:rsidR="00C82476">
        <w:rPr>
          <w:rFonts w:ascii="Times New Roman" w:hAnsi="Times New Roman" w:cs="Times New Roman"/>
          <w:sz w:val="24"/>
          <w:szCs w:val="24"/>
        </w:rPr>
        <w:t>action.</w:t>
      </w:r>
    </w:p>
    <w:p w:rsidR="001513F0" w:rsidRDefault="001513F0" w:rsidP="001513F0">
      <w:pPr>
        <w:pStyle w:val="ListParagraph"/>
        <w:rPr>
          <w:rFonts w:ascii="Times New Roman" w:hAnsi="Times New Roman" w:cs="Times New Roman"/>
          <w:sz w:val="24"/>
          <w:szCs w:val="24"/>
        </w:rPr>
      </w:pPr>
    </w:p>
    <w:p w:rsidR="001513F0" w:rsidRDefault="001513F0" w:rsidP="00B66E04">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All unvalidated pipeline segments with low frequency seam welds or unknown seam types, with preliminary SMYS calculations of over 30%, shall be maintained at a 20% pressure reduction. Once information becomes available to identify seam type as not low frequency ERW or to substantiate SMYS below 30%, pipeline segments will return to previous operating pressure. </w:t>
      </w:r>
      <w:r w:rsidR="00C82476">
        <w:rPr>
          <w:rFonts w:ascii="Times New Roman" w:hAnsi="Times New Roman" w:cs="Times New Roman"/>
          <w:sz w:val="24"/>
          <w:szCs w:val="24"/>
        </w:rPr>
        <w:t xml:space="preserve">CNGC will notify Commission </w:t>
      </w:r>
      <w:r w:rsidR="0083737D">
        <w:rPr>
          <w:rFonts w:ascii="Times New Roman" w:hAnsi="Times New Roman" w:cs="Times New Roman"/>
          <w:sz w:val="24"/>
          <w:szCs w:val="24"/>
        </w:rPr>
        <w:t xml:space="preserve">Staff </w:t>
      </w:r>
      <w:r w:rsidR="00C82476">
        <w:rPr>
          <w:rFonts w:ascii="Times New Roman" w:hAnsi="Times New Roman" w:cs="Times New Roman"/>
          <w:sz w:val="24"/>
          <w:szCs w:val="24"/>
        </w:rPr>
        <w:t xml:space="preserve">when a pipeline segment returns to a previous operating pressure and will make available for Commission </w:t>
      </w:r>
      <w:r w:rsidR="0083737D">
        <w:rPr>
          <w:rFonts w:ascii="Times New Roman" w:hAnsi="Times New Roman" w:cs="Times New Roman"/>
          <w:sz w:val="24"/>
          <w:szCs w:val="24"/>
        </w:rPr>
        <w:t xml:space="preserve">Staff </w:t>
      </w:r>
      <w:r w:rsidR="00C82476">
        <w:rPr>
          <w:rFonts w:ascii="Times New Roman" w:hAnsi="Times New Roman" w:cs="Times New Roman"/>
          <w:sz w:val="24"/>
          <w:szCs w:val="24"/>
        </w:rPr>
        <w:t>inspection documentation of the basis for the</w:t>
      </w:r>
      <w:r w:rsidR="00C82476" w:rsidRPr="00C82476">
        <w:rPr>
          <w:rFonts w:ascii="Times New Roman" w:hAnsi="Times New Roman" w:cs="Times New Roman"/>
          <w:sz w:val="24"/>
          <w:szCs w:val="24"/>
        </w:rPr>
        <w:t xml:space="preserve"> </w:t>
      </w:r>
      <w:r w:rsidR="00C82476">
        <w:rPr>
          <w:rFonts w:ascii="Times New Roman" w:hAnsi="Times New Roman" w:cs="Times New Roman"/>
          <w:sz w:val="24"/>
          <w:szCs w:val="24"/>
        </w:rPr>
        <w:t>action.</w:t>
      </w:r>
    </w:p>
    <w:p w:rsidR="001513F0" w:rsidRDefault="001513F0" w:rsidP="001513F0">
      <w:pPr>
        <w:pStyle w:val="ListParagraph"/>
        <w:rPr>
          <w:rFonts w:ascii="Times New Roman" w:hAnsi="Times New Roman" w:cs="Times New Roman"/>
          <w:sz w:val="24"/>
          <w:szCs w:val="24"/>
        </w:rPr>
      </w:pPr>
    </w:p>
    <w:p w:rsidR="001513F0" w:rsidRDefault="001513F0" w:rsidP="00B66E04">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Line segments preliminarily calculated at greater than 20% SMYS will be incorporated into CNGC’s transmission integrity management program (TIMP). Baseline assessments for said pipe will be completed by December 31, 2020.  Upon completion of MAOP validation, CNGC’s TIMP and distribution integrity management program (DIMP) will be re-evaluated and updated as required.</w:t>
      </w:r>
    </w:p>
    <w:p w:rsidR="001513F0" w:rsidRDefault="001513F0" w:rsidP="001513F0">
      <w:pPr>
        <w:pStyle w:val="ListParagraph"/>
        <w:rPr>
          <w:rFonts w:ascii="Times New Roman" w:hAnsi="Times New Roman" w:cs="Times New Roman"/>
          <w:sz w:val="24"/>
          <w:szCs w:val="24"/>
        </w:rPr>
      </w:pPr>
    </w:p>
    <w:p w:rsidR="001513F0" w:rsidRDefault="001513F0" w:rsidP="00B66E04">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 CNGC will designate a representative who will take responsibility for executing the settlement agreement. CNGC’s designated representative will provide Commission Staff with written status reports every six months at a minimum</w:t>
      </w:r>
      <w:r>
        <w:rPr>
          <w:rFonts w:ascii="Times New Roman" w:hAnsi="Times New Roman" w:cs="Times New Roman"/>
          <w:b/>
          <w:sz w:val="24"/>
          <w:szCs w:val="24"/>
        </w:rPr>
        <w:t xml:space="preserve"> </w:t>
      </w:r>
      <w:r>
        <w:rPr>
          <w:rFonts w:ascii="Times New Roman" w:hAnsi="Times New Roman" w:cs="Times New Roman"/>
          <w:sz w:val="24"/>
          <w:szCs w:val="24"/>
        </w:rPr>
        <w:t xml:space="preserve">addressing the progress made towards completion of the MAOP validation. </w:t>
      </w:r>
    </w:p>
    <w:p w:rsidR="001513F0" w:rsidRDefault="001513F0" w:rsidP="001513F0">
      <w:pPr>
        <w:pStyle w:val="ListParagraph"/>
        <w:rPr>
          <w:rFonts w:ascii="Times New Roman" w:hAnsi="Times New Roman" w:cs="Times New Roman"/>
          <w:sz w:val="24"/>
          <w:szCs w:val="24"/>
        </w:rPr>
      </w:pPr>
    </w:p>
    <w:p w:rsidR="001513F0" w:rsidRDefault="001513F0" w:rsidP="00B66E04">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CNGC will submit to a third party audit to determine baseline variance from the standards set forth in </w:t>
      </w:r>
      <w:r w:rsidR="00420738">
        <w:rPr>
          <w:rFonts w:ascii="Times New Roman" w:hAnsi="Times New Roman" w:cs="Times New Roman"/>
          <w:sz w:val="24"/>
          <w:szCs w:val="24"/>
        </w:rPr>
        <w:t>American Petroleum Institute (API) Recommended Practice 1173</w:t>
      </w:r>
      <w:r>
        <w:rPr>
          <w:rFonts w:ascii="Times New Roman" w:hAnsi="Times New Roman" w:cs="Times New Roman"/>
          <w:sz w:val="24"/>
          <w:szCs w:val="24"/>
        </w:rPr>
        <w:t>, Pipeline Safety Management Systems (PSMS). Commission Staff will provide input on the selection of the consultant. At a minimum, the audit will review the following company elements:</w:t>
      </w:r>
    </w:p>
    <w:p w:rsidR="001E6269" w:rsidRDefault="001E6269" w:rsidP="001E6269">
      <w:pPr>
        <w:pStyle w:val="ListParagraph"/>
        <w:rPr>
          <w:rFonts w:ascii="Times New Roman" w:hAnsi="Times New Roman" w:cs="Times New Roman"/>
          <w:sz w:val="24"/>
          <w:szCs w:val="24"/>
        </w:rPr>
      </w:pPr>
    </w:p>
    <w:p w:rsidR="001513F0" w:rsidRDefault="001513F0" w:rsidP="001E6269">
      <w:pPr>
        <w:pStyle w:val="ListParagraph"/>
        <w:numPr>
          <w:ilvl w:val="0"/>
          <w:numId w:val="13"/>
        </w:numPr>
        <w:ind w:left="1800"/>
        <w:rPr>
          <w:rFonts w:ascii="Times New Roman" w:hAnsi="Times New Roman" w:cs="Times New Roman"/>
          <w:sz w:val="24"/>
          <w:szCs w:val="24"/>
        </w:rPr>
      </w:pPr>
      <w:r>
        <w:rPr>
          <w:rFonts w:ascii="Times New Roman" w:hAnsi="Times New Roman" w:cs="Times New Roman"/>
          <w:sz w:val="24"/>
          <w:szCs w:val="24"/>
        </w:rPr>
        <w:t>Leadership and management commitment</w:t>
      </w:r>
    </w:p>
    <w:p w:rsidR="001513F0" w:rsidRDefault="001513F0" w:rsidP="001E6269">
      <w:pPr>
        <w:pStyle w:val="ListParagraph"/>
        <w:numPr>
          <w:ilvl w:val="0"/>
          <w:numId w:val="13"/>
        </w:numPr>
        <w:ind w:left="1800"/>
        <w:rPr>
          <w:rFonts w:ascii="Times New Roman" w:hAnsi="Times New Roman" w:cs="Times New Roman"/>
          <w:sz w:val="24"/>
          <w:szCs w:val="24"/>
        </w:rPr>
      </w:pPr>
      <w:r>
        <w:rPr>
          <w:rFonts w:ascii="Times New Roman" w:hAnsi="Times New Roman" w:cs="Times New Roman"/>
          <w:sz w:val="24"/>
          <w:szCs w:val="24"/>
        </w:rPr>
        <w:t>Stakeholder engagement</w:t>
      </w:r>
    </w:p>
    <w:p w:rsidR="001513F0" w:rsidRDefault="001513F0" w:rsidP="001E6269">
      <w:pPr>
        <w:pStyle w:val="ListParagraph"/>
        <w:numPr>
          <w:ilvl w:val="0"/>
          <w:numId w:val="13"/>
        </w:numPr>
        <w:ind w:left="1800"/>
        <w:rPr>
          <w:rFonts w:ascii="Times New Roman" w:hAnsi="Times New Roman" w:cs="Times New Roman"/>
          <w:sz w:val="24"/>
          <w:szCs w:val="24"/>
        </w:rPr>
      </w:pPr>
      <w:r>
        <w:rPr>
          <w:rFonts w:ascii="Times New Roman" w:hAnsi="Times New Roman" w:cs="Times New Roman"/>
          <w:sz w:val="24"/>
          <w:szCs w:val="24"/>
        </w:rPr>
        <w:t>Risk management</w:t>
      </w:r>
    </w:p>
    <w:p w:rsidR="001513F0" w:rsidRDefault="001513F0" w:rsidP="001E6269">
      <w:pPr>
        <w:pStyle w:val="ListParagraph"/>
        <w:numPr>
          <w:ilvl w:val="0"/>
          <w:numId w:val="13"/>
        </w:numPr>
        <w:ind w:left="1800"/>
        <w:rPr>
          <w:rFonts w:ascii="Times New Roman" w:hAnsi="Times New Roman" w:cs="Times New Roman"/>
          <w:sz w:val="24"/>
          <w:szCs w:val="24"/>
        </w:rPr>
      </w:pPr>
      <w:r>
        <w:rPr>
          <w:rFonts w:ascii="Times New Roman" w:hAnsi="Times New Roman" w:cs="Times New Roman"/>
          <w:sz w:val="24"/>
          <w:szCs w:val="24"/>
        </w:rPr>
        <w:t>Operational controls</w:t>
      </w:r>
    </w:p>
    <w:p w:rsidR="001513F0" w:rsidRDefault="001513F0" w:rsidP="001E6269">
      <w:pPr>
        <w:pStyle w:val="ListParagraph"/>
        <w:numPr>
          <w:ilvl w:val="0"/>
          <w:numId w:val="13"/>
        </w:numPr>
        <w:ind w:left="1800"/>
        <w:rPr>
          <w:rFonts w:ascii="Times New Roman" w:hAnsi="Times New Roman" w:cs="Times New Roman"/>
          <w:sz w:val="24"/>
          <w:szCs w:val="24"/>
        </w:rPr>
      </w:pPr>
      <w:r>
        <w:rPr>
          <w:rFonts w:ascii="Times New Roman" w:hAnsi="Times New Roman" w:cs="Times New Roman"/>
          <w:sz w:val="24"/>
          <w:szCs w:val="24"/>
        </w:rPr>
        <w:t>Incident investigation, evaluation and lessons learned</w:t>
      </w:r>
    </w:p>
    <w:p w:rsidR="001513F0" w:rsidRDefault="001513F0" w:rsidP="001E6269">
      <w:pPr>
        <w:pStyle w:val="ListParagraph"/>
        <w:numPr>
          <w:ilvl w:val="0"/>
          <w:numId w:val="13"/>
        </w:numPr>
        <w:ind w:left="1800"/>
        <w:rPr>
          <w:rFonts w:ascii="Times New Roman" w:hAnsi="Times New Roman" w:cs="Times New Roman"/>
          <w:sz w:val="24"/>
          <w:szCs w:val="24"/>
        </w:rPr>
      </w:pPr>
      <w:r>
        <w:rPr>
          <w:rFonts w:ascii="Times New Roman" w:hAnsi="Times New Roman" w:cs="Times New Roman"/>
          <w:sz w:val="24"/>
          <w:szCs w:val="24"/>
        </w:rPr>
        <w:t>Safety assurance</w:t>
      </w:r>
    </w:p>
    <w:p w:rsidR="001513F0" w:rsidRDefault="001513F0" w:rsidP="001E6269">
      <w:pPr>
        <w:pStyle w:val="ListParagraph"/>
        <w:numPr>
          <w:ilvl w:val="0"/>
          <w:numId w:val="13"/>
        </w:numPr>
        <w:ind w:left="1800"/>
        <w:rPr>
          <w:rFonts w:ascii="Times New Roman" w:hAnsi="Times New Roman" w:cs="Times New Roman"/>
          <w:sz w:val="24"/>
          <w:szCs w:val="24"/>
        </w:rPr>
      </w:pPr>
      <w:r>
        <w:rPr>
          <w:rFonts w:ascii="Times New Roman" w:hAnsi="Times New Roman" w:cs="Times New Roman"/>
          <w:sz w:val="24"/>
          <w:szCs w:val="24"/>
        </w:rPr>
        <w:t>Management review and continuous improvement</w:t>
      </w:r>
    </w:p>
    <w:p w:rsidR="001513F0" w:rsidRDefault="001513F0" w:rsidP="001E6269">
      <w:pPr>
        <w:pStyle w:val="ListParagraph"/>
        <w:numPr>
          <w:ilvl w:val="0"/>
          <w:numId w:val="13"/>
        </w:numPr>
        <w:ind w:left="1800"/>
        <w:rPr>
          <w:rFonts w:ascii="Times New Roman" w:hAnsi="Times New Roman" w:cs="Times New Roman"/>
          <w:sz w:val="24"/>
          <w:szCs w:val="24"/>
        </w:rPr>
      </w:pPr>
      <w:r>
        <w:rPr>
          <w:rFonts w:ascii="Times New Roman" w:hAnsi="Times New Roman" w:cs="Times New Roman"/>
          <w:sz w:val="24"/>
          <w:szCs w:val="24"/>
        </w:rPr>
        <w:t>Emergency preparedness and response</w:t>
      </w:r>
    </w:p>
    <w:p w:rsidR="001513F0" w:rsidRDefault="001513F0" w:rsidP="001E6269">
      <w:pPr>
        <w:pStyle w:val="ListParagraph"/>
        <w:numPr>
          <w:ilvl w:val="0"/>
          <w:numId w:val="13"/>
        </w:numPr>
        <w:ind w:left="1800"/>
        <w:rPr>
          <w:rFonts w:ascii="Times New Roman" w:hAnsi="Times New Roman" w:cs="Times New Roman"/>
          <w:sz w:val="24"/>
          <w:szCs w:val="24"/>
        </w:rPr>
      </w:pPr>
      <w:r>
        <w:rPr>
          <w:rFonts w:ascii="Times New Roman" w:hAnsi="Times New Roman" w:cs="Times New Roman"/>
          <w:sz w:val="24"/>
          <w:szCs w:val="24"/>
        </w:rPr>
        <w:t>Competence, awareness, and training</w:t>
      </w:r>
    </w:p>
    <w:p w:rsidR="001513F0" w:rsidRDefault="001513F0" w:rsidP="001E6269">
      <w:pPr>
        <w:pStyle w:val="ListParagraph"/>
        <w:numPr>
          <w:ilvl w:val="0"/>
          <w:numId w:val="13"/>
        </w:numPr>
        <w:ind w:left="1800"/>
        <w:rPr>
          <w:rFonts w:ascii="Times New Roman" w:hAnsi="Times New Roman" w:cs="Times New Roman"/>
          <w:sz w:val="24"/>
          <w:szCs w:val="24"/>
        </w:rPr>
      </w:pPr>
      <w:r>
        <w:rPr>
          <w:rFonts w:ascii="Times New Roman" w:hAnsi="Times New Roman" w:cs="Times New Roman"/>
          <w:sz w:val="24"/>
          <w:szCs w:val="24"/>
        </w:rPr>
        <w:t>Documentation and record keeping</w:t>
      </w:r>
    </w:p>
    <w:p w:rsidR="001513F0" w:rsidRDefault="001513F0" w:rsidP="001513F0">
      <w:pPr>
        <w:ind w:left="360"/>
        <w:rPr>
          <w:sz w:val="24"/>
        </w:rPr>
      </w:pPr>
    </w:p>
    <w:p w:rsidR="001513F0" w:rsidRDefault="001513F0" w:rsidP="001513F0">
      <w:pPr>
        <w:ind w:left="720"/>
        <w:rPr>
          <w:sz w:val="24"/>
        </w:rPr>
      </w:pPr>
      <w:r>
        <w:rPr>
          <w:sz w:val="24"/>
        </w:rPr>
        <w:t>Upon completion of the audit, CNGC will submit</w:t>
      </w:r>
      <w:r w:rsidR="00C82476">
        <w:rPr>
          <w:sz w:val="24"/>
        </w:rPr>
        <w:t xml:space="preserve"> the </w:t>
      </w:r>
      <w:r w:rsidR="00684937">
        <w:rPr>
          <w:sz w:val="24"/>
        </w:rPr>
        <w:t>consultant’s</w:t>
      </w:r>
      <w:r w:rsidR="00C82476">
        <w:rPr>
          <w:sz w:val="24"/>
        </w:rPr>
        <w:t xml:space="preserve"> report</w:t>
      </w:r>
      <w:r>
        <w:rPr>
          <w:sz w:val="24"/>
        </w:rPr>
        <w:t xml:space="preserve"> to the Commission. The third-party audit and written report will be completed by December 31, 2017. </w:t>
      </w:r>
      <w:r w:rsidR="00AD514B">
        <w:rPr>
          <w:b/>
          <w:sz w:val="24"/>
        </w:rPr>
        <w:t xml:space="preserve">The Commission will impose a </w:t>
      </w:r>
      <w:r w:rsidR="00AD514B" w:rsidRPr="001513F0">
        <w:rPr>
          <w:b/>
          <w:sz w:val="24"/>
        </w:rPr>
        <w:t>$</w:t>
      </w:r>
      <w:r w:rsidR="00AD514B">
        <w:rPr>
          <w:b/>
          <w:sz w:val="24"/>
        </w:rPr>
        <w:t>500</w:t>
      </w:r>
      <w:r w:rsidR="00AD514B" w:rsidRPr="001513F0">
        <w:rPr>
          <w:b/>
          <w:sz w:val="24"/>
        </w:rPr>
        <w:t xml:space="preserve">,000 </w:t>
      </w:r>
      <w:r w:rsidR="004864A5">
        <w:rPr>
          <w:b/>
          <w:sz w:val="24"/>
        </w:rPr>
        <w:t xml:space="preserve">suspended </w:t>
      </w:r>
      <w:r w:rsidR="00AD514B" w:rsidRPr="001513F0">
        <w:rPr>
          <w:b/>
          <w:sz w:val="24"/>
        </w:rPr>
        <w:t xml:space="preserve">penalty if CNGC fails to </w:t>
      </w:r>
      <w:r w:rsidR="00F11D4F">
        <w:rPr>
          <w:b/>
          <w:sz w:val="24"/>
        </w:rPr>
        <w:t xml:space="preserve">submit </w:t>
      </w:r>
      <w:r w:rsidR="00A35AFA">
        <w:rPr>
          <w:b/>
          <w:sz w:val="24"/>
        </w:rPr>
        <w:t xml:space="preserve">the </w:t>
      </w:r>
      <w:r w:rsidR="00684937">
        <w:rPr>
          <w:b/>
          <w:sz w:val="24"/>
        </w:rPr>
        <w:t>consultant’s</w:t>
      </w:r>
      <w:r w:rsidR="004E123F">
        <w:rPr>
          <w:b/>
          <w:sz w:val="24"/>
        </w:rPr>
        <w:t xml:space="preserve"> </w:t>
      </w:r>
      <w:r w:rsidR="00A35AFA">
        <w:rPr>
          <w:b/>
          <w:sz w:val="24"/>
        </w:rPr>
        <w:t>report</w:t>
      </w:r>
      <w:r w:rsidR="0037254E">
        <w:rPr>
          <w:b/>
          <w:sz w:val="24"/>
        </w:rPr>
        <w:t xml:space="preserve"> by December 31, 2017</w:t>
      </w:r>
      <w:r w:rsidR="00AD514B" w:rsidRPr="001513F0">
        <w:rPr>
          <w:b/>
          <w:sz w:val="24"/>
        </w:rPr>
        <w:t>.</w:t>
      </w:r>
      <w:r w:rsidR="0037254E">
        <w:rPr>
          <w:b/>
          <w:sz w:val="24"/>
        </w:rPr>
        <w:t xml:space="preserve"> </w:t>
      </w:r>
      <w:r w:rsidR="0037254E" w:rsidRPr="00A91822">
        <w:rPr>
          <w:sz w:val="24"/>
        </w:rPr>
        <w:t xml:space="preserve">The </w:t>
      </w:r>
      <w:r w:rsidR="00D046F9" w:rsidRPr="00A91822">
        <w:rPr>
          <w:sz w:val="24"/>
        </w:rPr>
        <w:t>results of the</w:t>
      </w:r>
      <w:r w:rsidR="00D046F9">
        <w:rPr>
          <w:sz w:val="24"/>
        </w:rPr>
        <w:t xml:space="preserve"> </w:t>
      </w:r>
      <w:r w:rsidR="0037254E" w:rsidRPr="00A91822">
        <w:rPr>
          <w:sz w:val="24"/>
        </w:rPr>
        <w:t>third-party audit shall not be the basis for Staff recommendations of additional penalties against CNGC</w:t>
      </w:r>
      <w:r w:rsidR="00ED2E82">
        <w:rPr>
          <w:sz w:val="24"/>
        </w:rPr>
        <w:t xml:space="preserve"> and if the third-party audit identifies violations of code, CNGC shall have a reasonable opportunity to correct such violations.</w:t>
      </w:r>
    </w:p>
    <w:p w:rsidR="001513F0" w:rsidRDefault="001513F0" w:rsidP="001513F0">
      <w:pPr>
        <w:ind w:left="360"/>
        <w:rPr>
          <w:sz w:val="24"/>
        </w:rPr>
      </w:pPr>
    </w:p>
    <w:p w:rsidR="001513F0" w:rsidRDefault="001513F0" w:rsidP="00B66E04">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CNGC will commence a program to align its operations with the standards of API</w:t>
      </w:r>
      <w:r w:rsidR="00C82476">
        <w:rPr>
          <w:rFonts w:ascii="Times New Roman" w:hAnsi="Times New Roman" w:cs="Times New Roman"/>
          <w:sz w:val="24"/>
          <w:szCs w:val="24"/>
        </w:rPr>
        <w:t xml:space="preserve"> Recommended Practice</w:t>
      </w:r>
      <w:r>
        <w:rPr>
          <w:rFonts w:ascii="Times New Roman" w:hAnsi="Times New Roman" w:cs="Times New Roman"/>
          <w:sz w:val="24"/>
          <w:szCs w:val="24"/>
        </w:rPr>
        <w:t xml:space="preserve"> 1173. Commission Staff will review CNGC’s progress in implementing these operational changes. API 1173 is a recommended practice and, as such, compliance with API 1173 may be subject to audit but shall not be</w:t>
      </w:r>
      <w:r>
        <w:rPr>
          <w:rFonts w:ascii="Times New Roman" w:hAnsi="Times New Roman" w:cs="Times New Roman"/>
          <w:b/>
          <w:sz w:val="24"/>
          <w:szCs w:val="24"/>
        </w:rPr>
        <w:t xml:space="preserve"> </w:t>
      </w:r>
      <w:r>
        <w:rPr>
          <w:rFonts w:ascii="Times New Roman" w:hAnsi="Times New Roman" w:cs="Times New Roman"/>
          <w:sz w:val="24"/>
          <w:szCs w:val="24"/>
        </w:rPr>
        <w:t xml:space="preserve">the basis for penalties.  </w:t>
      </w:r>
    </w:p>
    <w:p w:rsidR="001513F0" w:rsidRDefault="001513F0" w:rsidP="001513F0">
      <w:pPr>
        <w:pStyle w:val="ListParagraph"/>
        <w:rPr>
          <w:rFonts w:ascii="Times New Roman" w:hAnsi="Times New Roman" w:cs="Times New Roman"/>
          <w:sz w:val="24"/>
          <w:szCs w:val="24"/>
        </w:rPr>
      </w:pPr>
    </w:p>
    <w:p w:rsidR="001513F0" w:rsidRDefault="001513F0" w:rsidP="00B66E04">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CNGC will not seek recovery of penalties paid by CNGC as part of this settlement but may seek recovery of its costs to comply with the terms of this </w:t>
      </w:r>
      <w:r w:rsidR="008B1F22">
        <w:rPr>
          <w:rFonts w:ascii="Times New Roman" w:hAnsi="Times New Roman" w:cs="Times New Roman"/>
          <w:sz w:val="24"/>
          <w:szCs w:val="24"/>
        </w:rPr>
        <w:t xml:space="preserve">Agreement </w:t>
      </w:r>
      <w:r>
        <w:rPr>
          <w:rFonts w:ascii="Times New Roman" w:hAnsi="Times New Roman" w:cs="Times New Roman"/>
          <w:sz w:val="24"/>
          <w:szCs w:val="24"/>
        </w:rPr>
        <w:t>including but not limited to recovery through deferral and amortization, general rates, and a tracker</w:t>
      </w:r>
      <w:r w:rsidR="0081522F">
        <w:rPr>
          <w:rFonts w:ascii="Times New Roman" w:hAnsi="Times New Roman" w:cs="Times New Roman"/>
          <w:sz w:val="24"/>
          <w:szCs w:val="24"/>
        </w:rPr>
        <w:t>.</w:t>
      </w:r>
    </w:p>
    <w:p w:rsidR="001513F0" w:rsidRDefault="001513F0" w:rsidP="001513F0">
      <w:pPr>
        <w:pStyle w:val="ListParagraph"/>
        <w:rPr>
          <w:rFonts w:ascii="Times New Roman" w:hAnsi="Times New Roman" w:cs="Times New Roman"/>
          <w:b/>
          <w:strike/>
          <w:color w:val="00B050"/>
          <w:sz w:val="24"/>
          <w:szCs w:val="24"/>
        </w:rPr>
      </w:pPr>
    </w:p>
    <w:p w:rsidR="001513F0" w:rsidRDefault="00B23464" w:rsidP="00831D09">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T</w:t>
      </w:r>
      <w:r w:rsidRPr="00831D09">
        <w:rPr>
          <w:rFonts w:ascii="Times New Roman" w:hAnsi="Times New Roman" w:cs="Times New Roman"/>
          <w:sz w:val="24"/>
          <w:szCs w:val="24"/>
        </w:rPr>
        <w:t xml:space="preserve">he current and suspended penalties </w:t>
      </w:r>
      <w:r>
        <w:rPr>
          <w:rFonts w:ascii="Times New Roman" w:hAnsi="Times New Roman" w:cs="Times New Roman"/>
          <w:sz w:val="24"/>
          <w:szCs w:val="24"/>
        </w:rPr>
        <w:t xml:space="preserve">imposed by the Commission as part of this Agreement </w:t>
      </w:r>
      <w:r w:rsidRPr="00831D09">
        <w:rPr>
          <w:rFonts w:ascii="Times New Roman" w:hAnsi="Times New Roman" w:cs="Times New Roman"/>
          <w:sz w:val="24"/>
          <w:szCs w:val="24"/>
        </w:rPr>
        <w:t>include penalties for any continuation of the violations during the period of correction</w:t>
      </w:r>
      <w:r>
        <w:rPr>
          <w:rFonts w:ascii="Times New Roman" w:hAnsi="Times New Roman" w:cs="Times New Roman"/>
          <w:sz w:val="24"/>
          <w:szCs w:val="24"/>
        </w:rPr>
        <w:t xml:space="preserve">. </w:t>
      </w:r>
      <w:r w:rsidR="001513F0">
        <w:rPr>
          <w:rFonts w:ascii="Times New Roman" w:hAnsi="Times New Roman" w:cs="Times New Roman"/>
          <w:sz w:val="24"/>
          <w:szCs w:val="24"/>
        </w:rPr>
        <w:t xml:space="preserve">Commission Staff agrees to forbear recommending penalties to the Commission if it discovers similar violations relating to MAOP validation pertaining to CNGC’s high pressure pipe (greater than 60 psig) while CNGC performs the actions set forth in </w:t>
      </w:r>
      <w:r w:rsidR="008B1F22">
        <w:rPr>
          <w:rFonts w:ascii="Times New Roman" w:hAnsi="Times New Roman" w:cs="Times New Roman"/>
          <w:sz w:val="24"/>
          <w:szCs w:val="24"/>
        </w:rPr>
        <w:t>this</w:t>
      </w:r>
      <w:r w:rsidR="001513F0">
        <w:rPr>
          <w:rFonts w:ascii="Times New Roman" w:hAnsi="Times New Roman" w:cs="Times New Roman"/>
          <w:sz w:val="24"/>
          <w:szCs w:val="24"/>
        </w:rPr>
        <w:t xml:space="preserve"> </w:t>
      </w:r>
      <w:r w:rsidR="008B1F22">
        <w:rPr>
          <w:rFonts w:ascii="Times New Roman" w:hAnsi="Times New Roman" w:cs="Times New Roman"/>
          <w:sz w:val="24"/>
          <w:szCs w:val="24"/>
        </w:rPr>
        <w:t xml:space="preserve">Agreement </w:t>
      </w:r>
      <w:r w:rsidR="001513F0">
        <w:rPr>
          <w:rFonts w:ascii="Times New Roman" w:hAnsi="Times New Roman" w:cs="Times New Roman"/>
          <w:sz w:val="24"/>
          <w:szCs w:val="24"/>
        </w:rPr>
        <w:t>and complies with the terms o</w:t>
      </w:r>
      <w:r w:rsidR="00634B5A">
        <w:rPr>
          <w:rFonts w:ascii="Times New Roman" w:hAnsi="Times New Roman" w:cs="Times New Roman"/>
          <w:sz w:val="24"/>
          <w:szCs w:val="24"/>
        </w:rPr>
        <w:t xml:space="preserve">f </w:t>
      </w:r>
      <w:r w:rsidR="00684937">
        <w:rPr>
          <w:rFonts w:ascii="Times New Roman" w:hAnsi="Times New Roman" w:cs="Times New Roman"/>
          <w:sz w:val="24"/>
          <w:szCs w:val="24"/>
        </w:rPr>
        <w:t>this A</w:t>
      </w:r>
      <w:r w:rsidR="00634B5A">
        <w:rPr>
          <w:rFonts w:ascii="Times New Roman" w:hAnsi="Times New Roman" w:cs="Times New Roman"/>
          <w:sz w:val="24"/>
          <w:szCs w:val="24"/>
        </w:rPr>
        <w:t>greement.</w:t>
      </w:r>
    </w:p>
    <w:p w:rsidR="001513F0" w:rsidRPr="00AD514B" w:rsidRDefault="001513F0" w:rsidP="00AD514B">
      <w:pPr>
        <w:rPr>
          <w:sz w:val="24"/>
        </w:rPr>
      </w:pPr>
    </w:p>
    <w:p w:rsidR="00AD514B" w:rsidRPr="00AD514B" w:rsidRDefault="00D046F9" w:rsidP="00AD514B">
      <w:pPr>
        <w:widowControl/>
        <w:tabs>
          <w:tab w:val="left" w:pos="720"/>
        </w:tabs>
        <w:autoSpaceDE/>
        <w:autoSpaceDN/>
        <w:adjustRightInd/>
        <w:spacing w:line="480" w:lineRule="auto"/>
        <w:rPr>
          <w:b/>
          <w:sz w:val="24"/>
        </w:rPr>
      </w:pPr>
      <w:r w:rsidRPr="00A91822">
        <w:rPr>
          <w:b/>
          <w:sz w:val="24"/>
        </w:rPr>
        <w:t>C</w:t>
      </w:r>
      <w:r w:rsidR="00AD514B" w:rsidRPr="00A91822">
        <w:rPr>
          <w:b/>
          <w:sz w:val="24"/>
        </w:rPr>
        <w:t>.</w:t>
      </w:r>
      <w:r w:rsidR="00AD514B" w:rsidRPr="00AD514B">
        <w:rPr>
          <w:b/>
          <w:sz w:val="24"/>
        </w:rPr>
        <w:tab/>
      </w:r>
      <w:r w:rsidR="00AD514B">
        <w:rPr>
          <w:b/>
          <w:sz w:val="24"/>
        </w:rPr>
        <w:t>S</w:t>
      </w:r>
      <w:r w:rsidR="004864A5">
        <w:rPr>
          <w:b/>
          <w:sz w:val="24"/>
        </w:rPr>
        <w:t>tatus of Order 01</w:t>
      </w:r>
    </w:p>
    <w:p w:rsidR="00AD514B" w:rsidRDefault="00AD514B" w:rsidP="00AD514B">
      <w:pPr>
        <w:widowControl/>
        <w:numPr>
          <w:ilvl w:val="0"/>
          <w:numId w:val="4"/>
        </w:numPr>
        <w:tabs>
          <w:tab w:val="clear" w:pos="1080"/>
          <w:tab w:val="left" w:pos="720"/>
        </w:tabs>
        <w:autoSpaceDE/>
        <w:autoSpaceDN/>
        <w:adjustRightInd/>
        <w:spacing w:line="480" w:lineRule="auto"/>
        <w:ind w:left="0" w:hanging="720"/>
        <w:rPr>
          <w:sz w:val="24"/>
        </w:rPr>
      </w:pPr>
      <w:r>
        <w:rPr>
          <w:sz w:val="24"/>
        </w:rPr>
        <w:tab/>
      </w:r>
      <w:r w:rsidR="004864A5">
        <w:rPr>
          <w:sz w:val="24"/>
        </w:rPr>
        <w:t>The Commission’s</w:t>
      </w:r>
      <w:r w:rsidR="001E6269">
        <w:rPr>
          <w:sz w:val="24"/>
        </w:rPr>
        <w:t xml:space="preserve"> final</w:t>
      </w:r>
      <w:r w:rsidR="004864A5">
        <w:rPr>
          <w:sz w:val="24"/>
        </w:rPr>
        <w:t xml:space="preserve"> order approving this Agreement</w:t>
      </w:r>
      <w:r w:rsidR="001E6269">
        <w:rPr>
          <w:sz w:val="24"/>
        </w:rPr>
        <w:t xml:space="preserve"> will supersede</w:t>
      </w:r>
      <w:r w:rsidR="004864A5">
        <w:rPr>
          <w:sz w:val="24"/>
        </w:rPr>
        <w:t xml:space="preserve"> and replace </w:t>
      </w:r>
      <w:r>
        <w:rPr>
          <w:sz w:val="24"/>
        </w:rPr>
        <w:t>Order</w:t>
      </w:r>
      <w:r w:rsidR="004864A5">
        <w:rPr>
          <w:sz w:val="24"/>
        </w:rPr>
        <w:t> 01 in this docket.</w:t>
      </w:r>
      <w:r w:rsidR="00A35AFA">
        <w:rPr>
          <w:sz w:val="24"/>
        </w:rPr>
        <w:t xml:space="preserve">  </w:t>
      </w:r>
    </w:p>
    <w:p w:rsidR="007A78B7" w:rsidRDefault="007A78B7" w:rsidP="001513F0">
      <w:pPr>
        <w:widowControl/>
        <w:tabs>
          <w:tab w:val="left" w:pos="720"/>
        </w:tabs>
        <w:autoSpaceDE/>
        <w:autoSpaceDN/>
        <w:adjustRightInd/>
        <w:spacing w:line="480" w:lineRule="auto"/>
        <w:jc w:val="center"/>
        <w:rPr>
          <w:b/>
          <w:sz w:val="24"/>
        </w:rPr>
      </w:pPr>
      <w:r w:rsidRPr="00A91822">
        <w:rPr>
          <w:b/>
          <w:sz w:val="24"/>
        </w:rPr>
        <w:t>V</w:t>
      </w:r>
      <w:r w:rsidR="00C80570" w:rsidRPr="00A91822">
        <w:rPr>
          <w:b/>
          <w:sz w:val="24"/>
        </w:rPr>
        <w:t>I</w:t>
      </w:r>
      <w:r>
        <w:rPr>
          <w:b/>
          <w:sz w:val="24"/>
        </w:rPr>
        <w:t>.</w:t>
      </w:r>
      <w:r>
        <w:rPr>
          <w:b/>
          <w:sz w:val="24"/>
        </w:rPr>
        <w:tab/>
        <w:t>GENERAL PROVISIONS</w:t>
      </w:r>
    </w:p>
    <w:p w:rsidR="00C80570" w:rsidRPr="00A91822" w:rsidRDefault="00C80570" w:rsidP="007A78B7">
      <w:pPr>
        <w:widowControl/>
        <w:numPr>
          <w:ilvl w:val="0"/>
          <w:numId w:val="4"/>
        </w:numPr>
        <w:tabs>
          <w:tab w:val="clear" w:pos="1080"/>
          <w:tab w:val="left" w:pos="720"/>
        </w:tabs>
        <w:autoSpaceDE/>
        <w:autoSpaceDN/>
        <w:adjustRightInd/>
        <w:spacing w:line="480" w:lineRule="auto"/>
        <w:ind w:left="0" w:hanging="720"/>
        <w:rPr>
          <w:sz w:val="24"/>
        </w:rPr>
      </w:pPr>
      <w:r>
        <w:rPr>
          <w:sz w:val="24"/>
        </w:rPr>
        <w:tab/>
      </w:r>
      <w:r w:rsidRPr="00634B5A">
        <w:rPr>
          <w:sz w:val="24"/>
          <w:u w:val="single"/>
        </w:rPr>
        <w:t>Settlement of all claims</w:t>
      </w:r>
      <w:r w:rsidR="00634B5A">
        <w:rPr>
          <w:sz w:val="24"/>
        </w:rPr>
        <w:t>.</w:t>
      </w:r>
      <w:r w:rsidRPr="00A91822">
        <w:rPr>
          <w:sz w:val="24"/>
        </w:rPr>
        <w:t xml:space="preserve"> The </w:t>
      </w:r>
      <w:r w:rsidR="002116A0">
        <w:rPr>
          <w:sz w:val="24"/>
        </w:rPr>
        <w:t>p</w:t>
      </w:r>
      <w:r w:rsidR="002116A0" w:rsidRPr="00A91822">
        <w:rPr>
          <w:sz w:val="24"/>
        </w:rPr>
        <w:t xml:space="preserve">arties </w:t>
      </w:r>
      <w:r w:rsidRPr="00A91822">
        <w:rPr>
          <w:sz w:val="24"/>
        </w:rPr>
        <w:t>agree that this Agreement is an appropriate settlement of all contested issues between them in this proceeding.</w:t>
      </w:r>
    </w:p>
    <w:p w:rsidR="007A78B7" w:rsidRDefault="001513F0" w:rsidP="007A78B7">
      <w:pPr>
        <w:widowControl/>
        <w:numPr>
          <w:ilvl w:val="0"/>
          <w:numId w:val="4"/>
        </w:numPr>
        <w:tabs>
          <w:tab w:val="clear" w:pos="1080"/>
          <w:tab w:val="left" w:pos="720"/>
        </w:tabs>
        <w:autoSpaceDE/>
        <w:autoSpaceDN/>
        <w:adjustRightInd/>
        <w:spacing w:line="480" w:lineRule="auto"/>
        <w:ind w:left="0" w:hanging="720"/>
        <w:rPr>
          <w:sz w:val="24"/>
        </w:rPr>
      </w:pPr>
      <w:r w:rsidRPr="001513F0">
        <w:rPr>
          <w:sz w:val="24"/>
        </w:rPr>
        <w:tab/>
      </w:r>
      <w:r w:rsidR="007A78B7">
        <w:rPr>
          <w:sz w:val="24"/>
          <w:u w:val="single"/>
        </w:rPr>
        <w:t>Public interest</w:t>
      </w:r>
      <w:r w:rsidR="007A78B7">
        <w:rPr>
          <w:sz w:val="24"/>
        </w:rPr>
        <w:t>. The parties agree that this Agreement promotes the public interest, and that it is appropriate for unconditional Commission acceptance under WAC 480-07-750.</w:t>
      </w:r>
    </w:p>
    <w:p w:rsidR="007A78B7" w:rsidRDefault="001513F0" w:rsidP="007A78B7">
      <w:pPr>
        <w:widowControl/>
        <w:numPr>
          <w:ilvl w:val="0"/>
          <w:numId w:val="4"/>
        </w:numPr>
        <w:tabs>
          <w:tab w:val="clear" w:pos="1080"/>
          <w:tab w:val="left" w:pos="720"/>
        </w:tabs>
        <w:autoSpaceDE/>
        <w:autoSpaceDN/>
        <w:adjustRightInd/>
        <w:spacing w:line="480" w:lineRule="auto"/>
        <w:ind w:left="0" w:hanging="720"/>
        <w:rPr>
          <w:sz w:val="24"/>
        </w:rPr>
      </w:pPr>
      <w:r w:rsidRPr="001513F0">
        <w:rPr>
          <w:i/>
          <w:sz w:val="24"/>
        </w:rPr>
        <w:tab/>
      </w:r>
      <w:r w:rsidR="007A78B7">
        <w:rPr>
          <w:sz w:val="24"/>
          <w:u w:val="single"/>
        </w:rPr>
        <w:t>Advocacy</w:t>
      </w:r>
      <w:r w:rsidR="007A78B7">
        <w:rPr>
          <w:sz w:val="24"/>
        </w:rPr>
        <w:t>. The parties agree to advocate for acceptance of this Agreement before the Commission. After the Commission accepts this Agreement, no party or its agents, employees, consultants, or attorneys will engage in advocacy contrary to the Agreement.</w:t>
      </w:r>
    </w:p>
    <w:p w:rsidR="007A78B7" w:rsidRDefault="001513F0" w:rsidP="007A78B7">
      <w:pPr>
        <w:widowControl/>
        <w:numPr>
          <w:ilvl w:val="0"/>
          <w:numId w:val="4"/>
        </w:numPr>
        <w:tabs>
          <w:tab w:val="clear" w:pos="1080"/>
          <w:tab w:val="left" w:pos="720"/>
        </w:tabs>
        <w:autoSpaceDE/>
        <w:autoSpaceDN/>
        <w:adjustRightInd/>
        <w:spacing w:line="480" w:lineRule="auto"/>
        <w:ind w:left="0" w:hanging="720"/>
        <w:rPr>
          <w:sz w:val="24"/>
        </w:rPr>
      </w:pPr>
      <w:r w:rsidRPr="001513F0">
        <w:rPr>
          <w:sz w:val="24"/>
        </w:rPr>
        <w:tab/>
      </w:r>
      <w:r w:rsidR="007A78B7">
        <w:rPr>
          <w:sz w:val="24"/>
          <w:u w:val="single"/>
        </w:rPr>
        <w:t>Construction</w:t>
      </w:r>
      <w:r w:rsidR="007A78B7">
        <w:rPr>
          <w:sz w:val="24"/>
        </w:rPr>
        <w:t>. This Agreement shall not be construed against any party solely because that party was a drafter of the Agreement.</w:t>
      </w:r>
    </w:p>
    <w:p w:rsidR="00E67C50" w:rsidRDefault="00E67C50" w:rsidP="007A78B7">
      <w:pPr>
        <w:widowControl/>
        <w:numPr>
          <w:ilvl w:val="0"/>
          <w:numId w:val="4"/>
        </w:numPr>
        <w:tabs>
          <w:tab w:val="clear" w:pos="1080"/>
          <w:tab w:val="left" w:pos="720"/>
        </w:tabs>
        <w:autoSpaceDE/>
        <w:autoSpaceDN/>
        <w:adjustRightInd/>
        <w:spacing w:line="480" w:lineRule="auto"/>
        <w:ind w:left="0" w:hanging="720"/>
        <w:rPr>
          <w:sz w:val="24"/>
        </w:rPr>
      </w:pPr>
      <w:r>
        <w:rPr>
          <w:sz w:val="24"/>
        </w:rPr>
        <w:tab/>
      </w:r>
      <w:r>
        <w:rPr>
          <w:sz w:val="24"/>
          <w:u w:val="single"/>
        </w:rPr>
        <w:t>Integrated Agreement</w:t>
      </w:r>
      <w:r w:rsidR="00634B5A">
        <w:rPr>
          <w:sz w:val="24"/>
        </w:rPr>
        <w:t>.</w:t>
      </w:r>
      <w:r w:rsidRPr="00814675">
        <w:rPr>
          <w:sz w:val="24"/>
        </w:rPr>
        <w:t xml:space="preserve"> The </w:t>
      </w:r>
      <w:r w:rsidR="008B1F22">
        <w:rPr>
          <w:sz w:val="24"/>
        </w:rPr>
        <w:t>p</w:t>
      </w:r>
      <w:r w:rsidR="008B1F22" w:rsidRPr="00814675">
        <w:rPr>
          <w:sz w:val="24"/>
        </w:rPr>
        <w:t xml:space="preserve">arties </w:t>
      </w:r>
      <w:r w:rsidRPr="00814675">
        <w:rPr>
          <w:sz w:val="24"/>
        </w:rPr>
        <w:t>have negotiated this Agreement as an integrated document to be filed with the Commission only upon execution. This Agreement supersedes all prior oral and written agreements on issues addressed herein, if any</w:t>
      </w:r>
      <w:r w:rsidR="006C2BE3" w:rsidRPr="00814675">
        <w:rPr>
          <w:sz w:val="24"/>
        </w:rPr>
        <w:t>, including the Stipulated Agreement filed on February 3, 2015, in this docket</w:t>
      </w:r>
      <w:r w:rsidRPr="00814675">
        <w:rPr>
          <w:sz w:val="24"/>
        </w:rPr>
        <w:t>.</w:t>
      </w:r>
    </w:p>
    <w:p w:rsidR="007A78B7" w:rsidRPr="00AD514B" w:rsidRDefault="001513F0" w:rsidP="00AD514B">
      <w:pPr>
        <w:widowControl/>
        <w:numPr>
          <w:ilvl w:val="0"/>
          <w:numId w:val="4"/>
        </w:numPr>
        <w:tabs>
          <w:tab w:val="clear" w:pos="1080"/>
          <w:tab w:val="left" w:pos="720"/>
        </w:tabs>
        <w:autoSpaceDE/>
        <w:autoSpaceDN/>
        <w:adjustRightInd/>
        <w:spacing w:line="480" w:lineRule="auto"/>
        <w:ind w:left="0" w:hanging="720"/>
        <w:rPr>
          <w:sz w:val="24"/>
        </w:rPr>
      </w:pPr>
      <w:r w:rsidRPr="001513F0">
        <w:rPr>
          <w:sz w:val="24"/>
        </w:rPr>
        <w:tab/>
      </w:r>
      <w:r w:rsidR="007A78B7">
        <w:rPr>
          <w:sz w:val="24"/>
          <w:u w:val="single"/>
        </w:rPr>
        <w:t>Other proceedings</w:t>
      </w:r>
      <w:r>
        <w:rPr>
          <w:sz w:val="24"/>
        </w:rPr>
        <w:t>. This Agreement is executed</w:t>
      </w:r>
      <w:r w:rsidR="007A78B7">
        <w:rPr>
          <w:sz w:val="24"/>
        </w:rPr>
        <w:t xml:space="preserve"> for settlement purposes only and shall have no precedential or preclusive</w:t>
      </w:r>
      <w:r>
        <w:rPr>
          <w:sz w:val="24"/>
        </w:rPr>
        <w:t xml:space="preserve"> effect in other proceedings.</w:t>
      </w:r>
      <w:r w:rsidR="00E67C50" w:rsidRPr="00E67C50">
        <w:rPr>
          <w:sz w:val="24"/>
        </w:rPr>
        <w:t xml:space="preserve"> </w:t>
      </w:r>
      <w:r w:rsidR="00E67C50">
        <w:rPr>
          <w:sz w:val="24"/>
        </w:rPr>
        <w:t xml:space="preserve">The </w:t>
      </w:r>
      <w:r w:rsidR="008B1F22">
        <w:rPr>
          <w:sz w:val="24"/>
        </w:rPr>
        <w:t xml:space="preserve">parties </w:t>
      </w:r>
      <w:r w:rsidR="00E67C50">
        <w:rPr>
          <w:sz w:val="24"/>
        </w:rPr>
        <w:t xml:space="preserve">recognize that this Agreement represents a compromise of the </w:t>
      </w:r>
      <w:r w:rsidR="008B1F22">
        <w:rPr>
          <w:sz w:val="24"/>
        </w:rPr>
        <w:t xml:space="preserve">parties’ </w:t>
      </w:r>
      <w:r w:rsidR="00E67C50">
        <w:rPr>
          <w:sz w:val="24"/>
        </w:rPr>
        <w:t>positions. As such, conduct, statements, and documents disclosed during negotiations of this Agreement shall not be admissible as evidence in</w:t>
      </w:r>
      <w:r w:rsidR="00634B5A">
        <w:rPr>
          <w:sz w:val="24"/>
        </w:rPr>
        <w:t xml:space="preserve"> this or any other proceeding.</w:t>
      </w:r>
    </w:p>
    <w:p w:rsidR="007A78B7" w:rsidRDefault="001513F0" w:rsidP="007A78B7">
      <w:pPr>
        <w:widowControl/>
        <w:numPr>
          <w:ilvl w:val="0"/>
          <w:numId w:val="4"/>
        </w:numPr>
        <w:tabs>
          <w:tab w:val="clear" w:pos="1080"/>
          <w:tab w:val="left" w:pos="720"/>
        </w:tabs>
        <w:autoSpaceDE/>
        <w:autoSpaceDN/>
        <w:adjustRightInd/>
        <w:spacing w:line="480" w:lineRule="auto"/>
        <w:ind w:left="0" w:hanging="720"/>
        <w:rPr>
          <w:sz w:val="24"/>
        </w:rPr>
      </w:pPr>
      <w:r w:rsidRPr="001513F0">
        <w:rPr>
          <w:sz w:val="24"/>
        </w:rPr>
        <w:tab/>
      </w:r>
      <w:r w:rsidR="007A78B7">
        <w:rPr>
          <w:sz w:val="24"/>
          <w:u w:val="single"/>
        </w:rPr>
        <w:t>Counterparts</w:t>
      </w:r>
      <w:r w:rsidR="007A78B7">
        <w:rPr>
          <w:sz w:val="24"/>
        </w:rPr>
        <w:t>. The parties may execute this Agreement in counterparts.</w:t>
      </w:r>
      <w:r w:rsidR="006C2BE3">
        <w:rPr>
          <w:sz w:val="24"/>
        </w:rPr>
        <w:t xml:space="preserve"> Copies of signature pages sent by email or </w:t>
      </w:r>
      <w:r w:rsidR="002A3800">
        <w:rPr>
          <w:sz w:val="24"/>
        </w:rPr>
        <w:t>facsimile</w:t>
      </w:r>
      <w:r w:rsidR="006C2BE3">
        <w:rPr>
          <w:sz w:val="24"/>
        </w:rPr>
        <w:t xml:space="preserve"> are ef</w:t>
      </w:r>
      <w:r w:rsidR="00634B5A">
        <w:rPr>
          <w:sz w:val="24"/>
        </w:rPr>
        <w:t>fective as original documents.</w:t>
      </w:r>
    </w:p>
    <w:p w:rsidR="007A78B7" w:rsidRDefault="001513F0" w:rsidP="00246575">
      <w:pPr>
        <w:widowControl/>
        <w:numPr>
          <w:ilvl w:val="0"/>
          <w:numId w:val="4"/>
        </w:numPr>
        <w:tabs>
          <w:tab w:val="clear" w:pos="1080"/>
          <w:tab w:val="left" w:pos="720"/>
        </w:tabs>
        <w:autoSpaceDE/>
        <w:autoSpaceDN/>
        <w:adjustRightInd/>
        <w:spacing w:line="480" w:lineRule="auto"/>
        <w:ind w:left="0" w:hanging="720"/>
        <w:rPr>
          <w:sz w:val="24"/>
        </w:rPr>
      </w:pPr>
      <w:r w:rsidRPr="001513F0">
        <w:rPr>
          <w:sz w:val="24"/>
        </w:rPr>
        <w:tab/>
      </w:r>
      <w:r w:rsidR="007A78B7" w:rsidRPr="001513F0">
        <w:rPr>
          <w:sz w:val="24"/>
          <w:u w:val="single"/>
        </w:rPr>
        <w:t>Authorized representatives</w:t>
      </w:r>
      <w:r w:rsidR="007A78B7" w:rsidRPr="001513F0">
        <w:rPr>
          <w:sz w:val="24"/>
        </w:rPr>
        <w:t>. Each person signing this Agreement warrants that he or she has authority to bind the party that he or she represents.</w:t>
      </w:r>
    </w:p>
    <w:p w:rsidR="004B7EE6" w:rsidRDefault="00A3778E" w:rsidP="00F11D4F">
      <w:pPr>
        <w:widowControl/>
        <w:numPr>
          <w:ilvl w:val="0"/>
          <w:numId w:val="4"/>
        </w:numPr>
        <w:tabs>
          <w:tab w:val="clear" w:pos="1080"/>
          <w:tab w:val="left" w:pos="720"/>
        </w:tabs>
        <w:autoSpaceDE/>
        <w:autoSpaceDN/>
        <w:adjustRightInd/>
        <w:spacing w:line="480" w:lineRule="auto"/>
        <w:ind w:left="0" w:hanging="720"/>
        <w:rPr>
          <w:sz w:val="24"/>
        </w:rPr>
      </w:pPr>
      <w:r>
        <w:rPr>
          <w:sz w:val="24"/>
        </w:rPr>
        <w:tab/>
      </w:r>
      <w:r w:rsidR="006C2BE3">
        <w:rPr>
          <w:sz w:val="24"/>
          <w:u w:val="single"/>
        </w:rPr>
        <w:t>Procedure in the event the Commission rejects this Agreement</w:t>
      </w:r>
      <w:r w:rsidR="00634B5A">
        <w:rPr>
          <w:sz w:val="24"/>
        </w:rPr>
        <w:t xml:space="preserve">. </w:t>
      </w:r>
      <w:r>
        <w:rPr>
          <w:sz w:val="24"/>
        </w:rPr>
        <w:t>In the event the Commission rejects all or any portion of this Agreement, or places conditions on this Agreement, each party reserves the right to withdraw from this Agreement by written notice to the o</w:t>
      </w:r>
      <w:r w:rsidR="00634B5A">
        <w:rPr>
          <w:sz w:val="24"/>
        </w:rPr>
        <w:t xml:space="preserve">ther party and the Commission. </w:t>
      </w:r>
      <w:r>
        <w:rPr>
          <w:sz w:val="24"/>
        </w:rPr>
        <w:t>Written notice must be served within 10 business days of the date of the Commission order. In such event, neither party will be bound or prejudiced b</w:t>
      </w:r>
      <w:r w:rsidR="00634B5A">
        <w:rPr>
          <w:sz w:val="24"/>
        </w:rPr>
        <w:t xml:space="preserve">y the terms of this Agreement. </w:t>
      </w:r>
      <w:r>
        <w:rPr>
          <w:sz w:val="24"/>
        </w:rPr>
        <w:t>The parties will jointly request a prehearing conference for purposes of establishing a procedural schedule to complete the case.</w:t>
      </w:r>
    </w:p>
    <w:p w:rsidR="00FE003F" w:rsidRDefault="00FE003F" w:rsidP="00FE003F">
      <w:pPr>
        <w:widowControl/>
        <w:tabs>
          <w:tab w:val="left" w:pos="720"/>
        </w:tabs>
        <w:autoSpaceDE/>
        <w:autoSpaceDN/>
        <w:adjustRightInd/>
        <w:spacing w:line="480" w:lineRule="auto"/>
        <w:rPr>
          <w:sz w:val="24"/>
        </w:rPr>
      </w:pPr>
      <w:r>
        <w:rPr>
          <w:sz w:val="24"/>
        </w:rPr>
        <w:t>//</w:t>
      </w:r>
    </w:p>
    <w:p w:rsidR="00FE003F" w:rsidRDefault="00FE003F" w:rsidP="00FE003F">
      <w:pPr>
        <w:widowControl/>
        <w:tabs>
          <w:tab w:val="left" w:pos="720"/>
        </w:tabs>
        <w:autoSpaceDE/>
        <w:autoSpaceDN/>
        <w:adjustRightInd/>
        <w:spacing w:line="480" w:lineRule="auto"/>
        <w:rPr>
          <w:sz w:val="24"/>
        </w:rPr>
      </w:pPr>
      <w:r>
        <w:rPr>
          <w:sz w:val="24"/>
        </w:rPr>
        <w:t>//</w:t>
      </w:r>
    </w:p>
    <w:p w:rsidR="00FE003F" w:rsidRDefault="00FE003F" w:rsidP="00FE003F">
      <w:pPr>
        <w:widowControl/>
        <w:tabs>
          <w:tab w:val="left" w:pos="720"/>
        </w:tabs>
        <w:autoSpaceDE/>
        <w:autoSpaceDN/>
        <w:adjustRightInd/>
        <w:spacing w:line="480" w:lineRule="auto"/>
        <w:rPr>
          <w:sz w:val="24"/>
        </w:rPr>
      </w:pPr>
      <w:r>
        <w:rPr>
          <w:sz w:val="24"/>
        </w:rPr>
        <w:t>//</w:t>
      </w:r>
    </w:p>
    <w:p w:rsidR="00FE003F" w:rsidRDefault="00FE003F" w:rsidP="00FE003F">
      <w:pPr>
        <w:widowControl/>
        <w:tabs>
          <w:tab w:val="left" w:pos="720"/>
        </w:tabs>
        <w:autoSpaceDE/>
        <w:autoSpaceDN/>
        <w:adjustRightInd/>
        <w:spacing w:line="480" w:lineRule="auto"/>
        <w:rPr>
          <w:sz w:val="24"/>
        </w:rPr>
      </w:pPr>
      <w:r>
        <w:rPr>
          <w:sz w:val="24"/>
        </w:rPr>
        <w:t>//</w:t>
      </w:r>
    </w:p>
    <w:p w:rsidR="00FE003F" w:rsidRPr="00FE003F" w:rsidRDefault="00FE003F" w:rsidP="00FE003F">
      <w:pPr>
        <w:widowControl/>
        <w:tabs>
          <w:tab w:val="left" w:pos="720"/>
        </w:tabs>
        <w:autoSpaceDE/>
        <w:autoSpaceDN/>
        <w:adjustRightInd/>
        <w:spacing w:line="480" w:lineRule="auto"/>
        <w:rPr>
          <w:sz w:val="24"/>
        </w:rPr>
      </w:pPr>
      <w:r>
        <w:rPr>
          <w:sz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64"/>
        <w:gridCol w:w="4464"/>
      </w:tblGrid>
      <w:tr w:rsidR="00FE003F" w:rsidTr="00AD7673">
        <w:tc>
          <w:tcPr>
            <w:tcW w:w="4469" w:type="dxa"/>
          </w:tcPr>
          <w:p w:rsidR="00FE003F" w:rsidRPr="00C31AD0" w:rsidRDefault="00FE003F" w:rsidP="00AD7673">
            <w:pPr>
              <w:keepNext/>
              <w:widowControl/>
              <w:tabs>
                <w:tab w:val="left" w:pos="720"/>
              </w:tabs>
              <w:autoSpaceDE/>
              <w:autoSpaceDN/>
              <w:adjustRightInd/>
              <w:rPr>
                <w:i/>
                <w:sz w:val="24"/>
              </w:rPr>
            </w:pPr>
            <w:r>
              <w:rPr>
                <w:i/>
                <w:sz w:val="24"/>
              </w:rPr>
              <w:t>Counsel for Commission Staff:</w:t>
            </w:r>
          </w:p>
          <w:p w:rsidR="00FE003F" w:rsidRDefault="00FE003F" w:rsidP="00AD7673">
            <w:pPr>
              <w:keepNext/>
              <w:widowControl/>
              <w:tabs>
                <w:tab w:val="left" w:pos="720"/>
              </w:tabs>
              <w:autoSpaceDE/>
              <w:autoSpaceDN/>
              <w:adjustRightInd/>
              <w:rPr>
                <w:sz w:val="24"/>
              </w:rPr>
            </w:pPr>
          </w:p>
          <w:p w:rsidR="00FE003F" w:rsidRDefault="00FE003F" w:rsidP="00AD7673">
            <w:pPr>
              <w:keepNext/>
              <w:widowControl/>
              <w:tabs>
                <w:tab w:val="left" w:pos="720"/>
              </w:tabs>
              <w:autoSpaceDE/>
              <w:autoSpaceDN/>
              <w:adjustRightInd/>
              <w:rPr>
                <w:sz w:val="24"/>
              </w:rPr>
            </w:pPr>
            <w:r>
              <w:rPr>
                <w:sz w:val="24"/>
              </w:rPr>
              <w:t>ROBERT W. FERGUSON</w:t>
            </w:r>
          </w:p>
          <w:p w:rsidR="00FE003F" w:rsidRDefault="00FE003F" w:rsidP="00AD7673">
            <w:pPr>
              <w:keepNext/>
              <w:widowControl/>
              <w:tabs>
                <w:tab w:val="left" w:pos="720"/>
              </w:tabs>
              <w:autoSpaceDE/>
              <w:autoSpaceDN/>
              <w:adjustRightInd/>
              <w:rPr>
                <w:sz w:val="24"/>
              </w:rPr>
            </w:pPr>
            <w:r>
              <w:rPr>
                <w:sz w:val="24"/>
              </w:rPr>
              <w:t>Attorney General</w:t>
            </w:r>
          </w:p>
          <w:p w:rsidR="00FE003F" w:rsidRDefault="00FE003F" w:rsidP="00AD7673">
            <w:pPr>
              <w:keepNext/>
              <w:widowControl/>
              <w:tabs>
                <w:tab w:val="left" w:pos="720"/>
              </w:tabs>
              <w:autoSpaceDE/>
              <w:autoSpaceDN/>
              <w:adjustRightInd/>
              <w:rPr>
                <w:sz w:val="24"/>
              </w:rPr>
            </w:pPr>
          </w:p>
          <w:p w:rsidR="00FE003F" w:rsidRDefault="00FE003F" w:rsidP="00AD7673">
            <w:pPr>
              <w:keepNext/>
              <w:widowControl/>
              <w:tabs>
                <w:tab w:val="left" w:pos="720"/>
              </w:tabs>
              <w:autoSpaceDE/>
              <w:autoSpaceDN/>
              <w:adjustRightInd/>
              <w:rPr>
                <w:sz w:val="24"/>
              </w:rPr>
            </w:pPr>
          </w:p>
          <w:p w:rsidR="00FE003F" w:rsidRDefault="00FE003F" w:rsidP="00AD7673">
            <w:pPr>
              <w:keepNext/>
              <w:widowControl/>
              <w:tabs>
                <w:tab w:val="left" w:pos="720"/>
              </w:tabs>
              <w:autoSpaceDE/>
              <w:autoSpaceDN/>
              <w:adjustRightInd/>
              <w:rPr>
                <w:sz w:val="24"/>
              </w:rPr>
            </w:pPr>
            <w:r>
              <w:rPr>
                <w:sz w:val="24"/>
              </w:rPr>
              <w:t>_______________________________</w:t>
            </w:r>
          </w:p>
          <w:p w:rsidR="00FE003F" w:rsidRDefault="00FE003F" w:rsidP="00AD7673">
            <w:pPr>
              <w:keepNext/>
              <w:widowControl/>
              <w:tabs>
                <w:tab w:val="left" w:pos="720"/>
              </w:tabs>
              <w:autoSpaceDE/>
              <w:autoSpaceDN/>
              <w:adjustRightInd/>
              <w:rPr>
                <w:sz w:val="24"/>
              </w:rPr>
            </w:pPr>
            <w:r>
              <w:rPr>
                <w:sz w:val="24"/>
              </w:rPr>
              <w:t>Julian H. Beattie, WSBA No. 45586</w:t>
            </w:r>
          </w:p>
          <w:p w:rsidR="00FE003F" w:rsidRDefault="00FE003F" w:rsidP="00AD7673">
            <w:pPr>
              <w:keepNext/>
              <w:widowControl/>
              <w:tabs>
                <w:tab w:val="left" w:pos="720"/>
              </w:tabs>
              <w:autoSpaceDE/>
              <w:autoSpaceDN/>
              <w:adjustRightInd/>
              <w:rPr>
                <w:sz w:val="24"/>
              </w:rPr>
            </w:pPr>
            <w:r>
              <w:rPr>
                <w:sz w:val="24"/>
              </w:rPr>
              <w:t>Assistant Attorney General</w:t>
            </w:r>
          </w:p>
          <w:p w:rsidR="00FE003F" w:rsidRDefault="00FE003F" w:rsidP="00AD7673">
            <w:pPr>
              <w:keepNext/>
              <w:widowControl/>
              <w:tabs>
                <w:tab w:val="left" w:pos="720"/>
              </w:tabs>
              <w:autoSpaceDE/>
              <w:autoSpaceDN/>
              <w:adjustRightInd/>
              <w:rPr>
                <w:sz w:val="24"/>
              </w:rPr>
            </w:pPr>
            <w:r>
              <w:rPr>
                <w:sz w:val="24"/>
              </w:rPr>
              <w:t>Utilities and Transportation Division</w:t>
            </w:r>
          </w:p>
          <w:p w:rsidR="00FE003F" w:rsidRDefault="00FE003F" w:rsidP="00AD7673">
            <w:pPr>
              <w:keepNext/>
              <w:widowControl/>
              <w:tabs>
                <w:tab w:val="left" w:pos="720"/>
              </w:tabs>
              <w:autoSpaceDE/>
              <w:autoSpaceDN/>
              <w:adjustRightInd/>
              <w:rPr>
                <w:sz w:val="24"/>
              </w:rPr>
            </w:pPr>
            <w:r>
              <w:rPr>
                <w:sz w:val="24"/>
              </w:rPr>
              <w:t>1400 S. Evergreen Park Drive SW</w:t>
            </w:r>
          </w:p>
          <w:p w:rsidR="00FE003F" w:rsidRDefault="00FE003F" w:rsidP="00AD7673">
            <w:pPr>
              <w:keepNext/>
              <w:widowControl/>
              <w:tabs>
                <w:tab w:val="left" w:pos="720"/>
              </w:tabs>
              <w:autoSpaceDE/>
              <w:autoSpaceDN/>
              <w:adjustRightInd/>
              <w:rPr>
                <w:sz w:val="24"/>
              </w:rPr>
            </w:pPr>
            <w:r>
              <w:rPr>
                <w:sz w:val="24"/>
              </w:rPr>
              <w:t>P.O. Box 40128</w:t>
            </w:r>
          </w:p>
          <w:p w:rsidR="00FE003F" w:rsidRDefault="00FE003F" w:rsidP="00AD7673">
            <w:pPr>
              <w:keepNext/>
              <w:widowControl/>
              <w:tabs>
                <w:tab w:val="left" w:pos="720"/>
              </w:tabs>
              <w:autoSpaceDE/>
              <w:autoSpaceDN/>
              <w:adjustRightInd/>
              <w:rPr>
                <w:sz w:val="24"/>
              </w:rPr>
            </w:pPr>
            <w:r>
              <w:rPr>
                <w:sz w:val="24"/>
              </w:rPr>
              <w:t>Olympia, WA 98504-0128</w:t>
            </w:r>
          </w:p>
          <w:p w:rsidR="00FE003F" w:rsidRDefault="00FE003F" w:rsidP="00AD7673">
            <w:pPr>
              <w:keepNext/>
              <w:widowControl/>
              <w:tabs>
                <w:tab w:val="left" w:pos="720"/>
              </w:tabs>
              <w:autoSpaceDE/>
              <w:autoSpaceDN/>
              <w:adjustRightInd/>
              <w:rPr>
                <w:sz w:val="24"/>
              </w:rPr>
            </w:pPr>
            <w:r>
              <w:rPr>
                <w:sz w:val="24"/>
              </w:rPr>
              <w:t>Phone: 360-664-1225</w:t>
            </w:r>
          </w:p>
          <w:p w:rsidR="00FE003F" w:rsidRDefault="00FE003F" w:rsidP="00AD7673">
            <w:pPr>
              <w:keepNext/>
              <w:widowControl/>
              <w:tabs>
                <w:tab w:val="left" w:pos="720"/>
              </w:tabs>
              <w:autoSpaceDE/>
              <w:autoSpaceDN/>
              <w:adjustRightInd/>
              <w:rPr>
                <w:sz w:val="24"/>
              </w:rPr>
            </w:pPr>
            <w:r>
              <w:rPr>
                <w:sz w:val="24"/>
              </w:rPr>
              <w:t xml:space="preserve">Email: </w:t>
            </w:r>
            <w:hyperlink r:id="rId13" w:history="1">
              <w:r w:rsidRPr="008E5D79">
                <w:rPr>
                  <w:rStyle w:val="Hyperlink"/>
                  <w:sz w:val="24"/>
                </w:rPr>
                <w:t>jbeattie@utc.wa.gov</w:t>
              </w:r>
            </w:hyperlink>
          </w:p>
          <w:p w:rsidR="00FE003F" w:rsidRDefault="00FE003F" w:rsidP="00AD7673">
            <w:pPr>
              <w:keepNext/>
              <w:widowControl/>
              <w:tabs>
                <w:tab w:val="left" w:pos="720"/>
              </w:tabs>
              <w:autoSpaceDE/>
              <w:autoSpaceDN/>
              <w:adjustRightInd/>
              <w:rPr>
                <w:sz w:val="24"/>
              </w:rPr>
            </w:pPr>
          </w:p>
          <w:p w:rsidR="00FE003F" w:rsidRDefault="00FE003F" w:rsidP="00AD7673">
            <w:pPr>
              <w:keepNext/>
              <w:widowControl/>
              <w:tabs>
                <w:tab w:val="left" w:pos="720"/>
              </w:tabs>
              <w:autoSpaceDE/>
              <w:autoSpaceDN/>
              <w:adjustRightInd/>
              <w:rPr>
                <w:sz w:val="24"/>
              </w:rPr>
            </w:pPr>
            <w:r>
              <w:rPr>
                <w:sz w:val="24"/>
              </w:rPr>
              <w:t>Dated: December</w:t>
            </w:r>
            <w:r w:rsidR="007C1C5A">
              <w:rPr>
                <w:sz w:val="24"/>
              </w:rPr>
              <w:t xml:space="preserve"> 15</w:t>
            </w:r>
            <w:r>
              <w:rPr>
                <w:sz w:val="24"/>
              </w:rPr>
              <w:t>, 2016.</w:t>
            </w:r>
          </w:p>
          <w:p w:rsidR="00FE003F" w:rsidRDefault="00FE003F" w:rsidP="00AD7673">
            <w:pPr>
              <w:keepNext/>
              <w:widowControl/>
              <w:tabs>
                <w:tab w:val="left" w:pos="720"/>
              </w:tabs>
              <w:autoSpaceDE/>
              <w:autoSpaceDN/>
              <w:adjustRightInd/>
              <w:rPr>
                <w:sz w:val="24"/>
              </w:rPr>
            </w:pPr>
          </w:p>
        </w:tc>
        <w:tc>
          <w:tcPr>
            <w:tcW w:w="4469" w:type="dxa"/>
          </w:tcPr>
          <w:p w:rsidR="00FE003F" w:rsidRPr="00C31AD0" w:rsidRDefault="00086C5D" w:rsidP="00AD7673">
            <w:pPr>
              <w:keepNext/>
              <w:widowControl/>
              <w:tabs>
                <w:tab w:val="left" w:pos="720"/>
              </w:tabs>
              <w:autoSpaceDE/>
              <w:autoSpaceDN/>
              <w:adjustRightInd/>
              <w:rPr>
                <w:i/>
                <w:sz w:val="24"/>
              </w:rPr>
            </w:pPr>
            <w:r>
              <w:rPr>
                <w:i/>
                <w:sz w:val="24"/>
              </w:rPr>
              <w:t>F</w:t>
            </w:r>
            <w:r w:rsidR="00FE003F">
              <w:rPr>
                <w:i/>
                <w:sz w:val="24"/>
              </w:rPr>
              <w:t>or Cascade Natural Gas Corp.:</w:t>
            </w:r>
          </w:p>
          <w:p w:rsidR="00FE003F" w:rsidRDefault="00FE003F" w:rsidP="00AD7673">
            <w:pPr>
              <w:keepNext/>
              <w:widowControl/>
              <w:tabs>
                <w:tab w:val="left" w:pos="720"/>
              </w:tabs>
              <w:autoSpaceDE/>
              <w:autoSpaceDN/>
              <w:adjustRightInd/>
              <w:rPr>
                <w:sz w:val="24"/>
              </w:rPr>
            </w:pPr>
          </w:p>
          <w:p w:rsidR="00FE003F" w:rsidRDefault="00FE003F" w:rsidP="00AD7673">
            <w:pPr>
              <w:keepNext/>
              <w:widowControl/>
              <w:tabs>
                <w:tab w:val="left" w:pos="720"/>
              </w:tabs>
              <w:autoSpaceDE/>
              <w:autoSpaceDN/>
              <w:adjustRightInd/>
              <w:rPr>
                <w:sz w:val="24"/>
              </w:rPr>
            </w:pPr>
          </w:p>
          <w:p w:rsidR="00FE003F" w:rsidRDefault="00FE003F" w:rsidP="00AD7673">
            <w:pPr>
              <w:keepNext/>
              <w:widowControl/>
              <w:tabs>
                <w:tab w:val="left" w:pos="720"/>
              </w:tabs>
              <w:autoSpaceDE/>
              <w:autoSpaceDN/>
              <w:adjustRightInd/>
              <w:rPr>
                <w:sz w:val="24"/>
              </w:rPr>
            </w:pPr>
          </w:p>
          <w:p w:rsidR="00FE003F" w:rsidRDefault="00FE003F" w:rsidP="00AD7673">
            <w:pPr>
              <w:keepNext/>
              <w:widowControl/>
              <w:tabs>
                <w:tab w:val="left" w:pos="720"/>
              </w:tabs>
              <w:autoSpaceDE/>
              <w:autoSpaceDN/>
              <w:adjustRightInd/>
              <w:rPr>
                <w:sz w:val="24"/>
              </w:rPr>
            </w:pPr>
          </w:p>
          <w:p w:rsidR="00FE003F" w:rsidRDefault="00FE003F" w:rsidP="00AD7673">
            <w:pPr>
              <w:keepNext/>
              <w:widowControl/>
              <w:tabs>
                <w:tab w:val="left" w:pos="720"/>
              </w:tabs>
              <w:autoSpaceDE/>
              <w:autoSpaceDN/>
              <w:adjustRightInd/>
              <w:rPr>
                <w:sz w:val="24"/>
              </w:rPr>
            </w:pPr>
          </w:p>
          <w:p w:rsidR="00FE003F" w:rsidRDefault="00FE003F" w:rsidP="00AD7673">
            <w:pPr>
              <w:keepNext/>
              <w:widowControl/>
              <w:tabs>
                <w:tab w:val="left" w:pos="720"/>
              </w:tabs>
              <w:autoSpaceDE/>
              <w:autoSpaceDN/>
              <w:adjustRightInd/>
              <w:rPr>
                <w:sz w:val="24"/>
              </w:rPr>
            </w:pPr>
            <w:r>
              <w:rPr>
                <w:sz w:val="24"/>
              </w:rPr>
              <w:t>_______________________________</w:t>
            </w:r>
          </w:p>
          <w:p w:rsidR="00FE003F" w:rsidRDefault="00086C5D" w:rsidP="00AD7673">
            <w:pPr>
              <w:keepNext/>
              <w:widowControl/>
              <w:tabs>
                <w:tab w:val="left" w:pos="720"/>
              </w:tabs>
              <w:autoSpaceDE/>
              <w:autoSpaceDN/>
              <w:adjustRightInd/>
              <w:rPr>
                <w:sz w:val="24"/>
              </w:rPr>
            </w:pPr>
            <w:r>
              <w:rPr>
                <w:sz w:val="24"/>
              </w:rPr>
              <w:t>Eric Martuscelli</w:t>
            </w:r>
          </w:p>
          <w:p w:rsidR="00FE003F" w:rsidRDefault="00086C5D" w:rsidP="00AD7673">
            <w:pPr>
              <w:keepNext/>
              <w:widowControl/>
              <w:tabs>
                <w:tab w:val="left" w:pos="720"/>
              </w:tabs>
              <w:autoSpaceDE/>
              <w:autoSpaceDN/>
              <w:adjustRightInd/>
              <w:rPr>
                <w:sz w:val="24"/>
              </w:rPr>
            </w:pPr>
            <w:r>
              <w:rPr>
                <w:sz w:val="24"/>
              </w:rPr>
              <w:t>Vice President of Operations</w:t>
            </w:r>
          </w:p>
          <w:p w:rsidR="00FE003F" w:rsidRDefault="00086C5D" w:rsidP="00AD7673">
            <w:pPr>
              <w:keepNext/>
              <w:widowControl/>
              <w:tabs>
                <w:tab w:val="left" w:pos="720"/>
              </w:tabs>
              <w:autoSpaceDE/>
              <w:autoSpaceDN/>
              <w:adjustRightInd/>
              <w:rPr>
                <w:sz w:val="24"/>
              </w:rPr>
            </w:pPr>
            <w:r>
              <w:rPr>
                <w:sz w:val="24"/>
              </w:rPr>
              <w:t>Cascade Natural Gas Co</w:t>
            </w:r>
            <w:r w:rsidR="00930D35">
              <w:rPr>
                <w:sz w:val="24"/>
              </w:rPr>
              <w:t>rporation</w:t>
            </w:r>
          </w:p>
          <w:p w:rsidR="00FE003F" w:rsidRDefault="00FE003F" w:rsidP="00AD7673">
            <w:pPr>
              <w:keepNext/>
              <w:widowControl/>
              <w:tabs>
                <w:tab w:val="left" w:pos="720"/>
              </w:tabs>
              <w:autoSpaceDE/>
              <w:autoSpaceDN/>
              <w:adjustRightInd/>
              <w:rPr>
                <w:sz w:val="24"/>
              </w:rPr>
            </w:pPr>
          </w:p>
          <w:p w:rsidR="00FE003F" w:rsidRDefault="00FE003F" w:rsidP="00AD7673">
            <w:pPr>
              <w:keepNext/>
              <w:widowControl/>
              <w:tabs>
                <w:tab w:val="left" w:pos="720"/>
              </w:tabs>
              <w:autoSpaceDE/>
              <w:autoSpaceDN/>
              <w:adjustRightInd/>
              <w:rPr>
                <w:sz w:val="24"/>
              </w:rPr>
            </w:pPr>
          </w:p>
          <w:p w:rsidR="00FE003F" w:rsidRDefault="00FE003F" w:rsidP="00AD7673">
            <w:pPr>
              <w:keepNext/>
              <w:widowControl/>
              <w:tabs>
                <w:tab w:val="left" w:pos="720"/>
              </w:tabs>
              <w:autoSpaceDE/>
              <w:autoSpaceDN/>
              <w:adjustRightInd/>
              <w:rPr>
                <w:sz w:val="24"/>
              </w:rPr>
            </w:pPr>
          </w:p>
          <w:p w:rsidR="00FE003F" w:rsidRDefault="00FE003F" w:rsidP="00AD7673">
            <w:pPr>
              <w:keepNext/>
              <w:widowControl/>
              <w:tabs>
                <w:tab w:val="left" w:pos="720"/>
              </w:tabs>
              <w:autoSpaceDE/>
              <w:autoSpaceDN/>
              <w:adjustRightInd/>
              <w:rPr>
                <w:sz w:val="24"/>
              </w:rPr>
            </w:pPr>
          </w:p>
          <w:p w:rsidR="00FE003F" w:rsidRDefault="00FE003F" w:rsidP="00AD7673">
            <w:pPr>
              <w:keepNext/>
              <w:widowControl/>
              <w:tabs>
                <w:tab w:val="left" w:pos="720"/>
              </w:tabs>
              <w:autoSpaceDE/>
              <w:autoSpaceDN/>
              <w:adjustRightInd/>
              <w:rPr>
                <w:sz w:val="24"/>
              </w:rPr>
            </w:pPr>
          </w:p>
          <w:p w:rsidR="00FE003F" w:rsidRDefault="00FE003F" w:rsidP="00AD7673">
            <w:pPr>
              <w:keepNext/>
              <w:widowControl/>
              <w:tabs>
                <w:tab w:val="left" w:pos="720"/>
              </w:tabs>
              <w:autoSpaceDE/>
              <w:autoSpaceDN/>
              <w:adjustRightInd/>
              <w:rPr>
                <w:sz w:val="24"/>
              </w:rPr>
            </w:pPr>
          </w:p>
          <w:p w:rsidR="00FE003F" w:rsidRDefault="00FE003F" w:rsidP="00AD7673">
            <w:pPr>
              <w:keepNext/>
              <w:widowControl/>
              <w:tabs>
                <w:tab w:val="left" w:pos="720"/>
              </w:tabs>
              <w:autoSpaceDE/>
              <w:autoSpaceDN/>
              <w:adjustRightInd/>
              <w:rPr>
                <w:sz w:val="24"/>
              </w:rPr>
            </w:pPr>
            <w:r>
              <w:rPr>
                <w:sz w:val="24"/>
              </w:rPr>
              <w:t>Dated: December</w:t>
            </w:r>
            <w:r w:rsidR="007C1C5A">
              <w:rPr>
                <w:sz w:val="24"/>
              </w:rPr>
              <w:t xml:space="preserve"> 15</w:t>
            </w:r>
            <w:r>
              <w:rPr>
                <w:sz w:val="24"/>
              </w:rPr>
              <w:t>, 2016.</w:t>
            </w:r>
          </w:p>
          <w:p w:rsidR="00FE003F" w:rsidRPr="00C31AD0" w:rsidRDefault="00FE003F" w:rsidP="00AD7673">
            <w:pPr>
              <w:keepNext/>
              <w:widowControl/>
              <w:tabs>
                <w:tab w:val="left" w:pos="720"/>
              </w:tabs>
              <w:autoSpaceDE/>
              <w:autoSpaceDN/>
              <w:adjustRightInd/>
              <w:rPr>
                <w:sz w:val="24"/>
              </w:rPr>
            </w:pPr>
          </w:p>
        </w:tc>
      </w:tr>
    </w:tbl>
    <w:p w:rsidR="00FE003F" w:rsidRDefault="00FE003F" w:rsidP="00FE003F">
      <w:pPr>
        <w:widowControl/>
        <w:tabs>
          <w:tab w:val="left" w:pos="720"/>
        </w:tabs>
        <w:autoSpaceDE/>
        <w:autoSpaceDN/>
        <w:adjustRightInd/>
        <w:spacing w:line="480" w:lineRule="auto"/>
        <w:rPr>
          <w:sz w:val="24"/>
        </w:rPr>
      </w:pPr>
    </w:p>
    <w:sectPr w:rsidR="00FE003F" w:rsidSect="00F748D8">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AB3" w:rsidRDefault="00640AB3">
      <w:r>
        <w:separator/>
      </w:r>
    </w:p>
  </w:endnote>
  <w:endnote w:type="continuationSeparator" w:id="0">
    <w:p w:rsidR="00640AB3" w:rsidRDefault="0064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CCB" w:rsidRDefault="00F91CCB" w:rsidP="00F91CCB">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8B7" w:rsidRDefault="007A78B7" w:rsidP="007A78B7">
    <w:pPr>
      <w:pStyle w:val="Footer"/>
    </w:pPr>
    <w:r>
      <w:t>DOCKET PG-</w:t>
    </w:r>
    <w:r w:rsidR="001A5F9C">
      <w:t>150120</w:t>
    </w:r>
  </w:p>
  <w:p w:rsidR="00871BDE" w:rsidRDefault="007A78B7" w:rsidP="007A78B7">
    <w:pPr>
      <w:pStyle w:val="Footer"/>
      <w:rPr>
        <w:rStyle w:val="PageNumber"/>
      </w:rPr>
    </w:pPr>
    <w:r>
      <w:t>SETTLEMENT</w:t>
    </w:r>
    <w:r w:rsidR="00105EEB" w:rsidRPr="00105EEB">
      <w:t xml:space="preserve"> </w:t>
    </w:r>
    <w:r>
      <w:t>AGREEMENT</w:t>
    </w:r>
    <w:r w:rsidR="005B4C0B" w:rsidRPr="00737B08">
      <w:t xml:space="preserve">- </w:t>
    </w:r>
    <w:r w:rsidR="005B4C0B" w:rsidRPr="00737B08">
      <w:rPr>
        <w:rStyle w:val="PageNumber"/>
      </w:rPr>
      <w:fldChar w:fldCharType="begin"/>
    </w:r>
    <w:r w:rsidR="005B4C0B" w:rsidRPr="00737B08">
      <w:rPr>
        <w:rStyle w:val="PageNumber"/>
      </w:rPr>
      <w:instrText xml:space="preserve"> PAGE </w:instrText>
    </w:r>
    <w:r w:rsidR="005B4C0B" w:rsidRPr="00737B08">
      <w:rPr>
        <w:rStyle w:val="PageNumber"/>
      </w:rPr>
      <w:fldChar w:fldCharType="separate"/>
    </w:r>
    <w:r w:rsidR="00402725">
      <w:rPr>
        <w:rStyle w:val="PageNumber"/>
        <w:noProof/>
      </w:rPr>
      <w:t>1</w:t>
    </w:r>
    <w:r w:rsidR="005B4C0B" w:rsidRPr="00737B08">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B9" w:rsidRDefault="00D01B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AB3" w:rsidRDefault="00640AB3">
      <w:r>
        <w:separator/>
      </w:r>
    </w:p>
  </w:footnote>
  <w:footnote w:type="continuationSeparator" w:id="0">
    <w:p w:rsidR="00640AB3" w:rsidRDefault="00640AB3">
      <w:r>
        <w:continuationSeparator/>
      </w:r>
    </w:p>
  </w:footnote>
  <w:footnote w:id="1">
    <w:p w:rsidR="0003793C" w:rsidRPr="004F55D5" w:rsidRDefault="0003793C" w:rsidP="0003793C">
      <w:pPr>
        <w:pStyle w:val="FootnoteText"/>
      </w:pPr>
      <w:r>
        <w:rPr>
          <w:rStyle w:val="FootnoteReference"/>
        </w:rPr>
        <w:footnoteRef/>
      </w:r>
      <w:r>
        <w:t xml:space="preserve"> </w:t>
      </w:r>
      <w:r w:rsidRPr="004E3B6C">
        <w:rPr>
          <w:i/>
        </w:rPr>
        <w:t>In the Matter of the Investigation of the Gas Pipeline System of Cascade Natural Gas Corporation</w:t>
      </w:r>
      <w:r>
        <w:t>, Docket PG-150120, Order 01, Order Accepting Agreement and Closing Docket, Attachment A (“Stipulated Agreement”) (Feb. 12, 2015).</w:t>
      </w:r>
    </w:p>
  </w:footnote>
  <w:footnote w:id="2">
    <w:p w:rsidR="007634E6" w:rsidRDefault="007634E6">
      <w:pPr>
        <w:pStyle w:val="FootnoteText"/>
      </w:pPr>
      <w:r>
        <w:rPr>
          <w:rStyle w:val="FootnoteReference"/>
        </w:rPr>
        <w:footnoteRef/>
      </w:r>
      <w:r>
        <w:t xml:space="preserve"> </w:t>
      </w:r>
      <w:r w:rsidRPr="004E3B6C">
        <w:rPr>
          <w:i/>
        </w:rPr>
        <w:t>In the Matter of the Investigation of the Gas Pipeline System of Cascade Natural Gas Corporation</w:t>
      </w:r>
      <w:r>
        <w:t>, Docket PG-150120, Order 02, Prehearing Conference Order (Sept. 2,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B9" w:rsidRDefault="00D01B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B9" w:rsidRDefault="00D01B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B9" w:rsidRDefault="00D01B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50B8"/>
    <w:multiLevelType w:val="hybridMultilevel"/>
    <w:tmpl w:val="F1062024"/>
    <w:lvl w:ilvl="0" w:tplc="0B003AE4">
      <w:start w:val="1"/>
      <w:numFmt w:val="lowerLetter"/>
      <w:lvlText w:val="%1."/>
      <w:lvlJc w:val="left"/>
      <w:pPr>
        <w:ind w:left="117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04A27C4E"/>
    <w:multiLevelType w:val="hybridMultilevel"/>
    <w:tmpl w:val="0166167A"/>
    <w:lvl w:ilvl="0" w:tplc="0409000F">
      <w:start w:val="1"/>
      <w:numFmt w:val="decimal"/>
      <w:lvlText w:val="%1."/>
      <w:lvlJc w:val="left"/>
      <w:pPr>
        <w:ind w:left="720" w:hanging="360"/>
      </w:pPr>
      <w:rPr>
        <w:b w:val="0"/>
      </w:rPr>
    </w:lvl>
    <w:lvl w:ilvl="1" w:tplc="0B003AE4">
      <w:start w:val="1"/>
      <w:numFmt w:val="lowerLetter"/>
      <w:lvlText w:val="%2."/>
      <w:lvlJc w:val="left"/>
      <w:pPr>
        <w:ind w:left="117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4B1644"/>
    <w:multiLevelType w:val="hybridMultilevel"/>
    <w:tmpl w:val="26C26D5E"/>
    <w:lvl w:ilvl="0" w:tplc="0B003AE4">
      <w:start w:val="1"/>
      <w:numFmt w:val="lowerLetter"/>
      <w:lvlText w:val="%1."/>
      <w:lvlJc w:val="left"/>
      <w:pPr>
        <w:ind w:left="1080" w:hanging="360"/>
      </w:pPr>
      <w:rPr>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444567"/>
    <w:multiLevelType w:val="hybridMultilevel"/>
    <w:tmpl w:val="FFC25ADA"/>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64204C"/>
    <w:multiLevelType w:val="hybridMultilevel"/>
    <w:tmpl w:val="85385DE6"/>
    <w:lvl w:ilvl="0" w:tplc="F1DE8E36">
      <w:start w:val="1"/>
      <w:numFmt w:val="decimal"/>
      <w:pStyle w:val="FindingsConclusions"/>
      <w:lvlText w:val="%1"/>
      <w:lvlJc w:val="left"/>
      <w:pPr>
        <w:tabs>
          <w:tab w:val="num" w:pos="0"/>
        </w:tabs>
        <w:ind w:left="0" w:hanging="1080"/>
      </w:pPr>
      <w:rPr>
        <w:rFonts w:hint="default"/>
        <w:b w:val="0"/>
        <w:i/>
        <w:sz w:val="20"/>
      </w:rPr>
    </w:lvl>
    <w:lvl w:ilvl="1" w:tplc="3F6ECA58">
      <w:start w:val="4"/>
      <w:numFmt w:val="decimal"/>
      <w:lvlText w:val="%2."/>
      <w:lvlJc w:val="left"/>
      <w:pPr>
        <w:tabs>
          <w:tab w:val="num" w:pos="1800"/>
        </w:tabs>
        <w:ind w:left="1800" w:hanging="720"/>
      </w:pPr>
      <w:rPr>
        <w:rFonts w:hint="default"/>
      </w:rPr>
    </w:lvl>
    <w:lvl w:ilvl="2" w:tplc="4AE23048">
      <w:start w:val="5"/>
      <w:numFmt w:val="bullet"/>
      <w:lvlText w:val=""/>
      <w:lvlJc w:val="left"/>
      <w:pPr>
        <w:tabs>
          <w:tab w:val="num" w:pos="2340"/>
        </w:tabs>
        <w:ind w:left="2340" w:hanging="360"/>
      </w:pPr>
      <w:rPr>
        <w:rFonts w:ascii="Symbol" w:eastAsia="Times New Roman" w:hAnsi="Symbol" w:cs="Times New Roman" w:hint="default"/>
      </w:rPr>
    </w:lvl>
    <w:lvl w:ilvl="3" w:tplc="A9140692" w:tentative="1">
      <w:start w:val="1"/>
      <w:numFmt w:val="decimal"/>
      <w:lvlText w:val="%4."/>
      <w:lvlJc w:val="left"/>
      <w:pPr>
        <w:tabs>
          <w:tab w:val="num" w:pos="2880"/>
        </w:tabs>
        <w:ind w:left="2880" w:hanging="360"/>
      </w:pPr>
    </w:lvl>
    <w:lvl w:ilvl="4" w:tplc="597439A2" w:tentative="1">
      <w:start w:val="1"/>
      <w:numFmt w:val="lowerLetter"/>
      <w:lvlText w:val="%5."/>
      <w:lvlJc w:val="left"/>
      <w:pPr>
        <w:tabs>
          <w:tab w:val="num" w:pos="3600"/>
        </w:tabs>
        <w:ind w:left="3600" w:hanging="360"/>
      </w:pPr>
    </w:lvl>
    <w:lvl w:ilvl="5" w:tplc="497804AC" w:tentative="1">
      <w:start w:val="1"/>
      <w:numFmt w:val="lowerRoman"/>
      <w:lvlText w:val="%6."/>
      <w:lvlJc w:val="right"/>
      <w:pPr>
        <w:tabs>
          <w:tab w:val="num" w:pos="4320"/>
        </w:tabs>
        <w:ind w:left="4320" w:hanging="180"/>
      </w:pPr>
    </w:lvl>
    <w:lvl w:ilvl="6" w:tplc="BC5CAB56" w:tentative="1">
      <w:start w:val="1"/>
      <w:numFmt w:val="decimal"/>
      <w:lvlText w:val="%7."/>
      <w:lvlJc w:val="left"/>
      <w:pPr>
        <w:tabs>
          <w:tab w:val="num" w:pos="5040"/>
        </w:tabs>
        <w:ind w:left="5040" w:hanging="360"/>
      </w:pPr>
    </w:lvl>
    <w:lvl w:ilvl="7" w:tplc="90DCE5F6" w:tentative="1">
      <w:start w:val="1"/>
      <w:numFmt w:val="lowerLetter"/>
      <w:lvlText w:val="%8."/>
      <w:lvlJc w:val="left"/>
      <w:pPr>
        <w:tabs>
          <w:tab w:val="num" w:pos="5760"/>
        </w:tabs>
        <w:ind w:left="5760" w:hanging="360"/>
      </w:pPr>
    </w:lvl>
    <w:lvl w:ilvl="8" w:tplc="A43043E0" w:tentative="1">
      <w:start w:val="1"/>
      <w:numFmt w:val="lowerRoman"/>
      <w:lvlText w:val="%9."/>
      <w:lvlJc w:val="right"/>
      <w:pPr>
        <w:tabs>
          <w:tab w:val="num" w:pos="6480"/>
        </w:tabs>
        <w:ind w:left="6480" w:hanging="180"/>
      </w:pPr>
    </w:lvl>
  </w:abstractNum>
  <w:abstractNum w:abstractNumId="6">
    <w:nsid w:val="25833C73"/>
    <w:multiLevelType w:val="hybridMultilevel"/>
    <w:tmpl w:val="E786B562"/>
    <w:lvl w:ilvl="0" w:tplc="F0C07F52">
      <w:start w:val="1"/>
      <w:numFmt w:val="decimal"/>
      <w:lvlText w:val="%1"/>
      <w:lvlJc w:val="left"/>
      <w:pPr>
        <w:tabs>
          <w:tab w:val="num" w:pos="720"/>
        </w:tabs>
        <w:ind w:left="0" w:hanging="720"/>
      </w:pPr>
      <w:rPr>
        <w:rFonts w:hint="default"/>
        <w:b w:val="0"/>
        <w:i/>
        <w:sz w:val="20"/>
        <w:vertAlign w:val="baseline"/>
      </w:rPr>
    </w:lvl>
    <w:lvl w:ilvl="1" w:tplc="D098E78E">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DC8C8740" w:tentative="1">
      <w:start w:val="1"/>
      <w:numFmt w:val="lowerRoman"/>
      <w:lvlText w:val="%3."/>
      <w:lvlJc w:val="right"/>
      <w:pPr>
        <w:tabs>
          <w:tab w:val="num" w:pos="3240"/>
        </w:tabs>
        <w:ind w:left="3240" w:hanging="180"/>
      </w:pPr>
    </w:lvl>
    <w:lvl w:ilvl="3" w:tplc="4878B3CE" w:tentative="1">
      <w:start w:val="1"/>
      <w:numFmt w:val="decimal"/>
      <w:lvlText w:val="%4."/>
      <w:lvlJc w:val="left"/>
      <w:pPr>
        <w:tabs>
          <w:tab w:val="num" w:pos="3960"/>
        </w:tabs>
        <w:ind w:left="3960" w:hanging="360"/>
      </w:pPr>
    </w:lvl>
    <w:lvl w:ilvl="4" w:tplc="94EA3BEE" w:tentative="1">
      <w:start w:val="1"/>
      <w:numFmt w:val="lowerLetter"/>
      <w:lvlText w:val="%5."/>
      <w:lvlJc w:val="left"/>
      <w:pPr>
        <w:tabs>
          <w:tab w:val="num" w:pos="4680"/>
        </w:tabs>
        <w:ind w:left="4680" w:hanging="360"/>
      </w:pPr>
    </w:lvl>
    <w:lvl w:ilvl="5" w:tplc="9A845452" w:tentative="1">
      <w:start w:val="1"/>
      <w:numFmt w:val="lowerRoman"/>
      <w:lvlText w:val="%6."/>
      <w:lvlJc w:val="right"/>
      <w:pPr>
        <w:tabs>
          <w:tab w:val="num" w:pos="5400"/>
        </w:tabs>
        <w:ind w:left="5400" w:hanging="180"/>
      </w:pPr>
    </w:lvl>
    <w:lvl w:ilvl="6" w:tplc="2336204A" w:tentative="1">
      <w:start w:val="1"/>
      <w:numFmt w:val="decimal"/>
      <w:lvlText w:val="%7."/>
      <w:lvlJc w:val="left"/>
      <w:pPr>
        <w:tabs>
          <w:tab w:val="num" w:pos="6120"/>
        </w:tabs>
        <w:ind w:left="6120" w:hanging="360"/>
      </w:pPr>
    </w:lvl>
    <w:lvl w:ilvl="7" w:tplc="119CE0A6" w:tentative="1">
      <w:start w:val="1"/>
      <w:numFmt w:val="lowerLetter"/>
      <w:lvlText w:val="%8."/>
      <w:lvlJc w:val="left"/>
      <w:pPr>
        <w:tabs>
          <w:tab w:val="num" w:pos="6840"/>
        </w:tabs>
        <w:ind w:left="6840" w:hanging="360"/>
      </w:pPr>
    </w:lvl>
    <w:lvl w:ilvl="8" w:tplc="D6146ACE" w:tentative="1">
      <w:start w:val="1"/>
      <w:numFmt w:val="lowerRoman"/>
      <w:lvlText w:val="%9."/>
      <w:lvlJc w:val="right"/>
      <w:pPr>
        <w:tabs>
          <w:tab w:val="num" w:pos="7560"/>
        </w:tabs>
        <w:ind w:left="7560" w:hanging="180"/>
      </w:pPr>
    </w:lvl>
  </w:abstractNum>
  <w:abstractNum w:abstractNumId="7">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67E0338"/>
    <w:multiLevelType w:val="hybridMultilevel"/>
    <w:tmpl w:val="EE6C28F6"/>
    <w:lvl w:ilvl="0" w:tplc="E12604AE">
      <w:start w:val="1"/>
      <w:numFmt w:val="decimal"/>
      <w:lvlText w:val="%1"/>
      <w:lvlJc w:val="left"/>
      <w:pPr>
        <w:tabs>
          <w:tab w:val="num" w:pos="0"/>
        </w:tabs>
        <w:ind w:left="0" w:hanging="720"/>
      </w:pPr>
      <w:rPr>
        <w:rFonts w:ascii="Times New Roman" w:hAnsi="Times New Roman" w:cs="Times New Roman" w:hint="default"/>
        <w:b w:val="0"/>
        <w:i/>
        <w:sz w:val="22"/>
        <w:szCs w:val="22"/>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BE113B"/>
    <w:multiLevelType w:val="hybridMultilevel"/>
    <w:tmpl w:val="A3B28058"/>
    <w:lvl w:ilvl="0" w:tplc="7EF023CC">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nsid w:val="4C580145"/>
    <w:multiLevelType w:val="hybridMultilevel"/>
    <w:tmpl w:val="0D501B6C"/>
    <w:lvl w:ilvl="0" w:tplc="5B068718">
      <w:start w:val="1"/>
      <w:numFmt w:val="lowerRoman"/>
      <w:lvlText w:val="%1."/>
      <w:lvlJc w:val="right"/>
      <w:pPr>
        <w:ind w:left="2340" w:hanging="360"/>
      </w:pPr>
      <w:rPr>
        <w:b w:val="0"/>
        <w:color w:val="auto"/>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nsid w:val="6B6135C6"/>
    <w:multiLevelType w:val="hybridMultilevel"/>
    <w:tmpl w:val="BE36D1AA"/>
    <w:lvl w:ilvl="0" w:tplc="0409000F">
      <w:start w:val="1"/>
      <w:numFmt w:val="decimal"/>
      <w:lvlText w:val="%1."/>
      <w:lvlJc w:val="left"/>
      <w:pPr>
        <w:ind w:left="720" w:hanging="360"/>
      </w:pPr>
      <w:rPr>
        <w:b w:val="0"/>
      </w:rPr>
    </w:lvl>
    <w:lvl w:ilvl="1" w:tplc="0B003AE4">
      <w:start w:val="1"/>
      <w:numFmt w:val="lowerLetter"/>
      <w:lvlText w:val="%2."/>
      <w:lvlJc w:val="left"/>
      <w:pPr>
        <w:ind w:left="117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861A91"/>
    <w:multiLevelType w:val="hybridMultilevel"/>
    <w:tmpl w:val="E8DA78B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1"/>
  </w:num>
  <w:num w:numId="5">
    <w:abstractNumId w:val="11"/>
  </w:num>
  <w:num w:numId="6">
    <w:abstractNumId w:val="12"/>
  </w:num>
  <w:num w:numId="7">
    <w:abstractNumId w:val="3"/>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0"/>
  </w:num>
  <w:num w:numId="14">
    <w:abstractNumId w:val="5"/>
  </w:num>
  <w:num w:numId="15">
    <w:abstractNumId w:val="6"/>
  </w:num>
  <w:num w:numId="1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attie, Julian (UTC)">
    <w15:presenceInfo w15:providerId="AD" w15:userId="S-1-5-21-1844237615-1844823847-839522115-462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D8"/>
    <w:rsid w:val="00004F71"/>
    <w:rsid w:val="00007CC7"/>
    <w:rsid w:val="000150D3"/>
    <w:rsid w:val="000151F5"/>
    <w:rsid w:val="00020E4B"/>
    <w:rsid w:val="00020F15"/>
    <w:rsid w:val="0002279A"/>
    <w:rsid w:val="00025DB8"/>
    <w:rsid w:val="00026636"/>
    <w:rsid w:val="00026829"/>
    <w:rsid w:val="00026989"/>
    <w:rsid w:val="00033E73"/>
    <w:rsid w:val="000360F8"/>
    <w:rsid w:val="00036D6D"/>
    <w:rsid w:val="0003793C"/>
    <w:rsid w:val="000440C8"/>
    <w:rsid w:val="00044686"/>
    <w:rsid w:val="0004790F"/>
    <w:rsid w:val="000503D9"/>
    <w:rsid w:val="000503E6"/>
    <w:rsid w:val="00050822"/>
    <w:rsid w:val="000531BD"/>
    <w:rsid w:val="0005473E"/>
    <w:rsid w:val="0005478B"/>
    <w:rsid w:val="000553AE"/>
    <w:rsid w:val="0005674A"/>
    <w:rsid w:val="00057D80"/>
    <w:rsid w:val="00062161"/>
    <w:rsid w:val="00063429"/>
    <w:rsid w:val="00065672"/>
    <w:rsid w:val="000705C6"/>
    <w:rsid w:val="00071733"/>
    <w:rsid w:val="0007184C"/>
    <w:rsid w:val="00073457"/>
    <w:rsid w:val="00074A1C"/>
    <w:rsid w:val="000769DC"/>
    <w:rsid w:val="00082FAB"/>
    <w:rsid w:val="0008303B"/>
    <w:rsid w:val="0008387A"/>
    <w:rsid w:val="00084021"/>
    <w:rsid w:val="00086C5D"/>
    <w:rsid w:val="00095252"/>
    <w:rsid w:val="00095C69"/>
    <w:rsid w:val="000972C3"/>
    <w:rsid w:val="00097680"/>
    <w:rsid w:val="000A1C3B"/>
    <w:rsid w:val="000A4A2C"/>
    <w:rsid w:val="000A755E"/>
    <w:rsid w:val="000B1879"/>
    <w:rsid w:val="000B338D"/>
    <w:rsid w:val="000B49A6"/>
    <w:rsid w:val="000B50A4"/>
    <w:rsid w:val="000B6E57"/>
    <w:rsid w:val="000C3CA8"/>
    <w:rsid w:val="000C70C7"/>
    <w:rsid w:val="000D48F4"/>
    <w:rsid w:val="000D63F3"/>
    <w:rsid w:val="000E18E3"/>
    <w:rsid w:val="000E3559"/>
    <w:rsid w:val="000E4569"/>
    <w:rsid w:val="000E48F6"/>
    <w:rsid w:val="000E4A44"/>
    <w:rsid w:val="000F2FAB"/>
    <w:rsid w:val="000F3C6F"/>
    <w:rsid w:val="000F445F"/>
    <w:rsid w:val="000F7993"/>
    <w:rsid w:val="000F7BB5"/>
    <w:rsid w:val="00105EEB"/>
    <w:rsid w:val="001076AF"/>
    <w:rsid w:val="00112E90"/>
    <w:rsid w:val="00116211"/>
    <w:rsid w:val="00116E20"/>
    <w:rsid w:val="001209E0"/>
    <w:rsid w:val="00120C9F"/>
    <w:rsid w:val="00125AEB"/>
    <w:rsid w:val="001265CF"/>
    <w:rsid w:val="00131E36"/>
    <w:rsid w:val="001371F2"/>
    <w:rsid w:val="00150F38"/>
    <w:rsid w:val="001513F0"/>
    <w:rsid w:val="00151CE3"/>
    <w:rsid w:val="00152738"/>
    <w:rsid w:val="00152AEF"/>
    <w:rsid w:val="00156088"/>
    <w:rsid w:val="0016417C"/>
    <w:rsid w:val="00165959"/>
    <w:rsid w:val="0017024A"/>
    <w:rsid w:val="001706EF"/>
    <w:rsid w:val="00173668"/>
    <w:rsid w:val="00176681"/>
    <w:rsid w:val="001813D4"/>
    <w:rsid w:val="00181515"/>
    <w:rsid w:val="00183C7F"/>
    <w:rsid w:val="00184AB0"/>
    <w:rsid w:val="00184CCA"/>
    <w:rsid w:val="00193BE4"/>
    <w:rsid w:val="0019604C"/>
    <w:rsid w:val="00196DDD"/>
    <w:rsid w:val="001A05E8"/>
    <w:rsid w:val="001A0AA0"/>
    <w:rsid w:val="001A15FB"/>
    <w:rsid w:val="001A1957"/>
    <w:rsid w:val="001A33A7"/>
    <w:rsid w:val="001A3B82"/>
    <w:rsid w:val="001A3E51"/>
    <w:rsid w:val="001A4764"/>
    <w:rsid w:val="001A495D"/>
    <w:rsid w:val="001A5F9C"/>
    <w:rsid w:val="001A6BB0"/>
    <w:rsid w:val="001A6CF3"/>
    <w:rsid w:val="001B1ED6"/>
    <w:rsid w:val="001B71D4"/>
    <w:rsid w:val="001C1656"/>
    <w:rsid w:val="001C3F85"/>
    <w:rsid w:val="001C68BD"/>
    <w:rsid w:val="001D29C8"/>
    <w:rsid w:val="001D5D07"/>
    <w:rsid w:val="001D6D4D"/>
    <w:rsid w:val="001D7AF7"/>
    <w:rsid w:val="001E49B2"/>
    <w:rsid w:val="001E5E9E"/>
    <w:rsid w:val="001E6269"/>
    <w:rsid w:val="001F070F"/>
    <w:rsid w:val="001F332D"/>
    <w:rsid w:val="001F4EF9"/>
    <w:rsid w:val="001F5010"/>
    <w:rsid w:val="001F6716"/>
    <w:rsid w:val="00200EAC"/>
    <w:rsid w:val="002030EA"/>
    <w:rsid w:val="002037CC"/>
    <w:rsid w:val="002038CD"/>
    <w:rsid w:val="002040AC"/>
    <w:rsid w:val="002057C8"/>
    <w:rsid w:val="002061F2"/>
    <w:rsid w:val="002069EB"/>
    <w:rsid w:val="002116A0"/>
    <w:rsid w:val="0021431A"/>
    <w:rsid w:val="00216E13"/>
    <w:rsid w:val="00216EAE"/>
    <w:rsid w:val="0022059B"/>
    <w:rsid w:val="00220D16"/>
    <w:rsid w:val="0022331C"/>
    <w:rsid w:val="00225344"/>
    <w:rsid w:val="0022744A"/>
    <w:rsid w:val="00227CB6"/>
    <w:rsid w:val="0023198D"/>
    <w:rsid w:val="00232E44"/>
    <w:rsid w:val="00237E76"/>
    <w:rsid w:val="00246BF5"/>
    <w:rsid w:val="00251934"/>
    <w:rsid w:val="00251F75"/>
    <w:rsid w:val="002527EE"/>
    <w:rsid w:val="00255923"/>
    <w:rsid w:val="00256EE6"/>
    <w:rsid w:val="00257C2B"/>
    <w:rsid w:val="0026098F"/>
    <w:rsid w:val="00261BA8"/>
    <w:rsid w:val="00262273"/>
    <w:rsid w:val="002717B2"/>
    <w:rsid w:val="002724E8"/>
    <w:rsid w:val="002807E9"/>
    <w:rsid w:val="0028104D"/>
    <w:rsid w:val="0028425D"/>
    <w:rsid w:val="00285DAF"/>
    <w:rsid w:val="00287AEE"/>
    <w:rsid w:val="00290507"/>
    <w:rsid w:val="00290C55"/>
    <w:rsid w:val="002913FF"/>
    <w:rsid w:val="002931EB"/>
    <w:rsid w:val="00293595"/>
    <w:rsid w:val="002A35D9"/>
    <w:rsid w:val="002A3800"/>
    <w:rsid w:val="002A56E9"/>
    <w:rsid w:val="002A58C3"/>
    <w:rsid w:val="002A621E"/>
    <w:rsid w:val="002A7DE2"/>
    <w:rsid w:val="002B2722"/>
    <w:rsid w:val="002B285A"/>
    <w:rsid w:val="002B650E"/>
    <w:rsid w:val="002B6FA6"/>
    <w:rsid w:val="002C1B4C"/>
    <w:rsid w:val="002C1F67"/>
    <w:rsid w:val="002C74C4"/>
    <w:rsid w:val="002D1A20"/>
    <w:rsid w:val="002D2F1E"/>
    <w:rsid w:val="002E3084"/>
    <w:rsid w:val="002E39B9"/>
    <w:rsid w:val="002E67CB"/>
    <w:rsid w:val="002E745E"/>
    <w:rsid w:val="002F0E16"/>
    <w:rsid w:val="002F4226"/>
    <w:rsid w:val="002F42E8"/>
    <w:rsid w:val="002F7225"/>
    <w:rsid w:val="002F76D3"/>
    <w:rsid w:val="002F7B8F"/>
    <w:rsid w:val="00300D69"/>
    <w:rsid w:val="00301085"/>
    <w:rsid w:val="00301413"/>
    <w:rsid w:val="00301503"/>
    <w:rsid w:val="0030255A"/>
    <w:rsid w:val="003036FC"/>
    <w:rsid w:val="00305631"/>
    <w:rsid w:val="0030689C"/>
    <w:rsid w:val="00307F3E"/>
    <w:rsid w:val="003200B6"/>
    <w:rsid w:val="00320B15"/>
    <w:rsid w:val="0032251A"/>
    <w:rsid w:val="00325C71"/>
    <w:rsid w:val="00327DE5"/>
    <w:rsid w:val="00330D57"/>
    <w:rsid w:val="00332357"/>
    <w:rsid w:val="003368EC"/>
    <w:rsid w:val="00341D66"/>
    <w:rsid w:val="00341F52"/>
    <w:rsid w:val="0035078C"/>
    <w:rsid w:val="003509F1"/>
    <w:rsid w:val="00352A71"/>
    <w:rsid w:val="0036095B"/>
    <w:rsid w:val="00360AD1"/>
    <w:rsid w:val="00360ECD"/>
    <w:rsid w:val="00363451"/>
    <w:rsid w:val="00364119"/>
    <w:rsid w:val="003702CC"/>
    <w:rsid w:val="00371ED6"/>
    <w:rsid w:val="0037254E"/>
    <w:rsid w:val="00373CD2"/>
    <w:rsid w:val="00374FEB"/>
    <w:rsid w:val="003819A3"/>
    <w:rsid w:val="0038263B"/>
    <w:rsid w:val="003921DD"/>
    <w:rsid w:val="00392715"/>
    <w:rsid w:val="0039300F"/>
    <w:rsid w:val="00394F4C"/>
    <w:rsid w:val="00397BB7"/>
    <w:rsid w:val="003A1ECB"/>
    <w:rsid w:val="003A4BF9"/>
    <w:rsid w:val="003B2A5B"/>
    <w:rsid w:val="003B5A24"/>
    <w:rsid w:val="003B6AEC"/>
    <w:rsid w:val="003B7983"/>
    <w:rsid w:val="003C1246"/>
    <w:rsid w:val="003C1A71"/>
    <w:rsid w:val="003C5344"/>
    <w:rsid w:val="003C5390"/>
    <w:rsid w:val="003C6CF3"/>
    <w:rsid w:val="003C70FE"/>
    <w:rsid w:val="003D2394"/>
    <w:rsid w:val="003D4350"/>
    <w:rsid w:val="003D5324"/>
    <w:rsid w:val="003D76B6"/>
    <w:rsid w:val="003D7CBB"/>
    <w:rsid w:val="003E14DB"/>
    <w:rsid w:val="003E1E1A"/>
    <w:rsid w:val="003E39C7"/>
    <w:rsid w:val="003E3B7E"/>
    <w:rsid w:val="003F1945"/>
    <w:rsid w:val="003F21FB"/>
    <w:rsid w:val="003F4171"/>
    <w:rsid w:val="003F417C"/>
    <w:rsid w:val="003F5E6B"/>
    <w:rsid w:val="0040038F"/>
    <w:rsid w:val="004013EB"/>
    <w:rsid w:val="00402725"/>
    <w:rsid w:val="00402763"/>
    <w:rsid w:val="00402DE5"/>
    <w:rsid w:val="004036D2"/>
    <w:rsid w:val="00403A63"/>
    <w:rsid w:val="00403C6E"/>
    <w:rsid w:val="004070E9"/>
    <w:rsid w:val="00410A21"/>
    <w:rsid w:val="004149D7"/>
    <w:rsid w:val="00417BE2"/>
    <w:rsid w:val="00420738"/>
    <w:rsid w:val="00420F5F"/>
    <w:rsid w:val="00422E32"/>
    <w:rsid w:val="00424718"/>
    <w:rsid w:val="00424EA6"/>
    <w:rsid w:val="00425BBE"/>
    <w:rsid w:val="004301D3"/>
    <w:rsid w:val="00431CF3"/>
    <w:rsid w:val="00435A10"/>
    <w:rsid w:val="00436753"/>
    <w:rsid w:val="00437068"/>
    <w:rsid w:val="00440814"/>
    <w:rsid w:val="00445F85"/>
    <w:rsid w:val="004470DD"/>
    <w:rsid w:val="0044723A"/>
    <w:rsid w:val="00447ABC"/>
    <w:rsid w:val="004513E6"/>
    <w:rsid w:val="00453C61"/>
    <w:rsid w:val="00455AB6"/>
    <w:rsid w:val="00462C2D"/>
    <w:rsid w:val="00466894"/>
    <w:rsid w:val="004674E7"/>
    <w:rsid w:val="00472B83"/>
    <w:rsid w:val="00473D82"/>
    <w:rsid w:val="004753AE"/>
    <w:rsid w:val="004753F7"/>
    <w:rsid w:val="00475D47"/>
    <w:rsid w:val="00475DE9"/>
    <w:rsid w:val="00483FB8"/>
    <w:rsid w:val="004846DC"/>
    <w:rsid w:val="00484786"/>
    <w:rsid w:val="00484AC2"/>
    <w:rsid w:val="004864A5"/>
    <w:rsid w:val="00492B7A"/>
    <w:rsid w:val="0049536E"/>
    <w:rsid w:val="0049713D"/>
    <w:rsid w:val="004A428B"/>
    <w:rsid w:val="004A4F64"/>
    <w:rsid w:val="004A792E"/>
    <w:rsid w:val="004A7CBD"/>
    <w:rsid w:val="004B0236"/>
    <w:rsid w:val="004B0EE8"/>
    <w:rsid w:val="004B0FD5"/>
    <w:rsid w:val="004B25E8"/>
    <w:rsid w:val="004B6A97"/>
    <w:rsid w:val="004B7092"/>
    <w:rsid w:val="004B73E7"/>
    <w:rsid w:val="004B7EE6"/>
    <w:rsid w:val="004C14D5"/>
    <w:rsid w:val="004C2991"/>
    <w:rsid w:val="004C2E9F"/>
    <w:rsid w:val="004C39DA"/>
    <w:rsid w:val="004C3D65"/>
    <w:rsid w:val="004C46A5"/>
    <w:rsid w:val="004C4B5E"/>
    <w:rsid w:val="004C4E7E"/>
    <w:rsid w:val="004C6FE4"/>
    <w:rsid w:val="004D14F9"/>
    <w:rsid w:val="004D19DD"/>
    <w:rsid w:val="004D437D"/>
    <w:rsid w:val="004D7CC1"/>
    <w:rsid w:val="004E123F"/>
    <w:rsid w:val="004E1311"/>
    <w:rsid w:val="004E1EB8"/>
    <w:rsid w:val="004F0AAC"/>
    <w:rsid w:val="004F4D58"/>
    <w:rsid w:val="004F5AF1"/>
    <w:rsid w:val="004F6899"/>
    <w:rsid w:val="004F69A5"/>
    <w:rsid w:val="00500322"/>
    <w:rsid w:val="005007CC"/>
    <w:rsid w:val="00501099"/>
    <w:rsid w:val="005014C7"/>
    <w:rsid w:val="00501FFC"/>
    <w:rsid w:val="0050268E"/>
    <w:rsid w:val="005031AD"/>
    <w:rsid w:val="005063EC"/>
    <w:rsid w:val="00507424"/>
    <w:rsid w:val="00510658"/>
    <w:rsid w:val="005144A4"/>
    <w:rsid w:val="00517D27"/>
    <w:rsid w:val="00521F2B"/>
    <w:rsid w:val="00531FE0"/>
    <w:rsid w:val="00533114"/>
    <w:rsid w:val="005357B9"/>
    <w:rsid w:val="0053735C"/>
    <w:rsid w:val="0054238B"/>
    <w:rsid w:val="005450ED"/>
    <w:rsid w:val="005452F0"/>
    <w:rsid w:val="005455EE"/>
    <w:rsid w:val="005465C8"/>
    <w:rsid w:val="005471F6"/>
    <w:rsid w:val="00547821"/>
    <w:rsid w:val="00547C1A"/>
    <w:rsid w:val="0055076A"/>
    <w:rsid w:val="00551562"/>
    <w:rsid w:val="00553E6D"/>
    <w:rsid w:val="00562B78"/>
    <w:rsid w:val="00565878"/>
    <w:rsid w:val="00565C62"/>
    <w:rsid w:val="00570C9A"/>
    <w:rsid w:val="00572E8D"/>
    <w:rsid w:val="0057355E"/>
    <w:rsid w:val="0057472B"/>
    <w:rsid w:val="00575868"/>
    <w:rsid w:val="0058060F"/>
    <w:rsid w:val="00581299"/>
    <w:rsid w:val="00583EAB"/>
    <w:rsid w:val="005875A8"/>
    <w:rsid w:val="00595D41"/>
    <w:rsid w:val="005966DE"/>
    <w:rsid w:val="005A24D1"/>
    <w:rsid w:val="005A569D"/>
    <w:rsid w:val="005B1106"/>
    <w:rsid w:val="005B2D4B"/>
    <w:rsid w:val="005B4C0B"/>
    <w:rsid w:val="005B755D"/>
    <w:rsid w:val="005C0E78"/>
    <w:rsid w:val="005C27FE"/>
    <w:rsid w:val="005C4EA3"/>
    <w:rsid w:val="005C65E0"/>
    <w:rsid w:val="005C68A2"/>
    <w:rsid w:val="005E07C2"/>
    <w:rsid w:val="005E1D4B"/>
    <w:rsid w:val="005E20AC"/>
    <w:rsid w:val="005E3556"/>
    <w:rsid w:val="005E51C2"/>
    <w:rsid w:val="005E5FB0"/>
    <w:rsid w:val="005E67AC"/>
    <w:rsid w:val="005F573F"/>
    <w:rsid w:val="005F5B22"/>
    <w:rsid w:val="006003B1"/>
    <w:rsid w:val="00600B66"/>
    <w:rsid w:val="006056DE"/>
    <w:rsid w:val="00611F62"/>
    <w:rsid w:val="0061209C"/>
    <w:rsid w:val="00616FBA"/>
    <w:rsid w:val="00621EA7"/>
    <w:rsid w:val="00622289"/>
    <w:rsid w:val="006241BD"/>
    <w:rsid w:val="00624908"/>
    <w:rsid w:val="0063272B"/>
    <w:rsid w:val="00634B5A"/>
    <w:rsid w:val="0064024B"/>
    <w:rsid w:val="00640AB3"/>
    <w:rsid w:val="00641F98"/>
    <w:rsid w:val="006509BB"/>
    <w:rsid w:val="006510D8"/>
    <w:rsid w:val="00651AB5"/>
    <w:rsid w:val="00653E53"/>
    <w:rsid w:val="0065561B"/>
    <w:rsid w:val="006558A6"/>
    <w:rsid w:val="00656E01"/>
    <w:rsid w:val="00656EE5"/>
    <w:rsid w:val="006634A7"/>
    <w:rsid w:val="0067645C"/>
    <w:rsid w:val="0068016D"/>
    <w:rsid w:val="006802BB"/>
    <w:rsid w:val="00683A17"/>
    <w:rsid w:val="00684937"/>
    <w:rsid w:val="00690224"/>
    <w:rsid w:val="00690729"/>
    <w:rsid w:val="00690C73"/>
    <w:rsid w:val="00690DE4"/>
    <w:rsid w:val="0069128D"/>
    <w:rsid w:val="006923D9"/>
    <w:rsid w:val="00694140"/>
    <w:rsid w:val="006951F3"/>
    <w:rsid w:val="00696BFC"/>
    <w:rsid w:val="006A3EA3"/>
    <w:rsid w:val="006A7B1C"/>
    <w:rsid w:val="006B003A"/>
    <w:rsid w:val="006B227F"/>
    <w:rsid w:val="006C0FDA"/>
    <w:rsid w:val="006C2093"/>
    <w:rsid w:val="006C2BE3"/>
    <w:rsid w:val="006C36B1"/>
    <w:rsid w:val="006C4809"/>
    <w:rsid w:val="006C485F"/>
    <w:rsid w:val="006C5B6D"/>
    <w:rsid w:val="006C5C63"/>
    <w:rsid w:val="006C5E3A"/>
    <w:rsid w:val="006C681E"/>
    <w:rsid w:val="006D75B8"/>
    <w:rsid w:val="006E1D08"/>
    <w:rsid w:val="006E2E7E"/>
    <w:rsid w:val="006E6E13"/>
    <w:rsid w:val="006F0101"/>
    <w:rsid w:val="006F6681"/>
    <w:rsid w:val="007011FE"/>
    <w:rsid w:val="0070359C"/>
    <w:rsid w:val="007058D1"/>
    <w:rsid w:val="00707B26"/>
    <w:rsid w:val="00711DEE"/>
    <w:rsid w:val="00712B72"/>
    <w:rsid w:val="00712D97"/>
    <w:rsid w:val="00713531"/>
    <w:rsid w:val="00713B37"/>
    <w:rsid w:val="00716A03"/>
    <w:rsid w:val="00716F0E"/>
    <w:rsid w:val="007241E1"/>
    <w:rsid w:val="00727DB6"/>
    <w:rsid w:val="00730D1A"/>
    <w:rsid w:val="00737B08"/>
    <w:rsid w:val="00737B83"/>
    <w:rsid w:val="0074026C"/>
    <w:rsid w:val="00745F1D"/>
    <w:rsid w:val="007464F1"/>
    <w:rsid w:val="00752B20"/>
    <w:rsid w:val="00755A0D"/>
    <w:rsid w:val="00756529"/>
    <w:rsid w:val="00756B26"/>
    <w:rsid w:val="00761736"/>
    <w:rsid w:val="007634E6"/>
    <w:rsid w:val="00765719"/>
    <w:rsid w:val="007661FD"/>
    <w:rsid w:val="0076699B"/>
    <w:rsid w:val="00766B21"/>
    <w:rsid w:val="0076703C"/>
    <w:rsid w:val="00767D4F"/>
    <w:rsid w:val="007701D7"/>
    <w:rsid w:val="007772FC"/>
    <w:rsid w:val="00777A4F"/>
    <w:rsid w:val="007804C9"/>
    <w:rsid w:val="00781D1E"/>
    <w:rsid w:val="00782FA9"/>
    <w:rsid w:val="007905BB"/>
    <w:rsid w:val="00790D98"/>
    <w:rsid w:val="007910C1"/>
    <w:rsid w:val="007934DB"/>
    <w:rsid w:val="00797650"/>
    <w:rsid w:val="007A11F6"/>
    <w:rsid w:val="007A17BF"/>
    <w:rsid w:val="007A470A"/>
    <w:rsid w:val="007A6428"/>
    <w:rsid w:val="007A78B7"/>
    <w:rsid w:val="007B6F44"/>
    <w:rsid w:val="007C01D9"/>
    <w:rsid w:val="007C09D8"/>
    <w:rsid w:val="007C1BA6"/>
    <w:rsid w:val="007C1C5A"/>
    <w:rsid w:val="007C331B"/>
    <w:rsid w:val="007C7842"/>
    <w:rsid w:val="007C7D1E"/>
    <w:rsid w:val="007D3390"/>
    <w:rsid w:val="007D4062"/>
    <w:rsid w:val="007D410B"/>
    <w:rsid w:val="007D4400"/>
    <w:rsid w:val="007E0E3D"/>
    <w:rsid w:val="007F0464"/>
    <w:rsid w:val="007F2CF8"/>
    <w:rsid w:val="008002CA"/>
    <w:rsid w:val="00801429"/>
    <w:rsid w:val="00811AE1"/>
    <w:rsid w:val="00814675"/>
    <w:rsid w:val="0081522F"/>
    <w:rsid w:val="008165AD"/>
    <w:rsid w:val="0081788F"/>
    <w:rsid w:val="008278BF"/>
    <w:rsid w:val="008308F5"/>
    <w:rsid w:val="008313F2"/>
    <w:rsid w:val="00831461"/>
    <w:rsid w:val="00831617"/>
    <w:rsid w:val="00831CFC"/>
    <w:rsid w:val="00831D09"/>
    <w:rsid w:val="00834969"/>
    <w:rsid w:val="00835BD3"/>
    <w:rsid w:val="0083737D"/>
    <w:rsid w:val="008430FC"/>
    <w:rsid w:val="00843845"/>
    <w:rsid w:val="0084468D"/>
    <w:rsid w:val="0084711F"/>
    <w:rsid w:val="0085277C"/>
    <w:rsid w:val="00854AD6"/>
    <w:rsid w:val="00855914"/>
    <w:rsid w:val="008567EE"/>
    <w:rsid w:val="00856DA9"/>
    <w:rsid w:val="0086173A"/>
    <w:rsid w:val="00861ECC"/>
    <w:rsid w:val="00864F3C"/>
    <w:rsid w:val="00865F0B"/>
    <w:rsid w:val="00866858"/>
    <w:rsid w:val="00867616"/>
    <w:rsid w:val="00871BDE"/>
    <w:rsid w:val="0088278B"/>
    <w:rsid w:val="0089062F"/>
    <w:rsid w:val="00894945"/>
    <w:rsid w:val="00895062"/>
    <w:rsid w:val="008A0347"/>
    <w:rsid w:val="008A5182"/>
    <w:rsid w:val="008A5853"/>
    <w:rsid w:val="008A6401"/>
    <w:rsid w:val="008A7DB3"/>
    <w:rsid w:val="008B1F22"/>
    <w:rsid w:val="008B4C53"/>
    <w:rsid w:val="008B5266"/>
    <w:rsid w:val="008B5C9C"/>
    <w:rsid w:val="008B60A3"/>
    <w:rsid w:val="008B65C2"/>
    <w:rsid w:val="008C4DB3"/>
    <w:rsid w:val="008C7B03"/>
    <w:rsid w:val="008D06BE"/>
    <w:rsid w:val="008D0A3C"/>
    <w:rsid w:val="008D1A59"/>
    <w:rsid w:val="008D21C9"/>
    <w:rsid w:val="008D25BA"/>
    <w:rsid w:val="008D3AAD"/>
    <w:rsid w:val="008D5279"/>
    <w:rsid w:val="008D5742"/>
    <w:rsid w:val="008D7B63"/>
    <w:rsid w:val="008E06A3"/>
    <w:rsid w:val="008E1111"/>
    <w:rsid w:val="008E11FF"/>
    <w:rsid w:val="008E214D"/>
    <w:rsid w:val="008E22C8"/>
    <w:rsid w:val="008E2B6A"/>
    <w:rsid w:val="008E56C3"/>
    <w:rsid w:val="008E5C92"/>
    <w:rsid w:val="008F14B8"/>
    <w:rsid w:val="008F18CD"/>
    <w:rsid w:val="008F1C60"/>
    <w:rsid w:val="008F2FDE"/>
    <w:rsid w:val="008F49C5"/>
    <w:rsid w:val="008F7A49"/>
    <w:rsid w:val="00901FD3"/>
    <w:rsid w:val="0091035F"/>
    <w:rsid w:val="00911AA4"/>
    <w:rsid w:val="00913AF8"/>
    <w:rsid w:val="00914FCB"/>
    <w:rsid w:val="00920A96"/>
    <w:rsid w:val="00922199"/>
    <w:rsid w:val="00930D35"/>
    <w:rsid w:val="00931FB1"/>
    <w:rsid w:val="00937B68"/>
    <w:rsid w:val="009404A3"/>
    <w:rsid w:val="00942442"/>
    <w:rsid w:val="009446D6"/>
    <w:rsid w:val="00953936"/>
    <w:rsid w:val="00953F75"/>
    <w:rsid w:val="00955650"/>
    <w:rsid w:val="00955E32"/>
    <w:rsid w:val="00955F38"/>
    <w:rsid w:val="009603F3"/>
    <w:rsid w:val="00961ACE"/>
    <w:rsid w:val="00962B6E"/>
    <w:rsid w:val="00962F24"/>
    <w:rsid w:val="0096684F"/>
    <w:rsid w:val="00970C9E"/>
    <w:rsid w:val="009726CB"/>
    <w:rsid w:val="00973D0C"/>
    <w:rsid w:val="00973F8D"/>
    <w:rsid w:val="00974AA1"/>
    <w:rsid w:val="00976D4F"/>
    <w:rsid w:val="0098065F"/>
    <w:rsid w:val="00983ABB"/>
    <w:rsid w:val="00987322"/>
    <w:rsid w:val="009902D6"/>
    <w:rsid w:val="00992D8A"/>
    <w:rsid w:val="009936E6"/>
    <w:rsid w:val="00994727"/>
    <w:rsid w:val="009A2238"/>
    <w:rsid w:val="009A2C13"/>
    <w:rsid w:val="009A2C70"/>
    <w:rsid w:val="009A30F9"/>
    <w:rsid w:val="009A5AE7"/>
    <w:rsid w:val="009B0EE2"/>
    <w:rsid w:val="009B10F1"/>
    <w:rsid w:val="009B3518"/>
    <w:rsid w:val="009B4DA2"/>
    <w:rsid w:val="009B719D"/>
    <w:rsid w:val="009C2DB0"/>
    <w:rsid w:val="009C4950"/>
    <w:rsid w:val="009D3046"/>
    <w:rsid w:val="009D6057"/>
    <w:rsid w:val="009E1EEE"/>
    <w:rsid w:val="009E2B70"/>
    <w:rsid w:val="009E2E50"/>
    <w:rsid w:val="009E3DC4"/>
    <w:rsid w:val="009E408B"/>
    <w:rsid w:val="009F0DD8"/>
    <w:rsid w:val="009F40FE"/>
    <w:rsid w:val="009F668E"/>
    <w:rsid w:val="00A03EF4"/>
    <w:rsid w:val="00A05195"/>
    <w:rsid w:val="00A078C1"/>
    <w:rsid w:val="00A15518"/>
    <w:rsid w:val="00A16ABA"/>
    <w:rsid w:val="00A2032E"/>
    <w:rsid w:val="00A22136"/>
    <w:rsid w:val="00A22B44"/>
    <w:rsid w:val="00A239E8"/>
    <w:rsid w:val="00A2565F"/>
    <w:rsid w:val="00A264A5"/>
    <w:rsid w:val="00A27368"/>
    <w:rsid w:val="00A306AF"/>
    <w:rsid w:val="00A35178"/>
    <w:rsid w:val="00A355CB"/>
    <w:rsid w:val="00A35AFA"/>
    <w:rsid w:val="00A3778E"/>
    <w:rsid w:val="00A43990"/>
    <w:rsid w:val="00A45216"/>
    <w:rsid w:val="00A4698C"/>
    <w:rsid w:val="00A477D7"/>
    <w:rsid w:val="00A51B9E"/>
    <w:rsid w:val="00A57F3F"/>
    <w:rsid w:val="00A62485"/>
    <w:rsid w:val="00A62D51"/>
    <w:rsid w:val="00A652FF"/>
    <w:rsid w:val="00A71173"/>
    <w:rsid w:val="00A74623"/>
    <w:rsid w:val="00A75318"/>
    <w:rsid w:val="00A771A1"/>
    <w:rsid w:val="00A80028"/>
    <w:rsid w:val="00A832C4"/>
    <w:rsid w:val="00A91822"/>
    <w:rsid w:val="00A918DE"/>
    <w:rsid w:val="00A92584"/>
    <w:rsid w:val="00AA1206"/>
    <w:rsid w:val="00AA2169"/>
    <w:rsid w:val="00AA304F"/>
    <w:rsid w:val="00AA6C68"/>
    <w:rsid w:val="00AA75C5"/>
    <w:rsid w:val="00AB057A"/>
    <w:rsid w:val="00AB1CDE"/>
    <w:rsid w:val="00AC05CE"/>
    <w:rsid w:val="00AC12A1"/>
    <w:rsid w:val="00AC1781"/>
    <w:rsid w:val="00AC5144"/>
    <w:rsid w:val="00AC63D4"/>
    <w:rsid w:val="00AD196B"/>
    <w:rsid w:val="00AD1A9B"/>
    <w:rsid w:val="00AD2181"/>
    <w:rsid w:val="00AD3F60"/>
    <w:rsid w:val="00AD514B"/>
    <w:rsid w:val="00AD7892"/>
    <w:rsid w:val="00AE1DF2"/>
    <w:rsid w:val="00AE27C9"/>
    <w:rsid w:val="00AE5760"/>
    <w:rsid w:val="00AE6F1C"/>
    <w:rsid w:val="00AF1BE3"/>
    <w:rsid w:val="00AF2E9F"/>
    <w:rsid w:val="00AF48E0"/>
    <w:rsid w:val="00B000EC"/>
    <w:rsid w:val="00B066EA"/>
    <w:rsid w:val="00B210E2"/>
    <w:rsid w:val="00B232E6"/>
    <w:rsid w:val="00B23464"/>
    <w:rsid w:val="00B34BBD"/>
    <w:rsid w:val="00B35A7C"/>
    <w:rsid w:val="00B4121F"/>
    <w:rsid w:val="00B42871"/>
    <w:rsid w:val="00B512D5"/>
    <w:rsid w:val="00B53D41"/>
    <w:rsid w:val="00B568DB"/>
    <w:rsid w:val="00B66E04"/>
    <w:rsid w:val="00B7076C"/>
    <w:rsid w:val="00B70799"/>
    <w:rsid w:val="00B72573"/>
    <w:rsid w:val="00B737DF"/>
    <w:rsid w:val="00B73973"/>
    <w:rsid w:val="00B73E83"/>
    <w:rsid w:val="00B74470"/>
    <w:rsid w:val="00B836CB"/>
    <w:rsid w:val="00B854A9"/>
    <w:rsid w:val="00B8575C"/>
    <w:rsid w:val="00B91684"/>
    <w:rsid w:val="00B95A44"/>
    <w:rsid w:val="00BA19B1"/>
    <w:rsid w:val="00BA2E6D"/>
    <w:rsid w:val="00BA2FCA"/>
    <w:rsid w:val="00BA7598"/>
    <w:rsid w:val="00BB2AB6"/>
    <w:rsid w:val="00BB378B"/>
    <w:rsid w:val="00BB43FE"/>
    <w:rsid w:val="00BB452F"/>
    <w:rsid w:val="00BB5A56"/>
    <w:rsid w:val="00BB63F1"/>
    <w:rsid w:val="00BB69C7"/>
    <w:rsid w:val="00BB7550"/>
    <w:rsid w:val="00BB7AFB"/>
    <w:rsid w:val="00BC0C30"/>
    <w:rsid w:val="00BC14DB"/>
    <w:rsid w:val="00BC23FD"/>
    <w:rsid w:val="00BC45BF"/>
    <w:rsid w:val="00BE051D"/>
    <w:rsid w:val="00BE391C"/>
    <w:rsid w:val="00BE48BF"/>
    <w:rsid w:val="00BF1252"/>
    <w:rsid w:val="00BF3CD1"/>
    <w:rsid w:val="00BF45B5"/>
    <w:rsid w:val="00BF5A13"/>
    <w:rsid w:val="00C02C2F"/>
    <w:rsid w:val="00C14692"/>
    <w:rsid w:val="00C14B13"/>
    <w:rsid w:val="00C1596F"/>
    <w:rsid w:val="00C273D4"/>
    <w:rsid w:val="00C31FBB"/>
    <w:rsid w:val="00C3360A"/>
    <w:rsid w:val="00C34BC7"/>
    <w:rsid w:val="00C35202"/>
    <w:rsid w:val="00C360A4"/>
    <w:rsid w:val="00C36D6F"/>
    <w:rsid w:val="00C36EA6"/>
    <w:rsid w:val="00C37964"/>
    <w:rsid w:val="00C4379C"/>
    <w:rsid w:val="00C45BBC"/>
    <w:rsid w:val="00C46CB9"/>
    <w:rsid w:val="00C52622"/>
    <w:rsid w:val="00C5478B"/>
    <w:rsid w:val="00C62F6F"/>
    <w:rsid w:val="00C66519"/>
    <w:rsid w:val="00C70471"/>
    <w:rsid w:val="00C709F7"/>
    <w:rsid w:val="00C80570"/>
    <w:rsid w:val="00C82318"/>
    <w:rsid w:val="00C82476"/>
    <w:rsid w:val="00C8671D"/>
    <w:rsid w:val="00C86A39"/>
    <w:rsid w:val="00C9153E"/>
    <w:rsid w:val="00C91C3F"/>
    <w:rsid w:val="00C91EA3"/>
    <w:rsid w:val="00C9217A"/>
    <w:rsid w:val="00C935E7"/>
    <w:rsid w:val="00C93801"/>
    <w:rsid w:val="00C96001"/>
    <w:rsid w:val="00CA357E"/>
    <w:rsid w:val="00CA646C"/>
    <w:rsid w:val="00CB0AB6"/>
    <w:rsid w:val="00CB3C27"/>
    <w:rsid w:val="00CB74DF"/>
    <w:rsid w:val="00CC0B34"/>
    <w:rsid w:val="00CC0BA2"/>
    <w:rsid w:val="00CC1912"/>
    <w:rsid w:val="00CC4EBF"/>
    <w:rsid w:val="00CD0A16"/>
    <w:rsid w:val="00CD1BEE"/>
    <w:rsid w:val="00CD3D8C"/>
    <w:rsid w:val="00CD5153"/>
    <w:rsid w:val="00CE19CA"/>
    <w:rsid w:val="00CE26AE"/>
    <w:rsid w:val="00CE401C"/>
    <w:rsid w:val="00CE4C27"/>
    <w:rsid w:val="00CE5688"/>
    <w:rsid w:val="00CF48B9"/>
    <w:rsid w:val="00D01AB9"/>
    <w:rsid w:val="00D01BB9"/>
    <w:rsid w:val="00D046F9"/>
    <w:rsid w:val="00D04866"/>
    <w:rsid w:val="00D06164"/>
    <w:rsid w:val="00D111B6"/>
    <w:rsid w:val="00D113C1"/>
    <w:rsid w:val="00D137A4"/>
    <w:rsid w:val="00D13B6F"/>
    <w:rsid w:val="00D148DF"/>
    <w:rsid w:val="00D16D6D"/>
    <w:rsid w:val="00D17FE9"/>
    <w:rsid w:val="00D22173"/>
    <w:rsid w:val="00D22816"/>
    <w:rsid w:val="00D3439C"/>
    <w:rsid w:val="00D34981"/>
    <w:rsid w:val="00D40341"/>
    <w:rsid w:val="00D440A6"/>
    <w:rsid w:val="00D53AC2"/>
    <w:rsid w:val="00D547F0"/>
    <w:rsid w:val="00D5645F"/>
    <w:rsid w:val="00D57888"/>
    <w:rsid w:val="00D64700"/>
    <w:rsid w:val="00D65730"/>
    <w:rsid w:val="00D70F04"/>
    <w:rsid w:val="00D745DE"/>
    <w:rsid w:val="00D759C6"/>
    <w:rsid w:val="00D75D95"/>
    <w:rsid w:val="00D7685F"/>
    <w:rsid w:val="00D77799"/>
    <w:rsid w:val="00D80AC4"/>
    <w:rsid w:val="00D81BFB"/>
    <w:rsid w:val="00D8321E"/>
    <w:rsid w:val="00D834CF"/>
    <w:rsid w:val="00D835BE"/>
    <w:rsid w:val="00D85291"/>
    <w:rsid w:val="00D8727F"/>
    <w:rsid w:val="00D873BB"/>
    <w:rsid w:val="00DA06C9"/>
    <w:rsid w:val="00DA41A3"/>
    <w:rsid w:val="00DA492F"/>
    <w:rsid w:val="00DA6DC5"/>
    <w:rsid w:val="00DB6555"/>
    <w:rsid w:val="00DC1B26"/>
    <w:rsid w:val="00DD0A3B"/>
    <w:rsid w:val="00DD100F"/>
    <w:rsid w:val="00DD4ABF"/>
    <w:rsid w:val="00DE1CAA"/>
    <w:rsid w:val="00DE2055"/>
    <w:rsid w:val="00DE27FD"/>
    <w:rsid w:val="00DE3351"/>
    <w:rsid w:val="00DE4595"/>
    <w:rsid w:val="00DE63F4"/>
    <w:rsid w:val="00DF1E7D"/>
    <w:rsid w:val="00E033F9"/>
    <w:rsid w:val="00E03677"/>
    <w:rsid w:val="00E06421"/>
    <w:rsid w:val="00E07DE8"/>
    <w:rsid w:val="00E125E1"/>
    <w:rsid w:val="00E13376"/>
    <w:rsid w:val="00E141DC"/>
    <w:rsid w:val="00E167C8"/>
    <w:rsid w:val="00E17C9F"/>
    <w:rsid w:val="00E2090E"/>
    <w:rsid w:val="00E22CC0"/>
    <w:rsid w:val="00E247CF"/>
    <w:rsid w:val="00E26701"/>
    <w:rsid w:val="00E2766A"/>
    <w:rsid w:val="00E323DF"/>
    <w:rsid w:val="00E35346"/>
    <w:rsid w:val="00E505BE"/>
    <w:rsid w:val="00E52C65"/>
    <w:rsid w:val="00E5783A"/>
    <w:rsid w:val="00E57FAF"/>
    <w:rsid w:val="00E621D0"/>
    <w:rsid w:val="00E6475C"/>
    <w:rsid w:val="00E65091"/>
    <w:rsid w:val="00E67A1A"/>
    <w:rsid w:val="00E67C50"/>
    <w:rsid w:val="00E72B5B"/>
    <w:rsid w:val="00E72C93"/>
    <w:rsid w:val="00E76984"/>
    <w:rsid w:val="00E77F57"/>
    <w:rsid w:val="00E8106C"/>
    <w:rsid w:val="00E84CCF"/>
    <w:rsid w:val="00E87C49"/>
    <w:rsid w:val="00E90059"/>
    <w:rsid w:val="00E92843"/>
    <w:rsid w:val="00E93B97"/>
    <w:rsid w:val="00E9492A"/>
    <w:rsid w:val="00EA1D75"/>
    <w:rsid w:val="00EA350E"/>
    <w:rsid w:val="00EA76D8"/>
    <w:rsid w:val="00EB1151"/>
    <w:rsid w:val="00EB1744"/>
    <w:rsid w:val="00EB3263"/>
    <w:rsid w:val="00EB6E4E"/>
    <w:rsid w:val="00EB77B6"/>
    <w:rsid w:val="00EC3875"/>
    <w:rsid w:val="00EC4665"/>
    <w:rsid w:val="00ED0A73"/>
    <w:rsid w:val="00ED20B3"/>
    <w:rsid w:val="00ED2E82"/>
    <w:rsid w:val="00ED57B0"/>
    <w:rsid w:val="00ED75AD"/>
    <w:rsid w:val="00EE2C87"/>
    <w:rsid w:val="00EE4521"/>
    <w:rsid w:val="00EF0E01"/>
    <w:rsid w:val="00EF1FDD"/>
    <w:rsid w:val="00EF2FBD"/>
    <w:rsid w:val="00EF50A1"/>
    <w:rsid w:val="00EF77C7"/>
    <w:rsid w:val="00EF7C1C"/>
    <w:rsid w:val="00F00ABA"/>
    <w:rsid w:val="00F01CC0"/>
    <w:rsid w:val="00F03C8B"/>
    <w:rsid w:val="00F100AD"/>
    <w:rsid w:val="00F11986"/>
    <w:rsid w:val="00F11D4F"/>
    <w:rsid w:val="00F12B5E"/>
    <w:rsid w:val="00F1524F"/>
    <w:rsid w:val="00F15256"/>
    <w:rsid w:val="00F1545F"/>
    <w:rsid w:val="00F223BA"/>
    <w:rsid w:val="00F22E5B"/>
    <w:rsid w:val="00F22E97"/>
    <w:rsid w:val="00F23BB1"/>
    <w:rsid w:val="00F25511"/>
    <w:rsid w:val="00F27045"/>
    <w:rsid w:val="00F30943"/>
    <w:rsid w:val="00F3392A"/>
    <w:rsid w:val="00F352E1"/>
    <w:rsid w:val="00F364BF"/>
    <w:rsid w:val="00F36C11"/>
    <w:rsid w:val="00F37B26"/>
    <w:rsid w:val="00F410EE"/>
    <w:rsid w:val="00F41400"/>
    <w:rsid w:val="00F42778"/>
    <w:rsid w:val="00F42F52"/>
    <w:rsid w:val="00F4336E"/>
    <w:rsid w:val="00F45BE8"/>
    <w:rsid w:val="00F46A39"/>
    <w:rsid w:val="00F47A67"/>
    <w:rsid w:val="00F50856"/>
    <w:rsid w:val="00F5449B"/>
    <w:rsid w:val="00F60F49"/>
    <w:rsid w:val="00F61797"/>
    <w:rsid w:val="00F6496D"/>
    <w:rsid w:val="00F709A6"/>
    <w:rsid w:val="00F73BBB"/>
    <w:rsid w:val="00F74386"/>
    <w:rsid w:val="00F748D8"/>
    <w:rsid w:val="00F75AA1"/>
    <w:rsid w:val="00F75BB6"/>
    <w:rsid w:val="00F77C60"/>
    <w:rsid w:val="00F801F3"/>
    <w:rsid w:val="00F816B6"/>
    <w:rsid w:val="00F8318B"/>
    <w:rsid w:val="00F83CF1"/>
    <w:rsid w:val="00F864FC"/>
    <w:rsid w:val="00F91350"/>
    <w:rsid w:val="00F91CCB"/>
    <w:rsid w:val="00F963B7"/>
    <w:rsid w:val="00F9775D"/>
    <w:rsid w:val="00FA02A5"/>
    <w:rsid w:val="00FA4897"/>
    <w:rsid w:val="00FA7BF1"/>
    <w:rsid w:val="00FB00FD"/>
    <w:rsid w:val="00FB2340"/>
    <w:rsid w:val="00FB351D"/>
    <w:rsid w:val="00FB3C37"/>
    <w:rsid w:val="00FC24AB"/>
    <w:rsid w:val="00FC50C9"/>
    <w:rsid w:val="00FC5371"/>
    <w:rsid w:val="00FC7C2D"/>
    <w:rsid w:val="00FD36CF"/>
    <w:rsid w:val="00FD3FCE"/>
    <w:rsid w:val="00FD6DE5"/>
    <w:rsid w:val="00FE003F"/>
    <w:rsid w:val="00FE097F"/>
    <w:rsid w:val="00FE209F"/>
    <w:rsid w:val="00FE4D47"/>
    <w:rsid w:val="00FE5E9E"/>
    <w:rsid w:val="00FF2E42"/>
    <w:rsid w:val="00FF5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54E"/>
    <w:pPr>
      <w:widowControl w:val="0"/>
      <w:autoSpaceDE w:val="0"/>
      <w:autoSpaceDN w:val="0"/>
      <w:adjustRightInd w:val="0"/>
    </w:pPr>
    <w:rPr>
      <w:szCs w:val="24"/>
    </w:rPr>
  </w:style>
  <w:style w:type="paragraph" w:styleId="Heading2">
    <w:name w:val="heading 2"/>
    <w:basedOn w:val="Normal"/>
    <w:next w:val="Normal"/>
    <w:link w:val="Heading2Char"/>
    <w:semiHidden/>
    <w:unhideWhenUsed/>
    <w:qFormat/>
    <w:rsid w:val="00AB1CDE"/>
    <w:pPr>
      <w:keepNext/>
      <w:spacing w:before="240" w:after="60"/>
      <w:outlineLvl w:val="1"/>
    </w:pPr>
    <w:rPr>
      <w:rFonts w:ascii="Calibri Light" w:hAnsi="Calibri Light"/>
      <w:b/>
      <w:bCs/>
      <w:i/>
      <w:iCs/>
      <w:sz w:val="28"/>
      <w:szCs w:val="28"/>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link w:val="FootnoteTextChar"/>
    <w:semiHidden/>
    <w:rsid w:val="00F748D8"/>
    <w:rPr>
      <w:szCs w:val="20"/>
    </w:rPr>
  </w:style>
  <w:style w:type="character" w:styleId="FootnoteReference">
    <w:name w:val="footnote reference"/>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HTMLPreformatted">
    <w:name w:val="HTML Preformatted"/>
    <w:basedOn w:val="Normal"/>
    <w:link w:val="HTMLPreformattedChar"/>
    <w:uiPriority w:val="99"/>
    <w:unhideWhenUsed/>
    <w:rsid w:val="00F963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Cs w:val="20"/>
    </w:rPr>
  </w:style>
  <w:style w:type="character" w:customStyle="1" w:styleId="HTMLPreformattedChar">
    <w:name w:val="HTML Preformatted Char"/>
    <w:link w:val="HTMLPreformatted"/>
    <w:uiPriority w:val="99"/>
    <w:rsid w:val="00F963B7"/>
    <w:rPr>
      <w:rFonts w:ascii="Courier New" w:hAnsi="Courier New" w:cs="Courier New"/>
      <w:color w:val="000000"/>
    </w:rPr>
  </w:style>
  <w:style w:type="character" w:styleId="Hyperlink">
    <w:name w:val="Hyperlink"/>
    <w:rsid w:val="00FD6DE5"/>
    <w:rPr>
      <w:color w:val="0000FF"/>
      <w:u w:val="single"/>
    </w:rPr>
  </w:style>
  <w:style w:type="character" w:customStyle="1" w:styleId="informationalsmall4">
    <w:name w:val="informationalsmall4"/>
    <w:rsid w:val="0055076A"/>
    <w:rPr>
      <w:rFonts w:ascii="Verdana" w:hAnsi="Verdana" w:hint="default"/>
      <w:sz w:val="14"/>
      <w:szCs w:val="14"/>
    </w:rPr>
  </w:style>
  <w:style w:type="paragraph" w:styleId="BalloonText">
    <w:name w:val="Balloon Text"/>
    <w:basedOn w:val="Normal"/>
    <w:link w:val="BalloonTextChar"/>
    <w:rsid w:val="005B4C0B"/>
    <w:rPr>
      <w:rFonts w:ascii="Segoe UI" w:hAnsi="Segoe UI" w:cs="Segoe UI"/>
      <w:sz w:val="18"/>
      <w:szCs w:val="18"/>
    </w:rPr>
  </w:style>
  <w:style w:type="character" w:customStyle="1" w:styleId="BalloonTextChar">
    <w:name w:val="Balloon Text Char"/>
    <w:link w:val="BalloonText"/>
    <w:rsid w:val="005B4C0B"/>
    <w:rPr>
      <w:rFonts w:ascii="Segoe UI" w:hAnsi="Segoe UI" w:cs="Segoe UI"/>
      <w:sz w:val="18"/>
      <w:szCs w:val="18"/>
    </w:rPr>
  </w:style>
  <w:style w:type="character" w:customStyle="1" w:styleId="Heading2Char">
    <w:name w:val="Heading 2 Char"/>
    <w:link w:val="Heading2"/>
    <w:semiHidden/>
    <w:rsid w:val="00AB1CDE"/>
    <w:rPr>
      <w:rFonts w:ascii="Calibri Light" w:eastAsia="Times New Roman" w:hAnsi="Calibri Light" w:cs="Times New Roman"/>
      <w:b/>
      <w:bCs/>
      <w:i/>
      <w:iCs/>
      <w:sz w:val="28"/>
      <w:szCs w:val="28"/>
    </w:rPr>
  </w:style>
  <w:style w:type="character" w:styleId="CommentReference">
    <w:name w:val="annotation reference"/>
    <w:rsid w:val="003A4BF9"/>
    <w:rPr>
      <w:sz w:val="16"/>
      <w:szCs w:val="16"/>
    </w:rPr>
  </w:style>
  <w:style w:type="paragraph" w:styleId="CommentText">
    <w:name w:val="annotation text"/>
    <w:basedOn w:val="Normal"/>
    <w:link w:val="CommentTextChar"/>
    <w:rsid w:val="003A4BF9"/>
    <w:rPr>
      <w:szCs w:val="20"/>
    </w:rPr>
  </w:style>
  <w:style w:type="character" w:customStyle="1" w:styleId="CommentTextChar">
    <w:name w:val="Comment Text Char"/>
    <w:basedOn w:val="DefaultParagraphFont"/>
    <w:link w:val="CommentText"/>
    <w:rsid w:val="003A4BF9"/>
  </w:style>
  <w:style w:type="paragraph" w:styleId="CommentSubject">
    <w:name w:val="annotation subject"/>
    <w:basedOn w:val="CommentText"/>
    <w:next w:val="CommentText"/>
    <w:link w:val="CommentSubjectChar"/>
    <w:rsid w:val="003A4BF9"/>
    <w:rPr>
      <w:b/>
      <w:bCs/>
    </w:rPr>
  </w:style>
  <w:style w:type="character" w:customStyle="1" w:styleId="CommentSubjectChar">
    <w:name w:val="Comment Subject Char"/>
    <w:link w:val="CommentSubject"/>
    <w:rsid w:val="003A4BF9"/>
    <w:rPr>
      <w:b/>
      <w:bCs/>
    </w:rPr>
  </w:style>
  <w:style w:type="paragraph" w:styleId="Revision">
    <w:name w:val="Revision"/>
    <w:hidden/>
    <w:uiPriority w:val="99"/>
    <w:semiHidden/>
    <w:rsid w:val="003A4BF9"/>
    <w:rPr>
      <w:szCs w:val="24"/>
    </w:rPr>
  </w:style>
  <w:style w:type="paragraph" w:styleId="EndnoteText">
    <w:name w:val="endnote text"/>
    <w:basedOn w:val="Normal"/>
    <w:link w:val="EndnoteTextChar"/>
    <w:rsid w:val="00360AD1"/>
    <w:rPr>
      <w:szCs w:val="20"/>
    </w:rPr>
  </w:style>
  <w:style w:type="character" w:customStyle="1" w:styleId="EndnoteTextChar">
    <w:name w:val="Endnote Text Char"/>
    <w:basedOn w:val="DefaultParagraphFont"/>
    <w:link w:val="EndnoteText"/>
    <w:rsid w:val="00360AD1"/>
  </w:style>
  <w:style w:type="character" w:styleId="EndnoteReference">
    <w:name w:val="endnote reference"/>
    <w:rsid w:val="00360AD1"/>
    <w:rPr>
      <w:vertAlign w:val="superscript"/>
    </w:rPr>
  </w:style>
  <w:style w:type="paragraph" w:styleId="ListParagraph">
    <w:name w:val="List Paragraph"/>
    <w:basedOn w:val="Normal"/>
    <w:uiPriority w:val="34"/>
    <w:qFormat/>
    <w:rsid w:val="00193BE4"/>
    <w:pPr>
      <w:widowControl/>
      <w:autoSpaceDE/>
      <w:autoSpaceDN/>
      <w:adjustRightInd/>
      <w:ind w:left="720"/>
      <w:contextualSpacing/>
    </w:pPr>
    <w:rPr>
      <w:rFonts w:asciiTheme="minorHAnsi" w:eastAsiaTheme="minorHAnsi" w:hAnsiTheme="minorHAnsi" w:cstheme="minorBidi"/>
      <w:sz w:val="22"/>
      <w:szCs w:val="22"/>
    </w:rPr>
  </w:style>
  <w:style w:type="paragraph" w:customStyle="1" w:styleId="FindingsConclusions">
    <w:name w:val="Findings &amp; Conclusions"/>
    <w:basedOn w:val="Normal"/>
    <w:rsid w:val="0003793C"/>
    <w:pPr>
      <w:widowControl/>
      <w:numPr>
        <w:numId w:val="14"/>
      </w:numPr>
      <w:autoSpaceDE/>
      <w:autoSpaceDN/>
      <w:adjustRightInd/>
    </w:pPr>
    <w:rPr>
      <w:sz w:val="24"/>
    </w:rPr>
  </w:style>
  <w:style w:type="character" w:customStyle="1" w:styleId="FootnoteTextChar">
    <w:name w:val="Footnote Text Char"/>
    <w:basedOn w:val="DefaultParagraphFont"/>
    <w:link w:val="FootnoteText"/>
    <w:semiHidden/>
    <w:rsid w:val="0003793C"/>
  </w:style>
  <w:style w:type="table" w:styleId="TableGrid">
    <w:name w:val="Table Grid"/>
    <w:basedOn w:val="TableNormal"/>
    <w:rsid w:val="00FE0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54E"/>
    <w:pPr>
      <w:widowControl w:val="0"/>
      <w:autoSpaceDE w:val="0"/>
      <w:autoSpaceDN w:val="0"/>
      <w:adjustRightInd w:val="0"/>
    </w:pPr>
    <w:rPr>
      <w:szCs w:val="24"/>
    </w:rPr>
  </w:style>
  <w:style w:type="paragraph" w:styleId="Heading2">
    <w:name w:val="heading 2"/>
    <w:basedOn w:val="Normal"/>
    <w:next w:val="Normal"/>
    <w:link w:val="Heading2Char"/>
    <w:semiHidden/>
    <w:unhideWhenUsed/>
    <w:qFormat/>
    <w:rsid w:val="00AB1CDE"/>
    <w:pPr>
      <w:keepNext/>
      <w:spacing w:before="240" w:after="60"/>
      <w:outlineLvl w:val="1"/>
    </w:pPr>
    <w:rPr>
      <w:rFonts w:ascii="Calibri Light" w:hAnsi="Calibri Light"/>
      <w:b/>
      <w:bCs/>
      <w:i/>
      <w:iCs/>
      <w:sz w:val="28"/>
      <w:szCs w:val="28"/>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link w:val="FootnoteTextChar"/>
    <w:semiHidden/>
    <w:rsid w:val="00F748D8"/>
    <w:rPr>
      <w:szCs w:val="20"/>
    </w:rPr>
  </w:style>
  <w:style w:type="character" w:styleId="FootnoteReference">
    <w:name w:val="footnote reference"/>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HTMLPreformatted">
    <w:name w:val="HTML Preformatted"/>
    <w:basedOn w:val="Normal"/>
    <w:link w:val="HTMLPreformattedChar"/>
    <w:uiPriority w:val="99"/>
    <w:unhideWhenUsed/>
    <w:rsid w:val="00F963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Cs w:val="20"/>
    </w:rPr>
  </w:style>
  <w:style w:type="character" w:customStyle="1" w:styleId="HTMLPreformattedChar">
    <w:name w:val="HTML Preformatted Char"/>
    <w:link w:val="HTMLPreformatted"/>
    <w:uiPriority w:val="99"/>
    <w:rsid w:val="00F963B7"/>
    <w:rPr>
      <w:rFonts w:ascii="Courier New" w:hAnsi="Courier New" w:cs="Courier New"/>
      <w:color w:val="000000"/>
    </w:rPr>
  </w:style>
  <w:style w:type="character" w:styleId="Hyperlink">
    <w:name w:val="Hyperlink"/>
    <w:rsid w:val="00FD6DE5"/>
    <w:rPr>
      <w:color w:val="0000FF"/>
      <w:u w:val="single"/>
    </w:rPr>
  </w:style>
  <w:style w:type="character" w:customStyle="1" w:styleId="informationalsmall4">
    <w:name w:val="informationalsmall4"/>
    <w:rsid w:val="0055076A"/>
    <w:rPr>
      <w:rFonts w:ascii="Verdana" w:hAnsi="Verdana" w:hint="default"/>
      <w:sz w:val="14"/>
      <w:szCs w:val="14"/>
    </w:rPr>
  </w:style>
  <w:style w:type="paragraph" w:styleId="BalloonText">
    <w:name w:val="Balloon Text"/>
    <w:basedOn w:val="Normal"/>
    <w:link w:val="BalloonTextChar"/>
    <w:rsid w:val="005B4C0B"/>
    <w:rPr>
      <w:rFonts w:ascii="Segoe UI" w:hAnsi="Segoe UI" w:cs="Segoe UI"/>
      <w:sz w:val="18"/>
      <w:szCs w:val="18"/>
    </w:rPr>
  </w:style>
  <w:style w:type="character" w:customStyle="1" w:styleId="BalloonTextChar">
    <w:name w:val="Balloon Text Char"/>
    <w:link w:val="BalloonText"/>
    <w:rsid w:val="005B4C0B"/>
    <w:rPr>
      <w:rFonts w:ascii="Segoe UI" w:hAnsi="Segoe UI" w:cs="Segoe UI"/>
      <w:sz w:val="18"/>
      <w:szCs w:val="18"/>
    </w:rPr>
  </w:style>
  <w:style w:type="character" w:customStyle="1" w:styleId="Heading2Char">
    <w:name w:val="Heading 2 Char"/>
    <w:link w:val="Heading2"/>
    <w:semiHidden/>
    <w:rsid w:val="00AB1CDE"/>
    <w:rPr>
      <w:rFonts w:ascii="Calibri Light" w:eastAsia="Times New Roman" w:hAnsi="Calibri Light" w:cs="Times New Roman"/>
      <w:b/>
      <w:bCs/>
      <w:i/>
      <w:iCs/>
      <w:sz w:val="28"/>
      <w:szCs w:val="28"/>
    </w:rPr>
  </w:style>
  <w:style w:type="character" w:styleId="CommentReference">
    <w:name w:val="annotation reference"/>
    <w:rsid w:val="003A4BF9"/>
    <w:rPr>
      <w:sz w:val="16"/>
      <w:szCs w:val="16"/>
    </w:rPr>
  </w:style>
  <w:style w:type="paragraph" w:styleId="CommentText">
    <w:name w:val="annotation text"/>
    <w:basedOn w:val="Normal"/>
    <w:link w:val="CommentTextChar"/>
    <w:rsid w:val="003A4BF9"/>
    <w:rPr>
      <w:szCs w:val="20"/>
    </w:rPr>
  </w:style>
  <w:style w:type="character" w:customStyle="1" w:styleId="CommentTextChar">
    <w:name w:val="Comment Text Char"/>
    <w:basedOn w:val="DefaultParagraphFont"/>
    <w:link w:val="CommentText"/>
    <w:rsid w:val="003A4BF9"/>
  </w:style>
  <w:style w:type="paragraph" w:styleId="CommentSubject">
    <w:name w:val="annotation subject"/>
    <w:basedOn w:val="CommentText"/>
    <w:next w:val="CommentText"/>
    <w:link w:val="CommentSubjectChar"/>
    <w:rsid w:val="003A4BF9"/>
    <w:rPr>
      <w:b/>
      <w:bCs/>
    </w:rPr>
  </w:style>
  <w:style w:type="character" w:customStyle="1" w:styleId="CommentSubjectChar">
    <w:name w:val="Comment Subject Char"/>
    <w:link w:val="CommentSubject"/>
    <w:rsid w:val="003A4BF9"/>
    <w:rPr>
      <w:b/>
      <w:bCs/>
    </w:rPr>
  </w:style>
  <w:style w:type="paragraph" w:styleId="Revision">
    <w:name w:val="Revision"/>
    <w:hidden/>
    <w:uiPriority w:val="99"/>
    <w:semiHidden/>
    <w:rsid w:val="003A4BF9"/>
    <w:rPr>
      <w:szCs w:val="24"/>
    </w:rPr>
  </w:style>
  <w:style w:type="paragraph" w:styleId="EndnoteText">
    <w:name w:val="endnote text"/>
    <w:basedOn w:val="Normal"/>
    <w:link w:val="EndnoteTextChar"/>
    <w:rsid w:val="00360AD1"/>
    <w:rPr>
      <w:szCs w:val="20"/>
    </w:rPr>
  </w:style>
  <w:style w:type="character" w:customStyle="1" w:styleId="EndnoteTextChar">
    <w:name w:val="Endnote Text Char"/>
    <w:basedOn w:val="DefaultParagraphFont"/>
    <w:link w:val="EndnoteText"/>
    <w:rsid w:val="00360AD1"/>
  </w:style>
  <w:style w:type="character" w:styleId="EndnoteReference">
    <w:name w:val="endnote reference"/>
    <w:rsid w:val="00360AD1"/>
    <w:rPr>
      <w:vertAlign w:val="superscript"/>
    </w:rPr>
  </w:style>
  <w:style w:type="paragraph" w:styleId="ListParagraph">
    <w:name w:val="List Paragraph"/>
    <w:basedOn w:val="Normal"/>
    <w:uiPriority w:val="34"/>
    <w:qFormat/>
    <w:rsid w:val="00193BE4"/>
    <w:pPr>
      <w:widowControl/>
      <w:autoSpaceDE/>
      <w:autoSpaceDN/>
      <w:adjustRightInd/>
      <w:ind w:left="720"/>
      <w:contextualSpacing/>
    </w:pPr>
    <w:rPr>
      <w:rFonts w:asciiTheme="minorHAnsi" w:eastAsiaTheme="minorHAnsi" w:hAnsiTheme="minorHAnsi" w:cstheme="minorBidi"/>
      <w:sz w:val="22"/>
      <w:szCs w:val="22"/>
    </w:rPr>
  </w:style>
  <w:style w:type="paragraph" w:customStyle="1" w:styleId="FindingsConclusions">
    <w:name w:val="Findings &amp; Conclusions"/>
    <w:basedOn w:val="Normal"/>
    <w:rsid w:val="0003793C"/>
    <w:pPr>
      <w:widowControl/>
      <w:numPr>
        <w:numId w:val="14"/>
      </w:numPr>
      <w:autoSpaceDE/>
      <w:autoSpaceDN/>
      <w:adjustRightInd/>
    </w:pPr>
    <w:rPr>
      <w:sz w:val="24"/>
    </w:rPr>
  </w:style>
  <w:style w:type="character" w:customStyle="1" w:styleId="FootnoteTextChar">
    <w:name w:val="Footnote Text Char"/>
    <w:basedOn w:val="DefaultParagraphFont"/>
    <w:link w:val="FootnoteText"/>
    <w:semiHidden/>
    <w:rsid w:val="0003793C"/>
  </w:style>
  <w:style w:type="table" w:styleId="TableGrid">
    <w:name w:val="Table Grid"/>
    <w:basedOn w:val="TableNormal"/>
    <w:rsid w:val="00FE0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70815">
      <w:bodyDiv w:val="1"/>
      <w:marLeft w:val="0"/>
      <w:marRight w:val="0"/>
      <w:marTop w:val="0"/>
      <w:marBottom w:val="0"/>
      <w:divBdr>
        <w:top w:val="none" w:sz="0" w:space="0" w:color="auto"/>
        <w:left w:val="none" w:sz="0" w:space="0" w:color="auto"/>
        <w:bottom w:val="none" w:sz="0" w:space="0" w:color="auto"/>
        <w:right w:val="none" w:sz="0" w:space="0" w:color="auto"/>
      </w:divBdr>
    </w:div>
    <w:div w:id="399444380">
      <w:bodyDiv w:val="1"/>
      <w:marLeft w:val="0"/>
      <w:marRight w:val="0"/>
      <w:marTop w:val="0"/>
      <w:marBottom w:val="0"/>
      <w:divBdr>
        <w:top w:val="none" w:sz="0" w:space="0" w:color="auto"/>
        <w:left w:val="none" w:sz="0" w:space="0" w:color="auto"/>
        <w:bottom w:val="none" w:sz="0" w:space="0" w:color="auto"/>
        <w:right w:val="none" w:sz="0" w:space="0" w:color="auto"/>
      </w:divBdr>
    </w:div>
    <w:div w:id="483618821">
      <w:bodyDiv w:val="1"/>
      <w:marLeft w:val="0"/>
      <w:marRight w:val="0"/>
      <w:marTop w:val="0"/>
      <w:marBottom w:val="0"/>
      <w:divBdr>
        <w:top w:val="none" w:sz="0" w:space="0" w:color="auto"/>
        <w:left w:val="none" w:sz="0" w:space="0" w:color="auto"/>
        <w:bottom w:val="none" w:sz="0" w:space="0" w:color="auto"/>
        <w:right w:val="none" w:sz="0" w:space="0" w:color="auto"/>
      </w:divBdr>
      <w:divsChild>
        <w:div w:id="1590506584">
          <w:marLeft w:val="0"/>
          <w:marRight w:val="0"/>
          <w:marTop w:val="0"/>
          <w:marBottom w:val="0"/>
          <w:divBdr>
            <w:top w:val="none" w:sz="0" w:space="0" w:color="auto"/>
            <w:left w:val="none" w:sz="0" w:space="0" w:color="auto"/>
            <w:bottom w:val="none" w:sz="0" w:space="0" w:color="auto"/>
            <w:right w:val="none" w:sz="0" w:space="0" w:color="auto"/>
          </w:divBdr>
          <w:divsChild>
            <w:div w:id="8076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433">
      <w:bodyDiv w:val="1"/>
      <w:marLeft w:val="0"/>
      <w:marRight w:val="0"/>
      <w:marTop w:val="0"/>
      <w:marBottom w:val="0"/>
      <w:divBdr>
        <w:top w:val="none" w:sz="0" w:space="0" w:color="auto"/>
        <w:left w:val="none" w:sz="0" w:space="0" w:color="auto"/>
        <w:bottom w:val="none" w:sz="0" w:space="0" w:color="auto"/>
        <w:right w:val="none" w:sz="0" w:space="0" w:color="auto"/>
      </w:divBdr>
      <w:divsChild>
        <w:div w:id="1230069314">
          <w:marLeft w:val="0"/>
          <w:marRight w:val="0"/>
          <w:marTop w:val="0"/>
          <w:marBottom w:val="0"/>
          <w:divBdr>
            <w:top w:val="none" w:sz="0" w:space="0" w:color="auto"/>
            <w:left w:val="none" w:sz="0" w:space="0" w:color="auto"/>
            <w:bottom w:val="none" w:sz="0" w:space="0" w:color="auto"/>
            <w:right w:val="none" w:sz="0" w:space="0" w:color="auto"/>
          </w:divBdr>
          <w:divsChild>
            <w:div w:id="832914822">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696154345">
      <w:bodyDiv w:val="1"/>
      <w:marLeft w:val="0"/>
      <w:marRight w:val="0"/>
      <w:marTop w:val="0"/>
      <w:marBottom w:val="0"/>
      <w:divBdr>
        <w:top w:val="none" w:sz="0" w:space="0" w:color="auto"/>
        <w:left w:val="none" w:sz="0" w:space="0" w:color="auto"/>
        <w:bottom w:val="none" w:sz="0" w:space="0" w:color="auto"/>
        <w:right w:val="none" w:sz="0" w:space="0" w:color="auto"/>
      </w:divBdr>
    </w:div>
    <w:div w:id="1045789361">
      <w:bodyDiv w:val="1"/>
      <w:marLeft w:val="30"/>
      <w:marRight w:val="30"/>
      <w:marTop w:val="30"/>
      <w:marBottom w:val="30"/>
      <w:divBdr>
        <w:top w:val="none" w:sz="0" w:space="0" w:color="auto"/>
        <w:left w:val="none" w:sz="0" w:space="0" w:color="auto"/>
        <w:bottom w:val="none" w:sz="0" w:space="0" w:color="auto"/>
        <w:right w:val="none" w:sz="0" w:space="0" w:color="auto"/>
      </w:divBdr>
      <w:divsChild>
        <w:div w:id="1747068909">
          <w:marLeft w:val="0"/>
          <w:marRight w:val="0"/>
          <w:marTop w:val="0"/>
          <w:marBottom w:val="0"/>
          <w:divBdr>
            <w:top w:val="none" w:sz="0" w:space="0" w:color="auto"/>
            <w:left w:val="none" w:sz="0" w:space="0" w:color="auto"/>
            <w:bottom w:val="none" w:sz="0" w:space="0" w:color="auto"/>
            <w:right w:val="none" w:sz="0" w:space="0" w:color="auto"/>
          </w:divBdr>
          <w:divsChild>
            <w:div w:id="976880820">
              <w:marLeft w:val="45"/>
              <w:marRight w:val="45"/>
              <w:marTop w:val="45"/>
              <w:marBottom w:val="45"/>
              <w:divBdr>
                <w:top w:val="none" w:sz="0" w:space="0" w:color="auto"/>
                <w:left w:val="none" w:sz="0" w:space="0" w:color="auto"/>
                <w:bottom w:val="none" w:sz="0" w:space="0" w:color="auto"/>
                <w:right w:val="none" w:sz="0" w:space="0" w:color="auto"/>
              </w:divBdr>
              <w:divsChild>
                <w:div w:id="1589079289">
                  <w:marLeft w:val="0"/>
                  <w:marRight w:val="0"/>
                  <w:marTop w:val="0"/>
                  <w:marBottom w:val="0"/>
                  <w:divBdr>
                    <w:top w:val="none" w:sz="0" w:space="0" w:color="auto"/>
                    <w:left w:val="none" w:sz="0" w:space="0" w:color="auto"/>
                    <w:bottom w:val="none" w:sz="0" w:space="0" w:color="auto"/>
                    <w:right w:val="none" w:sz="0" w:space="0" w:color="auto"/>
                  </w:divBdr>
                  <w:divsChild>
                    <w:div w:id="794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jbeattie@utc.wa.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ustomXml" Target="../customXml/item6.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3088D043ADB6D40B38EC7A4D2FE1737" ma:contentTypeVersion="119" ma:contentTypeDescription="" ma:contentTypeScope="" ma:versionID="2779f7843b1dfbfc9a4a36828712b8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Stipulation</DocumentSetType>
    <IsConfidential xmlns="dc463f71-b30c-4ab2-9473-d307f9d35888">false</IsConfidential>
    <AgendaOrder xmlns="dc463f71-b30c-4ab2-9473-d307f9d35888">false</AgendaOrder>
    <CaseType xmlns="dc463f71-b30c-4ab2-9473-d307f9d35888">Staff Investigation</CaseType>
    <IndustryCode xmlns="dc463f71-b30c-4ab2-9473-d307f9d35888">015</IndustryCode>
    <CaseStatus xmlns="dc463f71-b30c-4ab2-9473-d307f9d35888">Closed</CaseStatus>
    <OpenedDate xmlns="dc463f71-b30c-4ab2-9473-d307f9d35888">2015-01-22T08:00:00+00:00</OpenedDate>
    <Date1 xmlns="dc463f71-b30c-4ab2-9473-d307f9d35888">2016-12-15T23:21:01+00:00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150120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2D73291-461F-46ED-B669-47DC92064F26}"/>
</file>

<file path=customXml/itemProps2.xml><?xml version="1.0" encoding="utf-8"?>
<ds:datastoreItem xmlns:ds="http://schemas.openxmlformats.org/officeDocument/2006/customXml" ds:itemID="{E6E0D5C2-A8FA-4A83-B898-AA5D6BB93E63}">
  <ds:schemaRefs>
    <ds:schemaRef ds:uri="http://schemas.microsoft.com/sharepoint/v3/contenttype/forms"/>
  </ds:schemaRefs>
</ds:datastoreItem>
</file>

<file path=customXml/itemProps3.xml><?xml version="1.0" encoding="utf-8"?>
<ds:datastoreItem xmlns:ds="http://schemas.openxmlformats.org/officeDocument/2006/customXml" ds:itemID="{CC8783A8-31CF-47AC-B7FD-58CFC4720892}">
  <ds:schemaRefs>
    <ds:schemaRef ds:uri="http://schemas.microsoft.com/office/2006/metadata/longProperties"/>
  </ds:schemaRefs>
</ds:datastoreItem>
</file>

<file path=customXml/itemProps4.xml><?xml version="1.0" encoding="utf-8"?>
<ds:datastoreItem xmlns:ds="http://schemas.openxmlformats.org/officeDocument/2006/customXml" ds:itemID="{EA12DA4A-7B73-4A57-BE14-55DE555B66E0}">
  <ds:schemaRefs>
    <ds:schemaRef ds:uri="http://schemas.microsoft.com/office/2006/metadata/properties"/>
    <ds:schemaRef ds:uri="http://schemas.microsoft.com/office/infopath/2007/PartnerControls"/>
    <ds:schemaRef ds:uri="dde7b3f8-6eac-457b-bc2a-336d890ae149"/>
  </ds:schemaRefs>
</ds:datastoreItem>
</file>

<file path=customXml/itemProps5.xml><?xml version="1.0" encoding="utf-8"?>
<ds:datastoreItem xmlns:ds="http://schemas.openxmlformats.org/officeDocument/2006/customXml" ds:itemID="{935C500E-991E-48F9-9BD1-7EA8AA50B9DD}">
  <ds:schemaRefs>
    <ds:schemaRef ds:uri="http://schemas.openxmlformats.org/officeDocument/2006/bibliography"/>
  </ds:schemaRefs>
</ds:datastoreItem>
</file>

<file path=customXml/itemProps6.xml><?xml version="1.0" encoding="utf-8"?>
<ds:datastoreItem xmlns:ds="http://schemas.openxmlformats.org/officeDocument/2006/customXml" ds:itemID="{7A1BBB5C-B0A9-45DB-9857-0AC5F5660D2E}"/>
</file>

<file path=docProps/app.xml><?xml version="1.0" encoding="utf-8"?>
<Properties xmlns="http://schemas.openxmlformats.org/officeDocument/2006/extended-properties" xmlns:vt="http://schemas.openxmlformats.org/officeDocument/2006/docPropsVTypes">
  <Pages>3</Pages>
  <Words>2366</Words>
  <Characters>13121</Characters>
  <Application>Microsoft Office Word</Application>
  <DocSecurity>0</DocSecurity>
  <Lines>298</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0x0101006E56B4D1795A2E4DB2F0B01679ED314A00A3088D043ADB6D40B38EC7A4D2FE1737</vt:lpwstr>
  </property>
  <property fmtid="{D5CDD505-2E9C-101B-9397-08002B2CF9AE}" pid="3" name="_docset_NoMedatataSyncRequired">
    <vt:lpwstr>False</vt:lpwstr>
  </property>
</Properties>
</file>