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10152"/>
      </w:tblGrid>
      <w:tr w:rsidR="002416A0" w14:paraId="08CFAE3F" w14:textId="77777777" w:rsidTr="00DF1117">
        <w:trPr>
          <w:trHeight w:val="1440"/>
          <w:jc w:val="center"/>
        </w:trPr>
        <w:tc>
          <w:tcPr>
            <w:tcW w:w="5000" w:type="pct"/>
            <w:tcBorders>
              <w:top w:val="nil"/>
              <w:left w:val="nil"/>
              <w:bottom w:val="single" w:sz="4" w:space="0" w:color="4F81BD" w:themeColor="accent1"/>
              <w:right w:val="nil"/>
            </w:tcBorders>
            <w:vAlign w:val="center"/>
          </w:tcPr>
          <w:p w14:paraId="08CFAE39" w14:textId="77777777" w:rsidR="002416A0" w:rsidRDefault="002416A0" w:rsidP="00DF1117">
            <w:pPr>
              <w:pStyle w:val="NoSpacing"/>
              <w:spacing w:line="276" w:lineRule="auto"/>
              <w:jc w:val="center"/>
              <w:rPr>
                <w:b/>
                <w:szCs w:val="24"/>
              </w:rPr>
            </w:pPr>
            <w:bookmarkStart w:id="0" w:name="_GoBack"/>
            <w:bookmarkEnd w:id="0"/>
            <w:r>
              <w:rPr>
                <w:b/>
                <w:szCs w:val="24"/>
              </w:rPr>
              <w:br w:type="page"/>
            </w:r>
          </w:p>
          <w:p w14:paraId="08CFAE3A" w14:textId="77777777" w:rsidR="002416A0" w:rsidRDefault="002416A0" w:rsidP="00DF1117">
            <w:pPr>
              <w:pStyle w:val="NoSpacing"/>
              <w:spacing w:line="276" w:lineRule="auto"/>
              <w:jc w:val="center"/>
              <w:rPr>
                <w:b/>
                <w:szCs w:val="24"/>
              </w:rPr>
            </w:pPr>
          </w:p>
          <w:p w14:paraId="08CFAE3B" w14:textId="77777777" w:rsidR="002416A0" w:rsidRDefault="002416A0" w:rsidP="00DF1117">
            <w:pPr>
              <w:pStyle w:val="NoSpacing"/>
              <w:spacing w:line="276" w:lineRule="auto"/>
              <w:jc w:val="center"/>
              <w:rPr>
                <w:b/>
                <w:szCs w:val="24"/>
              </w:rPr>
            </w:pPr>
          </w:p>
          <w:p w14:paraId="08CFAE3C" w14:textId="77777777" w:rsidR="002416A0" w:rsidRDefault="002416A0" w:rsidP="00DF1117">
            <w:pPr>
              <w:pStyle w:val="NoSpacing"/>
              <w:spacing w:line="276" w:lineRule="auto"/>
              <w:jc w:val="center"/>
              <w:rPr>
                <w:b/>
                <w:szCs w:val="24"/>
              </w:rPr>
            </w:pPr>
          </w:p>
          <w:p w14:paraId="08CFAE3D" w14:textId="77777777" w:rsidR="002416A0" w:rsidRDefault="002416A0" w:rsidP="00DF1117">
            <w:pPr>
              <w:pStyle w:val="NoSpacing"/>
              <w:spacing w:line="276" w:lineRule="auto"/>
              <w:jc w:val="center"/>
              <w:rPr>
                <w:rFonts w:ascii="Times New Roman" w:eastAsiaTheme="majorEastAsia" w:hAnsi="Times New Roman" w:cs="Times New Roman"/>
                <w:sz w:val="80"/>
                <w:szCs w:val="80"/>
              </w:rPr>
            </w:pPr>
            <w:r>
              <w:rPr>
                <w:b/>
                <w:sz w:val="28"/>
                <w:szCs w:val="28"/>
              </w:rPr>
              <w:br w:type="page"/>
            </w:r>
          </w:p>
          <w:p w14:paraId="08CFAE3E" w14:textId="77777777" w:rsidR="002416A0" w:rsidRDefault="002416A0" w:rsidP="00194391">
            <w:pPr>
              <w:pStyle w:val="NoSpacing"/>
              <w:spacing w:line="276" w:lineRule="auto"/>
              <w:jc w:val="center"/>
              <w:rPr>
                <w:rFonts w:ascii="Times New Roman" w:eastAsiaTheme="majorEastAsia" w:hAnsi="Times New Roman" w:cs="Times New Roman"/>
                <w:sz w:val="80"/>
                <w:szCs w:val="80"/>
              </w:rPr>
            </w:pPr>
            <w:r>
              <w:rPr>
                <w:rFonts w:ascii="Times New Roman" w:eastAsiaTheme="majorEastAsia" w:hAnsi="Times New Roman" w:cs="Times New Roman"/>
                <w:sz w:val="80"/>
                <w:szCs w:val="80"/>
              </w:rPr>
              <w:t xml:space="preserve">Appendix </w:t>
            </w:r>
            <w:r w:rsidR="00194391">
              <w:rPr>
                <w:rFonts w:ascii="Times New Roman" w:eastAsiaTheme="majorEastAsia" w:hAnsi="Times New Roman" w:cs="Times New Roman"/>
                <w:sz w:val="80"/>
                <w:szCs w:val="80"/>
              </w:rPr>
              <w:t>1</w:t>
            </w:r>
          </w:p>
        </w:tc>
      </w:tr>
      <w:tr w:rsidR="002416A0" w14:paraId="08CFAE45" w14:textId="77777777" w:rsidTr="00DF1117">
        <w:trPr>
          <w:trHeight w:val="800"/>
          <w:jc w:val="center"/>
        </w:trPr>
        <w:tc>
          <w:tcPr>
            <w:tcW w:w="5000" w:type="pct"/>
            <w:tcBorders>
              <w:top w:val="single" w:sz="4" w:space="0" w:color="4F81BD" w:themeColor="accent1"/>
              <w:left w:val="nil"/>
              <w:bottom w:val="nil"/>
              <w:right w:val="nil"/>
            </w:tcBorders>
            <w:vAlign w:val="center"/>
          </w:tcPr>
          <w:p w14:paraId="08CFAE40" w14:textId="77777777" w:rsidR="002416A0" w:rsidRDefault="002416A0" w:rsidP="00DF1117">
            <w:pPr>
              <w:pStyle w:val="NoSpacing"/>
              <w:spacing w:line="276" w:lineRule="auto"/>
              <w:jc w:val="center"/>
              <w:rPr>
                <w:rFonts w:ascii="Times New Roman" w:eastAsiaTheme="majorEastAsia" w:hAnsi="Times New Roman" w:cs="Times New Roman"/>
                <w:sz w:val="44"/>
                <w:szCs w:val="44"/>
              </w:rPr>
            </w:pPr>
          </w:p>
          <w:p w14:paraId="08CFAE41" w14:textId="77777777" w:rsidR="002416A0" w:rsidRDefault="002416A0" w:rsidP="00DF1117">
            <w:pPr>
              <w:pStyle w:val="NoSpacing"/>
              <w:spacing w:line="276" w:lineRule="auto"/>
              <w:jc w:val="center"/>
              <w:rPr>
                <w:rFonts w:ascii="Times New Roman" w:eastAsiaTheme="majorEastAsia" w:hAnsi="Times New Roman" w:cs="Times New Roman"/>
                <w:sz w:val="44"/>
                <w:szCs w:val="44"/>
              </w:rPr>
            </w:pPr>
            <w:r>
              <w:rPr>
                <w:rFonts w:ascii="Times New Roman" w:eastAsiaTheme="majorEastAsia" w:hAnsi="Times New Roman" w:cs="Times New Roman"/>
                <w:sz w:val="44"/>
                <w:szCs w:val="44"/>
              </w:rPr>
              <w:t>201</w:t>
            </w:r>
            <w:r w:rsidR="009C201D">
              <w:rPr>
                <w:rFonts w:ascii="Times New Roman" w:eastAsiaTheme="majorEastAsia" w:hAnsi="Times New Roman" w:cs="Times New Roman"/>
                <w:sz w:val="44"/>
                <w:szCs w:val="44"/>
              </w:rPr>
              <w:t>4</w:t>
            </w:r>
            <w:r>
              <w:rPr>
                <w:rFonts w:ascii="Times New Roman" w:eastAsiaTheme="majorEastAsia" w:hAnsi="Times New Roman" w:cs="Times New Roman"/>
                <w:sz w:val="44"/>
                <w:szCs w:val="44"/>
              </w:rPr>
              <w:t>-201</w:t>
            </w:r>
            <w:r w:rsidR="009C201D">
              <w:rPr>
                <w:rFonts w:ascii="Times New Roman" w:eastAsiaTheme="majorEastAsia" w:hAnsi="Times New Roman" w:cs="Times New Roman"/>
                <w:sz w:val="44"/>
                <w:szCs w:val="44"/>
              </w:rPr>
              <w:t>5</w:t>
            </w:r>
          </w:p>
          <w:p w14:paraId="08CFAE42" w14:textId="77777777" w:rsidR="002416A0" w:rsidRDefault="002416A0" w:rsidP="00DF1117">
            <w:pPr>
              <w:pStyle w:val="NoSpacing"/>
              <w:spacing w:line="276" w:lineRule="auto"/>
              <w:jc w:val="center"/>
              <w:rPr>
                <w:rFonts w:ascii="Times New Roman" w:eastAsiaTheme="majorEastAsia" w:hAnsi="Times New Roman" w:cs="Times New Roman"/>
                <w:sz w:val="44"/>
                <w:szCs w:val="44"/>
              </w:rPr>
            </w:pPr>
            <w:r>
              <w:rPr>
                <w:rFonts w:ascii="Times New Roman" w:eastAsiaTheme="majorEastAsia" w:hAnsi="Times New Roman" w:cs="Times New Roman"/>
                <w:sz w:val="44"/>
                <w:szCs w:val="44"/>
              </w:rPr>
              <w:t>Plan Condition Requirements and Compliance</w:t>
            </w:r>
          </w:p>
          <w:p w14:paraId="08CFAE43" w14:textId="77777777" w:rsidR="002416A0" w:rsidRDefault="002416A0" w:rsidP="00DF1117">
            <w:pPr>
              <w:pStyle w:val="NoSpacing"/>
              <w:spacing w:line="276" w:lineRule="auto"/>
              <w:jc w:val="center"/>
              <w:rPr>
                <w:rFonts w:ascii="Times New Roman" w:eastAsiaTheme="majorEastAsia" w:hAnsi="Times New Roman" w:cs="Times New Roman"/>
                <w:sz w:val="44"/>
                <w:szCs w:val="44"/>
              </w:rPr>
            </w:pPr>
          </w:p>
          <w:p w14:paraId="08CFAE44" w14:textId="77777777" w:rsidR="002416A0" w:rsidRDefault="002416A0" w:rsidP="00DF1117">
            <w:pPr>
              <w:pStyle w:val="NoSpacing"/>
              <w:spacing w:line="276" w:lineRule="auto"/>
              <w:jc w:val="center"/>
              <w:rPr>
                <w:rFonts w:ascii="Times New Roman" w:eastAsiaTheme="majorEastAsia" w:hAnsi="Times New Roman" w:cs="Times New Roman"/>
                <w:sz w:val="44"/>
                <w:szCs w:val="44"/>
              </w:rPr>
            </w:pPr>
          </w:p>
        </w:tc>
      </w:tr>
      <w:tr w:rsidR="002416A0" w14:paraId="08CFAE4B" w14:textId="77777777" w:rsidTr="00DF1117">
        <w:trPr>
          <w:trHeight w:val="360"/>
          <w:jc w:val="center"/>
        </w:trPr>
        <w:tc>
          <w:tcPr>
            <w:tcW w:w="5000" w:type="pct"/>
            <w:vAlign w:val="center"/>
          </w:tcPr>
          <w:p w14:paraId="08CFAE46" w14:textId="77777777" w:rsidR="002416A0" w:rsidRDefault="002416A0" w:rsidP="00DF1117">
            <w:pPr>
              <w:pStyle w:val="NoSpacing"/>
              <w:spacing w:line="276" w:lineRule="auto"/>
              <w:jc w:val="center"/>
              <w:rPr>
                <w:rFonts w:ascii="Times New Roman" w:hAnsi="Times New Roman" w:cs="Times New Roman"/>
              </w:rPr>
            </w:pPr>
          </w:p>
          <w:p w14:paraId="08CFAE47" w14:textId="77777777" w:rsidR="002416A0" w:rsidRDefault="002416A0" w:rsidP="00DF1117">
            <w:pPr>
              <w:pStyle w:val="NoSpacing"/>
              <w:spacing w:line="276" w:lineRule="auto"/>
              <w:jc w:val="center"/>
              <w:rPr>
                <w:rFonts w:ascii="Times New Roman" w:hAnsi="Times New Roman" w:cs="Times New Roman"/>
              </w:rPr>
            </w:pPr>
          </w:p>
          <w:p w14:paraId="08CFAE48" w14:textId="77777777" w:rsidR="002416A0" w:rsidRDefault="002416A0" w:rsidP="00DF1117">
            <w:pPr>
              <w:pStyle w:val="NoSpacing"/>
              <w:spacing w:line="276" w:lineRule="auto"/>
              <w:jc w:val="center"/>
              <w:rPr>
                <w:rFonts w:ascii="Times New Roman" w:hAnsi="Times New Roman" w:cs="Times New Roman"/>
              </w:rPr>
            </w:pPr>
          </w:p>
          <w:p w14:paraId="08CFAE49" w14:textId="77777777" w:rsidR="002416A0" w:rsidRDefault="002416A0" w:rsidP="00DF1117">
            <w:pPr>
              <w:pStyle w:val="NoSpacing"/>
              <w:spacing w:line="276" w:lineRule="auto"/>
              <w:jc w:val="center"/>
              <w:rPr>
                <w:rFonts w:ascii="Times New Roman" w:hAnsi="Times New Roman" w:cs="Times New Roman"/>
              </w:rPr>
            </w:pPr>
          </w:p>
          <w:p w14:paraId="08CFAE4A" w14:textId="77777777" w:rsidR="002416A0" w:rsidRDefault="002416A0" w:rsidP="00DF1117">
            <w:pPr>
              <w:pStyle w:val="NoSpacing"/>
              <w:spacing w:line="276" w:lineRule="auto"/>
              <w:jc w:val="center"/>
              <w:rPr>
                <w:rFonts w:ascii="Times New Roman" w:hAnsi="Times New Roman" w:cs="Times New Roman"/>
              </w:rPr>
            </w:pPr>
          </w:p>
        </w:tc>
      </w:tr>
      <w:tr w:rsidR="002416A0" w14:paraId="08CFAE4D" w14:textId="77777777" w:rsidTr="00DF1117">
        <w:trPr>
          <w:trHeight w:val="360"/>
          <w:jc w:val="center"/>
        </w:trPr>
        <w:tc>
          <w:tcPr>
            <w:tcW w:w="5000" w:type="pct"/>
            <w:vAlign w:val="center"/>
            <w:hideMark/>
          </w:tcPr>
          <w:p w14:paraId="08CFAE4C" w14:textId="77777777" w:rsidR="002416A0" w:rsidRDefault="002416A0" w:rsidP="00DF1117">
            <w:pPr>
              <w:pStyle w:val="NoSpacing"/>
              <w:spacing w:line="276" w:lineRule="auto"/>
              <w:jc w:val="center"/>
              <w:rPr>
                <w:rFonts w:ascii="Times New Roman" w:hAnsi="Times New Roman" w:cs="Times New Roman"/>
                <w:bCs/>
                <w:sz w:val="24"/>
                <w:szCs w:val="24"/>
              </w:rPr>
            </w:pPr>
          </w:p>
        </w:tc>
      </w:tr>
      <w:tr w:rsidR="002416A0" w14:paraId="08CFAE51" w14:textId="77777777" w:rsidTr="00DF1117">
        <w:trPr>
          <w:trHeight w:val="360"/>
          <w:jc w:val="center"/>
        </w:trPr>
        <w:tc>
          <w:tcPr>
            <w:tcW w:w="5000" w:type="pct"/>
            <w:vAlign w:val="center"/>
            <w:hideMark/>
          </w:tcPr>
          <w:p w14:paraId="08CFAE4E" w14:textId="77777777" w:rsidR="002416A0" w:rsidRDefault="002416A0" w:rsidP="00DF1117">
            <w:pPr>
              <w:pStyle w:val="NoSpacing"/>
              <w:spacing w:line="276" w:lineRule="auto"/>
              <w:jc w:val="center"/>
              <w:rPr>
                <w:rFonts w:ascii="Times New Roman" w:hAnsi="Times New Roman" w:cs="Times New Roman"/>
                <w:bCs/>
                <w:sz w:val="44"/>
                <w:szCs w:val="44"/>
              </w:rPr>
            </w:pPr>
            <w:r>
              <w:rPr>
                <w:rFonts w:ascii="Times New Roman" w:hAnsi="Times New Roman" w:cs="Times New Roman"/>
                <w:bCs/>
                <w:sz w:val="44"/>
                <w:szCs w:val="44"/>
              </w:rPr>
              <w:t>Pacific</w:t>
            </w:r>
            <w:r w:rsidRPr="00CE26FE">
              <w:rPr>
                <w:rFonts w:ascii="Times New Roman" w:hAnsi="Times New Roman" w:cs="Times New Roman"/>
                <w:bCs/>
                <w:sz w:val="44"/>
                <w:szCs w:val="44"/>
              </w:rPr>
              <w:t xml:space="preserve"> Power</w:t>
            </w:r>
          </w:p>
          <w:p w14:paraId="08CFAE4F" w14:textId="77777777" w:rsidR="006E79D4" w:rsidRDefault="006E79D4" w:rsidP="00DF1117">
            <w:pPr>
              <w:pStyle w:val="NoSpacing"/>
              <w:spacing w:line="276" w:lineRule="auto"/>
              <w:jc w:val="center"/>
              <w:rPr>
                <w:rFonts w:ascii="Times New Roman" w:hAnsi="Times New Roman" w:cs="Times New Roman"/>
                <w:bCs/>
                <w:sz w:val="44"/>
                <w:szCs w:val="44"/>
              </w:rPr>
            </w:pPr>
          </w:p>
          <w:p w14:paraId="08CFAE50" w14:textId="77777777" w:rsidR="006E79D4" w:rsidRPr="00CE26FE" w:rsidRDefault="00192433" w:rsidP="00DF1117">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44"/>
                <w:szCs w:val="44"/>
              </w:rPr>
              <w:t>Revised July 27</w:t>
            </w:r>
            <w:r w:rsidR="006E79D4">
              <w:rPr>
                <w:rFonts w:ascii="Times New Roman" w:hAnsi="Times New Roman" w:cs="Times New Roman"/>
                <w:bCs/>
                <w:sz w:val="44"/>
                <w:szCs w:val="44"/>
              </w:rPr>
              <w:t xml:space="preserve">, 2016 </w:t>
            </w:r>
          </w:p>
        </w:tc>
      </w:tr>
    </w:tbl>
    <w:p w14:paraId="08CFAE52" w14:textId="77777777" w:rsidR="002416A0" w:rsidRDefault="002416A0">
      <w:pPr>
        <w:spacing w:after="200" w:line="276" w:lineRule="auto"/>
        <w:jc w:val="left"/>
        <w:rPr>
          <w:b/>
          <w:szCs w:val="24"/>
        </w:rPr>
        <w:sectPr w:rsidR="002416A0" w:rsidSect="002416A0">
          <w:headerReference w:type="even" r:id="rId10"/>
          <w:headerReference w:type="default" r:id="rId11"/>
          <w:footerReference w:type="even" r:id="rId12"/>
          <w:footerReference w:type="default" r:id="rId13"/>
          <w:headerReference w:type="first" r:id="rId14"/>
          <w:footerReference w:type="first" r:id="rId15"/>
          <w:pgSz w:w="12240" w:h="15840" w:code="1"/>
          <w:pgMar w:top="864" w:right="1152" w:bottom="864" w:left="1152" w:header="720" w:footer="720" w:gutter="0"/>
          <w:cols w:space="720"/>
          <w:docGrid w:linePitch="360"/>
        </w:sectPr>
      </w:pPr>
    </w:p>
    <w:p w14:paraId="08CFAE53" w14:textId="77777777" w:rsidR="002416A0" w:rsidRDefault="002416A0">
      <w:pPr>
        <w:spacing w:after="200" w:line="276" w:lineRule="auto"/>
        <w:jc w:val="left"/>
        <w:rPr>
          <w:b/>
          <w:szCs w:val="24"/>
        </w:rPr>
      </w:pPr>
    </w:p>
    <w:p w14:paraId="08CFAE54" w14:textId="77777777" w:rsidR="00EB0F01" w:rsidRDefault="00EB0F01" w:rsidP="00EB0F01">
      <w:pPr>
        <w:jc w:val="center"/>
        <w:rPr>
          <w:b/>
          <w:szCs w:val="24"/>
        </w:rPr>
      </w:pPr>
      <w:r>
        <w:rPr>
          <w:b/>
          <w:szCs w:val="24"/>
        </w:rPr>
        <w:t>201</w:t>
      </w:r>
      <w:r w:rsidR="009C201D">
        <w:rPr>
          <w:b/>
          <w:szCs w:val="24"/>
        </w:rPr>
        <w:t>4</w:t>
      </w:r>
      <w:r>
        <w:rPr>
          <w:b/>
          <w:szCs w:val="24"/>
        </w:rPr>
        <w:t>-201</w:t>
      </w:r>
      <w:r w:rsidR="009C201D">
        <w:rPr>
          <w:b/>
          <w:szCs w:val="24"/>
        </w:rPr>
        <w:t>5</w:t>
      </w:r>
      <w:r>
        <w:rPr>
          <w:b/>
          <w:szCs w:val="24"/>
        </w:rPr>
        <w:t xml:space="preserve"> Plan </w:t>
      </w:r>
      <w:r w:rsidR="009B7BA7">
        <w:rPr>
          <w:b/>
          <w:szCs w:val="24"/>
        </w:rPr>
        <w:t>Condition</w:t>
      </w:r>
      <w:r>
        <w:rPr>
          <w:b/>
          <w:szCs w:val="24"/>
        </w:rPr>
        <w:t xml:space="preserve"> </w:t>
      </w:r>
      <w:r w:rsidR="009B7BA7">
        <w:rPr>
          <w:b/>
          <w:szCs w:val="24"/>
        </w:rPr>
        <w:t xml:space="preserve">Requirements </w:t>
      </w:r>
      <w:r>
        <w:rPr>
          <w:b/>
          <w:szCs w:val="24"/>
        </w:rPr>
        <w:t xml:space="preserve">and </w:t>
      </w:r>
      <w:r w:rsidRPr="00E93BD3">
        <w:rPr>
          <w:b/>
          <w:szCs w:val="24"/>
        </w:rPr>
        <w:t>Compliance</w:t>
      </w:r>
    </w:p>
    <w:p w14:paraId="08CFAE55" w14:textId="77777777" w:rsidR="009B7A76" w:rsidRPr="00E93BD3" w:rsidRDefault="009B7A76" w:rsidP="00EB0F01">
      <w:pPr>
        <w:jc w:val="center"/>
        <w:rPr>
          <w:b/>
          <w:szCs w:val="24"/>
        </w:rPr>
      </w:pPr>
    </w:p>
    <w:tbl>
      <w:tblPr>
        <w:tblStyle w:val="TableGrid"/>
        <w:tblW w:w="4995" w:type="pct"/>
        <w:tblLook w:val="04A0" w:firstRow="1" w:lastRow="0" w:firstColumn="1" w:lastColumn="0" w:noHBand="0" w:noVBand="1"/>
      </w:tblPr>
      <w:tblGrid>
        <w:gridCol w:w="5144"/>
        <w:gridCol w:w="8374"/>
        <w:gridCol w:w="796"/>
      </w:tblGrid>
      <w:tr w:rsidR="0001091C" w:rsidRPr="009B7BA7" w14:paraId="08CFAE58" w14:textId="77777777" w:rsidTr="002416A0">
        <w:trPr>
          <w:trHeight w:val="332"/>
        </w:trPr>
        <w:tc>
          <w:tcPr>
            <w:tcW w:w="4722" w:type="pct"/>
            <w:gridSpan w:val="2"/>
            <w:vAlign w:val="center"/>
          </w:tcPr>
          <w:p w14:paraId="08CFAE56" w14:textId="77777777" w:rsidR="0001091C" w:rsidRPr="009B7BA7" w:rsidRDefault="0001091C" w:rsidP="009C201D">
            <w:pPr>
              <w:jc w:val="left"/>
              <w:rPr>
                <w:rFonts w:cs="Times New Roman"/>
                <w:b/>
                <w:sz w:val="20"/>
                <w:szCs w:val="20"/>
              </w:rPr>
            </w:pPr>
            <w:r w:rsidRPr="009B7BA7">
              <w:rPr>
                <w:rFonts w:cs="Times New Roman"/>
                <w:b/>
                <w:sz w:val="20"/>
                <w:szCs w:val="20"/>
              </w:rPr>
              <w:t>Docket UE-</w:t>
            </w:r>
            <w:r w:rsidR="009C201D">
              <w:rPr>
                <w:rFonts w:cs="Times New Roman"/>
                <w:b/>
                <w:sz w:val="20"/>
                <w:szCs w:val="20"/>
              </w:rPr>
              <w:t xml:space="preserve">132047 </w:t>
            </w:r>
            <w:r w:rsidRPr="009B7BA7">
              <w:rPr>
                <w:rFonts w:cs="Times New Roman"/>
                <w:b/>
                <w:sz w:val="20"/>
                <w:szCs w:val="20"/>
              </w:rPr>
              <w:t>Order 0</w:t>
            </w:r>
            <w:r w:rsidR="00AF0177">
              <w:rPr>
                <w:rFonts w:cs="Times New Roman"/>
                <w:b/>
                <w:sz w:val="20"/>
                <w:szCs w:val="20"/>
              </w:rPr>
              <w:t>1</w:t>
            </w:r>
            <w:r w:rsidRPr="009B7BA7">
              <w:rPr>
                <w:rFonts w:cs="Times New Roman"/>
                <w:b/>
                <w:sz w:val="20"/>
                <w:szCs w:val="20"/>
              </w:rPr>
              <w:t xml:space="preserve"> (2)</w:t>
            </w:r>
          </w:p>
        </w:tc>
        <w:tc>
          <w:tcPr>
            <w:tcW w:w="278" w:type="pct"/>
          </w:tcPr>
          <w:p w14:paraId="08CFAE57" w14:textId="77777777" w:rsidR="0001091C" w:rsidRPr="009B7BA7" w:rsidRDefault="0001091C" w:rsidP="00D218C8">
            <w:pPr>
              <w:rPr>
                <w:rFonts w:cs="Times New Roman"/>
                <w:b/>
                <w:sz w:val="20"/>
                <w:szCs w:val="20"/>
              </w:rPr>
            </w:pPr>
          </w:p>
        </w:tc>
      </w:tr>
      <w:tr w:rsidR="002416A0" w:rsidRPr="009B7BA7" w14:paraId="08CFAE5D" w14:textId="77777777" w:rsidTr="00092384">
        <w:tc>
          <w:tcPr>
            <w:tcW w:w="1797" w:type="pct"/>
          </w:tcPr>
          <w:p w14:paraId="08CFAE59" w14:textId="77777777" w:rsidR="0001091C" w:rsidRPr="009B7BA7" w:rsidRDefault="0001091C" w:rsidP="00D218C8">
            <w:pPr>
              <w:rPr>
                <w:rFonts w:cs="Times New Roman"/>
                <w:sz w:val="20"/>
                <w:szCs w:val="20"/>
              </w:rPr>
            </w:pPr>
            <w:r w:rsidRPr="009B7BA7">
              <w:rPr>
                <w:rFonts w:cs="Times New Roman"/>
                <w:sz w:val="20"/>
                <w:szCs w:val="20"/>
              </w:rPr>
              <w:t>Requires PacifiCorp to use methodologies consistent with those used by the Council.</w:t>
            </w:r>
          </w:p>
        </w:tc>
        <w:tc>
          <w:tcPr>
            <w:tcW w:w="2925" w:type="pct"/>
          </w:tcPr>
          <w:p w14:paraId="08CFAE5A" w14:textId="77777777" w:rsidR="0001091C" w:rsidRDefault="0001091C" w:rsidP="00BE5500">
            <w:pPr>
              <w:rPr>
                <w:rFonts w:cs="Times New Roman"/>
                <w:sz w:val="20"/>
                <w:szCs w:val="20"/>
              </w:rPr>
            </w:pPr>
            <w:r w:rsidRPr="00AF0177">
              <w:rPr>
                <w:rFonts w:cs="Times New Roman"/>
                <w:sz w:val="20"/>
                <w:szCs w:val="20"/>
              </w:rPr>
              <w:t>Appendix 3 of</w:t>
            </w:r>
            <w:r w:rsidRPr="009B7BA7">
              <w:rPr>
                <w:rFonts w:cs="Times New Roman"/>
                <w:sz w:val="20"/>
                <w:szCs w:val="20"/>
              </w:rPr>
              <w:t xml:space="preserve"> </w:t>
            </w:r>
            <w:r w:rsidRPr="009B7BA7">
              <w:rPr>
                <w:rFonts w:eastAsiaTheme="majorEastAsia" w:cs="Times New Roman"/>
                <w:sz w:val="20"/>
                <w:szCs w:val="20"/>
              </w:rPr>
              <w:t>PacifiCorp’s Ten-Year Conservation Potential and Biennial Conservation Target</w:t>
            </w:r>
            <w:r w:rsidRPr="009B7BA7">
              <w:rPr>
                <w:rFonts w:cs="Times New Roman"/>
                <w:sz w:val="20"/>
                <w:szCs w:val="20"/>
              </w:rPr>
              <w:t xml:space="preserve"> report</w:t>
            </w:r>
            <w:r w:rsidR="00B76F77">
              <w:rPr>
                <w:rFonts w:cs="Times New Roman"/>
                <w:sz w:val="20"/>
                <w:szCs w:val="20"/>
              </w:rPr>
              <w:t xml:space="preserve"> </w:t>
            </w:r>
            <w:r w:rsidR="00AA4C7F">
              <w:rPr>
                <w:rFonts w:cs="Times New Roman"/>
                <w:sz w:val="20"/>
                <w:szCs w:val="20"/>
              </w:rPr>
              <w:t xml:space="preserve">filed </w:t>
            </w:r>
            <w:r w:rsidR="00B76F77">
              <w:rPr>
                <w:rFonts w:cs="Times New Roman"/>
                <w:sz w:val="20"/>
                <w:szCs w:val="20"/>
              </w:rPr>
              <w:t xml:space="preserve">in </w:t>
            </w:r>
            <w:r w:rsidR="00AA4C7F">
              <w:rPr>
                <w:rFonts w:cs="Times New Roman"/>
                <w:sz w:val="20"/>
                <w:szCs w:val="20"/>
              </w:rPr>
              <w:t>Docket UE-1</w:t>
            </w:r>
            <w:r w:rsidR="003F0B5B">
              <w:rPr>
                <w:rFonts w:cs="Times New Roman"/>
                <w:sz w:val="20"/>
                <w:szCs w:val="20"/>
              </w:rPr>
              <w:t xml:space="preserve">32047 </w:t>
            </w:r>
            <w:r w:rsidRPr="009B7BA7">
              <w:rPr>
                <w:rFonts w:cs="Times New Roman"/>
                <w:sz w:val="20"/>
                <w:szCs w:val="20"/>
              </w:rPr>
              <w:t xml:space="preserve">contains an outline of the methodology used and provided by the Northwest Power and Conservation Council in the development of the regional power plan along with a description of the Company’s aligning methodology. </w:t>
            </w:r>
            <w:r w:rsidR="003F0B5B">
              <w:rPr>
                <w:rFonts w:cs="Times New Roman"/>
                <w:sz w:val="20"/>
                <w:szCs w:val="20"/>
              </w:rPr>
              <w:t xml:space="preserve"> </w:t>
            </w:r>
            <w:r w:rsidR="00AA4C7F">
              <w:rPr>
                <w:rFonts w:cs="Times New Roman"/>
                <w:sz w:val="20"/>
                <w:szCs w:val="20"/>
              </w:rPr>
              <w:t xml:space="preserve"> </w:t>
            </w:r>
            <w:r w:rsidRPr="009B7BA7">
              <w:rPr>
                <w:rFonts w:cs="Times New Roman"/>
                <w:sz w:val="20"/>
                <w:szCs w:val="20"/>
              </w:rPr>
              <w:t xml:space="preserve">It contains work product </w:t>
            </w:r>
            <w:r w:rsidR="00BE5500">
              <w:rPr>
                <w:rFonts w:cs="Times New Roman"/>
                <w:sz w:val="20"/>
                <w:szCs w:val="20"/>
              </w:rPr>
              <w:t xml:space="preserve">further refined by the </w:t>
            </w:r>
            <w:r w:rsidRPr="009B7BA7">
              <w:rPr>
                <w:rFonts w:cs="Times New Roman"/>
                <w:sz w:val="20"/>
                <w:szCs w:val="20"/>
              </w:rPr>
              <w:t xml:space="preserve">Methodology Sub-Committee of the Washington Collaborative Working group </w:t>
            </w:r>
            <w:r w:rsidR="00BE5500">
              <w:rPr>
                <w:rFonts w:cs="Times New Roman"/>
                <w:sz w:val="20"/>
                <w:szCs w:val="20"/>
              </w:rPr>
              <w:t>(summer 2011) and includes A</w:t>
            </w:r>
            <w:r w:rsidRPr="009B7BA7">
              <w:rPr>
                <w:rFonts w:cs="Times New Roman"/>
                <w:sz w:val="20"/>
                <w:szCs w:val="20"/>
              </w:rPr>
              <w:t>voided Costs and Total Resource Cost determinants. Together these documents demonstrate the consistency of the methodologies used in the development of both resource plans and development of the Company’s ten-year conservation forecast.</w:t>
            </w:r>
          </w:p>
          <w:p w14:paraId="08CFAE5B" w14:textId="77777777" w:rsidR="002416A0" w:rsidRPr="009B7BA7" w:rsidRDefault="002416A0" w:rsidP="00BE5500">
            <w:pPr>
              <w:rPr>
                <w:rFonts w:cs="Times New Roman"/>
                <w:sz w:val="20"/>
                <w:szCs w:val="20"/>
              </w:rPr>
            </w:pPr>
          </w:p>
        </w:tc>
        <w:tc>
          <w:tcPr>
            <w:tcW w:w="278" w:type="pct"/>
          </w:tcPr>
          <w:p w14:paraId="08CFAE5C" w14:textId="77777777" w:rsidR="0001091C" w:rsidRPr="0001091C" w:rsidRDefault="0001091C" w:rsidP="0001091C">
            <w:pPr>
              <w:pStyle w:val="ListParagraph"/>
              <w:numPr>
                <w:ilvl w:val="0"/>
                <w:numId w:val="2"/>
              </w:numPr>
              <w:jc w:val="left"/>
              <w:rPr>
                <w:rFonts w:cs="Times New Roman"/>
                <w:sz w:val="20"/>
                <w:szCs w:val="20"/>
              </w:rPr>
            </w:pPr>
          </w:p>
        </w:tc>
      </w:tr>
      <w:tr w:rsidR="0001091C" w:rsidRPr="009B7BA7" w14:paraId="08CFAE60" w14:textId="77777777" w:rsidTr="002416A0">
        <w:trPr>
          <w:trHeight w:val="377"/>
        </w:trPr>
        <w:tc>
          <w:tcPr>
            <w:tcW w:w="4722" w:type="pct"/>
            <w:gridSpan w:val="2"/>
            <w:vAlign w:val="center"/>
          </w:tcPr>
          <w:p w14:paraId="08CFAE5E" w14:textId="77777777" w:rsidR="0001091C" w:rsidRPr="009B7BA7" w:rsidRDefault="0001091C" w:rsidP="009C201D">
            <w:pPr>
              <w:jc w:val="left"/>
              <w:rPr>
                <w:rFonts w:cs="Times New Roman"/>
                <w:b/>
                <w:sz w:val="20"/>
                <w:szCs w:val="20"/>
              </w:rPr>
            </w:pPr>
            <w:r w:rsidRPr="009B7BA7">
              <w:rPr>
                <w:rFonts w:cs="Times New Roman"/>
                <w:b/>
                <w:sz w:val="20"/>
                <w:szCs w:val="20"/>
              </w:rPr>
              <w:t>Docket UE-</w:t>
            </w:r>
            <w:r w:rsidR="009C201D">
              <w:rPr>
                <w:rFonts w:cs="Times New Roman"/>
                <w:b/>
                <w:sz w:val="20"/>
                <w:szCs w:val="20"/>
              </w:rPr>
              <w:t>132047</w:t>
            </w:r>
            <w:r w:rsidRPr="009B7BA7">
              <w:rPr>
                <w:rFonts w:cs="Times New Roman"/>
                <w:b/>
                <w:sz w:val="20"/>
                <w:szCs w:val="20"/>
              </w:rPr>
              <w:t>Order 0</w:t>
            </w:r>
            <w:r w:rsidR="00AF0177">
              <w:rPr>
                <w:rFonts w:cs="Times New Roman"/>
                <w:b/>
                <w:sz w:val="20"/>
                <w:szCs w:val="20"/>
              </w:rPr>
              <w:t>1</w:t>
            </w:r>
            <w:r w:rsidRPr="009B7BA7">
              <w:rPr>
                <w:rFonts w:cs="Times New Roman"/>
                <w:b/>
                <w:sz w:val="20"/>
                <w:szCs w:val="20"/>
              </w:rPr>
              <w:t xml:space="preserve"> (3) (a) (i)</w:t>
            </w:r>
          </w:p>
        </w:tc>
        <w:tc>
          <w:tcPr>
            <w:tcW w:w="278" w:type="pct"/>
          </w:tcPr>
          <w:p w14:paraId="08CFAE5F" w14:textId="77777777" w:rsidR="0001091C" w:rsidRPr="009B7BA7" w:rsidRDefault="0001091C" w:rsidP="00D218C8">
            <w:pPr>
              <w:rPr>
                <w:rFonts w:cs="Times New Roman"/>
                <w:b/>
                <w:sz w:val="20"/>
                <w:szCs w:val="20"/>
              </w:rPr>
            </w:pPr>
          </w:p>
        </w:tc>
      </w:tr>
      <w:tr w:rsidR="002416A0" w:rsidRPr="009B7BA7" w14:paraId="08CFAE64" w14:textId="77777777" w:rsidTr="00092384">
        <w:tc>
          <w:tcPr>
            <w:tcW w:w="1797" w:type="pct"/>
          </w:tcPr>
          <w:p w14:paraId="08CFAE61" w14:textId="77777777" w:rsidR="0001091C" w:rsidRPr="009B7BA7" w:rsidRDefault="0001091C" w:rsidP="00713E22">
            <w:pPr>
              <w:rPr>
                <w:rFonts w:cs="Times New Roman"/>
                <w:sz w:val="20"/>
                <w:szCs w:val="20"/>
              </w:rPr>
            </w:pPr>
            <w:r w:rsidRPr="009B7BA7">
              <w:rPr>
                <w:rFonts w:cs="Times New Roman"/>
                <w:sz w:val="20"/>
                <w:szCs w:val="20"/>
              </w:rPr>
              <w:t xml:space="preserve">The Company will consult with the DSM Advisory Group on </w:t>
            </w:r>
            <w:r w:rsidR="00713E22">
              <w:rPr>
                <w:rFonts w:cs="Times New Roman"/>
                <w:sz w:val="20"/>
                <w:szCs w:val="20"/>
              </w:rPr>
              <w:t xml:space="preserve">modifications of existing or development of new evaluation, measurement, and verification (EM&amp;V) conservation protocols based on PacifiCorp’s current evaluation, measurement and verification approach.  </w:t>
            </w:r>
          </w:p>
        </w:tc>
        <w:tc>
          <w:tcPr>
            <w:tcW w:w="2925" w:type="pct"/>
          </w:tcPr>
          <w:p w14:paraId="08CFAE62" w14:textId="77777777" w:rsidR="0001091C" w:rsidRPr="009B7BA7" w:rsidRDefault="0001091C" w:rsidP="00FD00DD">
            <w:pPr>
              <w:rPr>
                <w:rFonts w:cs="Times New Roman"/>
                <w:sz w:val="20"/>
                <w:szCs w:val="20"/>
              </w:rPr>
            </w:pPr>
            <w:r w:rsidRPr="009B7BA7">
              <w:rPr>
                <w:rFonts w:cs="Times New Roman"/>
                <w:sz w:val="20"/>
                <w:szCs w:val="20"/>
              </w:rPr>
              <w:t xml:space="preserve">The development of a written EM&amp;V framework in collaboration with the DSM Advisory Group is described in the “Utility Evaluation, Measurement and Verification Activities” section of the </w:t>
            </w:r>
            <w:r w:rsidRPr="009B7BA7">
              <w:rPr>
                <w:rFonts w:eastAsiaTheme="majorEastAsia" w:cs="Times New Roman"/>
                <w:sz w:val="20"/>
                <w:szCs w:val="20"/>
              </w:rPr>
              <w:t>Ten-Year Conservation Potential and Biennial Conservation Target report</w:t>
            </w:r>
            <w:r w:rsidR="00B76F77">
              <w:rPr>
                <w:rFonts w:eastAsiaTheme="majorEastAsia" w:cs="Times New Roman"/>
                <w:sz w:val="20"/>
                <w:szCs w:val="20"/>
              </w:rPr>
              <w:t xml:space="preserve"> </w:t>
            </w:r>
            <w:r>
              <w:rPr>
                <w:rFonts w:cs="Times New Roman"/>
                <w:sz w:val="20"/>
                <w:szCs w:val="20"/>
              </w:rPr>
              <w:t>filed in Docket UE-1</w:t>
            </w:r>
            <w:r w:rsidR="003F0B5B">
              <w:rPr>
                <w:rFonts w:cs="Times New Roman"/>
                <w:sz w:val="20"/>
                <w:szCs w:val="20"/>
              </w:rPr>
              <w:t>32047</w:t>
            </w:r>
            <w:r w:rsidRPr="009B7BA7">
              <w:rPr>
                <w:rFonts w:cs="Times New Roman"/>
                <w:sz w:val="20"/>
                <w:szCs w:val="20"/>
              </w:rPr>
              <w:t>; a copy of the EM&amp;V framework is also provided as Appendix 8 to that report.</w:t>
            </w:r>
            <w:r w:rsidR="00B475C7">
              <w:rPr>
                <w:rFonts w:cs="Times New Roman"/>
                <w:sz w:val="20"/>
                <w:szCs w:val="20"/>
              </w:rPr>
              <w:t xml:space="preserve">  </w:t>
            </w:r>
            <w:r w:rsidR="00FD00DD">
              <w:rPr>
                <w:rFonts w:cs="Times New Roman"/>
                <w:sz w:val="20"/>
                <w:szCs w:val="20"/>
              </w:rPr>
              <w:t xml:space="preserve"> The framework was updated in September 2014 and again in September 2015. </w:t>
            </w:r>
          </w:p>
        </w:tc>
        <w:tc>
          <w:tcPr>
            <w:tcW w:w="278" w:type="pct"/>
          </w:tcPr>
          <w:p w14:paraId="08CFAE63" w14:textId="77777777" w:rsidR="0001091C" w:rsidRPr="0001091C" w:rsidRDefault="0001091C" w:rsidP="0001091C">
            <w:pPr>
              <w:pStyle w:val="ListParagraph"/>
              <w:numPr>
                <w:ilvl w:val="0"/>
                <w:numId w:val="2"/>
              </w:numPr>
              <w:rPr>
                <w:rFonts w:cs="Times New Roman"/>
                <w:sz w:val="20"/>
                <w:szCs w:val="20"/>
              </w:rPr>
            </w:pPr>
          </w:p>
        </w:tc>
      </w:tr>
      <w:tr w:rsidR="0001091C" w:rsidRPr="009B7BA7" w14:paraId="08CFAE67" w14:textId="77777777" w:rsidTr="002416A0">
        <w:trPr>
          <w:trHeight w:val="395"/>
        </w:trPr>
        <w:tc>
          <w:tcPr>
            <w:tcW w:w="4722" w:type="pct"/>
            <w:gridSpan w:val="2"/>
            <w:vAlign w:val="center"/>
          </w:tcPr>
          <w:p w14:paraId="08CFAE65" w14:textId="77777777" w:rsidR="0001091C" w:rsidRPr="009B7BA7" w:rsidRDefault="0001091C" w:rsidP="009C201D">
            <w:pPr>
              <w:jc w:val="left"/>
              <w:rPr>
                <w:rFonts w:cs="Times New Roman"/>
                <w:b/>
                <w:sz w:val="20"/>
                <w:szCs w:val="20"/>
              </w:rPr>
            </w:pPr>
            <w:r w:rsidRPr="009B7BA7">
              <w:rPr>
                <w:rFonts w:cs="Times New Roman"/>
                <w:b/>
                <w:sz w:val="20"/>
                <w:szCs w:val="20"/>
              </w:rPr>
              <w:t>Docket UE-</w:t>
            </w:r>
            <w:r w:rsidR="009C201D">
              <w:rPr>
                <w:rFonts w:cs="Times New Roman"/>
                <w:b/>
                <w:sz w:val="20"/>
                <w:szCs w:val="20"/>
              </w:rPr>
              <w:t xml:space="preserve">132047 </w:t>
            </w:r>
            <w:r w:rsidRPr="009B7BA7">
              <w:rPr>
                <w:rFonts w:cs="Times New Roman"/>
                <w:b/>
                <w:sz w:val="20"/>
                <w:szCs w:val="20"/>
              </w:rPr>
              <w:t>Order 0</w:t>
            </w:r>
            <w:r w:rsidR="00AF0177">
              <w:rPr>
                <w:rFonts w:cs="Times New Roman"/>
                <w:b/>
                <w:sz w:val="20"/>
                <w:szCs w:val="20"/>
              </w:rPr>
              <w:t>1</w:t>
            </w:r>
            <w:r w:rsidRPr="009B7BA7">
              <w:rPr>
                <w:rFonts w:cs="Times New Roman"/>
                <w:b/>
                <w:sz w:val="20"/>
                <w:szCs w:val="20"/>
              </w:rPr>
              <w:t xml:space="preserve"> (3) (a) (ii)</w:t>
            </w:r>
          </w:p>
        </w:tc>
        <w:tc>
          <w:tcPr>
            <w:tcW w:w="278" w:type="pct"/>
          </w:tcPr>
          <w:p w14:paraId="08CFAE66" w14:textId="77777777" w:rsidR="0001091C" w:rsidRPr="009B7BA7" w:rsidRDefault="0001091C" w:rsidP="00D218C8">
            <w:pPr>
              <w:rPr>
                <w:rFonts w:cs="Times New Roman"/>
                <w:b/>
                <w:sz w:val="20"/>
                <w:szCs w:val="20"/>
              </w:rPr>
            </w:pPr>
          </w:p>
        </w:tc>
      </w:tr>
      <w:tr w:rsidR="002416A0" w:rsidRPr="009B7BA7" w14:paraId="08CFAE6F" w14:textId="77777777" w:rsidTr="00092384">
        <w:trPr>
          <w:trHeight w:val="395"/>
        </w:trPr>
        <w:tc>
          <w:tcPr>
            <w:tcW w:w="1797" w:type="pct"/>
          </w:tcPr>
          <w:p w14:paraId="08CFAE68" w14:textId="77777777" w:rsidR="0001091C" w:rsidRPr="009B7BA7" w:rsidRDefault="0001091C" w:rsidP="00D218C8">
            <w:pPr>
              <w:rPr>
                <w:rFonts w:cs="Times New Roman"/>
                <w:b/>
                <w:sz w:val="20"/>
                <w:szCs w:val="20"/>
              </w:rPr>
            </w:pPr>
            <w:r w:rsidRPr="009B7BA7">
              <w:rPr>
                <w:rFonts w:cs="Times New Roman"/>
                <w:sz w:val="20"/>
                <w:szCs w:val="20"/>
              </w:rPr>
              <w:t>The Company will consult with the DSM Advisory Group on development of conservation potential assessments under RCW 19.285.040(1</w:t>
            </w:r>
            <w:r w:rsidR="0056680C" w:rsidRPr="009B7BA7">
              <w:rPr>
                <w:rFonts w:cs="Times New Roman"/>
                <w:sz w:val="20"/>
                <w:szCs w:val="20"/>
              </w:rPr>
              <w:t>) (</w:t>
            </w:r>
            <w:r w:rsidRPr="009B7BA7">
              <w:rPr>
                <w:rFonts w:cs="Times New Roman"/>
                <w:sz w:val="20"/>
                <w:szCs w:val="20"/>
              </w:rPr>
              <w:t>a) and WAC 480</w:t>
            </w:r>
            <w:r w:rsidRPr="009B7BA7">
              <w:rPr>
                <w:rFonts w:cs="Times New Roman"/>
                <w:sz w:val="20"/>
                <w:szCs w:val="20"/>
              </w:rPr>
              <w:noBreakHyphen/>
              <w:t>109</w:t>
            </w:r>
            <w:r w:rsidRPr="009B7BA7">
              <w:rPr>
                <w:rFonts w:cs="Times New Roman"/>
                <w:sz w:val="20"/>
                <w:szCs w:val="20"/>
              </w:rPr>
              <w:noBreakHyphen/>
            </w:r>
            <w:r w:rsidR="0056680C" w:rsidRPr="009B7BA7">
              <w:rPr>
                <w:rFonts w:cs="Times New Roman"/>
                <w:sz w:val="20"/>
                <w:szCs w:val="20"/>
              </w:rPr>
              <w:t>010 (</w:t>
            </w:r>
            <w:r w:rsidRPr="009B7BA7">
              <w:rPr>
                <w:rFonts w:cs="Times New Roman"/>
                <w:sz w:val="20"/>
                <w:szCs w:val="20"/>
              </w:rPr>
              <w:t>1).</w:t>
            </w:r>
          </w:p>
        </w:tc>
        <w:tc>
          <w:tcPr>
            <w:tcW w:w="2925" w:type="pct"/>
          </w:tcPr>
          <w:p w14:paraId="08CFAE69" w14:textId="77777777" w:rsidR="00383A5C" w:rsidRDefault="00A379FE" w:rsidP="00A379FE">
            <w:pPr>
              <w:rPr>
                <w:sz w:val="20"/>
                <w:szCs w:val="20"/>
              </w:rPr>
            </w:pPr>
            <w:r w:rsidRPr="00B475C7">
              <w:rPr>
                <w:sz w:val="20"/>
                <w:szCs w:val="20"/>
              </w:rPr>
              <w:t>The DSM Advisory Group was consulted in adjustments to the 201</w:t>
            </w:r>
            <w:r w:rsidR="00FD00DD">
              <w:rPr>
                <w:sz w:val="20"/>
                <w:szCs w:val="20"/>
              </w:rPr>
              <w:t>5</w:t>
            </w:r>
            <w:r w:rsidRPr="00B475C7">
              <w:rPr>
                <w:sz w:val="20"/>
                <w:szCs w:val="20"/>
              </w:rPr>
              <w:t xml:space="preserve"> IRP selections as outlined in “</w:t>
            </w:r>
            <w:r>
              <w:rPr>
                <w:sz w:val="20"/>
                <w:szCs w:val="20"/>
              </w:rPr>
              <w:t>PacifiCorp’s Ten-Year Conservation Potential and 201</w:t>
            </w:r>
            <w:r w:rsidR="00FD00DD">
              <w:rPr>
                <w:sz w:val="20"/>
                <w:szCs w:val="20"/>
              </w:rPr>
              <w:t>6</w:t>
            </w:r>
            <w:r>
              <w:rPr>
                <w:sz w:val="20"/>
                <w:szCs w:val="20"/>
              </w:rPr>
              <w:t>-201</w:t>
            </w:r>
            <w:r w:rsidR="00FD00DD">
              <w:rPr>
                <w:sz w:val="20"/>
                <w:szCs w:val="20"/>
              </w:rPr>
              <w:t>7</w:t>
            </w:r>
            <w:r>
              <w:rPr>
                <w:sz w:val="20"/>
                <w:szCs w:val="20"/>
              </w:rPr>
              <w:t xml:space="preserve"> Biennial Conservation Target for its Washington Service Area” filed in Docket UE-1</w:t>
            </w:r>
            <w:r w:rsidR="00FD00DD">
              <w:rPr>
                <w:sz w:val="20"/>
                <w:szCs w:val="20"/>
              </w:rPr>
              <w:t>52072</w:t>
            </w:r>
            <w:r>
              <w:rPr>
                <w:sz w:val="20"/>
                <w:szCs w:val="20"/>
              </w:rPr>
              <w:t xml:space="preserve">. The </w:t>
            </w:r>
            <w:r w:rsidRPr="00B475C7">
              <w:rPr>
                <w:sz w:val="20"/>
                <w:szCs w:val="20"/>
              </w:rPr>
              <w:t>DSM Advisory Group was consulted in the development of the Company’s 201</w:t>
            </w:r>
            <w:r w:rsidR="00FD00DD">
              <w:rPr>
                <w:sz w:val="20"/>
                <w:szCs w:val="20"/>
              </w:rPr>
              <w:t>6</w:t>
            </w:r>
            <w:r w:rsidRPr="00B475C7">
              <w:rPr>
                <w:sz w:val="20"/>
                <w:szCs w:val="20"/>
              </w:rPr>
              <w:t>-202</w:t>
            </w:r>
            <w:r w:rsidR="00FD00DD">
              <w:rPr>
                <w:sz w:val="20"/>
                <w:szCs w:val="20"/>
              </w:rPr>
              <w:t>5</w:t>
            </w:r>
            <w:r w:rsidRPr="00B475C7">
              <w:rPr>
                <w:sz w:val="20"/>
                <w:szCs w:val="20"/>
              </w:rPr>
              <w:t xml:space="preserve"> conservation forecast as detailed in the “Stakeholder Engagement” section of th</w:t>
            </w:r>
            <w:r>
              <w:rPr>
                <w:sz w:val="20"/>
                <w:szCs w:val="20"/>
              </w:rPr>
              <w:t>at</w:t>
            </w:r>
            <w:r w:rsidRPr="00B475C7">
              <w:rPr>
                <w:sz w:val="20"/>
                <w:szCs w:val="20"/>
              </w:rPr>
              <w:t xml:space="preserve"> report.</w:t>
            </w:r>
          </w:p>
          <w:p w14:paraId="08CFAE6A" w14:textId="77777777" w:rsidR="00383A5C" w:rsidRDefault="00383A5C" w:rsidP="00A379FE">
            <w:pPr>
              <w:rPr>
                <w:sz w:val="20"/>
                <w:szCs w:val="20"/>
              </w:rPr>
            </w:pPr>
          </w:p>
          <w:p w14:paraId="08CFAE6B" w14:textId="77777777" w:rsidR="00A379FE" w:rsidRPr="00B475C7" w:rsidRDefault="00383A5C" w:rsidP="00A379FE">
            <w:pPr>
              <w:rPr>
                <w:sz w:val="20"/>
                <w:szCs w:val="20"/>
              </w:rPr>
            </w:pPr>
            <w:r w:rsidRPr="00C80FFD">
              <w:rPr>
                <w:sz w:val="20"/>
                <w:szCs w:val="20"/>
              </w:rPr>
              <w:t xml:space="preserve">In addition, the Company has presented to the DSM Advisory group </w:t>
            </w:r>
            <w:r w:rsidR="0056680C" w:rsidRPr="00C80FFD">
              <w:rPr>
                <w:sz w:val="20"/>
                <w:szCs w:val="20"/>
              </w:rPr>
              <w:t>on June</w:t>
            </w:r>
            <w:r w:rsidR="003F71DC" w:rsidRPr="00C80FFD">
              <w:rPr>
                <w:sz w:val="20"/>
                <w:szCs w:val="20"/>
              </w:rPr>
              <w:t xml:space="preserve"> 9, </w:t>
            </w:r>
            <w:r w:rsidR="0056680C" w:rsidRPr="00C80FFD">
              <w:rPr>
                <w:sz w:val="20"/>
                <w:szCs w:val="20"/>
              </w:rPr>
              <w:t>2015 and</w:t>
            </w:r>
            <w:r w:rsidRPr="00C80FFD">
              <w:rPr>
                <w:sz w:val="20"/>
                <w:szCs w:val="20"/>
              </w:rPr>
              <w:t xml:space="preserve"> </w:t>
            </w:r>
            <w:r w:rsidR="00F179CA" w:rsidRPr="00C80FFD">
              <w:rPr>
                <w:sz w:val="20"/>
                <w:szCs w:val="20"/>
              </w:rPr>
              <w:t xml:space="preserve">March 22, 2016 </w:t>
            </w:r>
            <w:r w:rsidRPr="00C80FFD">
              <w:rPr>
                <w:sz w:val="20"/>
                <w:szCs w:val="20"/>
              </w:rPr>
              <w:t xml:space="preserve">to review the statement of work, methodologies and data sources, </w:t>
            </w:r>
            <w:r w:rsidR="00F179CA" w:rsidRPr="00C80FFD">
              <w:rPr>
                <w:sz w:val="20"/>
                <w:szCs w:val="20"/>
              </w:rPr>
              <w:t xml:space="preserve"> </w:t>
            </w:r>
            <w:r w:rsidRPr="00C80FFD">
              <w:rPr>
                <w:sz w:val="20"/>
                <w:szCs w:val="20"/>
              </w:rPr>
              <w:t xml:space="preserve"> of the current conservation potential assessment. That assessment will be used to inform the 201</w:t>
            </w:r>
            <w:r w:rsidR="00F179CA" w:rsidRPr="00C80FFD">
              <w:rPr>
                <w:sz w:val="20"/>
                <w:szCs w:val="20"/>
              </w:rPr>
              <w:t>7</w:t>
            </w:r>
            <w:r w:rsidRPr="00C80FFD">
              <w:rPr>
                <w:sz w:val="20"/>
                <w:szCs w:val="20"/>
              </w:rPr>
              <w:t xml:space="preserve"> Integrated Resource Plan and the Company’s 201</w:t>
            </w:r>
            <w:r w:rsidR="00F179CA" w:rsidRPr="00C80FFD">
              <w:rPr>
                <w:sz w:val="20"/>
                <w:szCs w:val="20"/>
              </w:rPr>
              <w:t>8</w:t>
            </w:r>
            <w:r w:rsidRPr="00C80FFD">
              <w:rPr>
                <w:sz w:val="20"/>
                <w:szCs w:val="20"/>
              </w:rPr>
              <w:t>-202</w:t>
            </w:r>
            <w:r w:rsidR="00F179CA" w:rsidRPr="00C80FFD">
              <w:rPr>
                <w:sz w:val="20"/>
                <w:szCs w:val="20"/>
              </w:rPr>
              <w:t>7</w:t>
            </w:r>
            <w:r w:rsidRPr="00C80FFD">
              <w:rPr>
                <w:sz w:val="20"/>
                <w:szCs w:val="20"/>
              </w:rPr>
              <w:t xml:space="preserve"> ten-year conservation forecast and two-year biennial target in Washington to be filed in November, 201</w:t>
            </w:r>
            <w:r w:rsidR="00F179CA" w:rsidRPr="00C80FFD">
              <w:rPr>
                <w:sz w:val="20"/>
                <w:szCs w:val="20"/>
              </w:rPr>
              <w:t>7</w:t>
            </w:r>
            <w:r w:rsidRPr="00C80FFD">
              <w:rPr>
                <w:sz w:val="20"/>
                <w:szCs w:val="20"/>
              </w:rPr>
              <w:t>.</w:t>
            </w:r>
            <w:r>
              <w:rPr>
                <w:sz w:val="20"/>
                <w:szCs w:val="20"/>
              </w:rPr>
              <w:t xml:space="preserve"> </w:t>
            </w:r>
            <w:r w:rsidR="00A379FE">
              <w:rPr>
                <w:sz w:val="20"/>
                <w:szCs w:val="20"/>
              </w:rPr>
              <w:t xml:space="preserve">   </w:t>
            </w:r>
          </w:p>
          <w:p w14:paraId="08CFAE6C" w14:textId="77777777" w:rsidR="00A379FE" w:rsidRDefault="00A379FE" w:rsidP="00470326">
            <w:pPr>
              <w:rPr>
                <w:rFonts w:cs="Times New Roman"/>
                <w:sz w:val="20"/>
                <w:szCs w:val="20"/>
              </w:rPr>
            </w:pPr>
          </w:p>
          <w:p w14:paraId="08CFAE6D" w14:textId="77777777" w:rsidR="002416A0" w:rsidRPr="009B7BA7" w:rsidRDefault="002416A0" w:rsidP="00F63D34">
            <w:pPr>
              <w:rPr>
                <w:rFonts w:cs="Times New Roman"/>
                <w:sz w:val="20"/>
                <w:szCs w:val="20"/>
              </w:rPr>
            </w:pPr>
          </w:p>
        </w:tc>
        <w:tc>
          <w:tcPr>
            <w:tcW w:w="278" w:type="pct"/>
          </w:tcPr>
          <w:p w14:paraId="08CFAE6E" w14:textId="77777777" w:rsidR="0001091C" w:rsidRPr="0001091C" w:rsidRDefault="0001091C" w:rsidP="0001091C">
            <w:pPr>
              <w:pStyle w:val="ListParagraph"/>
              <w:numPr>
                <w:ilvl w:val="0"/>
                <w:numId w:val="2"/>
              </w:numPr>
              <w:rPr>
                <w:rFonts w:cs="Times New Roman"/>
                <w:sz w:val="20"/>
                <w:szCs w:val="20"/>
              </w:rPr>
            </w:pPr>
          </w:p>
        </w:tc>
      </w:tr>
      <w:tr w:rsidR="0001091C" w:rsidRPr="009B7BA7" w14:paraId="08CFAE72" w14:textId="77777777" w:rsidTr="002416A0">
        <w:trPr>
          <w:trHeight w:val="395"/>
        </w:trPr>
        <w:tc>
          <w:tcPr>
            <w:tcW w:w="4722" w:type="pct"/>
            <w:gridSpan w:val="2"/>
            <w:vAlign w:val="center"/>
          </w:tcPr>
          <w:p w14:paraId="08CFAE70" w14:textId="77777777" w:rsidR="0001091C" w:rsidRPr="009B7BA7" w:rsidRDefault="0001091C" w:rsidP="009C201D">
            <w:pPr>
              <w:jc w:val="left"/>
              <w:rPr>
                <w:rFonts w:cs="Times New Roman"/>
                <w:b/>
                <w:sz w:val="20"/>
                <w:szCs w:val="20"/>
              </w:rPr>
            </w:pPr>
            <w:r w:rsidRPr="009B7BA7">
              <w:rPr>
                <w:rFonts w:cs="Times New Roman"/>
                <w:b/>
                <w:sz w:val="20"/>
                <w:szCs w:val="20"/>
              </w:rPr>
              <w:t>Docket UE-</w:t>
            </w:r>
            <w:r w:rsidR="009C201D">
              <w:rPr>
                <w:rFonts w:cs="Times New Roman"/>
                <w:b/>
                <w:sz w:val="20"/>
                <w:szCs w:val="20"/>
              </w:rPr>
              <w:t xml:space="preserve">132047 </w:t>
            </w:r>
            <w:r w:rsidRPr="009B7BA7">
              <w:rPr>
                <w:rFonts w:cs="Times New Roman"/>
                <w:b/>
                <w:sz w:val="20"/>
                <w:szCs w:val="20"/>
              </w:rPr>
              <w:t>Order 0</w:t>
            </w:r>
            <w:r w:rsidR="00AF0177">
              <w:rPr>
                <w:rFonts w:cs="Times New Roman"/>
                <w:b/>
                <w:sz w:val="20"/>
                <w:szCs w:val="20"/>
              </w:rPr>
              <w:t>1</w:t>
            </w:r>
            <w:r w:rsidRPr="009B7BA7">
              <w:rPr>
                <w:rFonts w:cs="Times New Roman"/>
                <w:b/>
                <w:sz w:val="20"/>
                <w:szCs w:val="20"/>
              </w:rPr>
              <w:t xml:space="preserve"> (3) (c)</w:t>
            </w:r>
          </w:p>
        </w:tc>
        <w:tc>
          <w:tcPr>
            <w:tcW w:w="278" w:type="pct"/>
          </w:tcPr>
          <w:p w14:paraId="08CFAE71" w14:textId="77777777" w:rsidR="0001091C" w:rsidRPr="009B7BA7" w:rsidRDefault="0001091C" w:rsidP="00D218C8">
            <w:pPr>
              <w:rPr>
                <w:rFonts w:cs="Times New Roman"/>
                <w:b/>
                <w:sz w:val="20"/>
                <w:szCs w:val="20"/>
              </w:rPr>
            </w:pPr>
          </w:p>
        </w:tc>
      </w:tr>
      <w:tr w:rsidR="002416A0" w:rsidRPr="009B7BA7" w14:paraId="08CFAE77" w14:textId="77777777" w:rsidTr="00092384">
        <w:tc>
          <w:tcPr>
            <w:tcW w:w="1797" w:type="pct"/>
          </w:tcPr>
          <w:p w14:paraId="08CFAE73" w14:textId="77777777" w:rsidR="0001091C" w:rsidRPr="009B7BA7" w:rsidRDefault="0001091C" w:rsidP="00D218C8">
            <w:pPr>
              <w:rPr>
                <w:rFonts w:cs="Times New Roman"/>
                <w:sz w:val="20"/>
                <w:szCs w:val="20"/>
              </w:rPr>
            </w:pPr>
            <w:r w:rsidRPr="009B7BA7">
              <w:rPr>
                <w:rFonts w:cs="Times New Roman"/>
                <w:sz w:val="20"/>
                <w:szCs w:val="20"/>
              </w:rPr>
              <w:t>The Advisory Group should meet quarterly at a minimum.</w:t>
            </w:r>
          </w:p>
        </w:tc>
        <w:tc>
          <w:tcPr>
            <w:tcW w:w="2925" w:type="pct"/>
          </w:tcPr>
          <w:p w14:paraId="08CFAE74" w14:textId="77777777" w:rsidR="0001091C" w:rsidRDefault="0001091C" w:rsidP="002E7136">
            <w:pPr>
              <w:rPr>
                <w:rFonts w:cs="Times New Roman"/>
                <w:sz w:val="20"/>
                <w:szCs w:val="20"/>
              </w:rPr>
            </w:pPr>
            <w:r w:rsidRPr="009B7BA7">
              <w:rPr>
                <w:rFonts w:cs="Times New Roman"/>
                <w:sz w:val="20"/>
                <w:szCs w:val="20"/>
              </w:rPr>
              <w:t>A list of 201</w:t>
            </w:r>
            <w:r w:rsidR="003F71DC">
              <w:rPr>
                <w:rFonts w:cs="Times New Roman"/>
                <w:sz w:val="20"/>
                <w:szCs w:val="20"/>
              </w:rPr>
              <w:t>4</w:t>
            </w:r>
            <w:r w:rsidR="002E7136">
              <w:rPr>
                <w:rFonts w:cs="Times New Roman"/>
                <w:sz w:val="20"/>
                <w:szCs w:val="20"/>
              </w:rPr>
              <w:t xml:space="preserve"> and 201</w:t>
            </w:r>
            <w:r w:rsidR="003F71DC">
              <w:rPr>
                <w:rFonts w:cs="Times New Roman"/>
                <w:sz w:val="20"/>
                <w:szCs w:val="20"/>
              </w:rPr>
              <w:t>5</w:t>
            </w:r>
            <w:r w:rsidR="002E7136">
              <w:rPr>
                <w:rFonts w:cs="Times New Roman"/>
                <w:sz w:val="20"/>
                <w:szCs w:val="20"/>
              </w:rPr>
              <w:t xml:space="preserve"> </w:t>
            </w:r>
            <w:r w:rsidRPr="009B7BA7">
              <w:rPr>
                <w:rFonts w:cs="Times New Roman"/>
                <w:sz w:val="20"/>
                <w:szCs w:val="20"/>
              </w:rPr>
              <w:t>Advisory Group meetings</w:t>
            </w:r>
            <w:r w:rsidR="0056680C" w:rsidRPr="009B7BA7">
              <w:rPr>
                <w:rFonts w:cs="Times New Roman"/>
                <w:sz w:val="20"/>
                <w:szCs w:val="20"/>
              </w:rPr>
              <w:t>,</w:t>
            </w:r>
            <w:r w:rsidRPr="009B7BA7">
              <w:rPr>
                <w:rFonts w:cs="Times New Roman"/>
                <w:sz w:val="20"/>
                <w:szCs w:val="20"/>
              </w:rPr>
              <w:t xml:space="preserve"> is provided in</w:t>
            </w:r>
            <w:r w:rsidR="002E7136">
              <w:rPr>
                <w:rFonts w:cs="Times New Roman"/>
                <w:sz w:val="20"/>
                <w:szCs w:val="20"/>
              </w:rPr>
              <w:t xml:space="preserve"> the </w:t>
            </w:r>
            <w:r w:rsidR="00AF0177">
              <w:rPr>
                <w:rFonts w:cs="Times New Roman"/>
                <w:sz w:val="20"/>
                <w:szCs w:val="20"/>
              </w:rPr>
              <w:t>C</w:t>
            </w:r>
            <w:r w:rsidR="002E7136">
              <w:rPr>
                <w:rFonts w:cs="Times New Roman"/>
                <w:sz w:val="20"/>
                <w:szCs w:val="20"/>
              </w:rPr>
              <w:t>ompany’s 201</w:t>
            </w:r>
            <w:r w:rsidR="003F71DC">
              <w:rPr>
                <w:rFonts w:cs="Times New Roman"/>
                <w:sz w:val="20"/>
                <w:szCs w:val="20"/>
              </w:rPr>
              <w:t>4</w:t>
            </w:r>
            <w:r w:rsidR="002E7136">
              <w:rPr>
                <w:rFonts w:cs="Times New Roman"/>
                <w:sz w:val="20"/>
                <w:szCs w:val="20"/>
              </w:rPr>
              <w:t xml:space="preserve"> and 201</w:t>
            </w:r>
            <w:r w:rsidR="003F71DC">
              <w:rPr>
                <w:rFonts w:cs="Times New Roman"/>
                <w:sz w:val="20"/>
                <w:szCs w:val="20"/>
              </w:rPr>
              <w:t>5</w:t>
            </w:r>
            <w:r w:rsidR="002E7136">
              <w:rPr>
                <w:rFonts w:cs="Times New Roman"/>
                <w:sz w:val="20"/>
                <w:szCs w:val="20"/>
              </w:rPr>
              <w:t xml:space="preserve"> Annual Reports on Conservation </w:t>
            </w:r>
            <w:r w:rsidR="0056680C">
              <w:rPr>
                <w:rFonts w:cs="Times New Roman"/>
                <w:sz w:val="20"/>
                <w:szCs w:val="20"/>
              </w:rPr>
              <w:t>Acquisition</w:t>
            </w:r>
            <w:r w:rsidR="002E7136">
              <w:rPr>
                <w:rFonts w:cs="Times New Roman"/>
                <w:sz w:val="20"/>
                <w:szCs w:val="20"/>
              </w:rPr>
              <w:t xml:space="preserve">. They demonstrate PacifiCorp’s compliance to the requirement for quarterly advisory group meetings. </w:t>
            </w:r>
          </w:p>
          <w:p w14:paraId="08CFAE75" w14:textId="77777777" w:rsidR="002416A0" w:rsidRPr="009B7BA7" w:rsidRDefault="002416A0" w:rsidP="002E7136">
            <w:pPr>
              <w:rPr>
                <w:rFonts w:cs="Times New Roman"/>
                <w:sz w:val="20"/>
                <w:szCs w:val="20"/>
              </w:rPr>
            </w:pPr>
          </w:p>
        </w:tc>
        <w:tc>
          <w:tcPr>
            <w:tcW w:w="278" w:type="pct"/>
          </w:tcPr>
          <w:p w14:paraId="08CFAE76" w14:textId="77777777" w:rsidR="0001091C" w:rsidRPr="00B76F77" w:rsidRDefault="0001091C" w:rsidP="00B76F77">
            <w:pPr>
              <w:pStyle w:val="ListParagraph"/>
              <w:numPr>
                <w:ilvl w:val="0"/>
                <w:numId w:val="2"/>
              </w:numPr>
              <w:rPr>
                <w:rFonts w:cs="Times New Roman"/>
                <w:sz w:val="20"/>
                <w:szCs w:val="20"/>
              </w:rPr>
            </w:pPr>
          </w:p>
        </w:tc>
      </w:tr>
      <w:tr w:rsidR="0001091C" w:rsidRPr="009B7BA7" w14:paraId="08CFAE7A" w14:textId="77777777" w:rsidTr="002416A0">
        <w:trPr>
          <w:trHeight w:val="332"/>
        </w:trPr>
        <w:tc>
          <w:tcPr>
            <w:tcW w:w="4722" w:type="pct"/>
            <w:gridSpan w:val="2"/>
            <w:vAlign w:val="center"/>
          </w:tcPr>
          <w:p w14:paraId="08CFAE78" w14:textId="77777777" w:rsidR="0001091C" w:rsidRPr="009B7BA7" w:rsidRDefault="00194391" w:rsidP="009C201D">
            <w:pPr>
              <w:jc w:val="left"/>
              <w:rPr>
                <w:rFonts w:cs="Times New Roman"/>
                <w:b/>
                <w:sz w:val="20"/>
                <w:szCs w:val="20"/>
              </w:rPr>
            </w:pPr>
            <w:r>
              <w:rPr>
                <w:rFonts w:cs="Times New Roman"/>
                <w:b/>
                <w:sz w:val="20"/>
                <w:szCs w:val="20"/>
              </w:rPr>
              <w:lastRenderedPageBreak/>
              <w:t>Docket UE-1</w:t>
            </w:r>
            <w:r w:rsidR="009C201D">
              <w:rPr>
                <w:rFonts w:cs="Times New Roman"/>
                <w:b/>
                <w:sz w:val="20"/>
                <w:szCs w:val="20"/>
              </w:rPr>
              <w:t xml:space="preserve">32047 </w:t>
            </w:r>
            <w:r w:rsidR="0001091C" w:rsidRPr="009B7BA7">
              <w:rPr>
                <w:rFonts w:cs="Times New Roman"/>
                <w:b/>
                <w:sz w:val="20"/>
                <w:szCs w:val="20"/>
              </w:rPr>
              <w:t>Order 0</w:t>
            </w:r>
            <w:r w:rsidR="00AF0177">
              <w:rPr>
                <w:rFonts w:cs="Times New Roman"/>
                <w:b/>
                <w:sz w:val="20"/>
                <w:szCs w:val="20"/>
              </w:rPr>
              <w:t>1</w:t>
            </w:r>
            <w:r w:rsidR="0001091C" w:rsidRPr="009B7BA7">
              <w:rPr>
                <w:rFonts w:cs="Times New Roman"/>
                <w:b/>
                <w:sz w:val="20"/>
                <w:szCs w:val="20"/>
              </w:rPr>
              <w:t xml:space="preserve"> (5)</w:t>
            </w:r>
          </w:p>
        </w:tc>
        <w:tc>
          <w:tcPr>
            <w:tcW w:w="278" w:type="pct"/>
          </w:tcPr>
          <w:p w14:paraId="08CFAE79" w14:textId="77777777" w:rsidR="0001091C" w:rsidRPr="009B7BA7" w:rsidRDefault="0001091C" w:rsidP="00D218C8">
            <w:pPr>
              <w:rPr>
                <w:rFonts w:cs="Times New Roman"/>
                <w:b/>
                <w:sz w:val="20"/>
                <w:szCs w:val="20"/>
              </w:rPr>
            </w:pPr>
          </w:p>
        </w:tc>
      </w:tr>
      <w:tr w:rsidR="002416A0" w:rsidRPr="009B7BA7" w14:paraId="08CFAE7F" w14:textId="77777777" w:rsidTr="00092384">
        <w:tc>
          <w:tcPr>
            <w:tcW w:w="1797" w:type="pct"/>
          </w:tcPr>
          <w:p w14:paraId="08CFAE7B" w14:textId="77777777" w:rsidR="0001091C" w:rsidRPr="009B7BA7" w:rsidRDefault="0001091C" w:rsidP="00D218C8">
            <w:pPr>
              <w:rPr>
                <w:rFonts w:cs="Times New Roman"/>
                <w:sz w:val="20"/>
                <w:szCs w:val="20"/>
              </w:rPr>
            </w:pPr>
            <w:r w:rsidRPr="009B7BA7">
              <w:rPr>
                <w:rFonts w:cs="Times New Roman"/>
                <w:sz w:val="20"/>
                <w:szCs w:val="20"/>
              </w:rPr>
              <w:t>Company must maintain its conservation tariffs with program descriptions on file with the Commission. Program details about specific measures, incentives, and eligibility requirements must be filed as tariff attachments or as revisions to the Company DSM Business Plan.</w:t>
            </w:r>
          </w:p>
        </w:tc>
        <w:tc>
          <w:tcPr>
            <w:tcW w:w="2925" w:type="pct"/>
          </w:tcPr>
          <w:p w14:paraId="08CFAE7C" w14:textId="77777777" w:rsidR="00AC28BD" w:rsidRPr="00981DC3" w:rsidRDefault="009C22B2" w:rsidP="00CF49B5">
            <w:pPr>
              <w:autoSpaceDE w:val="0"/>
              <w:autoSpaceDN w:val="0"/>
              <w:adjustRightInd w:val="0"/>
              <w:jc w:val="left"/>
              <w:rPr>
                <w:rFonts w:cs="Times New Roman"/>
                <w:b/>
                <w:sz w:val="20"/>
                <w:szCs w:val="20"/>
              </w:rPr>
            </w:pPr>
            <w:r w:rsidRPr="00981DC3">
              <w:rPr>
                <w:rFonts w:cs="Times New Roman"/>
                <w:sz w:val="20"/>
                <w:szCs w:val="20"/>
              </w:rPr>
              <w:t>Copies of the Company’s conservation tariffs and</w:t>
            </w:r>
            <w:r w:rsidR="00845808" w:rsidRPr="00981DC3">
              <w:rPr>
                <w:rFonts w:cs="Times New Roman"/>
                <w:sz w:val="20"/>
                <w:szCs w:val="20"/>
              </w:rPr>
              <w:t>/or</w:t>
            </w:r>
            <w:r w:rsidRPr="00981DC3">
              <w:rPr>
                <w:rFonts w:cs="Times New Roman"/>
                <w:sz w:val="20"/>
                <w:szCs w:val="20"/>
              </w:rPr>
              <w:t xml:space="preserve"> program descriptions</w:t>
            </w:r>
            <w:r w:rsidR="00845808" w:rsidRPr="00981DC3">
              <w:rPr>
                <w:rFonts w:cs="Times New Roman"/>
                <w:sz w:val="20"/>
                <w:szCs w:val="20"/>
              </w:rPr>
              <w:t xml:space="preserve">, including details on specific measures, incentives and eligibility are contained in </w:t>
            </w:r>
            <w:r w:rsidR="00F772FD" w:rsidRPr="00981DC3">
              <w:rPr>
                <w:rFonts w:cs="Times New Roman"/>
                <w:sz w:val="20"/>
                <w:szCs w:val="20"/>
              </w:rPr>
              <w:t>A</w:t>
            </w:r>
            <w:r w:rsidR="00871305" w:rsidRPr="00981DC3">
              <w:rPr>
                <w:rFonts w:cs="Times New Roman"/>
                <w:sz w:val="20"/>
                <w:szCs w:val="20"/>
              </w:rPr>
              <w:t>ppendix 7</w:t>
            </w:r>
            <w:r w:rsidR="00F772FD" w:rsidRPr="00981DC3">
              <w:rPr>
                <w:rFonts w:cs="Times New Roman"/>
                <w:sz w:val="20"/>
                <w:szCs w:val="20"/>
              </w:rPr>
              <w:t xml:space="preserve">, </w:t>
            </w:r>
            <w:r w:rsidR="00845808" w:rsidRPr="00981DC3">
              <w:rPr>
                <w:rFonts w:cs="Times New Roman"/>
                <w:sz w:val="20"/>
                <w:szCs w:val="20"/>
              </w:rPr>
              <w:t xml:space="preserve">the </w:t>
            </w:r>
            <w:r w:rsidR="00AF0177" w:rsidRPr="00981DC3">
              <w:rPr>
                <w:rFonts w:cs="Times New Roman"/>
                <w:sz w:val="20"/>
                <w:szCs w:val="20"/>
              </w:rPr>
              <w:t>C</w:t>
            </w:r>
            <w:r w:rsidR="00845808" w:rsidRPr="00981DC3">
              <w:rPr>
                <w:rFonts w:cs="Times New Roman"/>
                <w:sz w:val="20"/>
                <w:szCs w:val="20"/>
              </w:rPr>
              <w:t xml:space="preserve">ompany’s </w:t>
            </w:r>
            <w:r w:rsidR="00F772FD" w:rsidRPr="00981DC3">
              <w:rPr>
                <w:rFonts w:cs="Times New Roman"/>
                <w:sz w:val="20"/>
                <w:szCs w:val="20"/>
              </w:rPr>
              <w:t>Demand-Side Management</w:t>
            </w:r>
            <w:r w:rsidRPr="00981DC3">
              <w:rPr>
                <w:rFonts w:cs="Times New Roman"/>
                <w:sz w:val="20"/>
                <w:szCs w:val="20"/>
              </w:rPr>
              <w:t xml:space="preserve"> </w:t>
            </w:r>
            <w:r w:rsidR="00F772FD" w:rsidRPr="00981DC3">
              <w:rPr>
                <w:rFonts w:cs="Times New Roman"/>
                <w:sz w:val="20"/>
                <w:szCs w:val="20"/>
              </w:rPr>
              <w:t xml:space="preserve">Business Plan </w:t>
            </w:r>
            <w:r w:rsidR="00845808" w:rsidRPr="00981DC3">
              <w:rPr>
                <w:rFonts w:cs="Times New Roman"/>
                <w:sz w:val="20"/>
                <w:szCs w:val="20"/>
              </w:rPr>
              <w:t xml:space="preserve">for </w:t>
            </w:r>
            <w:r w:rsidR="00F772FD" w:rsidRPr="00981DC3">
              <w:rPr>
                <w:rFonts w:cs="Times New Roman"/>
                <w:sz w:val="20"/>
                <w:szCs w:val="20"/>
              </w:rPr>
              <w:t>201</w:t>
            </w:r>
            <w:r w:rsidR="00871305" w:rsidRPr="00981DC3">
              <w:rPr>
                <w:rFonts w:cs="Times New Roman"/>
                <w:sz w:val="20"/>
                <w:szCs w:val="20"/>
              </w:rPr>
              <w:t>4</w:t>
            </w:r>
            <w:r w:rsidR="00F772FD" w:rsidRPr="00981DC3">
              <w:rPr>
                <w:rFonts w:cs="Times New Roman"/>
                <w:sz w:val="20"/>
                <w:szCs w:val="20"/>
              </w:rPr>
              <w:t>–201</w:t>
            </w:r>
            <w:r w:rsidR="00871305" w:rsidRPr="00981DC3">
              <w:rPr>
                <w:rFonts w:cs="Times New Roman"/>
                <w:sz w:val="20"/>
                <w:szCs w:val="20"/>
              </w:rPr>
              <w:t>5</w:t>
            </w:r>
            <w:r w:rsidR="00F772FD" w:rsidRPr="00981DC3">
              <w:rPr>
                <w:rFonts w:cs="Times New Roman"/>
                <w:sz w:val="20"/>
                <w:szCs w:val="20"/>
              </w:rPr>
              <w:t xml:space="preserve"> filed in Docket UE-</w:t>
            </w:r>
            <w:r w:rsidR="00871305" w:rsidRPr="00981DC3">
              <w:rPr>
                <w:rFonts w:cs="Times New Roman"/>
                <w:sz w:val="20"/>
                <w:szCs w:val="20"/>
              </w:rPr>
              <w:t>132047</w:t>
            </w:r>
            <w:r w:rsidR="00845808" w:rsidRPr="00981DC3">
              <w:rPr>
                <w:rFonts w:cs="Times New Roman"/>
                <w:sz w:val="20"/>
                <w:szCs w:val="20"/>
              </w:rPr>
              <w:t xml:space="preserve">. This information was refreshed in the </w:t>
            </w:r>
            <w:r w:rsidR="00AF0177" w:rsidRPr="00981DC3">
              <w:rPr>
                <w:rFonts w:cs="Times New Roman"/>
                <w:sz w:val="20"/>
                <w:szCs w:val="20"/>
              </w:rPr>
              <w:t>C</w:t>
            </w:r>
            <w:r w:rsidR="00845808" w:rsidRPr="00981DC3">
              <w:rPr>
                <w:rFonts w:cs="Times New Roman"/>
                <w:sz w:val="20"/>
                <w:szCs w:val="20"/>
              </w:rPr>
              <w:t>ompany’s update</w:t>
            </w:r>
            <w:r w:rsidR="00EF2882" w:rsidRPr="00981DC3">
              <w:rPr>
                <w:rFonts w:cs="Times New Roman"/>
                <w:sz w:val="20"/>
                <w:szCs w:val="20"/>
              </w:rPr>
              <w:t>s</w:t>
            </w:r>
            <w:r w:rsidR="00845808" w:rsidRPr="00981DC3">
              <w:rPr>
                <w:rFonts w:cs="Times New Roman"/>
                <w:sz w:val="20"/>
                <w:szCs w:val="20"/>
              </w:rPr>
              <w:t xml:space="preserve"> to the 201</w:t>
            </w:r>
            <w:r w:rsidR="00871305" w:rsidRPr="00981DC3">
              <w:rPr>
                <w:rFonts w:cs="Times New Roman"/>
                <w:sz w:val="20"/>
                <w:szCs w:val="20"/>
              </w:rPr>
              <w:t>4</w:t>
            </w:r>
            <w:r w:rsidR="00845808" w:rsidRPr="00981DC3">
              <w:rPr>
                <w:rFonts w:cs="Times New Roman"/>
                <w:sz w:val="20"/>
                <w:szCs w:val="20"/>
              </w:rPr>
              <w:t>-</w:t>
            </w:r>
            <w:r w:rsidR="00AF0177" w:rsidRPr="00981DC3">
              <w:rPr>
                <w:rFonts w:cs="Times New Roman"/>
                <w:sz w:val="20"/>
                <w:szCs w:val="20"/>
              </w:rPr>
              <w:t>20</w:t>
            </w:r>
            <w:r w:rsidR="00845808" w:rsidRPr="00981DC3">
              <w:rPr>
                <w:rFonts w:cs="Times New Roman"/>
                <w:sz w:val="20"/>
                <w:szCs w:val="20"/>
              </w:rPr>
              <w:t>1</w:t>
            </w:r>
            <w:r w:rsidR="00871305" w:rsidRPr="00981DC3">
              <w:rPr>
                <w:rFonts w:cs="Times New Roman"/>
                <w:sz w:val="20"/>
                <w:szCs w:val="20"/>
              </w:rPr>
              <w:t>5</w:t>
            </w:r>
            <w:r w:rsidR="00845808" w:rsidRPr="00981DC3">
              <w:rPr>
                <w:rFonts w:cs="Times New Roman"/>
                <w:sz w:val="20"/>
                <w:szCs w:val="20"/>
              </w:rPr>
              <w:t xml:space="preserve"> Business Plan filed </w:t>
            </w:r>
            <w:r w:rsidR="00EF2882" w:rsidRPr="00981DC3">
              <w:rPr>
                <w:rFonts w:cs="Times New Roman"/>
                <w:sz w:val="20"/>
                <w:szCs w:val="20"/>
              </w:rPr>
              <w:t xml:space="preserve">on March 18, 2014, advice letter filed on August 20, 2014 to extend </w:t>
            </w:r>
            <w:r w:rsidR="00F63B54" w:rsidRPr="00981DC3">
              <w:rPr>
                <w:rFonts w:cs="Times New Roman"/>
                <w:sz w:val="20"/>
                <w:szCs w:val="20"/>
              </w:rPr>
              <w:t>a</w:t>
            </w:r>
            <w:r w:rsidR="00EF2882" w:rsidRPr="00981DC3">
              <w:rPr>
                <w:rFonts w:cs="Times New Roman"/>
                <w:sz w:val="20"/>
                <w:szCs w:val="20"/>
              </w:rPr>
              <w:t xml:space="preserve">nd expand the Home Energy Reports </w:t>
            </w:r>
            <w:r w:rsidR="0056680C" w:rsidRPr="00981DC3">
              <w:rPr>
                <w:rFonts w:cs="Times New Roman"/>
                <w:sz w:val="20"/>
                <w:szCs w:val="20"/>
              </w:rPr>
              <w:t>program and</w:t>
            </w:r>
            <w:r w:rsidR="00EF2882" w:rsidRPr="00981DC3">
              <w:rPr>
                <w:rFonts w:cs="Times New Roman"/>
                <w:sz w:val="20"/>
                <w:szCs w:val="20"/>
              </w:rPr>
              <w:t xml:space="preserve"> a Business Plan updated filed on </w:t>
            </w:r>
            <w:r w:rsidR="00871305" w:rsidRPr="00981DC3">
              <w:rPr>
                <w:rFonts w:cs="Times New Roman"/>
                <w:sz w:val="20"/>
                <w:szCs w:val="20"/>
              </w:rPr>
              <w:t>Oct</w:t>
            </w:r>
            <w:r w:rsidR="00917779" w:rsidRPr="00981DC3">
              <w:rPr>
                <w:rFonts w:cs="Times New Roman"/>
                <w:sz w:val="20"/>
                <w:szCs w:val="20"/>
              </w:rPr>
              <w:t xml:space="preserve">ober 31, 2014. </w:t>
            </w:r>
            <w:r w:rsidR="00EF2882" w:rsidRPr="00981DC3">
              <w:rPr>
                <w:rFonts w:cs="Times New Roman"/>
                <w:sz w:val="20"/>
                <w:szCs w:val="20"/>
              </w:rPr>
              <w:t xml:space="preserve"> The last update to the Business Plan (version 4 dated September 2015</w:t>
            </w:r>
            <w:r w:rsidR="0056680C" w:rsidRPr="00981DC3">
              <w:rPr>
                <w:rFonts w:cs="Times New Roman"/>
                <w:sz w:val="20"/>
                <w:szCs w:val="20"/>
              </w:rPr>
              <w:t xml:space="preserve">) </w:t>
            </w:r>
            <w:r w:rsidR="00A41E3C" w:rsidRPr="00981DC3">
              <w:rPr>
                <w:rFonts w:cs="Times New Roman"/>
                <w:sz w:val="20"/>
                <w:szCs w:val="20"/>
              </w:rPr>
              <w:t>was provided the DSM Advisory Group on August 26</w:t>
            </w:r>
            <w:r w:rsidR="00A41E3C" w:rsidRPr="00981DC3">
              <w:rPr>
                <w:rFonts w:cs="Times New Roman"/>
                <w:sz w:val="20"/>
                <w:szCs w:val="20"/>
                <w:vertAlign w:val="superscript"/>
              </w:rPr>
              <w:t>th</w:t>
            </w:r>
            <w:r w:rsidR="00A41E3C" w:rsidRPr="00981DC3">
              <w:rPr>
                <w:rFonts w:cs="Times New Roman"/>
                <w:sz w:val="20"/>
                <w:szCs w:val="20"/>
              </w:rPr>
              <w:t xml:space="preserve"> with </w:t>
            </w:r>
            <w:r w:rsidR="0056680C" w:rsidRPr="00981DC3">
              <w:rPr>
                <w:rFonts w:cs="Times New Roman"/>
                <w:sz w:val="20"/>
                <w:szCs w:val="20"/>
              </w:rPr>
              <w:t>comments requested</w:t>
            </w:r>
            <w:r w:rsidR="00A41E3C" w:rsidRPr="00981DC3">
              <w:rPr>
                <w:rFonts w:cs="Times New Roman"/>
                <w:sz w:val="20"/>
                <w:szCs w:val="20"/>
              </w:rPr>
              <w:t xml:space="preserve"> by September 4, 2015. The Company </w:t>
            </w:r>
            <w:r w:rsidR="00F63B54" w:rsidRPr="00981DC3">
              <w:rPr>
                <w:rFonts w:cs="Times New Roman"/>
                <w:sz w:val="20"/>
                <w:szCs w:val="20"/>
              </w:rPr>
              <w:t xml:space="preserve">did not receive any comments. </w:t>
            </w:r>
            <w:r w:rsidR="00A41E3C" w:rsidRPr="00981DC3">
              <w:rPr>
                <w:rFonts w:cs="Times New Roman"/>
                <w:sz w:val="20"/>
                <w:szCs w:val="20"/>
              </w:rPr>
              <w:t>During the preparation of this Appendix, the Company discovered it did</w:t>
            </w:r>
            <w:r w:rsidR="00F63B54" w:rsidRPr="00981DC3">
              <w:rPr>
                <w:rFonts w:cs="Times New Roman"/>
                <w:sz w:val="20"/>
                <w:szCs w:val="20"/>
              </w:rPr>
              <w:t xml:space="preserve"> not </w:t>
            </w:r>
            <w:r w:rsidR="00A41E3C" w:rsidRPr="00981DC3">
              <w:rPr>
                <w:rFonts w:cs="Times New Roman"/>
                <w:sz w:val="20"/>
                <w:szCs w:val="20"/>
              </w:rPr>
              <w:t xml:space="preserve">have a record of filing this version of the Business Plan and contacted WUTC staff to determine next steps. </w:t>
            </w:r>
            <w:r w:rsidR="00F63B54" w:rsidRPr="00981DC3">
              <w:rPr>
                <w:rFonts w:cs="Times New Roman"/>
                <w:sz w:val="20"/>
                <w:szCs w:val="20"/>
              </w:rPr>
              <w:t>T</w:t>
            </w:r>
            <w:r w:rsidR="00CF49B5" w:rsidRPr="00981DC3">
              <w:rPr>
                <w:rFonts w:cs="Times New Roman"/>
                <w:sz w:val="20"/>
                <w:szCs w:val="20"/>
              </w:rPr>
              <w:t>he Company will file this version of the Business P</w:t>
            </w:r>
            <w:r w:rsidR="00F63B54" w:rsidRPr="00981DC3">
              <w:rPr>
                <w:rFonts w:cs="Times New Roman"/>
                <w:sz w:val="20"/>
                <w:szCs w:val="20"/>
              </w:rPr>
              <w:t xml:space="preserve">lan the week of May 9, 2016 to fulfill the remaining </w:t>
            </w:r>
            <w:r w:rsidR="00CF49B5" w:rsidRPr="00981DC3">
              <w:rPr>
                <w:rFonts w:cs="Times New Roman"/>
                <w:sz w:val="20"/>
                <w:szCs w:val="20"/>
              </w:rPr>
              <w:t xml:space="preserve">compliance </w:t>
            </w:r>
            <w:r w:rsidR="00F63B54" w:rsidRPr="00981DC3">
              <w:rPr>
                <w:rFonts w:cs="Times New Roman"/>
                <w:sz w:val="20"/>
                <w:szCs w:val="20"/>
              </w:rPr>
              <w:t xml:space="preserve">requirements </w:t>
            </w:r>
            <w:r w:rsidR="0056680C" w:rsidRPr="00981DC3">
              <w:rPr>
                <w:rFonts w:cs="Times New Roman"/>
                <w:sz w:val="20"/>
                <w:szCs w:val="20"/>
              </w:rPr>
              <w:t>of this</w:t>
            </w:r>
            <w:r w:rsidR="00CF49B5" w:rsidRPr="00981DC3">
              <w:rPr>
                <w:rFonts w:cs="Times New Roman"/>
                <w:sz w:val="20"/>
                <w:szCs w:val="20"/>
              </w:rPr>
              <w:t xml:space="preserve"> condition. </w:t>
            </w:r>
            <w:r w:rsidR="00CF49B5">
              <w:rPr>
                <w:rFonts w:cs="Times New Roman"/>
                <w:sz w:val="20"/>
                <w:szCs w:val="20"/>
              </w:rPr>
              <w:t xml:space="preserve"> </w:t>
            </w:r>
          </w:p>
          <w:p w14:paraId="08CFAE7D" w14:textId="77777777" w:rsidR="002416A0" w:rsidRPr="009B7BA7" w:rsidRDefault="002416A0" w:rsidP="00501FFC">
            <w:pPr>
              <w:autoSpaceDE w:val="0"/>
              <w:autoSpaceDN w:val="0"/>
              <w:adjustRightInd w:val="0"/>
              <w:jc w:val="left"/>
              <w:rPr>
                <w:rFonts w:cs="Times New Roman"/>
                <w:sz w:val="20"/>
                <w:szCs w:val="20"/>
              </w:rPr>
            </w:pPr>
          </w:p>
        </w:tc>
        <w:tc>
          <w:tcPr>
            <w:tcW w:w="278" w:type="pct"/>
          </w:tcPr>
          <w:p w14:paraId="08CFAE7E" w14:textId="77777777" w:rsidR="0001091C" w:rsidRPr="00F441A9" w:rsidRDefault="0001091C" w:rsidP="00F441A9">
            <w:pPr>
              <w:pStyle w:val="ListParagraph"/>
              <w:numPr>
                <w:ilvl w:val="0"/>
                <w:numId w:val="2"/>
              </w:numPr>
              <w:rPr>
                <w:rFonts w:cs="Times New Roman"/>
                <w:sz w:val="20"/>
                <w:szCs w:val="20"/>
              </w:rPr>
            </w:pPr>
          </w:p>
        </w:tc>
      </w:tr>
      <w:tr w:rsidR="0001091C" w:rsidRPr="009B7BA7" w14:paraId="08CFAE82" w14:textId="77777777" w:rsidTr="002416A0">
        <w:trPr>
          <w:trHeight w:val="395"/>
        </w:trPr>
        <w:tc>
          <w:tcPr>
            <w:tcW w:w="4722" w:type="pct"/>
            <w:gridSpan w:val="2"/>
            <w:vAlign w:val="center"/>
          </w:tcPr>
          <w:p w14:paraId="08CFAE80" w14:textId="77777777" w:rsidR="0001091C" w:rsidRPr="009B7BA7" w:rsidRDefault="00194391" w:rsidP="009C201D">
            <w:pPr>
              <w:jc w:val="left"/>
              <w:rPr>
                <w:rFonts w:cs="Times New Roman"/>
                <w:b/>
                <w:sz w:val="20"/>
                <w:szCs w:val="20"/>
              </w:rPr>
            </w:pPr>
            <w:r>
              <w:rPr>
                <w:rFonts w:cs="Times New Roman"/>
                <w:b/>
                <w:sz w:val="20"/>
                <w:szCs w:val="20"/>
              </w:rPr>
              <w:t>Docket UE-1</w:t>
            </w:r>
            <w:r w:rsidR="009C201D">
              <w:rPr>
                <w:rFonts w:cs="Times New Roman"/>
                <w:b/>
                <w:sz w:val="20"/>
                <w:szCs w:val="20"/>
              </w:rPr>
              <w:t xml:space="preserve">32047 </w:t>
            </w:r>
            <w:r w:rsidR="0001091C" w:rsidRPr="009B7BA7">
              <w:rPr>
                <w:rFonts w:cs="Times New Roman"/>
                <w:b/>
                <w:sz w:val="20"/>
                <w:szCs w:val="20"/>
              </w:rPr>
              <w:t>Order 0</w:t>
            </w:r>
            <w:r w:rsidR="00681E80">
              <w:rPr>
                <w:rFonts w:cs="Times New Roman"/>
                <w:b/>
                <w:sz w:val="20"/>
                <w:szCs w:val="20"/>
              </w:rPr>
              <w:t>1</w:t>
            </w:r>
            <w:r w:rsidR="0001091C" w:rsidRPr="009B7BA7">
              <w:rPr>
                <w:rFonts w:cs="Times New Roman"/>
                <w:b/>
                <w:sz w:val="20"/>
                <w:szCs w:val="20"/>
              </w:rPr>
              <w:t xml:space="preserve"> (6) (b) &amp; (c)</w:t>
            </w:r>
          </w:p>
        </w:tc>
        <w:tc>
          <w:tcPr>
            <w:tcW w:w="278" w:type="pct"/>
          </w:tcPr>
          <w:p w14:paraId="08CFAE81" w14:textId="77777777" w:rsidR="0001091C" w:rsidRPr="009B7BA7" w:rsidRDefault="0001091C" w:rsidP="00D218C8">
            <w:pPr>
              <w:rPr>
                <w:rFonts w:cs="Times New Roman"/>
                <w:b/>
                <w:sz w:val="20"/>
                <w:szCs w:val="20"/>
              </w:rPr>
            </w:pPr>
          </w:p>
        </w:tc>
      </w:tr>
      <w:tr w:rsidR="002416A0" w:rsidRPr="009B7BA7" w14:paraId="08CFAE86" w14:textId="77777777" w:rsidTr="00092384">
        <w:tc>
          <w:tcPr>
            <w:tcW w:w="1797" w:type="pct"/>
          </w:tcPr>
          <w:p w14:paraId="08CFAE83" w14:textId="77777777" w:rsidR="0001091C" w:rsidRPr="009B7BA7" w:rsidRDefault="0001091C" w:rsidP="00D218C8">
            <w:pPr>
              <w:rPr>
                <w:rFonts w:cs="Times New Roman"/>
                <w:sz w:val="20"/>
                <w:szCs w:val="20"/>
              </w:rPr>
            </w:pPr>
            <w:r w:rsidRPr="009B7BA7">
              <w:rPr>
                <w:rFonts w:cs="Times New Roman"/>
                <w:sz w:val="20"/>
                <w:szCs w:val="20"/>
              </w:rPr>
              <w:t>PacifiCorp must use RTF deemed savings or other reliable and relevant source data that has verified savings levels and be presented to the Advisory Group for comment.</w:t>
            </w:r>
          </w:p>
        </w:tc>
        <w:tc>
          <w:tcPr>
            <w:tcW w:w="2925" w:type="pct"/>
          </w:tcPr>
          <w:p w14:paraId="08CFAE84" w14:textId="77777777" w:rsidR="002416A0" w:rsidRPr="009B7BA7" w:rsidRDefault="008D3EAC" w:rsidP="00C466FA">
            <w:pPr>
              <w:rPr>
                <w:rFonts w:cs="Times New Roman"/>
                <w:b/>
                <w:sz w:val="20"/>
                <w:szCs w:val="20"/>
              </w:rPr>
            </w:pPr>
            <w:r>
              <w:rPr>
                <w:rFonts w:cs="Times New Roman"/>
                <w:sz w:val="20"/>
                <w:szCs w:val="20"/>
              </w:rPr>
              <w:t xml:space="preserve">The </w:t>
            </w:r>
            <w:r w:rsidR="00A36213">
              <w:rPr>
                <w:rFonts w:cs="Times New Roman"/>
                <w:sz w:val="20"/>
                <w:szCs w:val="20"/>
              </w:rPr>
              <w:t xml:space="preserve"> d</w:t>
            </w:r>
            <w:r w:rsidR="0001091C" w:rsidRPr="009B7BA7">
              <w:rPr>
                <w:rFonts w:cs="Times New Roman"/>
                <w:sz w:val="20"/>
                <w:szCs w:val="20"/>
              </w:rPr>
              <w:t xml:space="preserve">ata sources </w:t>
            </w:r>
            <w:r w:rsidR="00A36213">
              <w:rPr>
                <w:rFonts w:cs="Times New Roman"/>
                <w:sz w:val="20"/>
                <w:szCs w:val="20"/>
              </w:rPr>
              <w:t>for the 201</w:t>
            </w:r>
            <w:r w:rsidR="00C466FA">
              <w:rPr>
                <w:rFonts w:cs="Times New Roman"/>
                <w:sz w:val="20"/>
                <w:szCs w:val="20"/>
              </w:rPr>
              <w:t>5</w:t>
            </w:r>
            <w:r w:rsidR="00A36213">
              <w:rPr>
                <w:rFonts w:cs="Times New Roman"/>
                <w:sz w:val="20"/>
                <w:szCs w:val="20"/>
              </w:rPr>
              <w:t xml:space="preserve"> Conservation Potential Assessment </w:t>
            </w:r>
            <w:r w:rsidR="0001091C" w:rsidRPr="009B7BA7">
              <w:rPr>
                <w:rFonts w:cs="Times New Roman"/>
                <w:sz w:val="20"/>
                <w:szCs w:val="20"/>
              </w:rPr>
              <w:t xml:space="preserve">are outlined beginning on page </w:t>
            </w:r>
            <w:r w:rsidR="00C466FA">
              <w:rPr>
                <w:rFonts w:cs="Times New Roman"/>
                <w:sz w:val="20"/>
                <w:szCs w:val="20"/>
              </w:rPr>
              <w:t xml:space="preserve">3-1 </w:t>
            </w:r>
            <w:r w:rsidR="0001091C" w:rsidRPr="009B7BA7">
              <w:rPr>
                <w:rFonts w:cs="Times New Roman"/>
                <w:sz w:val="20"/>
                <w:szCs w:val="20"/>
              </w:rPr>
              <w:t xml:space="preserve"> of Volume </w:t>
            </w:r>
            <w:r w:rsidR="00C466FA">
              <w:rPr>
                <w:rFonts w:cs="Times New Roman"/>
                <w:sz w:val="20"/>
                <w:szCs w:val="20"/>
              </w:rPr>
              <w:t>2</w:t>
            </w:r>
            <w:r w:rsidR="0001091C" w:rsidRPr="009B7BA7">
              <w:rPr>
                <w:rFonts w:cs="Times New Roman"/>
                <w:sz w:val="20"/>
                <w:szCs w:val="20"/>
              </w:rPr>
              <w:t xml:space="preserve"> of the “</w:t>
            </w:r>
            <w:r w:rsidR="00C466FA">
              <w:rPr>
                <w:rFonts w:cs="Times New Roman"/>
                <w:sz w:val="20"/>
                <w:szCs w:val="20"/>
              </w:rPr>
              <w:t xml:space="preserve">PacifiCorp Demand-Side Resource Potential </w:t>
            </w:r>
            <w:r w:rsidR="0001091C" w:rsidRPr="009B7BA7">
              <w:rPr>
                <w:rFonts w:cs="Times New Roman"/>
                <w:sz w:val="20"/>
                <w:szCs w:val="20"/>
              </w:rPr>
              <w:t xml:space="preserve">Assessment </w:t>
            </w:r>
            <w:r w:rsidR="00C466FA">
              <w:rPr>
                <w:rFonts w:cs="Times New Roman"/>
                <w:sz w:val="20"/>
                <w:szCs w:val="20"/>
              </w:rPr>
              <w:t>for 2015-2034</w:t>
            </w:r>
            <w:r w:rsidR="0001091C" w:rsidRPr="009B7BA7">
              <w:rPr>
                <w:rFonts w:cs="Times New Roman"/>
                <w:sz w:val="20"/>
                <w:szCs w:val="20"/>
              </w:rPr>
              <w:t xml:space="preserve">” which is provided as Appendix </w:t>
            </w:r>
            <w:r w:rsidR="00145D5E">
              <w:rPr>
                <w:rFonts w:cs="Times New Roman"/>
                <w:sz w:val="20"/>
                <w:szCs w:val="20"/>
              </w:rPr>
              <w:t>1</w:t>
            </w:r>
            <w:r w:rsidR="0001091C" w:rsidRPr="009B7BA7">
              <w:rPr>
                <w:rFonts w:cs="Times New Roman"/>
                <w:sz w:val="20"/>
                <w:szCs w:val="20"/>
              </w:rPr>
              <w:t xml:space="preserve"> to the </w:t>
            </w:r>
            <w:r w:rsidR="0001091C" w:rsidRPr="009B7BA7">
              <w:rPr>
                <w:rFonts w:eastAsiaTheme="majorEastAsia" w:cs="Times New Roman"/>
                <w:sz w:val="20"/>
                <w:szCs w:val="20"/>
              </w:rPr>
              <w:t>Ten-Year Conservation Potential and Biennial Conservation Target</w:t>
            </w:r>
            <w:r w:rsidR="0001091C" w:rsidRPr="009B7BA7">
              <w:rPr>
                <w:sz w:val="20"/>
                <w:szCs w:val="20"/>
              </w:rPr>
              <w:t xml:space="preserve"> report</w:t>
            </w:r>
            <w:r w:rsidR="00A36213">
              <w:rPr>
                <w:sz w:val="20"/>
                <w:szCs w:val="20"/>
              </w:rPr>
              <w:t xml:space="preserve"> filed in Docket UE-</w:t>
            </w:r>
            <w:r>
              <w:rPr>
                <w:sz w:val="20"/>
                <w:szCs w:val="20"/>
              </w:rPr>
              <w:t>1</w:t>
            </w:r>
            <w:r w:rsidR="00C466FA">
              <w:rPr>
                <w:sz w:val="20"/>
                <w:szCs w:val="20"/>
              </w:rPr>
              <w:t>5</w:t>
            </w:r>
            <w:r w:rsidR="00145D5E">
              <w:rPr>
                <w:sz w:val="20"/>
                <w:szCs w:val="20"/>
              </w:rPr>
              <w:t>20</w:t>
            </w:r>
            <w:r w:rsidR="00C466FA">
              <w:rPr>
                <w:sz w:val="20"/>
                <w:szCs w:val="20"/>
              </w:rPr>
              <w:t>72</w:t>
            </w:r>
            <w:r w:rsidR="0001091C" w:rsidRPr="009B7BA7">
              <w:rPr>
                <w:rFonts w:cs="Times New Roman"/>
                <w:sz w:val="20"/>
                <w:szCs w:val="20"/>
              </w:rPr>
              <w:t xml:space="preserve">. Volume </w:t>
            </w:r>
            <w:r w:rsidR="00C466FA">
              <w:rPr>
                <w:rFonts w:cs="Times New Roman"/>
                <w:sz w:val="20"/>
                <w:szCs w:val="20"/>
              </w:rPr>
              <w:t>4</w:t>
            </w:r>
            <w:r w:rsidR="0001091C" w:rsidRPr="009B7BA7">
              <w:rPr>
                <w:rFonts w:cs="Times New Roman"/>
                <w:sz w:val="20"/>
                <w:szCs w:val="20"/>
              </w:rPr>
              <w:t>, Appendix</w:t>
            </w:r>
            <w:r w:rsidR="00145D5E">
              <w:rPr>
                <w:rFonts w:cs="Times New Roman"/>
                <w:sz w:val="20"/>
                <w:szCs w:val="20"/>
              </w:rPr>
              <w:t xml:space="preserve"> </w:t>
            </w:r>
            <w:r w:rsidR="00C466FA">
              <w:rPr>
                <w:rFonts w:cs="Times New Roman"/>
                <w:sz w:val="20"/>
                <w:szCs w:val="20"/>
              </w:rPr>
              <w:t>G</w:t>
            </w:r>
            <w:r w:rsidR="0001091C" w:rsidRPr="009B7BA7">
              <w:rPr>
                <w:rFonts w:cs="Times New Roman"/>
                <w:sz w:val="20"/>
                <w:szCs w:val="20"/>
              </w:rPr>
              <w:t xml:space="preserve"> of that report provides a comparison of savings values. Current RTF savings data also informed several of the adjustments to the Company’s current ten-year conservation forecast; after consultation with the DSM Advisory Group. Adjustments are described in both the “Conservation Potential and Conservation Targets” section as well as </w:t>
            </w:r>
            <w:r w:rsidR="0001091C">
              <w:rPr>
                <w:rFonts w:cs="Times New Roman"/>
                <w:sz w:val="20"/>
                <w:szCs w:val="20"/>
              </w:rPr>
              <w:t>in</w:t>
            </w:r>
            <w:r w:rsidR="0001091C" w:rsidRPr="009B7BA7">
              <w:rPr>
                <w:rFonts w:cs="Times New Roman"/>
                <w:sz w:val="20"/>
                <w:szCs w:val="20"/>
              </w:rPr>
              <w:t xml:space="preserve"> Appendix 4 of </w:t>
            </w:r>
            <w:r w:rsidR="0001091C" w:rsidRPr="00F64C1E">
              <w:rPr>
                <w:rFonts w:cs="Times New Roman"/>
                <w:sz w:val="20"/>
                <w:szCs w:val="20"/>
              </w:rPr>
              <w:t xml:space="preserve">the </w:t>
            </w:r>
            <w:r w:rsidR="0001091C" w:rsidRPr="00F64C1E">
              <w:rPr>
                <w:rFonts w:eastAsiaTheme="majorEastAsia" w:cs="Times New Roman"/>
                <w:sz w:val="20"/>
                <w:szCs w:val="20"/>
              </w:rPr>
              <w:t>Ten-Year Conservation Potential and Biennial Conservation Target</w:t>
            </w:r>
            <w:r w:rsidR="0001091C" w:rsidRPr="00F64C1E">
              <w:rPr>
                <w:sz w:val="20"/>
                <w:szCs w:val="20"/>
              </w:rPr>
              <w:t xml:space="preserve"> report</w:t>
            </w:r>
            <w:r w:rsidR="0001091C" w:rsidRPr="009B7BA7">
              <w:rPr>
                <w:rFonts w:cs="Times New Roman"/>
                <w:sz w:val="20"/>
                <w:szCs w:val="20"/>
              </w:rPr>
              <w:t xml:space="preserve">. </w:t>
            </w:r>
          </w:p>
        </w:tc>
        <w:tc>
          <w:tcPr>
            <w:tcW w:w="278" w:type="pct"/>
          </w:tcPr>
          <w:p w14:paraId="08CFAE85" w14:textId="77777777" w:rsidR="0001091C" w:rsidRPr="00A36213" w:rsidRDefault="0001091C" w:rsidP="00A36213">
            <w:pPr>
              <w:pStyle w:val="ListParagraph"/>
              <w:numPr>
                <w:ilvl w:val="0"/>
                <w:numId w:val="2"/>
              </w:numPr>
              <w:rPr>
                <w:rFonts w:cs="Times New Roman"/>
                <w:sz w:val="20"/>
                <w:szCs w:val="20"/>
              </w:rPr>
            </w:pPr>
          </w:p>
        </w:tc>
      </w:tr>
      <w:tr w:rsidR="0001091C" w:rsidRPr="009B7BA7" w14:paraId="08CFAE89" w14:textId="77777777" w:rsidTr="002416A0">
        <w:trPr>
          <w:trHeight w:val="395"/>
        </w:trPr>
        <w:tc>
          <w:tcPr>
            <w:tcW w:w="4722" w:type="pct"/>
            <w:gridSpan w:val="2"/>
            <w:vAlign w:val="center"/>
          </w:tcPr>
          <w:p w14:paraId="08CFAE87" w14:textId="77777777" w:rsidR="0001091C" w:rsidRPr="009B7BA7" w:rsidRDefault="0001091C" w:rsidP="009C201D">
            <w:pPr>
              <w:jc w:val="left"/>
              <w:rPr>
                <w:rFonts w:cs="Times New Roman"/>
                <w:b/>
                <w:sz w:val="20"/>
                <w:szCs w:val="20"/>
              </w:rPr>
            </w:pPr>
            <w:r w:rsidRPr="009B7BA7">
              <w:rPr>
                <w:rFonts w:cs="Times New Roman"/>
                <w:b/>
                <w:sz w:val="20"/>
                <w:szCs w:val="20"/>
              </w:rPr>
              <w:t>Docket UE-1</w:t>
            </w:r>
            <w:r w:rsidR="009C201D">
              <w:rPr>
                <w:rFonts w:cs="Times New Roman"/>
                <w:b/>
                <w:sz w:val="20"/>
                <w:szCs w:val="20"/>
              </w:rPr>
              <w:t xml:space="preserve">32047 </w:t>
            </w:r>
            <w:r w:rsidRPr="009B7BA7">
              <w:rPr>
                <w:rFonts w:cs="Times New Roman"/>
                <w:b/>
                <w:sz w:val="20"/>
                <w:szCs w:val="20"/>
              </w:rPr>
              <w:t>Order 0</w:t>
            </w:r>
            <w:r w:rsidR="00681E80">
              <w:rPr>
                <w:rFonts w:cs="Times New Roman"/>
                <w:b/>
                <w:sz w:val="20"/>
                <w:szCs w:val="20"/>
              </w:rPr>
              <w:t>1</w:t>
            </w:r>
            <w:r w:rsidRPr="009B7BA7">
              <w:rPr>
                <w:rFonts w:cs="Times New Roman"/>
                <w:b/>
                <w:sz w:val="20"/>
                <w:szCs w:val="20"/>
              </w:rPr>
              <w:t xml:space="preserve"> (6) (f)</w:t>
            </w:r>
          </w:p>
        </w:tc>
        <w:tc>
          <w:tcPr>
            <w:tcW w:w="278" w:type="pct"/>
          </w:tcPr>
          <w:p w14:paraId="08CFAE88" w14:textId="77777777" w:rsidR="0001091C" w:rsidRPr="009B7BA7" w:rsidRDefault="0001091C" w:rsidP="00D218C8">
            <w:pPr>
              <w:rPr>
                <w:rFonts w:cs="Times New Roman"/>
                <w:b/>
                <w:sz w:val="20"/>
                <w:szCs w:val="20"/>
              </w:rPr>
            </w:pPr>
          </w:p>
        </w:tc>
      </w:tr>
      <w:tr w:rsidR="002416A0" w:rsidRPr="009B7BA7" w14:paraId="08CFAE8E" w14:textId="77777777" w:rsidTr="00092384">
        <w:trPr>
          <w:trHeight w:val="395"/>
        </w:trPr>
        <w:tc>
          <w:tcPr>
            <w:tcW w:w="1797" w:type="pct"/>
          </w:tcPr>
          <w:p w14:paraId="08CFAE8A" w14:textId="77777777" w:rsidR="0001091C" w:rsidRPr="009B7BA7" w:rsidRDefault="0001091C" w:rsidP="00C83C4F">
            <w:pPr>
              <w:rPr>
                <w:rFonts w:cs="Times New Roman"/>
                <w:sz w:val="20"/>
                <w:szCs w:val="20"/>
              </w:rPr>
            </w:pPr>
            <w:r w:rsidRPr="009B7BA7">
              <w:rPr>
                <w:rFonts w:cs="Times New Roman"/>
                <w:sz w:val="20"/>
                <w:szCs w:val="20"/>
              </w:rPr>
              <w:t xml:space="preserve">PacifiCorp must spend </w:t>
            </w:r>
            <w:r w:rsidR="00713E22">
              <w:rPr>
                <w:rFonts w:cs="Times New Roman"/>
                <w:sz w:val="20"/>
                <w:szCs w:val="20"/>
              </w:rPr>
              <w:t>a reasonable amount of its conservation budget on evaluation, measurement, and verification</w:t>
            </w:r>
            <w:r w:rsidR="00C83C4F">
              <w:rPr>
                <w:rFonts w:cs="Times New Roman"/>
                <w:sz w:val="20"/>
                <w:szCs w:val="20"/>
              </w:rPr>
              <w:t xml:space="preserve">.  </w:t>
            </w:r>
          </w:p>
        </w:tc>
        <w:tc>
          <w:tcPr>
            <w:tcW w:w="2925" w:type="pct"/>
          </w:tcPr>
          <w:p w14:paraId="08CFAE8B" w14:textId="77777777" w:rsidR="002416A0" w:rsidRDefault="00FF538D" w:rsidP="00FF538D">
            <w:pPr>
              <w:rPr>
                <w:rFonts w:cs="Times New Roman"/>
                <w:sz w:val="20"/>
                <w:szCs w:val="20"/>
              </w:rPr>
            </w:pPr>
            <w:r w:rsidRPr="002416A0">
              <w:rPr>
                <w:rFonts w:cs="Times New Roman"/>
                <w:sz w:val="20"/>
                <w:szCs w:val="20"/>
              </w:rPr>
              <w:t xml:space="preserve">As documented in the </w:t>
            </w:r>
            <w:r w:rsidR="00681E80">
              <w:rPr>
                <w:rFonts w:cs="Times New Roman"/>
                <w:sz w:val="20"/>
                <w:szCs w:val="20"/>
              </w:rPr>
              <w:t>C</w:t>
            </w:r>
            <w:r w:rsidRPr="002416A0">
              <w:rPr>
                <w:rFonts w:cs="Times New Roman"/>
                <w:sz w:val="20"/>
                <w:szCs w:val="20"/>
              </w:rPr>
              <w:t>ompany’s 201</w:t>
            </w:r>
            <w:r w:rsidR="00A41E3C">
              <w:rPr>
                <w:rFonts w:cs="Times New Roman"/>
                <w:sz w:val="20"/>
                <w:szCs w:val="20"/>
              </w:rPr>
              <w:t>4</w:t>
            </w:r>
            <w:r w:rsidRPr="002416A0">
              <w:rPr>
                <w:rFonts w:cs="Times New Roman"/>
                <w:sz w:val="20"/>
                <w:szCs w:val="20"/>
              </w:rPr>
              <w:t xml:space="preserve"> and 201</w:t>
            </w:r>
            <w:r w:rsidR="00A41E3C">
              <w:rPr>
                <w:rFonts w:cs="Times New Roman"/>
                <w:sz w:val="20"/>
                <w:szCs w:val="20"/>
              </w:rPr>
              <w:t>5</w:t>
            </w:r>
            <w:r w:rsidRPr="002416A0">
              <w:rPr>
                <w:rFonts w:cs="Times New Roman"/>
                <w:sz w:val="20"/>
                <w:szCs w:val="20"/>
              </w:rPr>
              <w:t xml:space="preserve"> </w:t>
            </w:r>
            <w:r w:rsidR="00681E80">
              <w:rPr>
                <w:rFonts w:cs="Times New Roman"/>
                <w:sz w:val="20"/>
                <w:szCs w:val="20"/>
              </w:rPr>
              <w:t>A</w:t>
            </w:r>
            <w:r w:rsidRPr="002416A0">
              <w:rPr>
                <w:rFonts w:cs="Times New Roman"/>
                <w:sz w:val="20"/>
                <w:szCs w:val="20"/>
              </w:rPr>
              <w:t xml:space="preserve">nnual </w:t>
            </w:r>
            <w:r w:rsidR="00681E80">
              <w:rPr>
                <w:rFonts w:cs="Times New Roman"/>
                <w:sz w:val="20"/>
                <w:szCs w:val="20"/>
              </w:rPr>
              <w:t>R</w:t>
            </w:r>
            <w:r w:rsidRPr="002416A0">
              <w:rPr>
                <w:rFonts w:cs="Times New Roman"/>
                <w:sz w:val="20"/>
                <w:szCs w:val="20"/>
              </w:rPr>
              <w:t xml:space="preserve">eports on </w:t>
            </w:r>
            <w:r w:rsidR="00681E80">
              <w:rPr>
                <w:rFonts w:cs="Times New Roman"/>
                <w:sz w:val="20"/>
                <w:szCs w:val="20"/>
              </w:rPr>
              <w:t>C</w:t>
            </w:r>
            <w:r w:rsidRPr="002416A0">
              <w:rPr>
                <w:rFonts w:cs="Times New Roman"/>
                <w:sz w:val="20"/>
                <w:szCs w:val="20"/>
              </w:rPr>
              <w:t xml:space="preserve">onservation </w:t>
            </w:r>
            <w:r w:rsidR="00681E80">
              <w:rPr>
                <w:rFonts w:cs="Times New Roman"/>
                <w:sz w:val="20"/>
                <w:szCs w:val="20"/>
              </w:rPr>
              <w:t>A</w:t>
            </w:r>
            <w:r w:rsidRPr="002416A0">
              <w:rPr>
                <w:rFonts w:cs="Times New Roman"/>
                <w:sz w:val="20"/>
                <w:szCs w:val="20"/>
              </w:rPr>
              <w:t xml:space="preserve">cquisition  the </w:t>
            </w:r>
            <w:r w:rsidR="00681E80">
              <w:rPr>
                <w:rFonts w:cs="Times New Roman"/>
                <w:sz w:val="20"/>
                <w:szCs w:val="20"/>
              </w:rPr>
              <w:t>C</w:t>
            </w:r>
            <w:r w:rsidRPr="002416A0">
              <w:rPr>
                <w:rFonts w:cs="Times New Roman"/>
                <w:sz w:val="20"/>
                <w:szCs w:val="20"/>
              </w:rPr>
              <w:t>ompany spent $</w:t>
            </w:r>
            <w:r w:rsidR="00681E80">
              <w:rPr>
                <w:rFonts w:cs="Times New Roman"/>
                <w:sz w:val="20"/>
                <w:szCs w:val="20"/>
              </w:rPr>
              <w:t>1,1</w:t>
            </w:r>
            <w:r w:rsidR="00A41E3C">
              <w:rPr>
                <w:rFonts w:cs="Times New Roman"/>
                <w:sz w:val="20"/>
                <w:szCs w:val="20"/>
              </w:rPr>
              <w:t xml:space="preserve">27,119 </w:t>
            </w:r>
            <w:r w:rsidRPr="002416A0">
              <w:rPr>
                <w:rFonts w:cs="Times New Roman"/>
                <w:sz w:val="20"/>
                <w:szCs w:val="20"/>
              </w:rPr>
              <w:t xml:space="preserve"> on third-party evaluation, measurement and verification (process and impact evaluations</w:t>
            </w:r>
            <w:r w:rsidR="00681E80">
              <w:rPr>
                <w:rFonts w:cs="Times New Roman"/>
                <w:sz w:val="20"/>
                <w:szCs w:val="20"/>
              </w:rPr>
              <w:t>, verification of savings</w:t>
            </w:r>
            <w:r w:rsidRPr="002416A0">
              <w:rPr>
                <w:rFonts w:cs="Times New Roman"/>
                <w:sz w:val="20"/>
                <w:szCs w:val="20"/>
              </w:rPr>
              <w:t xml:space="preserve">) of its conservation program results over the two year period. This represents </w:t>
            </w:r>
            <w:r w:rsidR="00A41E3C">
              <w:rPr>
                <w:rFonts w:cs="Times New Roman"/>
                <w:sz w:val="20"/>
                <w:szCs w:val="20"/>
              </w:rPr>
              <w:t>4.9</w:t>
            </w:r>
            <w:r w:rsidRPr="002416A0">
              <w:rPr>
                <w:rFonts w:cs="Times New Roman"/>
                <w:sz w:val="20"/>
                <w:szCs w:val="20"/>
              </w:rPr>
              <w:t xml:space="preserve">% of the </w:t>
            </w:r>
            <w:r w:rsidR="00681E80">
              <w:rPr>
                <w:rFonts w:cs="Times New Roman"/>
                <w:sz w:val="20"/>
                <w:szCs w:val="20"/>
              </w:rPr>
              <w:t>C</w:t>
            </w:r>
            <w:r w:rsidRPr="002416A0">
              <w:rPr>
                <w:rFonts w:cs="Times New Roman"/>
                <w:sz w:val="20"/>
                <w:szCs w:val="20"/>
              </w:rPr>
              <w:t>ompany’s $</w:t>
            </w:r>
            <w:r w:rsidR="00A41E3C">
              <w:rPr>
                <w:rFonts w:cs="Times New Roman"/>
                <w:sz w:val="20"/>
                <w:szCs w:val="20"/>
              </w:rPr>
              <w:t xml:space="preserve">22,884,998 </w:t>
            </w:r>
            <w:r w:rsidR="00CB1CA1">
              <w:rPr>
                <w:rFonts w:cs="Times New Roman"/>
                <w:sz w:val="20"/>
                <w:szCs w:val="20"/>
              </w:rPr>
              <w:t xml:space="preserve"> </w:t>
            </w:r>
            <w:r w:rsidRPr="002416A0">
              <w:rPr>
                <w:rFonts w:cs="Times New Roman"/>
                <w:sz w:val="20"/>
                <w:szCs w:val="20"/>
              </w:rPr>
              <w:t>in conservation expenditures over the same period.</w:t>
            </w:r>
            <w:r w:rsidRPr="00FF538D">
              <w:rPr>
                <w:rFonts w:cs="Times New Roman"/>
                <w:sz w:val="20"/>
                <w:szCs w:val="20"/>
              </w:rPr>
              <w:t xml:space="preserve">  </w:t>
            </w:r>
          </w:p>
          <w:p w14:paraId="08CFAE8C" w14:textId="77777777" w:rsidR="0001091C" w:rsidRPr="00FF538D" w:rsidRDefault="00FF538D" w:rsidP="00FF538D">
            <w:pPr>
              <w:rPr>
                <w:rFonts w:cs="Times New Roman"/>
                <w:sz w:val="20"/>
                <w:szCs w:val="20"/>
              </w:rPr>
            </w:pPr>
            <w:r w:rsidRPr="00FF538D">
              <w:rPr>
                <w:rFonts w:cs="Times New Roman"/>
                <w:sz w:val="20"/>
                <w:szCs w:val="20"/>
              </w:rPr>
              <w:t xml:space="preserve">   </w:t>
            </w:r>
          </w:p>
        </w:tc>
        <w:tc>
          <w:tcPr>
            <w:tcW w:w="278" w:type="pct"/>
          </w:tcPr>
          <w:p w14:paraId="08CFAE8D" w14:textId="77777777" w:rsidR="0001091C" w:rsidRPr="004238C2" w:rsidRDefault="0001091C" w:rsidP="004238C2">
            <w:pPr>
              <w:pStyle w:val="ListParagraph"/>
              <w:numPr>
                <w:ilvl w:val="0"/>
                <w:numId w:val="2"/>
              </w:numPr>
              <w:rPr>
                <w:rFonts w:cs="Times New Roman"/>
                <w:sz w:val="20"/>
                <w:szCs w:val="20"/>
              </w:rPr>
            </w:pPr>
          </w:p>
        </w:tc>
      </w:tr>
      <w:tr w:rsidR="0001091C" w:rsidRPr="009B7BA7" w14:paraId="08CFAE91" w14:textId="77777777" w:rsidTr="002416A0">
        <w:trPr>
          <w:trHeight w:val="395"/>
        </w:trPr>
        <w:tc>
          <w:tcPr>
            <w:tcW w:w="4722" w:type="pct"/>
            <w:gridSpan w:val="2"/>
            <w:vAlign w:val="center"/>
          </w:tcPr>
          <w:p w14:paraId="08CFAE8F" w14:textId="77777777" w:rsidR="0001091C" w:rsidRPr="009B7BA7" w:rsidRDefault="00E64EAD" w:rsidP="009C201D">
            <w:pPr>
              <w:jc w:val="left"/>
              <w:rPr>
                <w:rFonts w:cs="Times New Roman"/>
                <w:b/>
                <w:sz w:val="20"/>
                <w:szCs w:val="20"/>
              </w:rPr>
            </w:pPr>
            <w:r>
              <w:rPr>
                <w:rFonts w:cs="Times New Roman"/>
                <w:b/>
                <w:sz w:val="20"/>
                <w:szCs w:val="20"/>
              </w:rPr>
              <w:t>Docket UE-1</w:t>
            </w:r>
            <w:r w:rsidR="009C201D">
              <w:rPr>
                <w:rFonts w:cs="Times New Roman"/>
                <w:b/>
                <w:sz w:val="20"/>
                <w:szCs w:val="20"/>
              </w:rPr>
              <w:t xml:space="preserve">32047 </w:t>
            </w:r>
            <w:r>
              <w:rPr>
                <w:rFonts w:cs="Times New Roman"/>
                <w:b/>
                <w:sz w:val="20"/>
                <w:szCs w:val="20"/>
              </w:rPr>
              <w:t>Order 0</w:t>
            </w:r>
            <w:r w:rsidR="00755B82">
              <w:rPr>
                <w:rFonts w:cs="Times New Roman"/>
                <w:b/>
                <w:sz w:val="20"/>
                <w:szCs w:val="20"/>
              </w:rPr>
              <w:t>1</w:t>
            </w:r>
            <w:r>
              <w:rPr>
                <w:rFonts w:cs="Times New Roman"/>
                <w:b/>
                <w:sz w:val="20"/>
                <w:szCs w:val="20"/>
              </w:rPr>
              <w:t xml:space="preserve"> (6) (f) (i) (ii)</w:t>
            </w:r>
          </w:p>
        </w:tc>
        <w:tc>
          <w:tcPr>
            <w:tcW w:w="278" w:type="pct"/>
          </w:tcPr>
          <w:p w14:paraId="08CFAE90" w14:textId="77777777" w:rsidR="0001091C" w:rsidRPr="009B7BA7" w:rsidRDefault="0001091C" w:rsidP="00D218C8">
            <w:pPr>
              <w:rPr>
                <w:rFonts w:cs="Times New Roman"/>
                <w:b/>
                <w:sz w:val="20"/>
                <w:szCs w:val="20"/>
              </w:rPr>
            </w:pPr>
          </w:p>
        </w:tc>
      </w:tr>
      <w:tr w:rsidR="00092384" w:rsidRPr="009B7BA7" w14:paraId="08CFAE96" w14:textId="77777777" w:rsidTr="008100CA">
        <w:trPr>
          <w:trHeight w:val="395"/>
        </w:trPr>
        <w:tc>
          <w:tcPr>
            <w:tcW w:w="1797" w:type="pct"/>
            <w:vAlign w:val="center"/>
          </w:tcPr>
          <w:p w14:paraId="08CFAE92" w14:textId="77777777" w:rsidR="00092384" w:rsidRDefault="00092384" w:rsidP="002416A0">
            <w:pPr>
              <w:jc w:val="left"/>
              <w:rPr>
                <w:rFonts w:cs="Times New Roman"/>
                <w:sz w:val="20"/>
                <w:szCs w:val="20"/>
              </w:rPr>
            </w:pPr>
            <w:r>
              <w:rPr>
                <w:rFonts w:cs="Times New Roman"/>
                <w:sz w:val="20"/>
                <w:szCs w:val="20"/>
              </w:rPr>
              <w:t>The Company shall perform an independent review of portfolio-level electric energy savings reported by Pac</w:t>
            </w:r>
            <w:r w:rsidR="00755B82">
              <w:rPr>
                <w:rFonts w:cs="Times New Roman"/>
                <w:sz w:val="20"/>
                <w:szCs w:val="20"/>
              </w:rPr>
              <w:t>ifiCorp for the 2012-2013 biennial</w:t>
            </w:r>
            <w:r>
              <w:rPr>
                <w:rFonts w:cs="Times New Roman"/>
                <w:sz w:val="20"/>
                <w:szCs w:val="20"/>
              </w:rPr>
              <w:t xml:space="preserve"> period</w:t>
            </w:r>
            <w:r w:rsidR="008100CA">
              <w:rPr>
                <w:rFonts w:cs="Times New Roman"/>
                <w:sz w:val="20"/>
                <w:szCs w:val="20"/>
              </w:rPr>
              <w:t>.</w:t>
            </w:r>
          </w:p>
          <w:p w14:paraId="08CFAE93" w14:textId="77777777" w:rsidR="00681E80" w:rsidRPr="00143139" w:rsidRDefault="00681E80" w:rsidP="002416A0">
            <w:pPr>
              <w:jc w:val="left"/>
              <w:rPr>
                <w:rFonts w:cs="Times New Roman"/>
                <w:sz w:val="20"/>
                <w:szCs w:val="20"/>
              </w:rPr>
            </w:pPr>
          </w:p>
        </w:tc>
        <w:tc>
          <w:tcPr>
            <w:tcW w:w="2925" w:type="pct"/>
          </w:tcPr>
          <w:p w14:paraId="08CFAE94" w14:textId="77777777" w:rsidR="00092384" w:rsidRPr="00143139" w:rsidRDefault="008100CA" w:rsidP="00C1417E">
            <w:pPr>
              <w:jc w:val="left"/>
              <w:rPr>
                <w:rFonts w:cs="Times New Roman"/>
                <w:sz w:val="20"/>
                <w:szCs w:val="20"/>
              </w:rPr>
            </w:pPr>
            <w:r>
              <w:rPr>
                <w:rFonts w:cs="Times New Roman"/>
                <w:sz w:val="20"/>
                <w:szCs w:val="20"/>
              </w:rPr>
              <w:t>Attached in the 201</w:t>
            </w:r>
            <w:r w:rsidR="00C1417E">
              <w:rPr>
                <w:rFonts w:cs="Times New Roman"/>
                <w:sz w:val="20"/>
                <w:szCs w:val="20"/>
              </w:rPr>
              <w:t>4</w:t>
            </w:r>
            <w:r>
              <w:rPr>
                <w:rFonts w:cs="Times New Roman"/>
                <w:sz w:val="20"/>
                <w:szCs w:val="20"/>
              </w:rPr>
              <w:t>-201</w:t>
            </w:r>
            <w:r w:rsidR="00C1417E">
              <w:rPr>
                <w:rFonts w:cs="Times New Roman"/>
                <w:sz w:val="20"/>
                <w:szCs w:val="20"/>
              </w:rPr>
              <w:t>5</w:t>
            </w:r>
            <w:r>
              <w:rPr>
                <w:rFonts w:cs="Times New Roman"/>
                <w:sz w:val="20"/>
                <w:szCs w:val="20"/>
              </w:rPr>
              <w:t xml:space="preserve"> Conservation Report as Appendix 2 is t</w:t>
            </w:r>
            <w:r w:rsidR="00C1417E">
              <w:t xml:space="preserve"> </w:t>
            </w:r>
            <w:r w:rsidR="00C1417E" w:rsidRPr="00981DC3">
              <w:rPr>
                <w:rFonts w:cs="Times New Roman"/>
                <w:sz w:val="20"/>
                <w:szCs w:val="20"/>
              </w:rPr>
              <w:t>W</w:t>
            </w:r>
            <w:r w:rsidR="00C1417E">
              <w:rPr>
                <w:rFonts w:cs="Times New Roman"/>
                <w:sz w:val="20"/>
                <w:szCs w:val="20"/>
              </w:rPr>
              <w:t xml:space="preserve">ashington Savings Verification and Reporting Process </w:t>
            </w:r>
            <w:r w:rsidR="00C1417E" w:rsidRPr="00981DC3">
              <w:rPr>
                <w:rFonts w:cs="Times New Roman"/>
                <w:sz w:val="20"/>
                <w:szCs w:val="20"/>
              </w:rPr>
              <w:t>2014-2015 R</w:t>
            </w:r>
            <w:r w:rsidR="00C1417E">
              <w:rPr>
                <w:rFonts w:cs="Times New Roman"/>
                <w:sz w:val="20"/>
                <w:szCs w:val="20"/>
              </w:rPr>
              <w:t xml:space="preserve">eview. </w:t>
            </w:r>
          </w:p>
        </w:tc>
        <w:tc>
          <w:tcPr>
            <w:tcW w:w="278" w:type="pct"/>
          </w:tcPr>
          <w:p w14:paraId="08CFAE95" w14:textId="77777777" w:rsidR="00092384" w:rsidRPr="008100CA" w:rsidRDefault="00092384" w:rsidP="008100CA">
            <w:pPr>
              <w:pStyle w:val="ListParagraph"/>
              <w:numPr>
                <w:ilvl w:val="0"/>
                <w:numId w:val="2"/>
              </w:numPr>
              <w:rPr>
                <w:rFonts w:cs="Times New Roman"/>
                <w:b/>
                <w:sz w:val="20"/>
                <w:szCs w:val="20"/>
              </w:rPr>
            </w:pPr>
          </w:p>
        </w:tc>
      </w:tr>
      <w:tr w:rsidR="00092384" w:rsidRPr="009B7BA7" w14:paraId="08CFAE99" w14:textId="77777777" w:rsidTr="002416A0">
        <w:trPr>
          <w:trHeight w:val="395"/>
        </w:trPr>
        <w:tc>
          <w:tcPr>
            <w:tcW w:w="4722" w:type="pct"/>
            <w:gridSpan w:val="2"/>
            <w:vAlign w:val="center"/>
          </w:tcPr>
          <w:p w14:paraId="08CFAE97" w14:textId="77777777" w:rsidR="00092384" w:rsidRPr="009B7BA7" w:rsidRDefault="00C1417E" w:rsidP="009C201D">
            <w:pPr>
              <w:jc w:val="left"/>
              <w:rPr>
                <w:rFonts w:cs="Times New Roman"/>
                <w:b/>
                <w:sz w:val="20"/>
                <w:szCs w:val="20"/>
              </w:rPr>
            </w:pPr>
            <w:r>
              <w:rPr>
                <w:rFonts w:cs="Times New Roman"/>
                <w:b/>
                <w:sz w:val="20"/>
                <w:szCs w:val="20"/>
              </w:rPr>
              <w:t xml:space="preserve"> </w:t>
            </w:r>
          </w:p>
        </w:tc>
        <w:tc>
          <w:tcPr>
            <w:tcW w:w="278" w:type="pct"/>
          </w:tcPr>
          <w:p w14:paraId="08CFAE98" w14:textId="77777777" w:rsidR="00092384" w:rsidRPr="009B7BA7" w:rsidRDefault="00092384" w:rsidP="00D218C8">
            <w:pPr>
              <w:rPr>
                <w:rFonts w:cs="Times New Roman"/>
                <w:b/>
                <w:sz w:val="20"/>
                <w:szCs w:val="20"/>
              </w:rPr>
            </w:pPr>
          </w:p>
        </w:tc>
      </w:tr>
      <w:tr w:rsidR="00092384" w:rsidRPr="009B7BA7" w14:paraId="08CFAE9D" w14:textId="77777777" w:rsidTr="00755B82">
        <w:trPr>
          <w:trHeight w:val="395"/>
        </w:trPr>
        <w:tc>
          <w:tcPr>
            <w:tcW w:w="1797" w:type="pct"/>
            <w:vAlign w:val="center"/>
          </w:tcPr>
          <w:p w14:paraId="08CFAE9A" w14:textId="77777777" w:rsidR="00092384" w:rsidRPr="00736172" w:rsidRDefault="00C1417E" w:rsidP="002416A0">
            <w:pPr>
              <w:jc w:val="left"/>
              <w:rPr>
                <w:rFonts w:cs="Times New Roman"/>
                <w:sz w:val="20"/>
                <w:szCs w:val="20"/>
              </w:rPr>
            </w:pPr>
            <w:r>
              <w:rPr>
                <w:rFonts w:cs="Times New Roman"/>
                <w:sz w:val="20"/>
                <w:szCs w:val="20"/>
              </w:rPr>
              <w:t xml:space="preserve"> </w:t>
            </w:r>
          </w:p>
        </w:tc>
        <w:tc>
          <w:tcPr>
            <w:tcW w:w="2925" w:type="pct"/>
          </w:tcPr>
          <w:p w14:paraId="08CFAE9B" w14:textId="77777777" w:rsidR="00092384" w:rsidRDefault="00C1417E" w:rsidP="00AF4019">
            <w:pPr>
              <w:jc w:val="left"/>
              <w:rPr>
                <w:rFonts w:cs="Times New Roman"/>
                <w:b/>
                <w:sz w:val="20"/>
                <w:szCs w:val="20"/>
              </w:rPr>
            </w:pPr>
            <w:r>
              <w:rPr>
                <w:rFonts w:cs="Times New Roman"/>
                <w:sz w:val="20"/>
                <w:szCs w:val="20"/>
              </w:rPr>
              <w:t xml:space="preserve"> </w:t>
            </w:r>
            <w:r w:rsidR="00AF4019">
              <w:rPr>
                <w:rFonts w:cs="Times New Roman"/>
                <w:sz w:val="20"/>
                <w:szCs w:val="20"/>
              </w:rPr>
              <w:t xml:space="preserve"> </w:t>
            </w:r>
          </w:p>
        </w:tc>
        <w:tc>
          <w:tcPr>
            <w:tcW w:w="278" w:type="pct"/>
          </w:tcPr>
          <w:p w14:paraId="08CFAE9C" w14:textId="77777777" w:rsidR="00092384" w:rsidRPr="009B7BA7" w:rsidRDefault="00092384" w:rsidP="00D218C8">
            <w:pPr>
              <w:rPr>
                <w:rFonts w:cs="Times New Roman"/>
                <w:b/>
                <w:sz w:val="20"/>
                <w:szCs w:val="20"/>
              </w:rPr>
            </w:pPr>
          </w:p>
        </w:tc>
      </w:tr>
      <w:tr w:rsidR="00736172" w:rsidRPr="009B7BA7" w14:paraId="08CFAEA0" w14:textId="77777777" w:rsidTr="002416A0">
        <w:trPr>
          <w:trHeight w:val="395"/>
        </w:trPr>
        <w:tc>
          <w:tcPr>
            <w:tcW w:w="4722" w:type="pct"/>
            <w:gridSpan w:val="2"/>
            <w:vAlign w:val="center"/>
          </w:tcPr>
          <w:p w14:paraId="08CFAE9E" w14:textId="77777777" w:rsidR="00736172" w:rsidRPr="009B7BA7" w:rsidRDefault="00736172" w:rsidP="009C201D">
            <w:pPr>
              <w:jc w:val="left"/>
              <w:rPr>
                <w:rFonts w:cs="Times New Roman"/>
                <w:b/>
                <w:sz w:val="20"/>
                <w:szCs w:val="20"/>
              </w:rPr>
            </w:pPr>
            <w:r>
              <w:rPr>
                <w:rFonts w:cs="Times New Roman"/>
                <w:b/>
                <w:sz w:val="20"/>
                <w:szCs w:val="20"/>
              </w:rPr>
              <w:lastRenderedPageBreak/>
              <w:t>Docket UE-1</w:t>
            </w:r>
            <w:r w:rsidR="009C201D">
              <w:rPr>
                <w:rFonts w:cs="Times New Roman"/>
                <w:b/>
                <w:sz w:val="20"/>
                <w:szCs w:val="20"/>
              </w:rPr>
              <w:t xml:space="preserve">32047 </w:t>
            </w:r>
            <w:r>
              <w:rPr>
                <w:rFonts w:cs="Times New Roman"/>
                <w:b/>
                <w:sz w:val="20"/>
                <w:szCs w:val="20"/>
              </w:rPr>
              <w:t>Order 0</w:t>
            </w:r>
            <w:r w:rsidR="00755B82">
              <w:rPr>
                <w:rFonts w:cs="Times New Roman"/>
                <w:b/>
                <w:sz w:val="20"/>
                <w:szCs w:val="20"/>
              </w:rPr>
              <w:t>1</w:t>
            </w:r>
            <w:r>
              <w:rPr>
                <w:rFonts w:cs="Times New Roman"/>
                <w:b/>
                <w:sz w:val="20"/>
                <w:szCs w:val="20"/>
              </w:rPr>
              <w:t xml:space="preserve"> (6) (h)</w:t>
            </w:r>
          </w:p>
        </w:tc>
        <w:tc>
          <w:tcPr>
            <w:tcW w:w="278" w:type="pct"/>
          </w:tcPr>
          <w:p w14:paraId="08CFAE9F" w14:textId="77777777" w:rsidR="00736172" w:rsidRPr="009B7BA7" w:rsidRDefault="00736172" w:rsidP="00D218C8">
            <w:pPr>
              <w:rPr>
                <w:rFonts w:cs="Times New Roman"/>
                <w:b/>
                <w:sz w:val="20"/>
                <w:szCs w:val="20"/>
              </w:rPr>
            </w:pPr>
          </w:p>
        </w:tc>
      </w:tr>
      <w:tr w:rsidR="00736172" w:rsidRPr="009B7BA7" w14:paraId="08CFAEA4" w14:textId="77777777" w:rsidTr="00755B82">
        <w:trPr>
          <w:trHeight w:val="395"/>
        </w:trPr>
        <w:tc>
          <w:tcPr>
            <w:tcW w:w="1797" w:type="pct"/>
            <w:vAlign w:val="center"/>
          </w:tcPr>
          <w:p w14:paraId="08CFAEA1" w14:textId="77777777" w:rsidR="00736172" w:rsidRPr="00736172" w:rsidRDefault="00736172" w:rsidP="00357532">
            <w:pPr>
              <w:jc w:val="left"/>
              <w:rPr>
                <w:rFonts w:cs="Times New Roman"/>
                <w:sz w:val="20"/>
                <w:szCs w:val="20"/>
              </w:rPr>
            </w:pPr>
            <w:r>
              <w:rPr>
                <w:rFonts w:cs="Times New Roman"/>
                <w:sz w:val="20"/>
                <w:szCs w:val="20"/>
              </w:rPr>
              <w:t>PacifiCorp</w:t>
            </w:r>
            <w:r w:rsidR="00357532">
              <w:rPr>
                <w:rFonts w:cs="Times New Roman"/>
                <w:sz w:val="20"/>
                <w:szCs w:val="20"/>
              </w:rPr>
              <w:t xml:space="preserve"> will continue to pursue regional electric market transformation.  </w:t>
            </w:r>
          </w:p>
        </w:tc>
        <w:tc>
          <w:tcPr>
            <w:tcW w:w="2925" w:type="pct"/>
          </w:tcPr>
          <w:p w14:paraId="08CFAEA2" w14:textId="77777777" w:rsidR="00736172" w:rsidRPr="00736172" w:rsidRDefault="00357532" w:rsidP="00357532">
            <w:pPr>
              <w:jc w:val="left"/>
              <w:rPr>
                <w:rFonts w:cs="Times New Roman"/>
                <w:sz w:val="20"/>
                <w:szCs w:val="20"/>
              </w:rPr>
            </w:pPr>
            <w:r>
              <w:rPr>
                <w:rFonts w:cs="Times New Roman"/>
                <w:sz w:val="20"/>
                <w:szCs w:val="20"/>
              </w:rPr>
              <w:t xml:space="preserve">  The Northwest Energy Efficiency Alliance (NEEA) is the regional entity that pursues electric market transformation on behalf of their funders. PacifiCorp funded NEEA for the 2014-2015 period </w:t>
            </w:r>
            <w:r w:rsidR="000B0AE4">
              <w:rPr>
                <w:rFonts w:cs="Times New Roman"/>
                <w:sz w:val="20"/>
                <w:szCs w:val="20"/>
              </w:rPr>
              <w:t xml:space="preserve">and </w:t>
            </w:r>
            <w:r>
              <w:rPr>
                <w:rFonts w:cs="Times New Roman"/>
                <w:sz w:val="20"/>
                <w:szCs w:val="20"/>
              </w:rPr>
              <w:t xml:space="preserve">will continue to do so under the terms of the 2015-2019 </w:t>
            </w:r>
            <w:r w:rsidR="0056680C">
              <w:rPr>
                <w:rFonts w:cs="Times New Roman"/>
                <w:sz w:val="20"/>
                <w:szCs w:val="20"/>
              </w:rPr>
              <w:t>funding agreement</w:t>
            </w:r>
            <w:r>
              <w:rPr>
                <w:rFonts w:cs="Times New Roman"/>
                <w:sz w:val="20"/>
                <w:szCs w:val="20"/>
              </w:rPr>
              <w:t xml:space="preserve">.  </w:t>
            </w:r>
            <w:r w:rsidR="00755B82">
              <w:rPr>
                <w:rFonts w:cs="Times New Roman"/>
                <w:sz w:val="20"/>
                <w:szCs w:val="20"/>
              </w:rPr>
              <w:t xml:space="preserve"> </w:t>
            </w:r>
          </w:p>
        </w:tc>
        <w:tc>
          <w:tcPr>
            <w:tcW w:w="278" w:type="pct"/>
          </w:tcPr>
          <w:p w14:paraId="08CFAEA3" w14:textId="77777777" w:rsidR="00736172" w:rsidRPr="00755B82" w:rsidRDefault="00736172" w:rsidP="00755B82">
            <w:pPr>
              <w:pStyle w:val="ListParagraph"/>
              <w:numPr>
                <w:ilvl w:val="0"/>
                <w:numId w:val="2"/>
              </w:numPr>
              <w:rPr>
                <w:rFonts w:cs="Times New Roman"/>
                <w:b/>
                <w:sz w:val="20"/>
                <w:szCs w:val="20"/>
              </w:rPr>
            </w:pPr>
          </w:p>
        </w:tc>
      </w:tr>
      <w:tr w:rsidR="00E64EAD" w:rsidRPr="009B7BA7" w14:paraId="08CFAEA7" w14:textId="77777777" w:rsidTr="002416A0">
        <w:trPr>
          <w:trHeight w:val="395"/>
        </w:trPr>
        <w:tc>
          <w:tcPr>
            <w:tcW w:w="4722" w:type="pct"/>
            <w:gridSpan w:val="2"/>
            <w:vAlign w:val="center"/>
          </w:tcPr>
          <w:p w14:paraId="08CFAEA5" w14:textId="77777777" w:rsidR="00E64EAD" w:rsidRPr="009B7BA7" w:rsidRDefault="00E64EAD" w:rsidP="009C201D">
            <w:pPr>
              <w:jc w:val="left"/>
              <w:rPr>
                <w:rFonts w:cs="Times New Roman"/>
                <w:b/>
                <w:sz w:val="20"/>
                <w:szCs w:val="20"/>
              </w:rPr>
            </w:pPr>
            <w:r w:rsidRPr="009B7BA7">
              <w:rPr>
                <w:rFonts w:cs="Times New Roman"/>
                <w:b/>
                <w:sz w:val="20"/>
                <w:szCs w:val="20"/>
              </w:rPr>
              <w:t>Docket UE-1</w:t>
            </w:r>
            <w:r w:rsidR="009C201D">
              <w:rPr>
                <w:rFonts w:cs="Times New Roman"/>
                <w:b/>
                <w:sz w:val="20"/>
                <w:szCs w:val="20"/>
              </w:rPr>
              <w:t xml:space="preserve">32047 </w:t>
            </w:r>
            <w:r w:rsidRPr="009B7BA7">
              <w:rPr>
                <w:rFonts w:cs="Times New Roman"/>
                <w:b/>
                <w:sz w:val="20"/>
                <w:szCs w:val="20"/>
              </w:rPr>
              <w:t>Order 0</w:t>
            </w:r>
            <w:r w:rsidR="00755B82">
              <w:rPr>
                <w:rFonts w:cs="Times New Roman"/>
                <w:b/>
                <w:sz w:val="20"/>
                <w:szCs w:val="20"/>
              </w:rPr>
              <w:t>1</w:t>
            </w:r>
            <w:r w:rsidRPr="009B7BA7">
              <w:rPr>
                <w:rFonts w:cs="Times New Roman"/>
                <w:b/>
                <w:sz w:val="20"/>
                <w:szCs w:val="20"/>
              </w:rPr>
              <w:t xml:space="preserve"> (7) (a)</w:t>
            </w:r>
          </w:p>
        </w:tc>
        <w:tc>
          <w:tcPr>
            <w:tcW w:w="278" w:type="pct"/>
          </w:tcPr>
          <w:p w14:paraId="08CFAEA6" w14:textId="77777777" w:rsidR="00E64EAD" w:rsidRPr="009B7BA7" w:rsidRDefault="00E64EAD" w:rsidP="00D218C8">
            <w:pPr>
              <w:rPr>
                <w:rFonts w:cs="Times New Roman"/>
                <w:b/>
                <w:sz w:val="20"/>
                <w:szCs w:val="20"/>
              </w:rPr>
            </w:pPr>
          </w:p>
        </w:tc>
      </w:tr>
      <w:tr w:rsidR="002416A0" w:rsidRPr="009B7BA7" w14:paraId="08CFAEAC" w14:textId="77777777" w:rsidTr="00092384">
        <w:trPr>
          <w:trHeight w:val="395"/>
        </w:trPr>
        <w:tc>
          <w:tcPr>
            <w:tcW w:w="1797" w:type="pct"/>
          </w:tcPr>
          <w:p w14:paraId="08CFAEA8" w14:textId="77777777" w:rsidR="0001091C" w:rsidRPr="009B7BA7" w:rsidRDefault="0001091C" w:rsidP="00D218C8">
            <w:pPr>
              <w:rPr>
                <w:rFonts w:cs="Times New Roman"/>
                <w:sz w:val="20"/>
                <w:szCs w:val="20"/>
              </w:rPr>
            </w:pPr>
            <w:r w:rsidRPr="009B7BA7">
              <w:rPr>
                <w:rFonts w:cs="Times New Roman"/>
                <w:sz w:val="20"/>
                <w:szCs w:val="20"/>
              </w:rPr>
              <w:t>PacifiCorp must offer a mix of tariff-based programs that ensure it is serving each customer sector, including limited income customers.</w:t>
            </w:r>
          </w:p>
        </w:tc>
        <w:tc>
          <w:tcPr>
            <w:tcW w:w="2925" w:type="pct"/>
          </w:tcPr>
          <w:p w14:paraId="08CFAEA9" w14:textId="77777777" w:rsidR="002416A0" w:rsidRDefault="00564893" w:rsidP="00564893">
            <w:pPr>
              <w:autoSpaceDE w:val="0"/>
              <w:autoSpaceDN w:val="0"/>
              <w:adjustRightInd w:val="0"/>
              <w:jc w:val="left"/>
              <w:rPr>
                <w:rFonts w:cs="Times New Roman"/>
                <w:sz w:val="20"/>
                <w:szCs w:val="20"/>
              </w:rPr>
            </w:pPr>
            <w:r>
              <w:rPr>
                <w:rFonts w:cs="Times New Roman"/>
                <w:sz w:val="20"/>
                <w:szCs w:val="20"/>
              </w:rPr>
              <w:t xml:space="preserve">For a full list of </w:t>
            </w:r>
            <w:r w:rsidR="002E7136">
              <w:rPr>
                <w:rFonts w:cs="Times New Roman"/>
                <w:sz w:val="20"/>
                <w:szCs w:val="20"/>
              </w:rPr>
              <w:t>PacifiCorp</w:t>
            </w:r>
            <w:r>
              <w:rPr>
                <w:rFonts w:cs="Times New Roman"/>
                <w:sz w:val="20"/>
                <w:szCs w:val="20"/>
              </w:rPr>
              <w:t xml:space="preserve"> programs s</w:t>
            </w:r>
            <w:r w:rsidR="00A36213">
              <w:rPr>
                <w:rFonts w:cs="Times New Roman"/>
                <w:sz w:val="20"/>
                <w:szCs w:val="20"/>
              </w:rPr>
              <w:t xml:space="preserve">ee </w:t>
            </w:r>
            <w:r w:rsidR="00A36213" w:rsidRPr="00F772FD">
              <w:rPr>
                <w:rFonts w:cs="Times New Roman"/>
                <w:sz w:val="20"/>
                <w:szCs w:val="20"/>
              </w:rPr>
              <w:t>Attachment A</w:t>
            </w:r>
            <w:r w:rsidR="00A36213">
              <w:rPr>
                <w:rFonts w:cs="Times New Roman"/>
                <w:sz w:val="20"/>
                <w:szCs w:val="20"/>
              </w:rPr>
              <w:t xml:space="preserve">, </w:t>
            </w:r>
            <w:r>
              <w:rPr>
                <w:rFonts w:cs="Times New Roman"/>
                <w:sz w:val="20"/>
                <w:szCs w:val="20"/>
              </w:rPr>
              <w:t>“</w:t>
            </w:r>
            <w:r w:rsidR="00A36213" w:rsidRPr="00F772FD">
              <w:rPr>
                <w:rFonts w:cs="Times New Roman"/>
                <w:sz w:val="20"/>
                <w:szCs w:val="20"/>
              </w:rPr>
              <w:t>Demand-Side Management</w:t>
            </w:r>
            <w:r>
              <w:rPr>
                <w:rFonts w:cs="Times New Roman"/>
                <w:sz w:val="20"/>
                <w:szCs w:val="20"/>
              </w:rPr>
              <w:t xml:space="preserve"> </w:t>
            </w:r>
            <w:r w:rsidR="00A36213" w:rsidRPr="00F772FD">
              <w:rPr>
                <w:rFonts w:cs="Times New Roman"/>
                <w:sz w:val="20"/>
                <w:szCs w:val="20"/>
              </w:rPr>
              <w:t>Business Plan – Washington</w:t>
            </w:r>
            <w:r w:rsidR="00A36213">
              <w:rPr>
                <w:rFonts w:cs="Times New Roman"/>
                <w:sz w:val="20"/>
                <w:szCs w:val="20"/>
              </w:rPr>
              <w:t xml:space="preserve"> </w:t>
            </w:r>
            <w:r w:rsidR="00A36213" w:rsidRPr="00F772FD">
              <w:rPr>
                <w:rFonts w:cs="Times New Roman"/>
                <w:sz w:val="20"/>
                <w:szCs w:val="20"/>
              </w:rPr>
              <w:t>201</w:t>
            </w:r>
            <w:r w:rsidR="000C5D3C">
              <w:rPr>
                <w:rFonts w:cs="Times New Roman"/>
                <w:sz w:val="20"/>
                <w:szCs w:val="20"/>
              </w:rPr>
              <w:t>4</w:t>
            </w:r>
            <w:r w:rsidR="00A36213" w:rsidRPr="00F772FD">
              <w:rPr>
                <w:rFonts w:cs="Times New Roman"/>
                <w:sz w:val="20"/>
                <w:szCs w:val="20"/>
              </w:rPr>
              <w:t>–201</w:t>
            </w:r>
            <w:r w:rsidR="000C5D3C">
              <w:rPr>
                <w:rFonts w:cs="Times New Roman"/>
                <w:sz w:val="20"/>
                <w:szCs w:val="20"/>
              </w:rPr>
              <w:t>5</w:t>
            </w:r>
            <w:r>
              <w:rPr>
                <w:rFonts w:cs="Times New Roman"/>
                <w:sz w:val="20"/>
                <w:szCs w:val="20"/>
              </w:rPr>
              <w:t>”</w:t>
            </w:r>
            <w:r w:rsidR="00A36213" w:rsidRPr="009B7BA7">
              <w:rPr>
                <w:rFonts w:cs="Times New Roman"/>
                <w:sz w:val="20"/>
                <w:szCs w:val="20"/>
              </w:rPr>
              <w:t xml:space="preserve"> </w:t>
            </w:r>
            <w:r w:rsidR="00A36213">
              <w:rPr>
                <w:rFonts w:cs="Times New Roman"/>
                <w:sz w:val="20"/>
                <w:szCs w:val="20"/>
              </w:rPr>
              <w:t>filed in Docket UE-1</w:t>
            </w:r>
            <w:r w:rsidR="000C5D3C">
              <w:rPr>
                <w:rFonts w:cs="Times New Roman"/>
                <w:sz w:val="20"/>
                <w:szCs w:val="20"/>
              </w:rPr>
              <w:t>32047</w:t>
            </w:r>
            <w:r w:rsidR="00A36213">
              <w:rPr>
                <w:rFonts w:cs="Times New Roman"/>
                <w:sz w:val="20"/>
                <w:szCs w:val="20"/>
              </w:rPr>
              <w:t xml:space="preserve"> and the update</w:t>
            </w:r>
            <w:r w:rsidR="000C5D3C">
              <w:rPr>
                <w:rFonts w:cs="Times New Roman"/>
                <w:sz w:val="20"/>
                <w:szCs w:val="20"/>
              </w:rPr>
              <w:t>s</w:t>
            </w:r>
            <w:r w:rsidR="00A36213">
              <w:rPr>
                <w:rFonts w:cs="Times New Roman"/>
                <w:sz w:val="20"/>
                <w:szCs w:val="20"/>
              </w:rPr>
              <w:t xml:space="preserve"> to this business plan </w:t>
            </w:r>
            <w:r w:rsidR="000C5D3C">
              <w:rPr>
                <w:rFonts w:cs="Times New Roman"/>
                <w:sz w:val="20"/>
                <w:szCs w:val="20"/>
              </w:rPr>
              <w:t xml:space="preserve">described in the section of this document demonstrating compliance with Order 01 (5). </w:t>
            </w:r>
            <w:r w:rsidR="00A36213">
              <w:rPr>
                <w:rFonts w:cs="Times New Roman"/>
                <w:sz w:val="20"/>
                <w:szCs w:val="20"/>
              </w:rPr>
              <w:t xml:space="preserve">. Also reference </w:t>
            </w:r>
            <w:r w:rsidR="00A36213" w:rsidRPr="009B7BA7">
              <w:rPr>
                <w:rFonts w:cs="Times New Roman"/>
                <w:sz w:val="20"/>
                <w:szCs w:val="20"/>
              </w:rPr>
              <w:t xml:space="preserve">Appendix 7 to the </w:t>
            </w:r>
            <w:r w:rsidR="00A36213" w:rsidRPr="009B7BA7">
              <w:rPr>
                <w:rFonts w:eastAsiaTheme="majorEastAsia" w:cs="Times New Roman"/>
                <w:sz w:val="20"/>
                <w:szCs w:val="20"/>
              </w:rPr>
              <w:t>Ten-Year Conservation Potential and Biennial Conservation Target</w:t>
            </w:r>
            <w:r w:rsidR="00A36213" w:rsidRPr="009B7BA7">
              <w:rPr>
                <w:rFonts w:cs="Times New Roman"/>
                <w:sz w:val="20"/>
                <w:szCs w:val="20"/>
              </w:rPr>
              <w:t xml:space="preserve"> report, “PacifiCorp’s Washington Demand-side Management 201</w:t>
            </w:r>
            <w:r w:rsidR="000C5D3C">
              <w:rPr>
                <w:rFonts w:cs="Times New Roman"/>
                <w:sz w:val="20"/>
                <w:szCs w:val="20"/>
              </w:rPr>
              <w:t>6</w:t>
            </w:r>
            <w:r w:rsidR="00A36213" w:rsidRPr="009B7BA7">
              <w:rPr>
                <w:rFonts w:cs="Times New Roman"/>
                <w:sz w:val="20"/>
                <w:szCs w:val="20"/>
              </w:rPr>
              <w:t>-201</w:t>
            </w:r>
            <w:r w:rsidR="000C5D3C">
              <w:rPr>
                <w:rFonts w:cs="Times New Roman"/>
                <w:sz w:val="20"/>
                <w:szCs w:val="20"/>
              </w:rPr>
              <w:t>7</w:t>
            </w:r>
            <w:r w:rsidR="00A36213" w:rsidRPr="009B7BA7">
              <w:rPr>
                <w:rFonts w:cs="Times New Roman"/>
                <w:sz w:val="20"/>
                <w:szCs w:val="20"/>
              </w:rPr>
              <w:t xml:space="preserve"> Business Plan”</w:t>
            </w:r>
            <w:r w:rsidR="00A36213">
              <w:rPr>
                <w:rFonts w:cs="Times New Roman"/>
                <w:sz w:val="20"/>
                <w:szCs w:val="20"/>
              </w:rPr>
              <w:t xml:space="preserve"> filed in Docket UE-</w:t>
            </w:r>
            <w:r w:rsidR="00755B82">
              <w:rPr>
                <w:rFonts w:cs="Times New Roman"/>
                <w:sz w:val="20"/>
                <w:szCs w:val="20"/>
              </w:rPr>
              <w:t>1</w:t>
            </w:r>
            <w:r w:rsidR="000C5D3C">
              <w:rPr>
                <w:rFonts w:cs="Times New Roman"/>
                <w:sz w:val="20"/>
                <w:szCs w:val="20"/>
              </w:rPr>
              <w:t>5</w:t>
            </w:r>
            <w:r w:rsidR="00755B82">
              <w:rPr>
                <w:rFonts w:cs="Times New Roman"/>
                <w:sz w:val="20"/>
                <w:szCs w:val="20"/>
              </w:rPr>
              <w:t>20</w:t>
            </w:r>
            <w:r w:rsidR="000C5D3C">
              <w:rPr>
                <w:rFonts w:cs="Times New Roman"/>
                <w:sz w:val="20"/>
                <w:szCs w:val="20"/>
              </w:rPr>
              <w:t>72</w:t>
            </w:r>
            <w:r w:rsidR="00A36213">
              <w:rPr>
                <w:rFonts w:cs="Times New Roman"/>
                <w:sz w:val="20"/>
                <w:szCs w:val="20"/>
              </w:rPr>
              <w:t xml:space="preserve">. These </w:t>
            </w:r>
            <w:r w:rsidR="00EB2333">
              <w:rPr>
                <w:rFonts w:cs="Times New Roman"/>
                <w:sz w:val="20"/>
                <w:szCs w:val="20"/>
              </w:rPr>
              <w:t xml:space="preserve">business plans contain program details demonstrating the </w:t>
            </w:r>
            <w:r w:rsidR="00A36213">
              <w:rPr>
                <w:rFonts w:cs="Times New Roman"/>
                <w:sz w:val="20"/>
                <w:szCs w:val="20"/>
              </w:rPr>
              <w:t xml:space="preserve">breadth of program services available </w:t>
            </w:r>
            <w:r>
              <w:rPr>
                <w:rFonts w:cs="Times New Roman"/>
                <w:sz w:val="20"/>
                <w:szCs w:val="20"/>
              </w:rPr>
              <w:t xml:space="preserve">to Pacific Power customers to assist them with </w:t>
            </w:r>
            <w:r w:rsidR="009E2D29">
              <w:rPr>
                <w:rFonts w:cs="Times New Roman"/>
                <w:sz w:val="20"/>
                <w:szCs w:val="20"/>
              </w:rPr>
              <w:t xml:space="preserve">energy </w:t>
            </w:r>
            <w:r>
              <w:rPr>
                <w:rFonts w:cs="Times New Roman"/>
                <w:sz w:val="20"/>
                <w:szCs w:val="20"/>
              </w:rPr>
              <w:t xml:space="preserve">conservation. </w:t>
            </w:r>
            <w:r w:rsidR="0001091C" w:rsidRPr="009B7BA7">
              <w:rPr>
                <w:rFonts w:cs="Times New Roman"/>
                <w:sz w:val="20"/>
                <w:szCs w:val="20"/>
              </w:rPr>
              <w:t>Residential customers</w:t>
            </w:r>
            <w:r w:rsidR="00A36213">
              <w:rPr>
                <w:rFonts w:cs="Times New Roman"/>
                <w:sz w:val="20"/>
                <w:szCs w:val="20"/>
              </w:rPr>
              <w:t xml:space="preserve"> currently </w:t>
            </w:r>
            <w:r w:rsidR="0001091C" w:rsidRPr="009B7BA7">
              <w:rPr>
                <w:rFonts w:cs="Times New Roman"/>
                <w:sz w:val="20"/>
                <w:szCs w:val="20"/>
              </w:rPr>
              <w:t xml:space="preserve">have </w:t>
            </w:r>
            <w:r w:rsidR="000C5D3C">
              <w:rPr>
                <w:rFonts w:cs="Times New Roman"/>
                <w:sz w:val="20"/>
                <w:szCs w:val="20"/>
              </w:rPr>
              <w:t xml:space="preserve">three </w:t>
            </w:r>
            <w:r w:rsidR="0001091C" w:rsidRPr="009B7BA7">
              <w:rPr>
                <w:rFonts w:cs="Times New Roman"/>
                <w:sz w:val="20"/>
                <w:szCs w:val="20"/>
              </w:rPr>
              <w:t xml:space="preserve"> programs available, including a </w:t>
            </w:r>
            <w:r w:rsidR="00EB2333">
              <w:rPr>
                <w:rFonts w:cs="Times New Roman"/>
                <w:sz w:val="20"/>
                <w:szCs w:val="20"/>
              </w:rPr>
              <w:t xml:space="preserve">no cost </w:t>
            </w:r>
            <w:r w:rsidR="0001091C" w:rsidRPr="009B7BA7">
              <w:rPr>
                <w:rFonts w:cs="Times New Roman"/>
                <w:sz w:val="20"/>
                <w:szCs w:val="20"/>
              </w:rPr>
              <w:t>weatherization offer for income qualified customers</w:t>
            </w:r>
            <w:r w:rsidR="00EB2333">
              <w:rPr>
                <w:rFonts w:cs="Times New Roman"/>
                <w:sz w:val="20"/>
                <w:szCs w:val="20"/>
              </w:rPr>
              <w:t xml:space="preserve"> and comprehensive program with incentives for conservation projects/upgrades in both the new construction and retrofit markets. </w:t>
            </w:r>
            <w:r w:rsidR="0001091C" w:rsidRPr="009B7BA7">
              <w:rPr>
                <w:rFonts w:cs="Times New Roman"/>
                <w:sz w:val="20"/>
                <w:szCs w:val="20"/>
              </w:rPr>
              <w:t>Business customers have access to o</w:t>
            </w:r>
            <w:r w:rsidR="00755B82">
              <w:rPr>
                <w:rFonts w:cs="Times New Roman"/>
                <w:sz w:val="20"/>
                <w:szCs w:val="20"/>
              </w:rPr>
              <w:t>ne</w:t>
            </w:r>
            <w:r w:rsidR="0001091C" w:rsidRPr="009B7BA7">
              <w:rPr>
                <w:rFonts w:cs="Times New Roman"/>
                <w:sz w:val="20"/>
                <w:szCs w:val="20"/>
              </w:rPr>
              <w:t xml:space="preserve"> comprehensive program</w:t>
            </w:r>
            <w:r w:rsidR="000C5D3C">
              <w:rPr>
                <w:rFonts w:cs="Times New Roman"/>
                <w:sz w:val="20"/>
                <w:szCs w:val="20"/>
              </w:rPr>
              <w:t xml:space="preserve"> </w:t>
            </w:r>
            <w:r w:rsidR="0001091C" w:rsidRPr="009B7BA7">
              <w:rPr>
                <w:rFonts w:cs="Times New Roman"/>
                <w:sz w:val="20"/>
                <w:szCs w:val="20"/>
              </w:rPr>
              <w:t xml:space="preserve"> </w:t>
            </w:r>
            <w:r w:rsidR="00EB2333">
              <w:rPr>
                <w:rFonts w:cs="Times New Roman"/>
                <w:sz w:val="20"/>
                <w:szCs w:val="20"/>
              </w:rPr>
              <w:t xml:space="preserve">(also available to both the new construction and retrofit markets) </w:t>
            </w:r>
            <w:r w:rsidR="0001091C" w:rsidRPr="009B7BA7">
              <w:rPr>
                <w:rFonts w:cs="Times New Roman"/>
                <w:sz w:val="20"/>
                <w:szCs w:val="20"/>
              </w:rPr>
              <w:t>which provide both prescriptive (pre-calculated $/units) incentives and site specific calculated incentives</w:t>
            </w:r>
            <w:r w:rsidR="00EB2333">
              <w:rPr>
                <w:rFonts w:cs="Times New Roman"/>
                <w:sz w:val="20"/>
                <w:szCs w:val="20"/>
              </w:rPr>
              <w:t>. I</w:t>
            </w:r>
            <w:r w:rsidR="0001091C" w:rsidRPr="009B7BA7">
              <w:rPr>
                <w:rFonts w:cs="Times New Roman"/>
                <w:sz w:val="20"/>
                <w:szCs w:val="20"/>
              </w:rPr>
              <w:t xml:space="preserve">n addition, NEEA delivers regional initiatives </w:t>
            </w:r>
            <w:r>
              <w:rPr>
                <w:rFonts w:cs="Times New Roman"/>
                <w:sz w:val="20"/>
                <w:szCs w:val="20"/>
              </w:rPr>
              <w:t xml:space="preserve">benefiting </w:t>
            </w:r>
            <w:r w:rsidR="0001091C" w:rsidRPr="009B7BA7">
              <w:rPr>
                <w:rFonts w:cs="Times New Roman"/>
                <w:sz w:val="20"/>
                <w:szCs w:val="20"/>
              </w:rPr>
              <w:t>customer</w:t>
            </w:r>
            <w:r>
              <w:rPr>
                <w:rFonts w:cs="Times New Roman"/>
                <w:sz w:val="20"/>
                <w:szCs w:val="20"/>
              </w:rPr>
              <w:t xml:space="preserve">s across all customer groups. </w:t>
            </w:r>
            <w:r w:rsidR="00EB2333">
              <w:rPr>
                <w:rFonts w:cs="Times New Roman"/>
                <w:sz w:val="20"/>
                <w:szCs w:val="20"/>
              </w:rPr>
              <w:t xml:space="preserve"> </w:t>
            </w:r>
          </w:p>
          <w:p w14:paraId="08CFAEAA" w14:textId="77777777" w:rsidR="002416A0" w:rsidRPr="009B7BA7" w:rsidRDefault="002416A0" w:rsidP="00564893">
            <w:pPr>
              <w:autoSpaceDE w:val="0"/>
              <w:autoSpaceDN w:val="0"/>
              <w:adjustRightInd w:val="0"/>
              <w:jc w:val="left"/>
              <w:rPr>
                <w:rFonts w:cs="Times New Roman"/>
                <w:sz w:val="20"/>
                <w:szCs w:val="20"/>
              </w:rPr>
            </w:pPr>
          </w:p>
        </w:tc>
        <w:tc>
          <w:tcPr>
            <w:tcW w:w="278" w:type="pct"/>
          </w:tcPr>
          <w:p w14:paraId="08CFAEAB" w14:textId="77777777" w:rsidR="0001091C" w:rsidRPr="00F71712" w:rsidRDefault="0001091C" w:rsidP="00F71712">
            <w:pPr>
              <w:pStyle w:val="ListParagraph"/>
              <w:numPr>
                <w:ilvl w:val="0"/>
                <w:numId w:val="2"/>
              </w:numPr>
              <w:rPr>
                <w:rFonts w:cs="Times New Roman"/>
                <w:sz w:val="20"/>
                <w:szCs w:val="20"/>
              </w:rPr>
            </w:pPr>
          </w:p>
        </w:tc>
      </w:tr>
      <w:tr w:rsidR="0001091C" w:rsidRPr="009B7BA7" w14:paraId="08CFAEAF" w14:textId="77777777" w:rsidTr="002416A0">
        <w:trPr>
          <w:trHeight w:val="395"/>
        </w:trPr>
        <w:tc>
          <w:tcPr>
            <w:tcW w:w="4722" w:type="pct"/>
            <w:gridSpan w:val="2"/>
            <w:vAlign w:val="center"/>
          </w:tcPr>
          <w:p w14:paraId="08CFAEAD" w14:textId="77777777" w:rsidR="0001091C" w:rsidRPr="009B7BA7" w:rsidRDefault="0001091C" w:rsidP="009C201D">
            <w:pPr>
              <w:jc w:val="left"/>
              <w:rPr>
                <w:rFonts w:cs="Times New Roman"/>
                <w:b/>
                <w:sz w:val="20"/>
                <w:szCs w:val="20"/>
              </w:rPr>
            </w:pPr>
            <w:r w:rsidRPr="009B7BA7">
              <w:rPr>
                <w:rFonts w:cs="Times New Roman"/>
                <w:b/>
                <w:sz w:val="20"/>
                <w:szCs w:val="20"/>
              </w:rPr>
              <w:t>Docket UE-1</w:t>
            </w:r>
            <w:r w:rsidR="009C201D">
              <w:rPr>
                <w:rFonts w:cs="Times New Roman"/>
                <w:b/>
                <w:sz w:val="20"/>
                <w:szCs w:val="20"/>
              </w:rPr>
              <w:t xml:space="preserve">32047 </w:t>
            </w:r>
            <w:r w:rsidRPr="009B7BA7">
              <w:rPr>
                <w:rFonts w:cs="Times New Roman"/>
                <w:b/>
                <w:sz w:val="20"/>
                <w:szCs w:val="20"/>
              </w:rPr>
              <w:t>Order 0</w:t>
            </w:r>
            <w:r w:rsidR="00755B82">
              <w:rPr>
                <w:rFonts w:cs="Times New Roman"/>
                <w:b/>
                <w:sz w:val="20"/>
                <w:szCs w:val="20"/>
              </w:rPr>
              <w:t>1</w:t>
            </w:r>
            <w:r w:rsidRPr="009B7BA7">
              <w:rPr>
                <w:rFonts w:cs="Times New Roman"/>
                <w:b/>
                <w:sz w:val="20"/>
                <w:szCs w:val="20"/>
              </w:rPr>
              <w:t xml:space="preserve"> (7) (b)</w:t>
            </w:r>
          </w:p>
        </w:tc>
        <w:tc>
          <w:tcPr>
            <w:tcW w:w="278" w:type="pct"/>
          </w:tcPr>
          <w:p w14:paraId="08CFAEAE" w14:textId="77777777" w:rsidR="0001091C" w:rsidRPr="009B7BA7" w:rsidRDefault="0001091C" w:rsidP="00D218C8">
            <w:pPr>
              <w:rPr>
                <w:rFonts w:cs="Times New Roman"/>
                <w:b/>
                <w:sz w:val="20"/>
                <w:szCs w:val="20"/>
              </w:rPr>
            </w:pPr>
          </w:p>
        </w:tc>
      </w:tr>
      <w:tr w:rsidR="002416A0" w:rsidRPr="009B7BA7" w14:paraId="08CFAEBC" w14:textId="77777777" w:rsidTr="00092384">
        <w:trPr>
          <w:trHeight w:val="395"/>
        </w:trPr>
        <w:tc>
          <w:tcPr>
            <w:tcW w:w="1797" w:type="pct"/>
          </w:tcPr>
          <w:p w14:paraId="08CFAEB0" w14:textId="77777777" w:rsidR="0001091C" w:rsidRDefault="0001091C" w:rsidP="00D218C8">
            <w:pPr>
              <w:rPr>
                <w:rFonts w:cs="Times New Roman"/>
                <w:sz w:val="20"/>
                <w:szCs w:val="20"/>
              </w:rPr>
            </w:pPr>
            <w:r w:rsidRPr="009B7BA7">
              <w:rPr>
                <w:rFonts w:cs="Times New Roman"/>
                <w:sz w:val="20"/>
                <w:szCs w:val="20"/>
              </w:rPr>
              <w:t>PacifiCorp must establish a strategy and proposed total planned expenditures for informing participants about program opportunities. The planned expenditures will include expenditures by PacifiCorp directly and not those of the Company’s third party program delivery administrators who are primarily or solely contracted for program delivery.  PacifiCorp will share these strategies and expenditures with the Advisory Group for review and comments.</w:t>
            </w:r>
          </w:p>
          <w:p w14:paraId="08CFAEB1" w14:textId="77777777" w:rsidR="002416A0" w:rsidRPr="009B7BA7" w:rsidRDefault="002416A0" w:rsidP="00D218C8">
            <w:pPr>
              <w:rPr>
                <w:rFonts w:cs="Times New Roman"/>
                <w:sz w:val="20"/>
                <w:szCs w:val="20"/>
              </w:rPr>
            </w:pPr>
          </w:p>
        </w:tc>
        <w:tc>
          <w:tcPr>
            <w:tcW w:w="2925" w:type="pct"/>
          </w:tcPr>
          <w:p w14:paraId="08CFAEB2" w14:textId="77777777" w:rsidR="00D17816" w:rsidRPr="00D17816" w:rsidRDefault="00D17816" w:rsidP="002216DB">
            <w:pPr>
              <w:rPr>
                <w:rFonts w:cs="Times New Roman"/>
                <w:sz w:val="20"/>
                <w:szCs w:val="20"/>
              </w:rPr>
            </w:pPr>
            <w:r w:rsidRPr="00B475C7">
              <w:rPr>
                <w:bCs/>
                <w:sz w:val="20"/>
                <w:szCs w:val="20"/>
              </w:rPr>
              <w:t xml:space="preserve">In 2011, the Company </w:t>
            </w:r>
            <w:r w:rsidRPr="00B475C7">
              <w:rPr>
                <w:sz w:val="20"/>
                <w:szCs w:val="20"/>
              </w:rPr>
              <w:t xml:space="preserve">implemented </w:t>
            </w:r>
            <w:r w:rsidRPr="00B475C7">
              <w:rPr>
                <w:b/>
                <w:i/>
                <w:sz w:val="20"/>
                <w:szCs w:val="20"/>
              </w:rPr>
              <w:t>watts</w:t>
            </w:r>
            <w:r w:rsidRPr="00B475C7">
              <w:rPr>
                <w:sz w:val="20"/>
                <w:szCs w:val="20"/>
              </w:rPr>
              <w:t xml:space="preserve">mart, the demand-side management communication and outreach campaign. The </w:t>
            </w:r>
            <w:r w:rsidRPr="00B475C7">
              <w:rPr>
                <w:b/>
                <w:i/>
                <w:sz w:val="20"/>
                <w:szCs w:val="20"/>
              </w:rPr>
              <w:t>watts</w:t>
            </w:r>
            <w:r w:rsidRPr="00B475C7">
              <w:rPr>
                <w:sz w:val="20"/>
                <w:szCs w:val="20"/>
              </w:rPr>
              <w:t>mart program was put into action to meet the program design principle conditions of Order 2 in Docket No. UE 100170 specific to energy efficiency program outreach</w:t>
            </w:r>
            <w:r>
              <w:rPr>
                <w:sz w:val="20"/>
                <w:szCs w:val="20"/>
              </w:rPr>
              <w:t>.</w:t>
            </w:r>
          </w:p>
          <w:p w14:paraId="08CFAEB3" w14:textId="77777777" w:rsidR="00D17816" w:rsidRDefault="00D17816" w:rsidP="002216DB">
            <w:pPr>
              <w:rPr>
                <w:rFonts w:cs="Times New Roman"/>
                <w:sz w:val="20"/>
                <w:szCs w:val="20"/>
              </w:rPr>
            </w:pPr>
          </w:p>
          <w:p w14:paraId="08CFAEB4" w14:textId="77777777" w:rsidR="00D17816" w:rsidRDefault="00D17816" w:rsidP="002216DB">
            <w:pPr>
              <w:rPr>
                <w:rFonts w:cs="Times New Roman"/>
                <w:sz w:val="20"/>
                <w:szCs w:val="20"/>
              </w:rPr>
            </w:pPr>
            <w:r>
              <w:rPr>
                <w:rFonts w:cs="Times New Roman"/>
                <w:sz w:val="20"/>
                <w:szCs w:val="20"/>
              </w:rPr>
              <w:t>Information and costs associated with the 201</w:t>
            </w:r>
            <w:r w:rsidR="0074466C">
              <w:rPr>
                <w:rFonts w:cs="Times New Roman"/>
                <w:sz w:val="20"/>
                <w:szCs w:val="20"/>
              </w:rPr>
              <w:t>4</w:t>
            </w:r>
            <w:r>
              <w:rPr>
                <w:rFonts w:cs="Times New Roman"/>
                <w:sz w:val="20"/>
                <w:szCs w:val="20"/>
              </w:rPr>
              <w:t>-201</w:t>
            </w:r>
            <w:r w:rsidR="0074466C">
              <w:rPr>
                <w:rFonts w:cs="Times New Roman"/>
                <w:sz w:val="20"/>
                <w:szCs w:val="20"/>
              </w:rPr>
              <w:t>5</w:t>
            </w:r>
            <w:r>
              <w:rPr>
                <w:rFonts w:cs="Times New Roman"/>
                <w:sz w:val="20"/>
                <w:szCs w:val="20"/>
              </w:rPr>
              <w:t xml:space="preserve"> Outreach and Communications plan were provided in Appendix 7, DSM Business Plan, to the company’s Ten-Year Conservation Potential and Biennial Conservation Target report filed in Docke</w:t>
            </w:r>
            <w:r w:rsidR="000E00FE">
              <w:rPr>
                <w:rFonts w:cs="Times New Roman"/>
                <w:sz w:val="20"/>
                <w:szCs w:val="20"/>
              </w:rPr>
              <w:t>t</w:t>
            </w:r>
            <w:r>
              <w:rPr>
                <w:rFonts w:cs="Times New Roman"/>
                <w:sz w:val="20"/>
                <w:szCs w:val="20"/>
              </w:rPr>
              <w:t xml:space="preserve"> UE -1</w:t>
            </w:r>
            <w:r w:rsidR="0074466C">
              <w:rPr>
                <w:rFonts w:cs="Times New Roman"/>
                <w:sz w:val="20"/>
                <w:szCs w:val="20"/>
              </w:rPr>
              <w:t xml:space="preserve">32047 </w:t>
            </w:r>
            <w:r w:rsidR="000E00FE">
              <w:rPr>
                <w:rFonts w:cs="Times New Roman"/>
                <w:sz w:val="20"/>
                <w:szCs w:val="20"/>
              </w:rPr>
              <w:t xml:space="preserve"> in </w:t>
            </w:r>
            <w:r w:rsidR="0074466C">
              <w:rPr>
                <w:rFonts w:cs="Times New Roman"/>
                <w:sz w:val="20"/>
                <w:szCs w:val="20"/>
              </w:rPr>
              <w:t xml:space="preserve">November </w:t>
            </w:r>
            <w:r w:rsidR="000E00FE">
              <w:rPr>
                <w:rFonts w:cs="Times New Roman"/>
                <w:sz w:val="20"/>
                <w:szCs w:val="20"/>
              </w:rPr>
              <w:t>, 201</w:t>
            </w:r>
            <w:r w:rsidR="0074466C">
              <w:rPr>
                <w:rFonts w:cs="Times New Roman"/>
                <w:sz w:val="20"/>
                <w:szCs w:val="20"/>
              </w:rPr>
              <w:t>3</w:t>
            </w:r>
            <w:r>
              <w:rPr>
                <w:rFonts w:cs="Times New Roman"/>
                <w:sz w:val="20"/>
                <w:szCs w:val="20"/>
              </w:rPr>
              <w:t xml:space="preserve">. </w:t>
            </w:r>
          </w:p>
          <w:p w14:paraId="08CFAEB5" w14:textId="77777777" w:rsidR="002216DB" w:rsidRDefault="002216DB" w:rsidP="002216DB">
            <w:pPr>
              <w:rPr>
                <w:rFonts w:cs="Times New Roman"/>
                <w:sz w:val="20"/>
                <w:szCs w:val="20"/>
              </w:rPr>
            </w:pPr>
          </w:p>
          <w:p w14:paraId="08CFAEB6" w14:textId="77777777" w:rsidR="00D17816" w:rsidRDefault="002216DB" w:rsidP="00755B82">
            <w:pPr>
              <w:rPr>
                <w:rFonts w:cs="Times New Roman"/>
                <w:sz w:val="20"/>
                <w:szCs w:val="20"/>
              </w:rPr>
            </w:pPr>
            <w:r>
              <w:rPr>
                <w:rFonts w:cs="Times New Roman"/>
                <w:sz w:val="20"/>
                <w:szCs w:val="20"/>
              </w:rPr>
              <w:t xml:space="preserve">Information and costs associated with the </w:t>
            </w:r>
            <w:r w:rsidR="0075239D">
              <w:rPr>
                <w:rFonts w:cs="Times New Roman"/>
                <w:sz w:val="20"/>
                <w:szCs w:val="20"/>
              </w:rPr>
              <w:t>201</w:t>
            </w:r>
            <w:r w:rsidR="0074466C">
              <w:rPr>
                <w:rFonts w:cs="Times New Roman"/>
                <w:sz w:val="20"/>
                <w:szCs w:val="20"/>
              </w:rPr>
              <w:t>6</w:t>
            </w:r>
            <w:r w:rsidR="0075239D">
              <w:rPr>
                <w:rFonts w:cs="Times New Roman"/>
                <w:sz w:val="20"/>
                <w:szCs w:val="20"/>
              </w:rPr>
              <w:t>-201</w:t>
            </w:r>
            <w:r w:rsidR="0074466C">
              <w:rPr>
                <w:rFonts w:cs="Times New Roman"/>
                <w:sz w:val="20"/>
                <w:szCs w:val="20"/>
              </w:rPr>
              <w:t>7</w:t>
            </w:r>
            <w:r w:rsidR="0075239D">
              <w:rPr>
                <w:rFonts w:cs="Times New Roman"/>
                <w:sz w:val="20"/>
                <w:szCs w:val="20"/>
              </w:rPr>
              <w:t xml:space="preserve"> </w:t>
            </w:r>
            <w:r w:rsidR="0001091C" w:rsidRPr="009B7BA7">
              <w:rPr>
                <w:rFonts w:cs="Times New Roman"/>
                <w:sz w:val="20"/>
                <w:szCs w:val="20"/>
              </w:rPr>
              <w:t xml:space="preserve">Outreach and Communications plan </w:t>
            </w:r>
            <w:r w:rsidR="002B6922">
              <w:rPr>
                <w:rFonts w:cs="Times New Roman"/>
                <w:sz w:val="20"/>
                <w:szCs w:val="20"/>
              </w:rPr>
              <w:t>were</w:t>
            </w:r>
            <w:r>
              <w:rPr>
                <w:rFonts w:cs="Times New Roman"/>
                <w:sz w:val="20"/>
                <w:szCs w:val="20"/>
              </w:rPr>
              <w:t xml:space="preserve"> </w:t>
            </w:r>
            <w:r w:rsidR="0001091C" w:rsidRPr="009B7BA7">
              <w:rPr>
                <w:rFonts w:cs="Times New Roman"/>
                <w:sz w:val="20"/>
                <w:szCs w:val="20"/>
              </w:rPr>
              <w:t xml:space="preserve">provided </w:t>
            </w:r>
            <w:r>
              <w:rPr>
                <w:rFonts w:cs="Times New Roman"/>
                <w:sz w:val="20"/>
                <w:szCs w:val="20"/>
              </w:rPr>
              <w:t xml:space="preserve">in Appendix 7, </w:t>
            </w:r>
            <w:r w:rsidR="0001091C" w:rsidRPr="009B7BA7">
              <w:rPr>
                <w:rFonts w:cs="Times New Roman"/>
                <w:sz w:val="20"/>
                <w:szCs w:val="20"/>
              </w:rPr>
              <w:t xml:space="preserve">DSM Business Plan, </w:t>
            </w:r>
            <w:r>
              <w:rPr>
                <w:rFonts w:cs="Times New Roman"/>
                <w:sz w:val="20"/>
                <w:szCs w:val="20"/>
              </w:rPr>
              <w:t xml:space="preserve">to the company’s </w:t>
            </w:r>
            <w:r w:rsidR="0001091C" w:rsidRPr="00F64C1E">
              <w:rPr>
                <w:rFonts w:eastAsiaTheme="majorEastAsia" w:cs="Times New Roman"/>
                <w:sz w:val="20"/>
                <w:szCs w:val="20"/>
              </w:rPr>
              <w:t>Ten-Year Conservation Potential and Biennial Conservation Target</w:t>
            </w:r>
            <w:r w:rsidR="0001091C" w:rsidRPr="00F64C1E">
              <w:rPr>
                <w:sz w:val="20"/>
                <w:szCs w:val="20"/>
              </w:rPr>
              <w:t xml:space="preserve"> report</w:t>
            </w:r>
            <w:r w:rsidR="00D138EE">
              <w:rPr>
                <w:sz w:val="20"/>
                <w:szCs w:val="20"/>
              </w:rPr>
              <w:t xml:space="preserve"> filed in Docket UE-</w:t>
            </w:r>
            <w:r w:rsidR="00755B82">
              <w:rPr>
                <w:sz w:val="20"/>
                <w:szCs w:val="20"/>
              </w:rPr>
              <w:t>1</w:t>
            </w:r>
            <w:r w:rsidR="0074466C">
              <w:rPr>
                <w:sz w:val="20"/>
                <w:szCs w:val="20"/>
              </w:rPr>
              <w:t>52072</w:t>
            </w:r>
            <w:r w:rsidR="000E00FE">
              <w:rPr>
                <w:sz w:val="20"/>
                <w:szCs w:val="20"/>
              </w:rPr>
              <w:t xml:space="preserve"> in </w:t>
            </w:r>
            <w:r w:rsidR="0074466C">
              <w:rPr>
                <w:sz w:val="20"/>
                <w:szCs w:val="20"/>
              </w:rPr>
              <w:t xml:space="preserve">October 2015. </w:t>
            </w:r>
            <w:r w:rsidR="0001091C" w:rsidRPr="009B7BA7">
              <w:rPr>
                <w:rFonts w:cs="Times New Roman"/>
                <w:sz w:val="20"/>
                <w:szCs w:val="20"/>
              </w:rPr>
              <w:t>.</w:t>
            </w:r>
          </w:p>
          <w:p w14:paraId="08CFAEB7" w14:textId="77777777" w:rsidR="000E00FE" w:rsidRDefault="000E00FE" w:rsidP="00755B82">
            <w:pPr>
              <w:rPr>
                <w:rFonts w:cs="Times New Roman"/>
                <w:sz w:val="20"/>
                <w:szCs w:val="20"/>
              </w:rPr>
            </w:pPr>
          </w:p>
          <w:p w14:paraId="08CFAEB8" w14:textId="77777777" w:rsidR="000E00FE" w:rsidRDefault="000E00FE" w:rsidP="00755B82">
            <w:pPr>
              <w:rPr>
                <w:rFonts w:cs="Times New Roman"/>
                <w:sz w:val="20"/>
                <w:szCs w:val="20"/>
              </w:rPr>
            </w:pPr>
            <w:r>
              <w:rPr>
                <w:rFonts w:cs="Times New Roman"/>
                <w:sz w:val="20"/>
                <w:szCs w:val="20"/>
              </w:rPr>
              <w:t xml:space="preserve">Results on the implementation of the Company’s Outreach and Communications plans are provided in the Company’s Washington Annual Report on Conservation Acquisition filed  each year.  </w:t>
            </w:r>
          </w:p>
          <w:p w14:paraId="08CFAEB9" w14:textId="77777777" w:rsidR="00D17816" w:rsidRDefault="00D17816" w:rsidP="00D17816">
            <w:pPr>
              <w:rPr>
                <w:rFonts w:cs="Times New Roman"/>
                <w:sz w:val="20"/>
                <w:szCs w:val="20"/>
              </w:rPr>
            </w:pPr>
          </w:p>
          <w:p w14:paraId="08CFAEBA" w14:textId="77777777" w:rsidR="0001091C" w:rsidRPr="009B7BA7" w:rsidRDefault="000E00FE" w:rsidP="000E00FE">
            <w:pPr>
              <w:rPr>
                <w:rFonts w:cs="Times New Roman"/>
                <w:sz w:val="20"/>
                <w:szCs w:val="20"/>
              </w:rPr>
            </w:pPr>
            <w:r>
              <w:rPr>
                <w:rFonts w:cs="Times New Roman"/>
                <w:sz w:val="20"/>
                <w:szCs w:val="20"/>
              </w:rPr>
              <w:t xml:space="preserve">The Company provides all filings to the DSM </w:t>
            </w:r>
            <w:r w:rsidR="00D17816">
              <w:rPr>
                <w:rFonts w:cs="Times New Roman"/>
                <w:sz w:val="20"/>
                <w:szCs w:val="20"/>
              </w:rPr>
              <w:t xml:space="preserve">Advisory Group </w:t>
            </w:r>
            <w:r>
              <w:rPr>
                <w:rFonts w:cs="Times New Roman"/>
                <w:sz w:val="20"/>
                <w:szCs w:val="20"/>
              </w:rPr>
              <w:t xml:space="preserve">for review and comment prior to filing ensuring an opportunity for constructive feedback.  </w:t>
            </w:r>
            <w:r w:rsidR="0001091C" w:rsidRPr="009B7BA7">
              <w:rPr>
                <w:rFonts w:cs="Times New Roman"/>
                <w:sz w:val="20"/>
                <w:szCs w:val="20"/>
              </w:rPr>
              <w:t xml:space="preserve"> </w:t>
            </w:r>
          </w:p>
        </w:tc>
        <w:tc>
          <w:tcPr>
            <w:tcW w:w="278" w:type="pct"/>
          </w:tcPr>
          <w:p w14:paraId="08CFAEBB" w14:textId="77777777" w:rsidR="0001091C" w:rsidRPr="00D138EE" w:rsidRDefault="0001091C" w:rsidP="00D138EE">
            <w:pPr>
              <w:pStyle w:val="ListParagraph"/>
              <w:numPr>
                <w:ilvl w:val="0"/>
                <w:numId w:val="2"/>
              </w:numPr>
              <w:rPr>
                <w:rFonts w:cs="Times New Roman"/>
                <w:sz w:val="20"/>
                <w:szCs w:val="20"/>
              </w:rPr>
            </w:pPr>
          </w:p>
        </w:tc>
      </w:tr>
      <w:tr w:rsidR="0001091C" w:rsidRPr="009B7BA7" w14:paraId="08CFAEBF" w14:textId="77777777" w:rsidTr="002416A0">
        <w:trPr>
          <w:trHeight w:val="377"/>
        </w:trPr>
        <w:tc>
          <w:tcPr>
            <w:tcW w:w="4722" w:type="pct"/>
            <w:gridSpan w:val="2"/>
            <w:vAlign w:val="center"/>
          </w:tcPr>
          <w:p w14:paraId="08CFAEBD" w14:textId="77777777" w:rsidR="0001091C" w:rsidRPr="009B7BA7" w:rsidRDefault="0001091C" w:rsidP="009C201D">
            <w:pPr>
              <w:jc w:val="left"/>
              <w:rPr>
                <w:rFonts w:cs="Times New Roman"/>
                <w:b/>
                <w:sz w:val="20"/>
                <w:szCs w:val="20"/>
              </w:rPr>
            </w:pPr>
            <w:r w:rsidRPr="009B7BA7">
              <w:rPr>
                <w:rFonts w:cs="Times New Roman"/>
                <w:b/>
                <w:sz w:val="20"/>
                <w:szCs w:val="20"/>
              </w:rPr>
              <w:t>Docket UE-1</w:t>
            </w:r>
            <w:r w:rsidR="009C201D">
              <w:rPr>
                <w:rFonts w:cs="Times New Roman"/>
                <w:b/>
                <w:sz w:val="20"/>
                <w:szCs w:val="20"/>
              </w:rPr>
              <w:t xml:space="preserve">32047 </w:t>
            </w:r>
            <w:r w:rsidRPr="009B7BA7">
              <w:rPr>
                <w:rFonts w:cs="Times New Roman"/>
                <w:b/>
                <w:sz w:val="20"/>
                <w:szCs w:val="20"/>
              </w:rPr>
              <w:t>Order 0</w:t>
            </w:r>
            <w:r w:rsidR="00C67E79">
              <w:rPr>
                <w:rFonts w:cs="Times New Roman"/>
                <w:b/>
                <w:sz w:val="20"/>
                <w:szCs w:val="20"/>
              </w:rPr>
              <w:t>1</w:t>
            </w:r>
            <w:r w:rsidRPr="009B7BA7">
              <w:rPr>
                <w:rFonts w:cs="Times New Roman"/>
                <w:b/>
                <w:sz w:val="20"/>
                <w:szCs w:val="20"/>
              </w:rPr>
              <w:t xml:space="preserve"> (7) (c)</w:t>
            </w:r>
          </w:p>
        </w:tc>
        <w:tc>
          <w:tcPr>
            <w:tcW w:w="278" w:type="pct"/>
          </w:tcPr>
          <w:p w14:paraId="08CFAEBE" w14:textId="77777777" w:rsidR="0001091C" w:rsidRPr="009B7BA7" w:rsidRDefault="0001091C" w:rsidP="00D218C8">
            <w:pPr>
              <w:rPr>
                <w:rFonts w:cs="Times New Roman"/>
                <w:b/>
                <w:sz w:val="20"/>
                <w:szCs w:val="20"/>
              </w:rPr>
            </w:pPr>
          </w:p>
        </w:tc>
      </w:tr>
      <w:tr w:rsidR="002416A0" w:rsidRPr="009B7BA7" w14:paraId="08CFAEC8" w14:textId="77777777" w:rsidTr="00092384">
        <w:trPr>
          <w:trHeight w:val="395"/>
        </w:trPr>
        <w:tc>
          <w:tcPr>
            <w:tcW w:w="1797" w:type="pct"/>
          </w:tcPr>
          <w:p w14:paraId="08CFAEC0" w14:textId="77777777" w:rsidR="0001091C" w:rsidRDefault="0001091C" w:rsidP="00D218C8">
            <w:pPr>
              <w:rPr>
                <w:rFonts w:cs="Times New Roman"/>
                <w:sz w:val="20"/>
                <w:szCs w:val="20"/>
              </w:rPr>
            </w:pPr>
            <w:r w:rsidRPr="009B7BA7">
              <w:rPr>
                <w:rFonts w:cs="Times New Roman"/>
                <w:sz w:val="20"/>
                <w:szCs w:val="20"/>
              </w:rPr>
              <w:lastRenderedPageBreak/>
              <w:t>PacifiCorp must offer a cost-effective portfolio of programs in order to achieve all available conservation that is cost-effective, reliable and feasible. Programs, program services, and incentives may be directed to consumers, retailers, manufacturers, trade allies or other relevant market actors as appropriate for measures or activities that lead to electric energy savings.  Incentive levels and other methods of encouraging energy conservation need to be examined periodically for effectiveness in fulfilling the Company’s obligation under WAC 480</w:t>
            </w:r>
            <w:r w:rsidRPr="009B7BA7">
              <w:rPr>
                <w:rFonts w:cs="Times New Roman"/>
                <w:sz w:val="20"/>
                <w:szCs w:val="20"/>
              </w:rPr>
              <w:noBreakHyphen/>
              <w:t>109.  To the degree the portfolio remains cost-effective, incentive levels and implementation methods should not unnecessarily limit the acquisition of all achievable energy conservation.</w:t>
            </w:r>
          </w:p>
          <w:p w14:paraId="08CFAEC1" w14:textId="77777777" w:rsidR="002416A0" w:rsidRPr="009B7BA7" w:rsidRDefault="002416A0" w:rsidP="00D218C8">
            <w:pPr>
              <w:rPr>
                <w:rFonts w:cs="Times New Roman"/>
                <w:sz w:val="20"/>
                <w:szCs w:val="20"/>
              </w:rPr>
            </w:pPr>
          </w:p>
        </w:tc>
        <w:tc>
          <w:tcPr>
            <w:tcW w:w="2925" w:type="pct"/>
          </w:tcPr>
          <w:p w14:paraId="08CFAEC2" w14:textId="77777777" w:rsidR="00C52940" w:rsidRDefault="007A13CF" w:rsidP="00A172C7">
            <w:pPr>
              <w:rPr>
                <w:rFonts w:cs="Times New Roman"/>
                <w:color w:val="000000" w:themeColor="text1"/>
                <w:sz w:val="20"/>
                <w:szCs w:val="20"/>
              </w:rPr>
            </w:pPr>
            <w:r>
              <w:rPr>
                <w:rFonts w:cs="Times New Roman"/>
                <w:color w:val="000000" w:themeColor="text1"/>
                <w:sz w:val="20"/>
                <w:szCs w:val="20"/>
              </w:rPr>
              <w:t xml:space="preserve">Pacific Power conservation programs are prospectively analyzed for cost-effectiveness </w:t>
            </w:r>
            <w:r w:rsidR="00C52940">
              <w:rPr>
                <w:rFonts w:cs="Times New Roman"/>
                <w:color w:val="000000" w:themeColor="text1"/>
                <w:sz w:val="20"/>
                <w:szCs w:val="20"/>
              </w:rPr>
              <w:t xml:space="preserve">as proposed (new programs) </w:t>
            </w:r>
            <w:r>
              <w:rPr>
                <w:rFonts w:cs="Times New Roman"/>
                <w:color w:val="000000" w:themeColor="text1"/>
                <w:sz w:val="20"/>
                <w:szCs w:val="20"/>
              </w:rPr>
              <w:t xml:space="preserve">and </w:t>
            </w:r>
            <w:r w:rsidR="00C52940">
              <w:rPr>
                <w:rFonts w:cs="Times New Roman"/>
                <w:color w:val="000000" w:themeColor="text1"/>
                <w:sz w:val="20"/>
                <w:szCs w:val="20"/>
              </w:rPr>
              <w:t xml:space="preserve">as part of the filing of biennial business plans required under I-937 (existing programs). They are also analyzed </w:t>
            </w:r>
            <w:r>
              <w:rPr>
                <w:rFonts w:cs="Times New Roman"/>
                <w:color w:val="000000" w:themeColor="text1"/>
                <w:sz w:val="20"/>
                <w:szCs w:val="20"/>
              </w:rPr>
              <w:t xml:space="preserve">retrospectively in the </w:t>
            </w:r>
            <w:r w:rsidR="00C94C3A">
              <w:rPr>
                <w:rFonts w:cs="Times New Roman"/>
                <w:color w:val="000000" w:themeColor="text1"/>
                <w:sz w:val="20"/>
                <w:szCs w:val="20"/>
              </w:rPr>
              <w:t xml:space="preserve">filed </w:t>
            </w:r>
            <w:r>
              <w:rPr>
                <w:rFonts w:cs="Times New Roman"/>
                <w:color w:val="000000" w:themeColor="text1"/>
                <w:sz w:val="20"/>
                <w:szCs w:val="20"/>
              </w:rPr>
              <w:t>annual reports on conservation acquisitions</w:t>
            </w:r>
            <w:r w:rsidR="00C52940">
              <w:rPr>
                <w:rFonts w:cs="Times New Roman"/>
                <w:color w:val="000000" w:themeColor="text1"/>
                <w:sz w:val="20"/>
                <w:szCs w:val="20"/>
              </w:rPr>
              <w:t xml:space="preserve"> </w:t>
            </w:r>
            <w:r>
              <w:rPr>
                <w:rFonts w:cs="Times New Roman"/>
                <w:color w:val="000000" w:themeColor="text1"/>
                <w:sz w:val="20"/>
                <w:szCs w:val="20"/>
              </w:rPr>
              <w:t xml:space="preserve"> and </w:t>
            </w:r>
            <w:r w:rsidR="00C52940">
              <w:rPr>
                <w:rFonts w:cs="Times New Roman"/>
                <w:color w:val="000000" w:themeColor="text1"/>
                <w:sz w:val="20"/>
                <w:szCs w:val="20"/>
              </w:rPr>
              <w:t xml:space="preserve">on a two year basis by third-party consultants conducting independent impact and process evaluations. </w:t>
            </w:r>
          </w:p>
          <w:p w14:paraId="08CFAEC3" w14:textId="77777777" w:rsidR="00C52940" w:rsidRDefault="00C52940" w:rsidP="00A172C7">
            <w:pPr>
              <w:rPr>
                <w:rFonts w:cs="Times New Roman"/>
                <w:color w:val="000000" w:themeColor="text1"/>
                <w:sz w:val="20"/>
                <w:szCs w:val="20"/>
              </w:rPr>
            </w:pPr>
          </w:p>
          <w:p w14:paraId="08CFAEC4" w14:textId="77777777" w:rsidR="00C52940" w:rsidRDefault="00C52940" w:rsidP="00A46F93">
            <w:pPr>
              <w:rPr>
                <w:rFonts w:cs="Times New Roman"/>
                <w:color w:val="000000" w:themeColor="text1"/>
                <w:sz w:val="20"/>
                <w:szCs w:val="20"/>
              </w:rPr>
            </w:pPr>
            <w:r>
              <w:rPr>
                <w:rFonts w:cs="Times New Roman"/>
                <w:color w:val="000000" w:themeColor="text1"/>
                <w:sz w:val="20"/>
                <w:szCs w:val="20"/>
              </w:rPr>
              <w:t xml:space="preserve">Cost-effectiveness is also run prospectively to evaluate program changes that may be proposed in between business plan updates. Collectively these reviews ensure the </w:t>
            </w:r>
            <w:r w:rsidR="00C67E79">
              <w:rPr>
                <w:rFonts w:cs="Times New Roman"/>
                <w:color w:val="000000" w:themeColor="text1"/>
                <w:sz w:val="20"/>
                <w:szCs w:val="20"/>
              </w:rPr>
              <w:t>C</w:t>
            </w:r>
            <w:r>
              <w:rPr>
                <w:rFonts w:cs="Times New Roman"/>
                <w:color w:val="000000" w:themeColor="text1"/>
                <w:sz w:val="20"/>
                <w:szCs w:val="20"/>
              </w:rPr>
              <w:t xml:space="preserve">ompany maintains a cost-effective conservation portfolio and has the information needed to assist in program design changes to maximize program performance.  </w:t>
            </w:r>
          </w:p>
          <w:p w14:paraId="08CFAEC5" w14:textId="77777777" w:rsidR="00A46F93" w:rsidRDefault="00A46F93" w:rsidP="00A46F93">
            <w:pPr>
              <w:rPr>
                <w:rFonts w:cs="Times New Roman"/>
                <w:color w:val="000000" w:themeColor="text1"/>
                <w:sz w:val="20"/>
                <w:szCs w:val="20"/>
              </w:rPr>
            </w:pPr>
          </w:p>
          <w:p w14:paraId="08CFAEC6" w14:textId="77777777" w:rsidR="00A46F93" w:rsidRPr="00A172C7" w:rsidRDefault="00A46F93" w:rsidP="00732E9D">
            <w:pPr>
              <w:rPr>
                <w:rFonts w:cs="Times New Roman"/>
                <w:color w:val="000000" w:themeColor="text1"/>
                <w:sz w:val="20"/>
                <w:szCs w:val="20"/>
              </w:rPr>
            </w:pPr>
            <w:r>
              <w:rPr>
                <w:rFonts w:cs="Times New Roman"/>
                <w:color w:val="000000" w:themeColor="text1"/>
                <w:sz w:val="20"/>
                <w:szCs w:val="20"/>
              </w:rPr>
              <w:t xml:space="preserve">The company offers a broad range of programs, program services and incentives. Program improvements, including new measures and incentive levels, are reviewed and updated periodically. </w:t>
            </w:r>
            <w:r w:rsidRPr="00A46F93">
              <w:rPr>
                <w:rFonts w:cs="Times New Roman"/>
                <w:color w:val="000000" w:themeColor="text1"/>
                <w:sz w:val="20"/>
                <w:szCs w:val="20"/>
              </w:rPr>
              <w:t xml:space="preserve">Program updates and improvements were made </w:t>
            </w:r>
            <w:r w:rsidR="00C94C3A">
              <w:rPr>
                <w:rFonts w:cs="Times New Roman"/>
                <w:color w:val="000000" w:themeColor="text1"/>
                <w:sz w:val="20"/>
                <w:szCs w:val="20"/>
              </w:rPr>
              <w:t xml:space="preserve">throughout the biennial period </w:t>
            </w:r>
            <w:r w:rsidR="00FD01D0">
              <w:rPr>
                <w:rFonts w:cs="Times New Roman"/>
                <w:color w:val="000000" w:themeColor="text1"/>
                <w:sz w:val="20"/>
                <w:szCs w:val="20"/>
              </w:rPr>
              <w:t>and are fully described in the company’s Washington Annual Report on Conservation Acquisition for calendar years 201</w:t>
            </w:r>
            <w:r w:rsidR="00C94C3A">
              <w:rPr>
                <w:rFonts w:cs="Times New Roman"/>
                <w:color w:val="000000" w:themeColor="text1"/>
                <w:sz w:val="20"/>
                <w:szCs w:val="20"/>
              </w:rPr>
              <w:t>4</w:t>
            </w:r>
            <w:r w:rsidR="00FD01D0">
              <w:rPr>
                <w:rFonts w:cs="Times New Roman"/>
                <w:color w:val="000000" w:themeColor="text1"/>
                <w:sz w:val="20"/>
                <w:szCs w:val="20"/>
              </w:rPr>
              <w:t xml:space="preserve"> and 201</w:t>
            </w:r>
            <w:r w:rsidR="00C94C3A">
              <w:rPr>
                <w:rFonts w:cs="Times New Roman"/>
                <w:color w:val="000000" w:themeColor="text1"/>
                <w:sz w:val="20"/>
                <w:szCs w:val="20"/>
              </w:rPr>
              <w:t>5</w:t>
            </w:r>
            <w:r w:rsidR="00FD01D0">
              <w:rPr>
                <w:rFonts w:cs="Times New Roman"/>
                <w:color w:val="000000" w:themeColor="text1"/>
                <w:sz w:val="20"/>
                <w:szCs w:val="20"/>
              </w:rPr>
              <w:t xml:space="preserve"> filed in March 201</w:t>
            </w:r>
            <w:r w:rsidR="00C94C3A">
              <w:rPr>
                <w:rFonts w:cs="Times New Roman"/>
                <w:color w:val="000000" w:themeColor="text1"/>
                <w:sz w:val="20"/>
                <w:szCs w:val="20"/>
              </w:rPr>
              <w:t>5</w:t>
            </w:r>
            <w:r w:rsidR="00FD01D0">
              <w:rPr>
                <w:rFonts w:cs="Times New Roman"/>
                <w:color w:val="000000" w:themeColor="text1"/>
                <w:sz w:val="20"/>
                <w:szCs w:val="20"/>
              </w:rPr>
              <w:t xml:space="preserve"> and </w:t>
            </w:r>
            <w:r w:rsidR="00C94C3A">
              <w:rPr>
                <w:rFonts w:cs="Times New Roman"/>
                <w:color w:val="000000" w:themeColor="text1"/>
                <w:sz w:val="20"/>
                <w:szCs w:val="20"/>
              </w:rPr>
              <w:t xml:space="preserve">June </w:t>
            </w:r>
            <w:r w:rsidR="00FD01D0">
              <w:rPr>
                <w:rFonts w:cs="Times New Roman"/>
                <w:color w:val="000000" w:themeColor="text1"/>
                <w:sz w:val="20"/>
                <w:szCs w:val="20"/>
              </w:rPr>
              <w:t xml:space="preserve"> 201</w:t>
            </w:r>
            <w:r w:rsidR="00732E9D">
              <w:rPr>
                <w:rFonts w:cs="Times New Roman"/>
                <w:color w:val="000000" w:themeColor="text1"/>
                <w:sz w:val="20"/>
                <w:szCs w:val="20"/>
              </w:rPr>
              <w:t>6</w:t>
            </w:r>
            <w:r w:rsidR="00FD01D0">
              <w:rPr>
                <w:rFonts w:cs="Times New Roman"/>
                <w:color w:val="000000" w:themeColor="text1"/>
                <w:sz w:val="20"/>
                <w:szCs w:val="20"/>
              </w:rPr>
              <w:t xml:space="preserve">, respectively. </w:t>
            </w:r>
          </w:p>
        </w:tc>
        <w:tc>
          <w:tcPr>
            <w:tcW w:w="278" w:type="pct"/>
          </w:tcPr>
          <w:p w14:paraId="08CFAEC7" w14:textId="77777777" w:rsidR="0001091C" w:rsidRPr="008F0C76" w:rsidRDefault="0001091C" w:rsidP="008F0C76">
            <w:pPr>
              <w:pStyle w:val="ListParagraph"/>
              <w:numPr>
                <w:ilvl w:val="0"/>
                <w:numId w:val="2"/>
              </w:numPr>
              <w:rPr>
                <w:rFonts w:cs="Times New Roman"/>
                <w:sz w:val="20"/>
                <w:szCs w:val="20"/>
              </w:rPr>
            </w:pPr>
          </w:p>
        </w:tc>
      </w:tr>
      <w:tr w:rsidR="0001091C" w:rsidRPr="009B7BA7" w14:paraId="08CFAECB" w14:textId="77777777" w:rsidTr="002416A0">
        <w:trPr>
          <w:trHeight w:val="350"/>
        </w:trPr>
        <w:tc>
          <w:tcPr>
            <w:tcW w:w="4722" w:type="pct"/>
            <w:gridSpan w:val="2"/>
            <w:vAlign w:val="center"/>
          </w:tcPr>
          <w:p w14:paraId="08CFAEC9" w14:textId="77777777" w:rsidR="0001091C" w:rsidRPr="009B7BA7" w:rsidRDefault="0001091C" w:rsidP="009C201D">
            <w:pPr>
              <w:jc w:val="left"/>
              <w:rPr>
                <w:rFonts w:cs="Times New Roman"/>
                <w:b/>
                <w:sz w:val="20"/>
                <w:szCs w:val="20"/>
              </w:rPr>
            </w:pPr>
            <w:r w:rsidRPr="009B7BA7">
              <w:rPr>
                <w:rFonts w:cs="Times New Roman"/>
                <w:sz w:val="20"/>
                <w:szCs w:val="20"/>
              </w:rPr>
              <w:br w:type="page"/>
            </w:r>
            <w:r w:rsidRPr="009B7BA7">
              <w:rPr>
                <w:rFonts w:cs="Times New Roman"/>
                <w:b/>
                <w:sz w:val="20"/>
                <w:szCs w:val="20"/>
              </w:rPr>
              <w:t>Docket UE-1</w:t>
            </w:r>
            <w:r w:rsidR="009C201D">
              <w:rPr>
                <w:rFonts w:cs="Times New Roman"/>
                <w:b/>
                <w:sz w:val="20"/>
                <w:szCs w:val="20"/>
              </w:rPr>
              <w:t xml:space="preserve">32047 </w:t>
            </w:r>
            <w:r w:rsidRPr="009B7BA7">
              <w:rPr>
                <w:rFonts w:cs="Times New Roman"/>
                <w:b/>
                <w:sz w:val="20"/>
                <w:szCs w:val="20"/>
              </w:rPr>
              <w:t>Order 0</w:t>
            </w:r>
            <w:r w:rsidR="00C67E79">
              <w:rPr>
                <w:rFonts w:cs="Times New Roman"/>
                <w:b/>
                <w:sz w:val="20"/>
                <w:szCs w:val="20"/>
              </w:rPr>
              <w:t>1</w:t>
            </w:r>
            <w:r w:rsidRPr="009B7BA7">
              <w:rPr>
                <w:rFonts w:cs="Times New Roman"/>
                <w:b/>
                <w:sz w:val="20"/>
                <w:szCs w:val="20"/>
              </w:rPr>
              <w:t xml:space="preserve"> (7) (d)</w:t>
            </w:r>
          </w:p>
        </w:tc>
        <w:tc>
          <w:tcPr>
            <w:tcW w:w="278" w:type="pct"/>
          </w:tcPr>
          <w:p w14:paraId="08CFAECA" w14:textId="77777777" w:rsidR="0001091C" w:rsidRPr="009B7BA7" w:rsidRDefault="0001091C" w:rsidP="00D218C8">
            <w:pPr>
              <w:rPr>
                <w:rFonts w:cs="Times New Roman"/>
                <w:sz w:val="20"/>
                <w:szCs w:val="20"/>
              </w:rPr>
            </w:pPr>
          </w:p>
        </w:tc>
      </w:tr>
      <w:tr w:rsidR="002416A0" w:rsidRPr="009B7BA7" w14:paraId="08CFAED2" w14:textId="77777777" w:rsidTr="00092384">
        <w:trPr>
          <w:trHeight w:val="395"/>
        </w:trPr>
        <w:tc>
          <w:tcPr>
            <w:tcW w:w="1797" w:type="pct"/>
          </w:tcPr>
          <w:p w14:paraId="08CFAECC" w14:textId="77777777" w:rsidR="0001091C" w:rsidRDefault="0001091C" w:rsidP="00F64C1E">
            <w:pPr>
              <w:rPr>
                <w:rFonts w:cs="Times New Roman"/>
                <w:sz w:val="20"/>
                <w:szCs w:val="20"/>
              </w:rPr>
            </w:pPr>
            <w:r w:rsidRPr="009B7BA7">
              <w:rPr>
                <w:rFonts w:cs="Times New Roman"/>
                <w:sz w:val="20"/>
                <w:szCs w:val="20"/>
              </w:rPr>
              <w:t>PacifiCorp may spend up to 10 percent of its conservation budget on programs whose savings impact has not yet been measured, as long as the overall portfolio of conservation passes the Total Resource Cost (TRC) test. These programs may include educational, behavior change, and pilot projects. The Company may ask the Commission to modify this spending limit following full Advisory Group consultation.</w:t>
            </w:r>
          </w:p>
          <w:p w14:paraId="08CFAECD" w14:textId="77777777" w:rsidR="002416A0" w:rsidRPr="009B7BA7" w:rsidRDefault="002416A0" w:rsidP="00F64C1E">
            <w:pPr>
              <w:rPr>
                <w:rFonts w:cs="Times New Roman"/>
                <w:sz w:val="20"/>
                <w:szCs w:val="20"/>
              </w:rPr>
            </w:pPr>
          </w:p>
        </w:tc>
        <w:tc>
          <w:tcPr>
            <w:tcW w:w="2925" w:type="pct"/>
          </w:tcPr>
          <w:p w14:paraId="08CFAECE" w14:textId="77777777" w:rsidR="00B242B0" w:rsidRPr="009C625E" w:rsidRDefault="00B242B0" w:rsidP="00F64C1E">
            <w:pPr>
              <w:rPr>
                <w:rFonts w:cs="Times New Roman"/>
                <w:sz w:val="20"/>
                <w:szCs w:val="20"/>
              </w:rPr>
            </w:pPr>
            <w:r w:rsidRPr="009C625E">
              <w:rPr>
                <w:rFonts w:cs="Times New Roman"/>
                <w:sz w:val="20"/>
                <w:szCs w:val="20"/>
              </w:rPr>
              <w:t xml:space="preserve">PacifiCorp </w:t>
            </w:r>
            <w:r w:rsidR="00E35AF7">
              <w:rPr>
                <w:rFonts w:cs="Times New Roman"/>
                <w:sz w:val="20"/>
                <w:szCs w:val="20"/>
              </w:rPr>
              <w:t xml:space="preserve">spent approximately </w:t>
            </w:r>
            <w:r w:rsidR="00785874">
              <w:rPr>
                <w:rFonts w:cs="Times New Roman"/>
                <w:sz w:val="20"/>
                <w:szCs w:val="20"/>
              </w:rPr>
              <w:t>0.5</w:t>
            </w:r>
            <w:r w:rsidR="00E35AF7">
              <w:rPr>
                <w:rFonts w:cs="Times New Roman"/>
                <w:sz w:val="20"/>
                <w:szCs w:val="20"/>
              </w:rPr>
              <w:t>% of its conservation budget during the 201</w:t>
            </w:r>
            <w:r w:rsidR="00785874">
              <w:rPr>
                <w:rFonts w:cs="Times New Roman"/>
                <w:sz w:val="20"/>
                <w:szCs w:val="20"/>
              </w:rPr>
              <w:t>4</w:t>
            </w:r>
            <w:r w:rsidR="00E35AF7">
              <w:rPr>
                <w:rFonts w:cs="Times New Roman"/>
                <w:sz w:val="20"/>
                <w:szCs w:val="20"/>
              </w:rPr>
              <w:t>-201</w:t>
            </w:r>
            <w:r w:rsidR="00785874">
              <w:rPr>
                <w:rFonts w:cs="Times New Roman"/>
                <w:sz w:val="20"/>
                <w:szCs w:val="20"/>
              </w:rPr>
              <w:t>5</w:t>
            </w:r>
            <w:r w:rsidR="00E35AF7">
              <w:rPr>
                <w:rFonts w:cs="Times New Roman"/>
                <w:sz w:val="20"/>
                <w:szCs w:val="20"/>
              </w:rPr>
              <w:t xml:space="preserve"> biennial period on the </w:t>
            </w:r>
            <w:r w:rsidR="00785874">
              <w:rPr>
                <w:rFonts w:cs="Times New Roman"/>
                <w:sz w:val="20"/>
                <w:szCs w:val="20"/>
              </w:rPr>
              <w:t>Be wattsmart, Begin at Home (e</w:t>
            </w:r>
            <w:r w:rsidR="00E35AF7">
              <w:rPr>
                <w:rFonts w:cs="Times New Roman"/>
                <w:sz w:val="20"/>
                <w:szCs w:val="20"/>
              </w:rPr>
              <w:t xml:space="preserve">nergy </w:t>
            </w:r>
            <w:r w:rsidR="00785874">
              <w:rPr>
                <w:rFonts w:cs="Times New Roman"/>
                <w:sz w:val="20"/>
                <w:szCs w:val="20"/>
              </w:rPr>
              <w:t>e</w:t>
            </w:r>
            <w:r w:rsidR="00E35AF7">
              <w:rPr>
                <w:rFonts w:cs="Times New Roman"/>
                <w:sz w:val="20"/>
                <w:szCs w:val="20"/>
              </w:rPr>
              <w:t xml:space="preserve">ducation in </w:t>
            </w:r>
            <w:r w:rsidR="00785874">
              <w:rPr>
                <w:rFonts w:cs="Times New Roman"/>
                <w:sz w:val="20"/>
                <w:szCs w:val="20"/>
              </w:rPr>
              <w:t>s</w:t>
            </w:r>
            <w:r w:rsidR="00E35AF7">
              <w:rPr>
                <w:rFonts w:cs="Times New Roman"/>
                <w:sz w:val="20"/>
                <w:szCs w:val="20"/>
              </w:rPr>
              <w:t>chools</w:t>
            </w:r>
            <w:r w:rsidR="0056680C">
              <w:rPr>
                <w:rFonts w:cs="Times New Roman"/>
                <w:sz w:val="20"/>
                <w:szCs w:val="20"/>
              </w:rPr>
              <w:t>) program</w:t>
            </w:r>
            <w:r w:rsidR="00E35AF7">
              <w:rPr>
                <w:rFonts w:cs="Times New Roman"/>
                <w:sz w:val="20"/>
                <w:szCs w:val="20"/>
              </w:rPr>
              <w:t xml:space="preserve">. The savings impact from this program was not measured or reported. </w:t>
            </w:r>
            <w:r w:rsidRPr="009C625E">
              <w:rPr>
                <w:rFonts w:cs="Times New Roman"/>
                <w:sz w:val="20"/>
                <w:szCs w:val="20"/>
              </w:rPr>
              <w:t xml:space="preserve">.  </w:t>
            </w:r>
          </w:p>
          <w:p w14:paraId="08CFAECF" w14:textId="77777777" w:rsidR="00B242B0" w:rsidRDefault="00B242B0" w:rsidP="00F64C1E">
            <w:pPr>
              <w:rPr>
                <w:rFonts w:cs="Times New Roman"/>
                <w:color w:val="FF0000"/>
                <w:sz w:val="20"/>
                <w:szCs w:val="20"/>
              </w:rPr>
            </w:pPr>
          </w:p>
          <w:p w14:paraId="08CFAED0" w14:textId="77777777" w:rsidR="0001091C" w:rsidRPr="008F0C76" w:rsidRDefault="0001091C" w:rsidP="00F64C1E">
            <w:pPr>
              <w:rPr>
                <w:rFonts w:cs="Times New Roman"/>
                <w:color w:val="FF0000"/>
                <w:sz w:val="20"/>
                <w:szCs w:val="20"/>
              </w:rPr>
            </w:pPr>
          </w:p>
        </w:tc>
        <w:tc>
          <w:tcPr>
            <w:tcW w:w="278" w:type="pct"/>
          </w:tcPr>
          <w:p w14:paraId="08CFAED1" w14:textId="77777777" w:rsidR="0001091C" w:rsidRPr="003E19B4" w:rsidRDefault="0001091C" w:rsidP="003E19B4">
            <w:pPr>
              <w:pStyle w:val="ListParagraph"/>
              <w:numPr>
                <w:ilvl w:val="0"/>
                <w:numId w:val="2"/>
              </w:numPr>
              <w:rPr>
                <w:rFonts w:cs="Times New Roman"/>
                <w:sz w:val="20"/>
                <w:szCs w:val="20"/>
              </w:rPr>
            </w:pPr>
          </w:p>
        </w:tc>
      </w:tr>
      <w:tr w:rsidR="0001091C" w:rsidRPr="00E93BD3" w14:paraId="08CFAED5" w14:textId="77777777" w:rsidTr="002416A0">
        <w:trPr>
          <w:trHeight w:val="395"/>
        </w:trPr>
        <w:tc>
          <w:tcPr>
            <w:tcW w:w="4722" w:type="pct"/>
            <w:gridSpan w:val="2"/>
            <w:vAlign w:val="center"/>
          </w:tcPr>
          <w:p w14:paraId="08CFAED3" w14:textId="77777777" w:rsidR="0001091C" w:rsidRPr="00F64C1E" w:rsidRDefault="0001091C" w:rsidP="009C201D">
            <w:pPr>
              <w:jc w:val="left"/>
              <w:rPr>
                <w:b/>
                <w:sz w:val="20"/>
                <w:szCs w:val="20"/>
              </w:rPr>
            </w:pPr>
            <w:r w:rsidRPr="00F64C1E">
              <w:rPr>
                <w:b/>
                <w:sz w:val="20"/>
                <w:szCs w:val="20"/>
              </w:rPr>
              <w:t>Docket UE-1</w:t>
            </w:r>
            <w:r w:rsidR="009C201D">
              <w:rPr>
                <w:b/>
                <w:sz w:val="20"/>
                <w:szCs w:val="20"/>
              </w:rPr>
              <w:t xml:space="preserve">32047 </w:t>
            </w:r>
            <w:r w:rsidRPr="00F64C1E">
              <w:rPr>
                <w:b/>
                <w:sz w:val="20"/>
                <w:szCs w:val="20"/>
              </w:rPr>
              <w:t>Order 0</w:t>
            </w:r>
            <w:r w:rsidR="00C67E79">
              <w:rPr>
                <w:b/>
                <w:sz w:val="20"/>
                <w:szCs w:val="20"/>
              </w:rPr>
              <w:t>1</w:t>
            </w:r>
            <w:r w:rsidRPr="00F64C1E">
              <w:rPr>
                <w:b/>
                <w:sz w:val="20"/>
                <w:szCs w:val="20"/>
              </w:rPr>
              <w:t xml:space="preserve"> (8) (a) - (</w:t>
            </w:r>
            <w:r w:rsidR="00785874">
              <w:rPr>
                <w:b/>
                <w:sz w:val="20"/>
                <w:szCs w:val="20"/>
              </w:rPr>
              <w:t>e</w:t>
            </w:r>
            <w:r w:rsidRPr="00F64C1E">
              <w:rPr>
                <w:b/>
                <w:sz w:val="20"/>
                <w:szCs w:val="20"/>
              </w:rPr>
              <w:t>)</w:t>
            </w:r>
          </w:p>
        </w:tc>
        <w:tc>
          <w:tcPr>
            <w:tcW w:w="278" w:type="pct"/>
          </w:tcPr>
          <w:p w14:paraId="08CFAED4" w14:textId="77777777" w:rsidR="0001091C" w:rsidRPr="00F64C1E" w:rsidRDefault="0001091C" w:rsidP="00D218C8">
            <w:pPr>
              <w:rPr>
                <w:b/>
                <w:sz w:val="20"/>
                <w:szCs w:val="20"/>
              </w:rPr>
            </w:pPr>
          </w:p>
        </w:tc>
      </w:tr>
      <w:tr w:rsidR="002416A0" w:rsidRPr="00E93BD3" w14:paraId="08CFAED9" w14:textId="77777777" w:rsidTr="00092384">
        <w:trPr>
          <w:trHeight w:val="1016"/>
        </w:trPr>
        <w:tc>
          <w:tcPr>
            <w:tcW w:w="1797" w:type="pct"/>
          </w:tcPr>
          <w:p w14:paraId="08CFAED6" w14:textId="77777777" w:rsidR="0001091C" w:rsidRPr="00F64C1E" w:rsidRDefault="0001091C" w:rsidP="00D218C8">
            <w:pPr>
              <w:rPr>
                <w:sz w:val="20"/>
                <w:szCs w:val="20"/>
              </w:rPr>
            </w:pPr>
            <w:r w:rsidRPr="00F64C1E">
              <w:rPr>
                <w:sz w:val="20"/>
                <w:szCs w:val="20"/>
              </w:rPr>
              <w:t>Required reports and filings.</w:t>
            </w:r>
          </w:p>
        </w:tc>
        <w:tc>
          <w:tcPr>
            <w:tcW w:w="2925" w:type="pct"/>
          </w:tcPr>
          <w:p w14:paraId="08CFAED7" w14:textId="77777777" w:rsidR="0001091C" w:rsidRPr="00F64C1E" w:rsidRDefault="0001091C" w:rsidP="00785874">
            <w:pPr>
              <w:rPr>
                <w:sz w:val="20"/>
                <w:szCs w:val="20"/>
              </w:rPr>
            </w:pPr>
            <w:r w:rsidRPr="00F64C1E">
              <w:rPr>
                <w:sz w:val="20"/>
                <w:szCs w:val="20"/>
              </w:rPr>
              <w:t>The Company has met the compliance report requirements in Docket UE-1</w:t>
            </w:r>
            <w:r w:rsidR="00C67E79">
              <w:rPr>
                <w:sz w:val="20"/>
                <w:szCs w:val="20"/>
              </w:rPr>
              <w:t>11880</w:t>
            </w:r>
            <w:r w:rsidRPr="00F64C1E">
              <w:rPr>
                <w:sz w:val="20"/>
                <w:szCs w:val="20"/>
              </w:rPr>
              <w:t xml:space="preserve"> Order 0</w:t>
            </w:r>
            <w:r w:rsidR="00C67E79">
              <w:rPr>
                <w:sz w:val="20"/>
                <w:szCs w:val="20"/>
              </w:rPr>
              <w:t>1</w:t>
            </w:r>
            <w:r w:rsidRPr="00F64C1E">
              <w:rPr>
                <w:sz w:val="20"/>
                <w:szCs w:val="20"/>
              </w:rPr>
              <w:t xml:space="preserve"> (8) (a) – (</w:t>
            </w:r>
            <w:r w:rsidR="00C67E79">
              <w:rPr>
                <w:sz w:val="20"/>
                <w:szCs w:val="20"/>
              </w:rPr>
              <w:t>g</w:t>
            </w:r>
            <w:r w:rsidRPr="00F64C1E">
              <w:rPr>
                <w:sz w:val="20"/>
                <w:szCs w:val="20"/>
              </w:rPr>
              <w:t>) relevant to the 20</w:t>
            </w:r>
            <w:r w:rsidR="00C6733D">
              <w:rPr>
                <w:sz w:val="20"/>
                <w:szCs w:val="20"/>
              </w:rPr>
              <w:t>1</w:t>
            </w:r>
            <w:r w:rsidR="00785874">
              <w:rPr>
                <w:sz w:val="20"/>
                <w:szCs w:val="20"/>
              </w:rPr>
              <w:t>4</w:t>
            </w:r>
            <w:r w:rsidR="00C6733D">
              <w:rPr>
                <w:sz w:val="20"/>
                <w:szCs w:val="20"/>
              </w:rPr>
              <w:t>-201</w:t>
            </w:r>
            <w:r w:rsidR="00785874">
              <w:rPr>
                <w:sz w:val="20"/>
                <w:szCs w:val="20"/>
              </w:rPr>
              <w:t>5</w:t>
            </w:r>
            <w:r w:rsidRPr="00F64C1E">
              <w:rPr>
                <w:sz w:val="20"/>
                <w:szCs w:val="20"/>
              </w:rPr>
              <w:t xml:space="preserve"> bienni</w:t>
            </w:r>
            <w:r w:rsidR="001A1752">
              <w:rPr>
                <w:sz w:val="20"/>
                <w:szCs w:val="20"/>
              </w:rPr>
              <w:t xml:space="preserve">al </w:t>
            </w:r>
            <w:r w:rsidRPr="00F64C1E">
              <w:rPr>
                <w:sz w:val="20"/>
                <w:szCs w:val="20"/>
              </w:rPr>
              <w:t>period.</w:t>
            </w:r>
            <w:r w:rsidR="00C32940">
              <w:rPr>
                <w:sz w:val="20"/>
                <w:szCs w:val="20"/>
              </w:rPr>
              <w:t xml:space="preserve"> </w:t>
            </w:r>
            <w:r w:rsidR="00785874">
              <w:rPr>
                <w:sz w:val="20"/>
                <w:szCs w:val="20"/>
              </w:rPr>
              <w:t xml:space="preserve"> </w:t>
            </w:r>
            <w:r w:rsidR="00C32940">
              <w:rPr>
                <w:sz w:val="20"/>
                <w:szCs w:val="20"/>
              </w:rPr>
              <w:t xml:space="preserve"> </w:t>
            </w:r>
            <w:r w:rsidRPr="00F64C1E">
              <w:rPr>
                <w:sz w:val="20"/>
                <w:szCs w:val="20"/>
              </w:rPr>
              <w:t xml:space="preserve"> The submission of this report satisfies the remaining compliance requirements in Docket UE-1</w:t>
            </w:r>
            <w:r w:rsidR="00785874">
              <w:rPr>
                <w:sz w:val="20"/>
                <w:szCs w:val="20"/>
              </w:rPr>
              <w:t>32047</w:t>
            </w:r>
            <w:r w:rsidRPr="00F64C1E">
              <w:rPr>
                <w:sz w:val="20"/>
                <w:szCs w:val="20"/>
              </w:rPr>
              <w:t xml:space="preserve"> Order 0</w:t>
            </w:r>
            <w:r w:rsidR="00C67E79">
              <w:rPr>
                <w:sz w:val="20"/>
                <w:szCs w:val="20"/>
              </w:rPr>
              <w:t>1</w:t>
            </w:r>
            <w:r w:rsidRPr="00F64C1E">
              <w:rPr>
                <w:sz w:val="20"/>
                <w:szCs w:val="20"/>
              </w:rPr>
              <w:t xml:space="preserve"> (8) (</w:t>
            </w:r>
            <w:r w:rsidR="00785874">
              <w:rPr>
                <w:sz w:val="20"/>
                <w:szCs w:val="20"/>
              </w:rPr>
              <w:t>e</w:t>
            </w:r>
            <w:r>
              <w:rPr>
                <w:sz w:val="20"/>
                <w:szCs w:val="20"/>
              </w:rPr>
              <w:t>), to submit a two-year report on conservation program achievement</w:t>
            </w:r>
            <w:r w:rsidRPr="00F64C1E">
              <w:rPr>
                <w:sz w:val="20"/>
                <w:szCs w:val="20"/>
              </w:rPr>
              <w:t>.</w:t>
            </w:r>
          </w:p>
        </w:tc>
        <w:tc>
          <w:tcPr>
            <w:tcW w:w="278" w:type="pct"/>
          </w:tcPr>
          <w:p w14:paraId="08CFAED8" w14:textId="77777777" w:rsidR="0001091C" w:rsidRPr="008F0C76" w:rsidRDefault="0001091C" w:rsidP="008F0C76">
            <w:pPr>
              <w:pStyle w:val="ListParagraph"/>
              <w:numPr>
                <w:ilvl w:val="0"/>
                <w:numId w:val="2"/>
              </w:numPr>
              <w:rPr>
                <w:sz w:val="20"/>
                <w:szCs w:val="20"/>
              </w:rPr>
            </w:pPr>
          </w:p>
        </w:tc>
      </w:tr>
      <w:tr w:rsidR="0001091C" w:rsidRPr="00E93BD3" w14:paraId="08CFAEDC" w14:textId="77777777" w:rsidTr="002416A0">
        <w:trPr>
          <w:trHeight w:val="413"/>
        </w:trPr>
        <w:tc>
          <w:tcPr>
            <w:tcW w:w="4722" w:type="pct"/>
            <w:gridSpan w:val="2"/>
            <w:vAlign w:val="center"/>
          </w:tcPr>
          <w:p w14:paraId="08CFAEDA" w14:textId="77777777" w:rsidR="0001091C" w:rsidRPr="00F64C1E" w:rsidRDefault="0001091C" w:rsidP="009C201D">
            <w:pPr>
              <w:jc w:val="left"/>
              <w:rPr>
                <w:b/>
                <w:sz w:val="20"/>
                <w:szCs w:val="20"/>
              </w:rPr>
            </w:pPr>
            <w:r w:rsidRPr="00F64C1E">
              <w:rPr>
                <w:b/>
                <w:sz w:val="20"/>
                <w:szCs w:val="20"/>
              </w:rPr>
              <w:t>Docket UE-1</w:t>
            </w:r>
            <w:r w:rsidR="009C201D">
              <w:rPr>
                <w:b/>
                <w:sz w:val="20"/>
                <w:szCs w:val="20"/>
              </w:rPr>
              <w:t xml:space="preserve">32047 </w:t>
            </w:r>
            <w:r w:rsidRPr="00F64C1E">
              <w:rPr>
                <w:b/>
                <w:sz w:val="20"/>
                <w:szCs w:val="20"/>
              </w:rPr>
              <w:t>Order 0</w:t>
            </w:r>
            <w:r w:rsidR="00C67E79">
              <w:rPr>
                <w:b/>
                <w:sz w:val="20"/>
                <w:szCs w:val="20"/>
              </w:rPr>
              <w:t>1</w:t>
            </w:r>
            <w:r w:rsidRPr="00F64C1E">
              <w:rPr>
                <w:b/>
                <w:sz w:val="20"/>
                <w:szCs w:val="20"/>
              </w:rPr>
              <w:t xml:space="preserve"> (9) (a) &amp; (b)</w:t>
            </w:r>
          </w:p>
        </w:tc>
        <w:tc>
          <w:tcPr>
            <w:tcW w:w="278" w:type="pct"/>
          </w:tcPr>
          <w:p w14:paraId="08CFAEDB" w14:textId="77777777" w:rsidR="0001091C" w:rsidRPr="00F64C1E" w:rsidRDefault="0001091C" w:rsidP="00D218C8">
            <w:pPr>
              <w:rPr>
                <w:b/>
                <w:sz w:val="20"/>
                <w:szCs w:val="20"/>
              </w:rPr>
            </w:pPr>
          </w:p>
        </w:tc>
      </w:tr>
      <w:tr w:rsidR="002416A0" w:rsidRPr="00E93BD3" w14:paraId="08CFAEE1" w14:textId="77777777" w:rsidTr="00092384">
        <w:trPr>
          <w:trHeight w:val="395"/>
        </w:trPr>
        <w:tc>
          <w:tcPr>
            <w:tcW w:w="1797" w:type="pct"/>
          </w:tcPr>
          <w:p w14:paraId="08CFAEDD" w14:textId="77777777" w:rsidR="0001091C" w:rsidRPr="00F64C1E" w:rsidRDefault="0001091C" w:rsidP="00785874">
            <w:pPr>
              <w:rPr>
                <w:sz w:val="20"/>
                <w:szCs w:val="20"/>
              </w:rPr>
            </w:pPr>
            <w:r w:rsidRPr="00F64C1E">
              <w:rPr>
                <w:sz w:val="20"/>
                <w:szCs w:val="20"/>
              </w:rPr>
              <w:t>Required Public Involvement in Preparation for the 201</w:t>
            </w:r>
            <w:r w:rsidR="00785874">
              <w:rPr>
                <w:sz w:val="20"/>
                <w:szCs w:val="20"/>
              </w:rPr>
              <w:t>6</w:t>
            </w:r>
            <w:r w:rsidRPr="00F64C1E">
              <w:rPr>
                <w:sz w:val="20"/>
                <w:szCs w:val="20"/>
              </w:rPr>
              <w:t>-201</w:t>
            </w:r>
            <w:r w:rsidR="00785874">
              <w:rPr>
                <w:sz w:val="20"/>
                <w:szCs w:val="20"/>
              </w:rPr>
              <w:t>7</w:t>
            </w:r>
            <w:r w:rsidRPr="00F64C1E">
              <w:rPr>
                <w:sz w:val="20"/>
                <w:szCs w:val="20"/>
              </w:rPr>
              <w:t xml:space="preserve"> Biennium.</w:t>
            </w:r>
          </w:p>
        </w:tc>
        <w:tc>
          <w:tcPr>
            <w:tcW w:w="2925" w:type="pct"/>
          </w:tcPr>
          <w:p w14:paraId="08CFAEDE" w14:textId="77777777" w:rsidR="0001091C" w:rsidRDefault="0001091C" w:rsidP="00D218C8">
            <w:pPr>
              <w:rPr>
                <w:sz w:val="20"/>
                <w:szCs w:val="20"/>
              </w:rPr>
            </w:pPr>
            <w:r w:rsidRPr="00F64C1E">
              <w:rPr>
                <w:sz w:val="20"/>
                <w:szCs w:val="20"/>
              </w:rPr>
              <w:t xml:space="preserve">See “Stakeholder Engagement” section </w:t>
            </w:r>
            <w:r>
              <w:rPr>
                <w:rFonts w:cs="Times New Roman"/>
                <w:sz w:val="20"/>
                <w:szCs w:val="20"/>
              </w:rPr>
              <w:t>of the</w:t>
            </w:r>
            <w:r w:rsidRPr="00F64C1E">
              <w:rPr>
                <w:rFonts w:cs="Times New Roman"/>
                <w:sz w:val="20"/>
                <w:szCs w:val="20"/>
              </w:rPr>
              <w:t xml:space="preserve"> </w:t>
            </w:r>
            <w:r w:rsidRPr="00F64C1E">
              <w:rPr>
                <w:rFonts w:eastAsiaTheme="majorEastAsia" w:cs="Times New Roman"/>
                <w:sz w:val="20"/>
                <w:szCs w:val="20"/>
              </w:rPr>
              <w:t>Ten-Year Conservation Potential and Biennial Conservation Target</w:t>
            </w:r>
            <w:r w:rsidRPr="00F64C1E">
              <w:rPr>
                <w:sz w:val="20"/>
                <w:szCs w:val="20"/>
              </w:rPr>
              <w:t xml:space="preserve"> report</w:t>
            </w:r>
            <w:r w:rsidRPr="009B7BA7">
              <w:rPr>
                <w:rFonts w:cs="Times New Roman"/>
                <w:sz w:val="20"/>
                <w:szCs w:val="20"/>
              </w:rPr>
              <w:t xml:space="preserve"> </w:t>
            </w:r>
            <w:r w:rsidR="008F0C76">
              <w:rPr>
                <w:rFonts w:cs="Times New Roman"/>
                <w:sz w:val="20"/>
                <w:szCs w:val="20"/>
              </w:rPr>
              <w:t>filed in Docket UE-</w:t>
            </w:r>
            <w:r w:rsidR="00C67E79">
              <w:rPr>
                <w:rFonts w:cs="Times New Roman"/>
                <w:sz w:val="20"/>
                <w:szCs w:val="20"/>
              </w:rPr>
              <w:t>1</w:t>
            </w:r>
            <w:r w:rsidR="00B54B59">
              <w:rPr>
                <w:rFonts w:cs="Times New Roman"/>
                <w:sz w:val="20"/>
                <w:szCs w:val="20"/>
              </w:rPr>
              <w:t>5</w:t>
            </w:r>
            <w:r w:rsidR="00C67E79">
              <w:rPr>
                <w:rFonts w:cs="Times New Roman"/>
                <w:sz w:val="20"/>
                <w:szCs w:val="20"/>
              </w:rPr>
              <w:t>20</w:t>
            </w:r>
            <w:r w:rsidR="00B54B59">
              <w:rPr>
                <w:rFonts w:cs="Times New Roman"/>
                <w:sz w:val="20"/>
                <w:szCs w:val="20"/>
              </w:rPr>
              <w:t>72</w:t>
            </w:r>
            <w:r w:rsidR="008F0C76">
              <w:rPr>
                <w:rFonts w:cs="Times New Roman"/>
                <w:sz w:val="20"/>
                <w:szCs w:val="20"/>
              </w:rPr>
              <w:t xml:space="preserve"> </w:t>
            </w:r>
            <w:r w:rsidRPr="00F64C1E">
              <w:rPr>
                <w:sz w:val="20"/>
                <w:szCs w:val="20"/>
              </w:rPr>
              <w:t>for an outline of the public process the Company facilitated in the development of its proposed 201</w:t>
            </w:r>
            <w:r w:rsidR="00C67E79">
              <w:rPr>
                <w:sz w:val="20"/>
                <w:szCs w:val="20"/>
              </w:rPr>
              <w:t>4</w:t>
            </w:r>
            <w:r w:rsidRPr="00F64C1E">
              <w:rPr>
                <w:sz w:val="20"/>
                <w:szCs w:val="20"/>
              </w:rPr>
              <w:t>-202</w:t>
            </w:r>
            <w:r w:rsidR="00C67E79">
              <w:rPr>
                <w:sz w:val="20"/>
                <w:szCs w:val="20"/>
              </w:rPr>
              <w:t>3</w:t>
            </w:r>
            <w:r w:rsidRPr="00F64C1E">
              <w:rPr>
                <w:sz w:val="20"/>
                <w:szCs w:val="20"/>
              </w:rPr>
              <w:t xml:space="preserve"> ten year conservation potential forecast and 201</w:t>
            </w:r>
            <w:r w:rsidR="00B54B59">
              <w:rPr>
                <w:sz w:val="20"/>
                <w:szCs w:val="20"/>
              </w:rPr>
              <w:t>6</w:t>
            </w:r>
            <w:r w:rsidRPr="00F64C1E">
              <w:rPr>
                <w:sz w:val="20"/>
                <w:szCs w:val="20"/>
              </w:rPr>
              <w:t>-201</w:t>
            </w:r>
            <w:r w:rsidR="00B54B59">
              <w:rPr>
                <w:sz w:val="20"/>
                <w:szCs w:val="20"/>
              </w:rPr>
              <w:t>7</w:t>
            </w:r>
            <w:r w:rsidRPr="00F64C1E">
              <w:rPr>
                <w:sz w:val="20"/>
                <w:szCs w:val="20"/>
              </w:rPr>
              <w:t xml:space="preserve"> biennial target.</w:t>
            </w:r>
          </w:p>
          <w:p w14:paraId="08CFAEDF" w14:textId="77777777" w:rsidR="002416A0" w:rsidRPr="00F64C1E" w:rsidRDefault="002416A0" w:rsidP="00D218C8">
            <w:pPr>
              <w:rPr>
                <w:sz w:val="20"/>
                <w:szCs w:val="20"/>
              </w:rPr>
            </w:pPr>
          </w:p>
        </w:tc>
        <w:tc>
          <w:tcPr>
            <w:tcW w:w="278" w:type="pct"/>
          </w:tcPr>
          <w:p w14:paraId="08CFAEE0" w14:textId="77777777" w:rsidR="0001091C" w:rsidRPr="008F0C76" w:rsidRDefault="0001091C" w:rsidP="008F0C76">
            <w:pPr>
              <w:pStyle w:val="ListParagraph"/>
              <w:numPr>
                <w:ilvl w:val="0"/>
                <w:numId w:val="2"/>
              </w:numPr>
              <w:rPr>
                <w:sz w:val="20"/>
                <w:szCs w:val="20"/>
              </w:rPr>
            </w:pPr>
          </w:p>
        </w:tc>
      </w:tr>
      <w:tr w:rsidR="0001091C" w:rsidRPr="00E93BD3" w14:paraId="08CFAEE4" w14:textId="77777777" w:rsidTr="002416A0">
        <w:trPr>
          <w:trHeight w:val="395"/>
        </w:trPr>
        <w:tc>
          <w:tcPr>
            <w:tcW w:w="4722" w:type="pct"/>
            <w:gridSpan w:val="2"/>
            <w:vAlign w:val="center"/>
          </w:tcPr>
          <w:p w14:paraId="08CFAEE2" w14:textId="77777777" w:rsidR="0001091C" w:rsidRPr="00F64C1E" w:rsidRDefault="0001091C" w:rsidP="009C201D">
            <w:pPr>
              <w:jc w:val="left"/>
              <w:rPr>
                <w:b/>
                <w:sz w:val="20"/>
                <w:szCs w:val="20"/>
              </w:rPr>
            </w:pPr>
            <w:r w:rsidRPr="00F64C1E">
              <w:rPr>
                <w:b/>
                <w:sz w:val="20"/>
                <w:szCs w:val="20"/>
              </w:rPr>
              <w:t>Docket UE-1</w:t>
            </w:r>
            <w:r w:rsidR="009C201D">
              <w:rPr>
                <w:b/>
                <w:sz w:val="20"/>
                <w:szCs w:val="20"/>
              </w:rPr>
              <w:t xml:space="preserve">32047 </w:t>
            </w:r>
            <w:r w:rsidRPr="00F64C1E">
              <w:rPr>
                <w:b/>
                <w:sz w:val="20"/>
                <w:szCs w:val="20"/>
              </w:rPr>
              <w:t>Order 0</w:t>
            </w:r>
            <w:r w:rsidR="00DD5B1A">
              <w:rPr>
                <w:b/>
                <w:sz w:val="20"/>
                <w:szCs w:val="20"/>
              </w:rPr>
              <w:t>1</w:t>
            </w:r>
            <w:r w:rsidRPr="00F64C1E">
              <w:rPr>
                <w:b/>
                <w:sz w:val="20"/>
                <w:szCs w:val="20"/>
              </w:rPr>
              <w:t xml:space="preserve"> (10) (a) - (</w:t>
            </w:r>
            <w:r w:rsidR="001103F8">
              <w:rPr>
                <w:b/>
                <w:sz w:val="20"/>
                <w:szCs w:val="20"/>
              </w:rPr>
              <w:t>d</w:t>
            </w:r>
            <w:r w:rsidRPr="00F64C1E">
              <w:rPr>
                <w:b/>
                <w:sz w:val="20"/>
                <w:szCs w:val="20"/>
              </w:rPr>
              <w:t>)</w:t>
            </w:r>
          </w:p>
        </w:tc>
        <w:tc>
          <w:tcPr>
            <w:tcW w:w="278" w:type="pct"/>
          </w:tcPr>
          <w:p w14:paraId="08CFAEE3" w14:textId="77777777" w:rsidR="0001091C" w:rsidRPr="00F64C1E" w:rsidRDefault="0001091C" w:rsidP="00D218C8">
            <w:pPr>
              <w:rPr>
                <w:b/>
                <w:sz w:val="20"/>
                <w:szCs w:val="20"/>
              </w:rPr>
            </w:pPr>
          </w:p>
        </w:tc>
      </w:tr>
      <w:tr w:rsidR="002416A0" w:rsidRPr="00E93BD3" w14:paraId="08CFAEE9" w14:textId="77777777" w:rsidTr="00092384">
        <w:trPr>
          <w:trHeight w:val="395"/>
        </w:trPr>
        <w:tc>
          <w:tcPr>
            <w:tcW w:w="1797" w:type="pct"/>
          </w:tcPr>
          <w:p w14:paraId="08CFAEE5" w14:textId="77777777" w:rsidR="0001091C" w:rsidRPr="00F64C1E" w:rsidRDefault="0001091C" w:rsidP="00D218C8">
            <w:pPr>
              <w:rPr>
                <w:sz w:val="20"/>
                <w:szCs w:val="20"/>
              </w:rPr>
            </w:pPr>
            <w:r w:rsidRPr="00F64C1E">
              <w:rPr>
                <w:sz w:val="20"/>
                <w:szCs w:val="20"/>
              </w:rPr>
              <w:lastRenderedPageBreak/>
              <w:t>Cost effectiveness Test is the Total Resource Cost Test.</w:t>
            </w:r>
          </w:p>
        </w:tc>
        <w:tc>
          <w:tcPr>
            <w:tcW w:w="2925" w:type="pct"/>
          </w:tcPr>
          <w:p w14:paraId="08CFAEE6" w14:textId="77777777" w:rsidR="0001091C" w:rsidRDefault="0001091C" w:rsidP="00A765AE">
            <w:pPr>
              <w:rPr>
                <w:sz w:val="20"/>
                <w:szCs w:val="20"/>
              </w:rPr>
            </w:pPr>
            <w:r w:rsidRPr="00F64C1E">
              <w:rPr>
                <w:sz w:val="20"/>
                <w:szCs w:val="20"/>
              </w:rPr>
              <w:t>See Appendi</w:t>
            </w:r>
            <w:r w:rsidR="00ED78A8">
              <w:rPr>
                <w:sz w:val="20"/>
                <w:szCs w:val="20"/>
              </w:rPr>
              <w:t>ces</w:t>
            </w:r>
            <w:r w:rsidRPr="00F64C1E">
              <w:rPr>
                <w:sz w:val="20"/>
                <w:szCs w:val="20"/>
              </w:rPr>
              <w:t xml:space="preserve"> 3 </w:t>
            </w:r>
            <w:r>
              <w:rPr>
                <w:rFonts w:cs="Times New Roman"/>
                <w:sz w:val="20"/>
                <w:szCs w:val="20"/>
              </w:rPr>
              <w:t>of the</w:t>
            </w:r>
            <w:r w:rsidRPr="00F64C1E">
              <w:rPr>
                <w:rFonts w:cs="Times New Roman"/>
                <w:sz w:val="20"/>
                <w:szCs w:val="20"/>
              </w:rPr>
              <w:t xml:space="preserve"> </w:t>
            </w:r>
            <w:r w:rsidRPr="00F64C1E">
              <w:rPr>
                <w:rFonts w:eastAsiaTheme="majorEastAsia" w:cs="Times New Roman"/>
                <w:sz w:val="20"/>
                <w:szCs w:val="20"/>
              </w:rPr>
              <w:t>Ten-Year Conservation Potential and Biennial Conservation Target</w:t>
            </w:r>
            <w:r w:rsidRPr="00F64C1E">
              <w:rPr>
                <w:sz w:val="20"/>
                <w:szCs w:val="20"/>
              </w:rPr>
              <w:t xml:space="preserve"> report</w:t>
            </w:r>
            <w:r w:rsidR="00ED78A8">
              <w:rPr>
                <w:sz w:val="20"/>
                <w:szCs w:val="20"/>
              </w:rPr>
              <w:t>s</w:t>
            </w:r>
            <w:r w:rsidRPr="00F64C1E">
              <w:rPr>
                <w:sz w:val="20"/>
                <w:szCs w:val="20"/>
              </w:rPr>
              <w:t>, “</w:t>
            </w:r>
            <w:r w:rsidRPr="00F64C1E">
              <w:rPr>
                <w:rFonts w:cs="Times New Roman"/>
                <w:sz w:val="20"/>
                <w:szCs w:val="20"/>
              </w:rPr>
              <w:t>Comparison of Regional Methodologies”</w:t>
            </w:r>
            <w:r w:rsidR="00ED78A8">
              <w:rPr>
                <w:rFonts w:cs="Times New Roman"/>
                <w:sz w:val="20"/>
                <w:szCs w:val="20"/>
              </w:rPr>
              <w:t xml:space="preserve"> filed in Dockets UE-1</w:t>
            </w:r>
            <w:r w:rsidR="00C67E79">
              <w:rPr>
                <w:rFonts w:cs="Times New Roman"/>
                <w:sz w:val="20"/>
                <w:szCs w:val="20"/>
              </w:rPr>
              <w:t>11880</w:t>
            </w:r>
            <w:r w:rsidR="00B54B59">
              <w:rPr>
                <w:rFonts w:cs="Times New Roman"/>
                <w:sz w:val="20"/>
                <w:szCs w:val="20"/>
              </w:rPr>
              <w:t xml:space="preserve">, </w:t>
            </w:r>
            <w:r w:rsidR="00ED78A8">
              <w:rPr>
                <w:rFonts w:cs="Times New Roman"/>
                <w:sz w:val="20"/>
                <w:szCs w:val="20"/>
              </w:rPr>
              <w:t xml:space="preserve"> UE-</w:t>
            </w:r>
            <w:r w:rsidR="00C67E79">
              <w:rPr>
                <w:rFonts w:cs="Times New Roman"/>
                <w:sz w:val="20"/>
                <w:szCs w:val="20"/>
              </w:rPr>
              <w:t>132047</w:t>
            </w:r>
            <w:r w:rsidR="00B54B59">
              <w:rPr>
                <w:rFonts w:cs="Times New Roman"/>
                <w:sz w:val="20"/>
                <w:szCs w:val="20"/>
              </w:rPr>
              <w:t xml:space="preserve"> and UE- 152072</w:t>
            </w:r>
            <w:r w:rsidR="00ED78A8">
              <w:rPr>
                <w:rFonts w:cs="Times New Roman"/>
                <w:sz w:val="20"/>
                <w:szCs w:val="20"/>
              </w:rPr>
              <w:t>.</w:t>
            </w:r>
            <w:r w:rsidRPr="00F64C1E">
              <w:rPr>
                <w:rFonts w:cs="Times New Roman"/>
                <w:sz w:val="20"/>
                <w:szCs w:val="20"/>
              </w:rPr>
              <w:t xml:space="preserve"> In addition to resource planning and avoided cost development methodology comparisons </w:t>
            </w:r>
            <w:r w:rsidR="00ED78A8">
              <w:rPr>
                <w:rFonts w:cs="Times New Roman"/>
                <w:sz w:val="20"/>
                <w:szCs w:val="20"/>
              </w:rPr>
              <w:t xml:space="preserve">these appendices </w:t>
            </w:r>
            <w:r w:rsidRPr="00F64C1E">
              <w:rPr>
                <w:rFonts w:cs="Times New Roman"/>
                <w:sz w:val="20"/>
                <w:szCs w:val="20"/>
              </w:rPr>
              <w:t>provide information on how the Company’s Total Resource Cost calculation complies with the cost-effectiveness definition (RCW 80.52.030(8))</w:t>
            </w:r>
            <w:r w:rsidR="00A765AE">
              <w:rPr>
                <w:rFonts w:cs="Times New Roman"/>
                <w:sz w:val="20"/>
                <w:szCs w:val="20"/>
              </w:rPr>
              <w:t xml:space="preserve">, incorporating </w:t>
            </w:r>
            <w:r w:rsidRPr="00F64C1E">
              <w:rPr>
                <w:rFonts w:cs="Times New Roman"/>
                <w:sz w:val="20"/>
                <w:szCs w:val="20"/>
              </w:rPr>
              <w:t>the 10 percent conservation benefit and a risk adder consistent with the Council’s approach. Cost effectiveness assessments for the programs in the 201</w:t>
            </w:r>
            <w:r w:rsidR="00B54B59">
              <w:rPr>
                <w:rFonts w:cs="Times New Roman"/>
                <w:sz w:val="20"/>
                <w:szCs w:val="20"/>
              </w:rPr>
              <w:t>6</w:t>
            </w:r>
            <w:r w:rsidRPr="00F64C1E">
              <w:rPr>
                <w:rFonts w:cs="Times New Roman"/>
                <w:sz w:val="20"/>
                <w:szCs w:val="20"/>
              </w:rPr>
              <w:t>-201</w:t>
            </w:r>
            <w:r w:rsidR="00B54B59">
              <w:rPr>
                <w:rFonts w:cs="Times New Roman"/>
                <w:sz w:val="20"/>
                <w:szCs w:val="20"/>
              </w:rPr>
              <w:t>7</w:t>
            </w:r>
            <w:r w:rsidRPr="00F64C1E">
              <w:rPr>
                <w:rFonts w:cs="Times New Roman"/>
                <w:sz w:val="20"/>
                <w:szCs w:val="20"/>
              </w:rPr>
              <w:t xml:space="preserve"> business plan as well as </w:t>
            </w:r>
            <w:r w:rsidR="00B54B59">
              <w:rPr>
                <w:rFonts w:cs="Times New Roman"/>
                <w:sz w:val="20"/>
                <w:szCs w:val="20"/>
              </w:rPr>
              <w:t xml:space="preserve">four </w:t>
            </w:r>
            <w:r w:rsidRPr="00F64C1E">
              <w:rPr>
                <w:rFonts w:cs="Times New Roman"/>
                <w:sz w:val="20"/>
                <w:szCs w:val="20"/>
              </w:rPr>
              <w:t xml:space="preserve"> portfolio cost effectiveness assessments are provided in Appendix 7</w:t>
            </w:r>
            <w:r w:rsidR="00ED78A8">
              <w:rPr>
                <w:rFonts w:cs="Times New Roman"/>
                <w:sz w:val="20"/>
                <w:szCs w:val="20"/>
              </w:rPr>
              <w:t xml:space="preserve"> to the 201</w:t>
            </w:r>
            <w:r w:rsidR="00B54B59">
              <w:rPr>
                <w:rFonts w:cs="Times New Roman"/>
                <w:sz w:val="20"/>
                <w:szCs w:val="20"/>
              </w:rPr>
              <w:t>6</w:t>
            </w:r>
            <w:r w:rsidR="00ED78A8">
              <w:rPr>
                <w:rFonts w:cs="Times New Roman"/>
                <w:sz w:val="20"/>
                <w:szCs w:val="20"/>
              </w:rPr>
              <w:t>-202</w:t>
            </w:r>
            <w:r w:rsidR="00B54B59">
              <w:rPr>
                <w:rFonts w:cs="Times New Roman"/>
                <w:sz w:val="20"/>
                <w:szCs w:val="20"/>
              </w:rPr>
              <w:t>5</w:t>
            </w:r>
            <w:r w:rsidR="00ED78A8">
              <w:rPr>
                <w:rFonts w:cs="Times New Roman"/>
                <w:sz w:val="20"/>
                <w:szCs w:val="20"/>
              </w:rPr>
              <w:t xml:space="preserve"> report</w:t>
            </w:r>
            <w:r w:rsidR="0056680C" w:rsidRPr="00F64C1E">
              <w:rPr>
                <w:rFonts w:cs="Times New Roman"/>
                <w:sz w:val="20"/>
                <w:szCs w:val="20"/>
              </w:rPr>
              <w:t>.</w:t>
            </w:r>
            <w:r w:rsidRPr="00F64C1E">
              <w:rPr>
                <w:sz w:val="20"/>
                <w:szCs w:val="20"/>
              </w:rPr>
              <w:t xml:space="preserve"> Program and portfolio level cost effectiveness was provided in the 201</w:t>
            </w:r>
            <w:r w:rsidR="00B54B59">
              <w:rPr>
                <w:sz w:val="20"/>
                <w:szCs w:val="20"/>
              </w:rPr>
              <w:t>4</w:t>
            </w:r>
            <w:r w:rsidR="00C67E79">
              <w:rPr>
                <w:sz w:val="20"/>
                <w:szCs w:val="20"/>
              </w:rPr>
              <w:t xml:space="preserve"> and 201</w:t>
            </w:r>
            <w:r w:rsidR="00B54B59">
              <w:rPr>
                <w:sz w:val="20"/>
                <w:szCs w:val="20"/>
              </w:rPr>
              <w:t>5</w:t>
            </w:r>
            <w:r w:rsidRPr="00F64C1E">
              <w:rPr>
                <w:sz w:val="20"/>
                <w:szCs w:val="20"/>
              </w:rPr>
              <w:t xml:space="preserve"> annual </w:t>
            </w:r>
            <w:r w:rsidR="0056680C" w:rsidRPr="00F64C1E">
              <w:rPr>
                <w:sz w:val="20"/>
                <w:szCs w:val="20"/>
              </w:rPr>
              <w:t>reports</w:t>
            </w:r>
            <w:r w:rsidRPr="00F64C1E">
              <w:rPr>
                <w:sz w:val="20"/>
                <w:szCs w:val="20"/>
              </w:rPr>
              <w:t xml:space="preserve"> and also included quantifiable non-energy benefits. The 201</w:t>
            </w:r>
            <w:r w:rsidR="00B54B59">
              <w:rPr>
                <w:sz w:val="20"/>
                <w:szCs w:val="20"/>
              </w:rPr>
              <w:t>5</w:t>
            </w:r>
            <w:r w:rsidRPr="00F64C1E">
              <w:rPr>
                <w:sz w:val="20"/>
                <w:szCs w:val="20"/>
              </w:rPr>
              <w:t xml:space="preserve"> potential study update included the effects of non-energy benefits as a reduction to energy efficiency measure costs.</w:t>
            </w:r>
          </w:p>
          <w:p w14:paraId="08CFAEE7" w14:textId="77777777" w:rsidR="002416A0" w:rsidRPr="00F64C1E" w:rsidRDefault="002416A0" w:rsidP="00A765AE">
            <w:pPr>
              <w:rPr>
                <w:sz w:val="20"/>
                <w:szCs w:val="20"/>
              </w:rPr>
            </w:pPr>
          </w:p>
        </w:tc>
        <w:tc>
          <w:tcPr>
            <w:tcW w:w="278" w:type="pct"/>
          </w:tcPr>
          <w:p w14:paraId="08CFAEE8" w14:textId="77777777" w:rsidR="0001091C" w:rsidRPr="00ED78A8" w:rsidRDefault="0001091C" w:rsidP="00ED78A8">
            <w:pPr>
              <w:pStyle w:val="ListParagraph"/>
              <w:numPr>
                <w:ilvl w:val="0"/>
                <w:numId w:val="2"/>
              </w:numPr>
              <w:rPr>
                <w:sz w:val="20"/>
                <w:szCs w:val="20"/>
              </w:rPr>
            </w:pPr>
          </w:p>
        </w:tc>
      </w:tr>
      <w:tr w:rsidR="0001091C" w:rsidRPr="00E93BD3" w14:paraId="08CFAEEC" w14:textId="77777777" w:rsidTr="002416A0">
        <w:trPr>
          <w:trHeight w:val="350"/>
        </w:trPr>
        <w:tc>
          <w:tcPr>
            <w:tcW w:w="4722" w:type="pct"/>
            <w:gridSpan w:val="2"/>
            <w:vAlign w:val="center"/>
          </w:tcPr>
          <w:p w14:paraId="08CFAEEA" w14:textId="77777777" w:rsidR="0001091C" w:rsidRPr="00F64C1E" w:rsidRDefault="0001091C" w:rsidP="002416A0">
            <w:pPr>
              <w:jc w:val="left"/>
              <w:rPr>
                <w:b/>
                <w:sz w:val="20"/>
                <w:szCs w:val="20"/>
              </w:rPr>
            </w:pPr>
            <w:r w:rsidRPr="00F64C1E">
              <w:rPr>
                <w:sz w:val="20"/>
                <w:szCs w:val="20"/>
              </w:rPr>
              <w:br w:type="page"/>
            </w:r>
            <w:r w:rsidRPr="00C67E79">
              <w:rPr>
                <w:b/>
                <w:sz w:val="20"/>
                <w:szCs w:val="20"/>
              </w:rPr>
              <w:t>WAC 480-109-010 (1)(a) and (2)(a)</w:t>
            </w:r>
          </w:p>
        </w:tc>
        <w:tc>
          <w:tcPr>
            <w:tcW w:w="278" w:type="pct"/>
          </w:tcPr>
          <w:p w14:paraId="08CFAEEB" w14:textId="77777777" w:rsidR="0001091C" w:rsidRPr="00F64C1E" w:rsidRDefault="0001091C" w:rsidP="00D218C8">
            <w:pPr>
              <w:rPr>
                <w:sz w:val="20"/>
                <w:szCs w:val="20"/>
              </w:rPr>
            </w:pPr>
          </w:p>
        </w:tc>
      </w:tr>
      <w:tr w:rsidR="002416A0" w:rsidRPr="00E93BD3" w14:paraId="08CFAEF7" w14:textId="77777777" w:rsidTr="00092384">
        <w:tc>
          <w:tcPr>
            <w:tcW w:w="1797" w:type="pct"/>
            <w:tcBorders>
              <w:bottom w:val="single" w:sz="4" w:space="0" w:color="000000" w:themeColor="text1"/>
            </w:tcBorders>
          </w:tcPr>
          <w:p w14:paraId="08CFAEED" w14:textId="77777777" w:rsidR="0001091C" w:rsidRPr="00F64C1E" w:rsidRDefault="0001091C" w:rsidP="00D218C8">
            <w:pPr>
              <w:rPr>
                <w:sz w:val="20"/>
                <w:szCs w:val="20"/>
              </w:rPr>
            </w:pPr>
            <w:r w:rsidRPr="00F64C1E">
              <w:rPr>
                <w:sz w:val="20"/>
                <w:szCs w:val="20"/>
              </w:rPr>
              <w:t>(1)(a) Consider only conservation resources that are cost-effective, reliable and feasible.</w:t>
            </w:r>
          </w:p>
          <w:p w14:paraId="08CFAEEE" w14:textId="77777777" w:rsidR="0001091C" w:rsidRPr="00F64C1E" w:rsidRDefault="0001091C" w:rsidP="00D218C8">
            <w:pPr>
              <w:rPr>
                <w:sz w:val="20"/>
                <w:szCs w:val="20"/>
              </w:rPr>
            </w:pPr>
          </w:p>
          <w:p w14:paraId="08CFAEEF" w14:textId="77777777" w:rsidR="0001091C" w:rsidRPr="00F64C1E" w:rsidRDefault="0001091C" w:rsidP="00D218C8">
            <w:pPr>
              <w:rPr>
                <w:sz w:val="20"/>
                <w:szCs w:val="20"/>
              </w:rPr>
            </w:pPr>
            <w:r w:rsidRPr="00F64C1E">
              <w:rPr>
                <w:sz w:val="20"/>
                <w:szCs w:val="20"/>
              </w:rPr>
              <w:t>(2)(a) The biennial conservation target must identify all achievable conservation opportunities.</w:t>
            </w:r>
          </w:p>
        </w:tc>
        <w:tc>
          <w:tcPr>
            <w:tcW w:w="2925" w:type="pct"/>
            <w:tcBorders>
              <w:bottom w:val="single" w:sz="4" w:space="0" w:color="000000" w:themeColor="text1"/>
            </w:tcBorders>
          </w:tcPr>
          <w:p w14:paraId="08CFAEF0" w14:textId="77777777" w:rsidR="008E75DF" w:rsidRPr="00AA61D9" w:rsidRDefault="008E75DF" w:rsidP="00AA61D9">
            <w:pPr>
              <w:autoSpaceDE w:val="0"/>
              <w:autoSpaceDN w:val="0"/>
              <w:adjustRightInd w:val="0"/>
              <w:jc w:val="left"/>
              <w:rPr>
                <w:rFonts w:cs="Times New Roman"/>
                <w:sz w:val="20"/>
                <w:szCs w:val="20"/>
              </w:rPr>
            </w:pPr>
            <w:r w:rsidRPr="00AA61D9">
              <w:rPr>
                <w:rFonts w:cs="Times New Roman"/>
                <w:sz w:val="20"/>
                <w:szCs w:val="20"/>
              </w:rPr>
              <w:t xml:space="preserve">PacifiCorp relied on </w:t>
            </w:r>
            <w:r w:rsidR="004E6EED" w:rsidRPr="00AA61D9">
              <w:rPr>
                <w:rFonts w:cs="Times New Roman"/>
                <w:sz w:val="20"/>
                <w:szCs w:val="20"/>
              </w:rPr>
              <w:t xml:space="preserve">1) </w:t>
            </w:r>
            <w:r w:rsidRPr="00AA61D9">
              <w:rPr>
                <w:rFonts w:cs="Times New Roman"/>
                <w:sz w:val="20"/>
                <w:szCs w:val="20"/>
              </w:rPr>
              <w:t>its 20</w:t>
            </w:r>
            <w:r w:rsidR="00C67E79">
              <w:rPr>
                <w:rFonts w:cs="Times New Roman"/>
                <w:sz w:val="20"/>
                <w:szCs w:val="20"/>
              </w:rPr>
              <w:t>11</w:t>
            </w:r>
            <w:r w:rsidRPr="00AA61D9">
              <w:rPr>
                <w:rFonts w:cs="Times New Roman"/>
                <w:sz w:val="20"/>
                <w:szCs w:val="20"/>
              </w:rPr>
              <w:t xml:space="preserve"> “Assessment of Long-Term System-Wide Potential for Demand-Side and Other Supplemental Resources” (</w:t>
            </w:r>
            <w:r w:rsidR="00C67E79">
              <w:rPr>
                <w:rFonts w:cs="Times New Roman"/>
                <w:sz w:val="20"/>
                <w:szCs w:val="20"/>
              </w:rPr>
              <w:t>Marc</w:t>
            </w:r>
            <w:r w:rsidR="00407B22">
              <w:rPr>
                <w:rFonts w:cs="Times New Roman"/>
                <w:sz w:val="20"/>
                <w:szCs w:val="20"/>
              </w:rPr>
              <w:t>h</w:t>
            </w:r>
            <w:r w:rsidR="008833B6">
              <w:rPr>
                <w:rFonts w:cs="Times New Roman"/>
                <w:sz w:val="20"/>
                <w:szCs w:val="20"/>
              </w:rPr>
              <w:t xml:space="preserve"> </w:t>
            </w:r>
            <w:r w:rsidR="00C67E79">
              <w:rPr>
                <w:rFonts w:cs="Times New Roman"/>
                <w:sz w:val="20"/>
                <w:szCs w:val="20"/>
              </w:rPr>
              <w:t xml:space="preserve">  201</w:t>
            </w:r>
            <w:r w:rsidR="00AE6FD1">
              <w:rPr>
                <w:rFonts w:cs="Times New Roman"/>
                <w:sz w:val="20"/>
                <w:szCs w:val="20"/>
              </w:rPr>
              <w:t>3</w:t>
            </w:r>
            <w:r w:rsidRPr="00AA61D9">
              <w:rPr>
                <w:rFonts w:cs="Times New Roman"/>
                <w:sz w:val="20"/>
                <w:szCs w:val="20"/>
              </w:rPr>
              <w:t xml:space="preserve">), </w:t>
            </w:r>
            <w:r w:rsidR="004E6EED" w:rsidRPr="00AA61D9">
              <w:rPr>
                <w:rFonts w:cs="Times New Roman"/>
                <w:sz w:val="20"/>
                <w:szCs w:val="20"/>
              </w:rPr>
              <w:t xml:space="preserve">2) </w:t>
            </w:r>
            <w:r w:rsidRPr="00AA61D9">
              <w:rPr>
                <w:rFonts w:cs="Times New Roman"/>
                <w:sz w:val="20"/>
                <w:szCs w:val="20"/>
              </w:rPr>
              <w:t>economic screening of the conservation potential identified through the 20</w:t>
            </w:r>
            <w:r w:rsidR="00C67E79">
              <w:rPr>
                <w:rFonts w:cs="Times New Roman"/>
                <w:sz w:val="20"/>
                <w:szCs w:val="20"/>
              </w:rPr>
              <w:t>1</w:t>
            </w:r>
            <w:r w:rsidR="00407B22">
              <w:rPr>
                <w:rFonts w:cs="Times New Roman"/>
                <w:sz w:val="20"/>
                <w:szCs w:val="20"/>
              </w:rPr>
              <w:t>3</w:t>
            </w:r>
            <w:r w:rsidRPr="00AA61D9">
              <w:rPr>
                <w:rFonts w:cs="Times New Roman"/>
                <w:sz w:val="20"/>
                <w:szCs w:val="20"/>
              </w:rPr>
              <w:t xml:space="preserve"> Integrated Resource Plan (IRP) development,</w:t>
            </w:r>
            <w:r w:rsidR="00407B22">
              <w:rPr>
                <w:rFonts w:cs="Times New Roman"/>
                <w:sz w:val="20"/>
                <w:szCs w:val="20"/>
              </w:rPr>
              <w:t xml:space="preserve"> and 3</w:t>
            </w:r>
            <w:r w:rsidR="00AA61D9" w:rsidRPr="00AA61D9">
              <w:rPr>
                <w:rFonts w:cs="Times New Roman"/>
                <w:sz w:val="20"/>
                <w:szCs w:val="20"/>
              </w:rPr>
              <w:t xml:space="preserve">) other </w:t>
            </w:r>
            <w:r w:rsidRPr="00AA61D9">
              <w:rPr>
                <w:rFonts w:cs="Times New Roman"/>
                <w:sz w:val="20"/>
                <w:szCs w:val="20"/>
              </w:rPr>
              <w:t>post IRP adjustments (</w:t>
            </w:r>
            <w:r w:rsidR="00AA61D9">
              <w:rPr>
                <w:rFonts w:cs="Times New Roman"/>
                <w:sz w:val="20"/>
                <w:szCs w:val="20"/>
              </w:rPr>
              <w:t xml:space="preserve">all </w:t>
            </w:r>
            <w:r w:rsidRPr="00AA61D9">
              <w:rPr>
                <w:rFonts w:cs="Times New Roman"/>
                <w:sz w:val="20"/>
                <w:szCs w:val="20"/>
              </w:rPr>
              <w:t>documented in Appendix 4 of the PacifiCorp’s ten-year conservation potential and 201</w:t>
            </w:r>
            <w:r w:rsidR="00AE6FD1">
              <w:rPr>
                <w:rFonts w:cs="Times New Roman"/>
                <w:sz w:val="20"/>
                <w:szCs w:val="20"/>
              </w:rPr>
              <w:t>4</w:t>
            </w:r>
            <w:r w:rsidRPr="00AA61D9">
              <w:rPr>
                <w:rFonts w:cs="Times New Roman"/>
                <w:sz w:val="20"/>
                <w:szCs w:val="20"/>
              </w:rPr>
              <w:t>-201</w:t>
            </w:r>
            <w:r w:rsidR="00AE6FD1">
              <w:rPr>
                <w:rFonts w:cs="Times New Roman"/>
                <w:sz w:val="20"/>
                <w:szCs w:val="20"/>
              </w:rPr>
              <w:t>5</w:t>
            </w:r>
            <w:r w:rsidR="008833B6">
              <w:rPr>
                <w:rFonts w:cs="Times New Roman"/>
                <w:sz w:val="20"/>
                <w:szCs w:val="20"/>
              </w:rPr>
              <w:t xml:space="preserve"> </w:t>
            </w:r>
            <w:r w:rsidRPr="00AA61D9">
              <w:rPr>
                <w:rFonts w:cs="Times New Roman"/>
                <w:sz w:val="20"/>
                <w:szCs w:val="20"/>
              </w:rPr>
              <w:t>biennial conservation target report</w:t>
            </w:r>
            <w:r w:rsidR="00492A21" w:rsidRPr="00AA61D9">
              <w:rPr>
                <w:rFonts w:cs="Times New Roman"/>
                <w:sz w:val="20"/>
                <w:szCs w:val="20"/>
              </w:rPr>
              <w:t>)</w:t>
            </w:r>
            <w:r w:rsidRPr="00AA61D9">
              <w:rPr>
                <w:rFonts w:cs="Times New Roman"/>
                <w:sz w:val="20"/>
                <w:szCs w:val="20"/>
              </w:rPr>
              <w:t xml:space="preserve"> to establish its ten-year conservation forecast and biennial conservation target. </w:t>
            </w:r>
          </w:p>
          <w:p w14:paraId="08CFAEF1" w14:textId="77777777" w:rsidR="00492A21" w:rsidRPr="00527808" w:rsidRDefault="00492A21" w:rsidP="008E75DF">
            <w:pPr>
              <w:rPr>
                <w:rFonts w:cs="Times New Roman"/>
                <w:sz w:val="20"/>
                <w:szCs w:val="20"/>
              </w:rPr>
            </w:pPr>
          </w:p>
          <w:p w14:paraId="08CFAEF2" w14:textId="77777777" w:rsidR="008E75DF" w:rsidRDefault="008E75DF" w:rsidP="008E75DF">
            <w:pPr>
              <w:rPr>
                <w:rFonts w:cs="Times New Roman"/>
                <w:sz w:val="20"/>
                <w:szCs w:val="20"/>
              </w:rPr>
            </w:pPr>
            <w:r w:rsidRPr="00527808">
              <w:rPr>
                <w:rFonts w:cs="Times New Roman"/>
                <w:sz w:val="20"/>
                <w:szCs w:val="20"/>
              </w:rPr>
              <w:t xml:space="preserve">The commission accepted the company’s forecast and target as meeting the requirements to consider all conservation resources that are cost-effective, reliable and feasible by approval of the </w:t>
            </w:r>
            <w:r w:rsidR="00C67E79">
              <w:rPr>
                <w:rFonts w:cs="Times New Roman"/>
                <w:sz w:val="20"/>
                <w:szCs w:val="20"/>
              </w:rPr>
              <w:t>C</w:t>
            </w:r>
            <w:r w:rsidRPr="00527808">
              <w:rPr>
                <w:rFonts w:cs="Times New Roman"/>
                <w:sz w:val="20"/>
                <w:szCs w:val="20"/>
              </w:rPr>
              <w:t>ompany’s forecast and targets in Docket UE-</w:t>
            </w:r>
            <w:r w:rsidR="00AE6FD1">
              <w:rPr>
                <w:rFonts w:cs="Times New Roman"/>
                <w:sz w:val="20"/>
                <w:szCs w:val="20"/>
              </w:rPr>
              <w:t>.32047</w:t>
            </w:r>
            <w:r w:rsidR="00527808" w:rsidRPr="00527808">
              <w:rPr>
                <w:rFonts w:cs="Times New Roman"/>
                <w:sz w:val="20"/>
                <w:szCs w:val="20"/>
              </w:rPr>
              <w:t xml:space="preserve"> on </w:t>
            </w:r>
            <w:r w:rsidR="00AE6FD1">
              <w:rPr>
                <w:rFonts w:cs="Times New Roman"/>
                <w:sz w:val="20"/>
                <w:szCs w:val="20"/>
              </w:rPr>
              <w:t xml:space="preserve">December 19, 2013. </w:t>
            </w:r>
            <w:r w:rsidR="00527808" w:rsidRPr="00527808">
              <w:rPr>
                <w:rFonts w:cs="Times New Roman"/>
                <w:sz w:val="20"/>
                <w:szCs w:val="20"/>
              </w:rPr>
              <w:t xml:space="preserve"> </w:t>
            </w:r>
            <w:r w:rsidRPr="00527808">
              <w:rPr>
                <w:rFonts w:cs="Times New Roman"/>
                <w:sz w:val="20"/>
                <w:szCs w:val="20"/>
              </w:rPr>
              <w:t xml:space="preserve">  </w:t>
            </w:r>
          </w:p>
          <w:p w14:paraId="08CFAEF3" w14:textId="77777777" w:rsidR="00AC28BD" w:rsidRDefault="00AC28BD" w:rsidP="008E75DF">
            <w:pPr>
              <w:rPr>
                <w:rFonts w:cs="Times New Roman"/>
                <w:sz w:val="20"/>
                <w:szCs w:val="20"/>
              </w:rPr>
            </w:pPr>
          </w:p>
          <w:p w14:paraId="08CFAEF4" w14:textId="77777777" w:rsidR="00AC28BD" w:rsidRPr="00527808" w:rsidRDefault="00AC28BD" w:rsidP="008E75DF">
            <w:pPr>
              <w:rPr>
                <w:rFonts w:cs="Times New Roman"/>
                <w:sz w:val="20"/>
                <w:szCs w:val="20"/>
              </w:rPr>
            </w:pPr>
            <w:r w:rsidRPr="00AC28BD">
              <w:rPr>
                <w:rFonts w:cs="Times New Roman"/>
                <w:sz w:val="20"/>
                <w:szCs w:val="20"/>
              </w:rPr>
              <w:t xml:space="preserve">Note: the Company is demonstrating compliance with WAC rules in place at the time the target provided in UE-132047 was approved and this approach </w:t>
            </w:r>
            <w:r w:rsidR="0056680C" w:rsidRPr="00AC28BD">
              <w:rPr>
                <w:rFonts w:cs="Times New Roman"/>
                <w:sz w:val="20"/>
                <w:szCs w:val="20"/>
              </w:rPr>
              <w:t>is consistent</w:t>
            </w:r>
            <w:r w:rsidRPr="00AC28BD">
              <w:rPr>
                <w:rFonts w:cs="Times New Roman"/>
                <w:sz w:val="20"/>
                <w:szCs w:val="20"/>
              </w:rPr>
              <w:t xml:space="preserve"> with Paragraph 139 of the Commission’s general order No. R-578 in Docket UE_131723.  </w:t>
            </w:r>
          </w:p>
          <w:p w14:paraId="08CFAEF5" w14:textId="77777777" w:rsidR="0001091C" w:rsidRPr="00E90506" w:rsidRDefault="0001091C" w:rsidP="008E75DF">
            <w:pPr>
              <w:rPr>
                <w:color w:val="FF0000"/>
                <w:sz w:val="20"/>
                <w:szCs w:val="20"/>
              </w:rPr>
            </w:pPr>
          </w:p>
        </w:tc>
        <w:tc>
          <w:tcPr>
            <w:tcW w:w="278" w:type="pct"/>
            <w:tcBorders>
              <w:bottom w:val="single" w:sz="4" w:space="0" w:color="000000" w:themeColor="text1"/>
            </w:tcBorders>
          </w:tcPr>
          <w:p w14:paraId="08CFAEF6" w14:textId="77777777" w:rsidR="0001091C" w:rsidRPr="00492A21" w:rsidRDefault="0001091C" w:rsidP="00492A21">
            <w:pPr>
              <w:pStyle w:val="ListParagraph"/>
              <w:numPr>
                <w:ilvl w:val="0"/>
                <w:numId w:val="2"/>
              </w:numPr>
              <w:rPr>
                <w:rFonts w:cs="Times New Roman"/>
                <w:sz w:val="20"/>
                <w:szCs w:val="20"/>
              </w:rPr>
            </w:pPr>
          </w:p>
        </w:tc>
      </w:tr>
      <w:tr w:rsidR="0001091C" w:rsidRPr="00F23BA5" w14:paraId="08CFAEFA" w14:textId="77777777" w:rsidTr="002416A0">
        <w:trPr>
          <w:trHeight w:val="377"/>
        </w:trPr>
        <w:tc>
          <w:tcPr>
            <w:tcW w:w="4722" w:type="pct"/>
            <w:gridSpan w:val="2"/>
            <w:tcBorders>
              <w:bottom w:val="single" w:sz="4" w:space="0" w:color="auto"/>
            </w:tcBorders>
            <w:vAlign w:val="center"/>
          </w:tcPr>
          <w:p w14:paraId="08CFAEF8" w14:textId="77777777" w:rsidR="0001091C" w:rsidRPr="00F23BA5" w:rsidRDefault="0001091C" w:rsidP="002416A0">
            <w:pPr>
              <w:jc w:val="left"/>
              <w:rPr>
                <w:b/>
                <w:sz w:val="20"/>
                <w:szCs w:val="20"/>
              </w:rPr>
            </w:pPr>
            <w:r w:rsidRPr="00F23BA5">
              <w:rPr>
                <w:b/>
                <w:sz w:val="20"/>
                <w:szCs w:val="20"/>
              </w:rPr>
              <w:t>WAC-480-109-010 (1)(b)(i) and (ii)</w:t>
            </w:r>
          </w:p>
        </w:tc>
        <w:tc>
          <w:tcPr>
            <w:tcW w:w="278" w:type="pct"/>
            <w:tcBorders>
              <w:bottom w:val="single" w:sz="4" w:space="0" w:color="auto"/>
            </w:tcBorders>
          </w:tcPr>
          <w:p w14:paraId="08CFAEF9" w14:textId="77777777" w:rsidR="0001091C" w:rsidRPr="00F23BA5" w:rsidRDefault="0001091C" w:rsidP="00D218C8">
            <w:pPr>
              <w:rPr>
                <w:b/>
                <w:sz w:val="20"/>
                <w:szCs w:val="20"/>
              </w:rPr>
            </w:pPr>
          </w:p>
        </w:tc>
      </w:tr>
      <w:tr w:rsidR="002416A0" w:rsidRPr="00F23BA5" w14:paraId="08CFAF01" w14:textId="77777777" w:rsidTr="00092384">
        <w:trPr>
          <w:trHeight w:val="1340"/>
        </w:trPr>
        <w:tc>
          <w:tcPr>
            <w:tcW w:w="1797" w:type="pct"/>
            <w:tcBorders>
              <w:top w:val="single" w:sz="4" w:space="0" w:color="auto"/>
            </w:tcBorders>
          </w:tcPr>
          <w:p w14:paraId="08CFAEFB" w14:textId="77777777" w:rsidR="0001091C" w:rsidRPr="00F23BA5" w:rsidRDefault="0001091C" w:rsidP="00D218C8">
            <w:pPr>
              <w:spacing w:after="100" w:afterAutospacing="1"/>
              <w:rPr>
                <w:sz w:val="20"/>
                <w:szCs w:val="20"/>
              </w:rPr>
            </w:pPr>
            <w:r w:rsidRPr="00F23BA5">
              <w:rPr>
                <w:sz w:val="20"/>
                <w:szCs w:val="20"/>
              </w:rPr>
              <w:t>Projection must be derived from and reasonably consistent with one of two sources: IRP or current power plan targets.</w:t>
            </w:r>
          </w:p>
        </w:tc>
        <w:tc>
          <w:tcPr>
            <w:tcW w:w="2925" w:type="pct"/>
            <w:tcBorders>
              <w:top w:val="single" w:sz="4" w:space="0" w:color="auto"/>
            </w:tcBorders>
          </w:tcPr>
          <w:p w14:paraId="08CFAEFC" w14:textId="77777777" w:rsidR="00B93D75" w:rsidRPr="00B93D75" w:rsidRDefault="00B93D75" w:rsidP="00B93D75">
            <w:pPr>
              <w:autoSpaceDE w:val="0"/>
              <w:autoSpaceDN w:val="0"/>
              <w:adjustRightInd w:val="0"/>
              <w:jc w:val="left"/>
              <w:rPr>
                <w:sz w:val="20"/>
                <w:szCs w:val="20"/>
              </w:rPr>
            </w:pPr>
            <w:r w:rsidRPr="00B93D75">
              <w:rPr>
                <w:sz w:val="20"/>
                <w:szCs w:val="20"/>
              </w:rPr>
              <w:t>For the 201</w:t>
            </w:r>
            <w:r w:rsidR="004C5274">
              <w:rPr>
                <w:sz w:val="20"/>
                <w:szCs w:val="20"/>
              </w:rPr>
              <w:t>4</w:t>
            </w:r>
            <w:r w:rsidRPr="00B93D75">
              <w:rPr>
                <w:sz w:val="20"/>
                <w:szCs w:val="20"/>
              </w:rPr>
              <w:t>-20</w:t>
            </w:r>
            <w:r w:rsidR="008173C5">
              <w:rPr>
                <w:sz w:val="20"/>
                <w:szCs w:val="20"/>
              </w:rPr>
              <w:t>2</w:t>
            </w:r>
            <w:r w:rsidR="004C5274">
              <w:rPr>
                <w:sz w:val="20"/>
                <w:szCs w:val="20"/>
              </w:rPr>
              <w:t>3</w:t>
            </w:r>
            <w:r w:rsidRPr="00B93D75">
              <w:rPr>
                <w:sz w:val="20"/>
                <w:szCs w:val="20"/>
              </w:rPr>
              <w:t xml:space="preserve"> conservation forecast and 201</w:t>
            </w:r>
            <w:r w:rsidR="004C5274">
              <w:rPr>
                <w:sz w:val="20"/>
                <w:szCs w:val="20"/>
              </w:rPr>
              <w:t>4</w:t>
            </w:r>
            <w:r w:rsidRPr="00B93D75">
              <w:rPr>
                <w:sz w:val="20"/>
                <w:szCs w:val="20"/>
              </w:rPr>
              <w:t>-201</w:t>
            </w:r>
            <w:r w:rsidR="004C5274">
              <w:rPr>
                <w:sz w:val="20"/>
                <w:szCs w:val="20"/>
              </w:rPr>
              <w:t>5</w:t>
            </w:r>
            <w:r w:rsidRPr="00B93D75">
              <w:rPr>
                <w:sz w:val="20"/>
                <w:szCs w:val="20"/>
              </w:rPr>
              <w:t xml:space="preserve"> biennium target the </w:t>
            </w:r>
            <w:r w:rsidR="008173C5">
              <w:rPr>
                <w:sz w:val="20"/>
                <w:szCs w:val="20"/>
              </w:rPr>
              <w:t>C</w:t>
            </w:r>
            <w:r w:rsidRPr="00B93D75">
              <w:rPr>
                <w:sz w:val="20"/>
                <w:szCs w:val="20"/>
              </w:rPr>
              <w:t>ompany elected to use its 20</w:t>
            </w:r>
            <w:r w:rsidR="008173C5">
              <w:rPr>
                <w:sz w:val="20"/>
                <w:szCs w:val="20"/>
              </w:rPr>
              <w:t>1</w:t>
            </w:r>
            <w:r w:rsidR="004C5274">
              <w:rPr>
                <w:sz w:val="20"/>
                <w:szCs w:val="20"/>
              </w:rPr>
              <w:t>3</w:t>
            </w:r>
            <w:r w:rsidRPr="00B93D75">
              <w:rPr>
                <w:sz w:val="20"/>
                <w:szCs w:val="20"/>
              </w:rPr>
              <w:t xml:space="preserve"> IRP as the base source for its conservation projection. This election is describe in detail in “PacifiCorp’s </w:t>
            </w:r>
            <w:r w:rsidRPr="00B93D75">
              <w:rPr>
                <w:rFonts w:eastAsiaTheme="majorEastAsia" w:cs="Times New Roman"/>
                <w:sz w:val="20"/>
                <w:szCs w:val="20"/>
              </w:rPr>
              <w:t>Ten-Year Conservation Potential and 201</w:t>
            </w:r>
            <w:r w:rsidR="004C5274">
              <w:rPr>
                <w:rFonts w:eastAsiaTheme="majorEastAsia" w:cs="Times New Roman"/>
                <w:sz w:val="20"/>
                <w:szCs w:val="20"/>
              </w:rPr>
              <w:t>4</w:t>
            </w:r>
            <w:r w:rsidRPr="00B93D75">
              <w:rPr>
                <w:rFonts w:eastAsiaTheme="majorEastAsia" w:cs="Times New Roman"/>
                <w:sz w:val="20"/>
                <w:szCs w:val="20"/>
              </w:rPr>
              <w:t>-201</w:t>
            </w:r>
            <w:r w:rsidR="004C5274">
              <w:rPr>
                <w:rFonts w:eastAsiaTheme="majorEastAsia" w:cs="Times New Roman"/>
                <w:sz w:val="20"/>
                <w:szCs w:val="20"/>
              </w:rPr>
              <w:t>5</w:t>
            </w:r>
            <w:r w:rsidRPr="00B93D75">
              <w:rPr>
                <w:rFonts w:eastAsiaTheme="majorEastAsia" w:cs="Times New Roman"/>
                <w:sz w:val="20"/>
                <w:szCs w:val="20"/>
              </w:rPr>
              <w:t xml:space="preserve"> Biennial Conservation Target for its Washington Service Area” filed in Docket </w:t>
            </w:r>
            <w:r w:rsidRPr="00B93D75">
              <w:rPr>
                <w:rFonts w:cs="Times New Roman"/>
                <w:sz w:val="20"/>
                <w:szCs w:val="20"/>
              </w:rPr>
              <w:t>UE-1</w:t>
            </w:r>
            <w:r w:rsidR="004C5274">
              <w:rPr>
                <w:rFonts w:cs="Times New Roman"/>
                <w:sz w:val="20"/>
                <w:szCs w:val="20"/>
              </w:rPr>
              <w:t>32047</w:t>
            </w:r>
            <w:r w:rsidRPr="00B93D75">
              <w:rPr>
                <w:rFonts w:cs="Times New Roman"/>
                <w:sz w:val="20"/>
                <w:szCs w:val="20"/>
              </w:rPr>
              <w:t>.</w:t>
            </w:r>
            <w:r w:rsidRPr="00B93D75">
              <w:rPr>
                <w:rFonts w:ascii="Arial" w:hAnsi="Arial" w:cs="Arial"/>
                <w:sz w:val="72"/>
                <w:szCs w:val="72"/>
              </w:rPr>
              <w:t xml:space="preserve"> </w:t>
            </w:r>
          </w:p>
          <w:p w14:paraId="08CFAEFD" w14:textId="77777777" w:rsidR="0001091C" w:rsidRDefault="0001091C" w:rsidP="00B93D75">
            <w:pPr>
              <w:spacing w:after="100" w:afterAutospacing="1"/>
              <w:rPr>
                <w:color w:val="FF0000"/>
                <w:sz w:val="20"/>
                <w:szCs w:val="20"/>
              </w:rPr>
            </w:pPr>
          </w:p>
          <w:p w14:paraId="08CFAEFE" w14:textId="77777777" w:rsidR="004C5274" w:rsidRPr="00981DC3" w:rsidRDefault="004C5274" w:rsidP="00B93D75">
            <w:pPr>
              <w:spacing w:after="100" w:afterAutospacing="1"/>
              <w:rPr>
                <w:sz w:val="20"/>
                <w:szCs w:val="20"/>
              </w:rPr>
            </w:pPr>
            <w:r w:rsidRPr="00981DC3">
              <w:rPr>
                <w:sz w:val="20"/>
                <w:szCs w:val="20"/>
              </w:rPr>
              <w:t xml:space="preserve">Note: the Company </w:t>
            </w:r>
            <w:r w:rsidR="00AC28BD" w:rsidRPr="00981DC3">
              <w:rPr>
                <w:sz w:val="20"/>
                <w:szCs w:val="20"/>
              </w:rPr>
              <w:t xml:space="preserve">is </w:t>
            </w:r>
            <w:r w:rsidRPr="00981DC3">
              <w:rPr>
                <w:sz w:val="20"/>
                <w:szCs w:val="20"/>
              </w:rPr>
              <w:t xml:space="preserve">demonstrating compliance with WAC rules in place at the time the target provided in UE-132047 </w:t>
            </w:r>
            <w:r w:rsidR="00AC28BD" w:rsidRPr="00981DC3">
              <w:rPr>
                <w:sz w:val="20"/>
                <w:szCs w:val="20"/>
              </w:rPr>
              <w:t xml:space="preserve">was approved and this approach </w:t>
            </w:r>
            <w:r w:rsidR="0056680C" w:rsidRPr="00981DC3">
              <w:rPr>
                <w:sz w:val="20"/>
                <w:szCs w:val="20"/>
              </w:rPr>
              <w:t>is consistent</w:t>
            </w:r>
            <w:r w:rsidR="00AC28BD" w:rsidRPr="00981DC3">
              <w:rPr>
                <w:sz w:val="20"/>
                <w:szCs w:val="20"/>
              </w:rPr>
              <w:t xml:space="preserve"> with Paragraph 139 of the Commission’s general order No. R-578 in Docket UE_131723. </w:t>
            </w:r>
            <w:r w:rsidRPr="00981DC3">
              <w:rPr>
                <w:sz w:val="20"/>
                <w:szCs w:val="20"/>
              </w:rPr>
              <w:t xml:space="preserve"> </w:t>
            </w:r>
          </w:p>
          <w:p w14:paraId="08CFAEFF" w14:textId="77777777" w:rsidR="00337674" w:rsidRPr="00E90506" w:rsidRDefault="00337674" w:rsidP="00B475C7">
            <w:pPr>
              <w:autoSpaceDE w:val="0"/>
              <w:autoSpaceDN w:val="0"/>
              <w:adjustRightInd w:val="0"/>
              <w:jc w:val="left"/>
              <w:rPr>
                <w:color w:val="FF0000"/>
                <w:sz w:val="20"/>
                <w:szCs w:val="20"/>
              </w:rPr>
            </w:pPr>
          </w:p>
        </w:tc>
        <w:tc>
          <w:tcPr>
            <w:tcW w:w="278" w:type="pct"/>
            <w:tcBorders>
              <w:top w:val="single" w:sz="4" w:space="0" w:color="auto"/>
            </w:tcBorders>
          </w:tcPr>
          <w:p w14:paraId="08CFAF00" w14:textId="77777777" w:rsidR="0001091C" w:rsidRPr="00492A21" w:rsidRDefault="0001091C" w:rsidP="00492A21">
            <w:pPr>
              <w:pStyle w:val="ListParagraph"/>
              <w:numPr>
                <w:ilvl w:val="0"/>
                <w:numId w:val="2"/>
              </w:numPr>
              <w:spacing w:after="100" w:afterAutospacing="1"/>
              <w:rPr>
                <w:sz w:val="20"/>
                <w:szCs w:val="20"/>
              </w:rPr>
            </w:pPr>
          </w:p>
        </w:tc>
      </w:tr>
      <w:tr w:rsidR="0001091C" w:rsidRPr="00F23BA5" w14:paraId="08CFAF04" w14:textId="77777777" w:rsidTr="002416A0">
        <w:trPr>
          <w:trHeight w:val="350"/>
        </w:trPr>
        <w:tc>
          <w:tcPr>
            <w:tcW w:w="4722" w:type="pct"/>
            <w:gridSpan w:val="2"/>
            <w:vAlign w:val="center"/>
          </w:tcPr>
          <w:p w14:paraId="08CFAF02" w14:textId="77777777" w:rsidR="0001091C" w:rsidRPr="00F23BA5" w:rsidRDefault="0001091C" w:rsidP="002416A0">
            <w:pPr>
              <w:jc w:val="left"/>
              <w:rPr>
                <w:b/>
                <w:sz w:val="20"/>
                <w:szCs w:val="20"/>
              </w:rPr>
            </w:pPr>
            <w:r w:rsidRPr="00F23BA5">
              <w:rPr>
                <w:b/>
                <w:sz w:val="20"/>
                <w:szCs w:val="20"/>
              </w:rPr>
              <w:lastRenderedPageBreak/>
              <w:t>WAC-480-109-010 (2)(a) and (b)</w:t>
            </w:r>
          </w:p>
        </w:tc>
        <w:tc>
          <w:tcPr>
            <w:tcW w:w="278" w:type="pct"/>
          </w:tcPr>
          <w:p w14:paraId="08CFAF03" w14:textId="77777777" w:rsidR="0001091C" w:rsidRPr="00F23BA5" w:rsidRDefault="0001091C" w:rsidP="00D218C8">
            <w:pPr>
              <w:rPr>
                <w:b/>
                <w:sz w:val="20"/>
                <w:szCs w:val="20"/>
              </w:rPr>
            </w:pPr>
          </w:p>
        </w:tc>
      </w:tr>
      <w:tr w:rsidR="002416A0" w:rsidRPr="00F23BA5" w14:paraId="08CFAF0C" w14:textId="77777777" w:rsidTr="00092384">
        <w:tc>
          <w:tcPr>
            <w:tcW w:w="1797" w:type="pct"/>
          </w:tcPr>
          <w:p w14:paraId="08CFAF05" w14:textId="77777777" w:rsidR="0001091C" w:rsidRPr="00F23BA5" w:rsidRDefault="0001091C" w:rsidP="00D218C8">
            <w:pPr>
              <w:rPr>
                <w:sz w:val="20"/>
                <w:szCs w:val="20"/>
              </w:rPr>
            </w:pPr>
            <w:r w:rsidRPr="00F23BA5">
              <w:rPr>
                <w:sz w:val="20"/>
                <w:szCs w:val="20"/>
              </w:rPr>
              <w:t>(2)(a) The biennial conservation target must identify all achievable conservation opportunities.</w:t>
            </w:r>
          </w:p>
          <w:p w14:paraId="08CFAF06" w14:textId="77777777" w:rsidR="0001091C" w:rsidRDefault="0001091C" w:rsidP="00D218C8">
            <w:pPr>
              <w:rPr>
                <w:sz w:val="20"/>
                <w:szCs w:val="20"/>
              </w:rPr>
            </w:pPr>
            <w:r w:rsidRPr="00F23BA5">
              <w:rPr>
                <w:sz w:val="20"/>
                <w:szCs w:val="20"/>
              </w:rPr>
              <w:t>(2)(b) The biennial conservation target must be no lower than a pro rata share of the utility’s ten-year cumulative achievable conservation potential. Each utility must fully document how it prorated its ten-year cumulative conservation potential to determine the minimum level for its biennial conservation target.</w:t>
            </w:r>
          </w:p>
          <w:p w14:paraId="08CFAF07" w14:textId="77777777" w:rsidR="002416A0" w:rsidRPr="00F23BA5" w:rsidRDefault="002416A0" w:rsidP="00D218C8">
            <w:pPr>
              <w:rPr>
                <w:sz w:val="20"/>
                <w:szCs w:val="20"/>
              </w:rPr>
            </w:pPr>
          </w:p>
        </w:tc>
        <w:tc>
          <w:tcPr>
            <w:tcW w:w="2925" w:type="pct"/>
          </w:tcPr>
          <w:p w14:paraId="08CFAF08" w14:textId="77777777" w:rsidR="0001091C" w:rsidRDefault="0001091C" w:rsidP="00A56A8F">
            <w:pPr>
              <w:ind w:hanging="18"/>
              <w:rPr>
                <w:sz w:val="20"/>
                <w:szCs w:val="20"/>
              </w:rPr>
            </w:pPr>
            <w:r w:rsidRPr="00492A21">
              <w:rPr>
                <w:sz w:val="20"/>
                <w:szCs w:val="20"/>
              </w:rPr>
              <w:t>See response to WAC 480-109-010 (1</w:t>
            </w:r>
            <w:r w:rsidR="0056680C" w:rsidRPr="00492A21">
              <w:rPr>
                <w:sz w:val="20"/>
                <w:szCs w:val="20"/>
              </w:rPr>
              <w:t>) (</w:t>
            </w:r>
            <w:r w:rsidRPr="00492A21">
              <w:rPr>
                <w:sz w:val="20"/>
                <w:szCs w:val="20"/>
              </w:rPr>
              <w:t>a) and (2</w:t>
            </w:r>
            <w:r w:rsidR="0056680C" w:rsidRPr="00492A21">
              <w:rPr>
                <w:sz w:val="20"/>
                <w:szCs w:val="20"/>
              </w:rPr>
              <w:t>) (</w:t>
            </w:r>
            <w:r w:rsidRPr="00492A21">
              <w:rPr>
                <w:sz w:val="20"/>
                <w:szCs w:val="20"/>
              </w:rPr>
              <w:t xml:space="preserve">a) above in this table. </w:t>
            </w:r>
          </w:p>
          <w:p w14:paraId="08CFAF09" w14:textId="77777777" w:rsidR="00492A21" w:rsidRDefault="00492A21" w:rsidP="00A56A8F">
            <w:pPr>
              <w:ind w:hanging="18"/>
              <w:rPr>
                <w:sz w:val="20"/>
                <w:szCs w:val="20"/>
              </w:rPr>
            </w:pPr>
          </w:p>
          <w:p w14:paraId="08CFAF0A" w14:textId="77777777" w:rsidR="00492A21" w:rsidRPr="00492A21" w:rsidRDefault="00492A21" w:rsidP="00C73AA9">
            <w:pPr>
              <w:ind w:hanging="18"/>
              <w:rPr>
                <w:sz w:val="20"/>
                <w:szCs w:val="20"/>
              </w:rPr>
            </w:pPr>
            <w:r>
              <w:rPr>
                <w:sz w:val="20"/>
                <w:szCs w:val="20"/>
              </w:rPr>
              <w:t xml:space="preserve">The manner by which the </w:t>
            </w:r>
            <w:r w:rsidR="008173C5">
              <w:rPr>
                <w:sz w:val="20"/>
                <w:szCs w:val="20"/>
              </w:rPr>
              <w:t>C</w:t>
            </w:r>
            <w:r>
              <w:rPr>
                <w:sz w:val="20"/>
                <w:szCs w:val="20"/>
              </w:rPr>
              <w:t>ompany arrived at its 201</w:t>
            </w:r>
            <w:r w:rsidR="008173C5">
              <w:rPr>
                <w:sz w:val="20"/>
                <w:szCs w:val="20"/>
              </w:rPr>
              <w:t>2</w:t>
            </w:r>
            <w:r>
              <w:rPr>
                <w:sz w:val="20"/>
                <w:szCs w:val="20"/>
              </w:rPr>
              <w:t>-1</w:t>
            </w:r>
            <w:r w:rsidR="008173C5">
              <w:rPr>
                <w:sz w:val="20"/>
                <w:szCs w:val="20"/>
              </w:rPr>
              <w:t>3</w:t>
            </w:r>
            <w:r>
              <w:rPr>
                <w:sz w:val="20"/>
                <w:szCs w:val="20"/>
              </w:rPr>
              <w:t xml:space="preserve"> biennial conservation target is explained on page</w:t>
            </w:r>
            <w:r w:rsidR="008833B6">
              <w:rPr>
                <w:sz w:val="20"/>
                <w:szCs w:val="20"/>
              </w:rPr>
              <w:t>s</w:t>
            </w:r>
            <w:r>
              <w:rPr>
                <w:sz w:val="20"/>
                <w:szCs w:val="20"/>
              </w:rPr>
              <w:t xml:space="preserve"> </w:t>
            </w:r>
            <w:r w:rsidR="008173C5">
              <w:rPr>
                <w:sz w:val="20"/>
                <w:szCs w:val="20"/>
              </w:rPr>
              <w:t>2</w:t>
            </w:r>
            <w:r w:rsidR="00C73AA9">
              <w:rPr>
                <w:sz w:val="20"/>
                <w:szCs w:val="20"/>
              </w:rPr>
              <w:t>7</w:t>
            </w:r>
            <w:r w:rsidR="008833B6">
              <w:rPr>
                <w:sz w:val="20"/>
                <w:szCs w:val="20"/>
              </w:rPr>
              <w:t>-3</w:t>
            </w:r>
            <w:r w:rsidR="00C73AA9">
              <w:rPr>
                <w:sz w:val="20"/>
                <w:szCs w:val="20"/>
              </w:rPr>
              <w:t>1</w:t>
            </w:r>
            <w:r>
              <w:rPr>
                <w:sz w:val="20"/>
                <w:szCs w:val="20"/>
              </w:rPr>
              <w:t xml:space="preserve"> of </w:t>
            </w:r>
            <w:r w:rsidRPr="00B93D75">
              <w:rPr>
                <w:sz w:val="20"/>
                <w:szCs w:val="20"/>
              </w:rPr>
              <w:t xml:space="preserve">“PacifiCorp’s </w:t>
            </w:r>
            <w:r w:rsidRPr="00B93D75">
              <w:rPr>
                <w:rFonts w:eastAsiaTheme="majorEastAsia" w:cs="Times New Roman"/>
                <w:sz w:val="20"/>
                <w:szCs w:val="20"/>
              </w:rPr>
              <w:t>Ten-Year Conservation Potential and 201</w:t>
            </w:r>
            <w:r w:rsidR="00C73AA9">
              <w:rPr>
                <w:rFonts w:eastAsiaTheme="majorEastAsia" w:cs="Times New Roman"/>
                <w:sz w:val="20"/>
                <w:szCs w:val="20"/>
              </w:rPr>
              <w:t>4</w:t>
            </w:r>
            <w:r w:rsidRPr="00B93D75">
              <w:rPr>
                <w:rFonts w:eastAsiaTheme="majorEastAsia" w:cs="Times New Roman"/>
                <w:sz w:val="20"/>
                <w:szCs w:val="20"/>
              </w:rPr>
              <w:t>-201</w:t>
            </w:r>
            <w:r w:rsidR="00C73AA9">
              <w:rPr>
                <w:rFonts w:eastAsiaTheme="majorEastAsia" w:cs="Times New Roman"/>
                <w:sz w:val="20"/>
                <w:szCs w:val="20"/>
              </w:rPr>
              <w:t>5</w:t>
            </w:r>
            <w:r w:rsidRPr="00B93D75">
              <w:rPr>
                <w:rFonts w:eastAsiaTheme="majorEastAsia" w:cs="Times New Roman"/>
                <w:sz w:val="20"/>
                <w:szCs w:val="20"/>
              </w:rPr>
              <w:t xml:space="preserve"> Biennial Conservation Target for its Washington Service Area” filed in Docket </w:t>
            </w:r>
            <w:r w:rsidRPr="00B93D75">
              <w:rPr>
                <w:rFonts w:cs="Times New Roman"/>
                <w:sz w:val="20"/>
                <w:szCs w:val="20"/>
              </w:rPr>
              <w:t>UE-1</w:t>
            </w:r>
            <w:r w:rsidR="00C73AA9">
              <w:rPr>
                <w:rFonts w:cs="Times New Roman"/>
                <w:sz w:val="20"/>
                <w:szCs w:val="20"/>
              </w:rPr>
              <w:t xml:space="preserve">32047.  This section includes the Company’s proposed use of a range (74,703-74,719 MWh). The Commission approved </w:t>
            </w:r>
            <w:r w:rsidR="006D3A35">
              <w:rPr>
                <w:rFonts w:cs="Times New Roman"/>
                <w:sz w:val="20"/>
                <w:szCs w:val="20"/>
              </w:rPr>
              <w:t xml:space="preserve">a single value target coincident with the lower end of the range at the December 19, 2013 meeting. </w:t>
            </w:r>
            <w:r w:rsidR="00C73AA9">
              <w:rPr>
                <w:rFonts w:cs="Times New Roman"/>
                <w:sz w:val="20"/>
                <w:szCs w:val="20"/>
              </w:rPr>
              <w:t xml:space="preserve"> </w:t>
            </w:r>
          </w:p>
        </w:tc>
        <w:tc>
          <w:tcPr>
            <w:tcW w:w="278" w:type="pct"/>
          </w:tcPr>
          <w:p w14:paraId="08CFAF0B" w14:textId="77777777" w:rsidR="0001091C" w:rsidRPr="00492A21" w:rsidRDefault="0001091C" w:rsidP="00492A21">
            <w:pPr>
              <w:pStyle w:val="ListParagraph"/>
              <w:numPr>
                <w:ilvl w:val="0"/>
                <w:numId w:val="2"/>
              </w:numPr>
              <w:rPr>
                <w:sz w:val="20"/>
                <w:szCs w:val="20"/>
              </w:rPr>
            </w:pPr>
          </w:p>
        </w:tc>
      </w:tr>
      <w:tr w:rsidR="00C23009" w:rsidRPr="00F23BA5" w14:paraId="08CFAF11" w14:textId="77777777" w:rsidTr="00C23009">
        <w:tc>
          <w:tcPr>
            <w:tcW w:w="5000" w:type="pct"/>
            <w:gridSpan w:val="3"/>
          </w:tcPr>
          <w:p w14:paraId="08CFAF0D" w14:textId="77777777" w:rsidR="00C23009" w:rsidRDefault="00C23009" w:rsidP="00C23009">
            <w:pPr>
              <w:pStyle w:val="Default"/>
            </w:pPr>
          </w:p>
          <w:tbl>
            <w:tblPr>
              <w:tblW w:w="0" w:type="auto"/>
              <w:tblBorders>
                <w:top w:val="nil"/>
                <w:left w:val="nil"/>
                <w:bottom w:val="nil"/>
                <w:right w:val="nil"/>
              </w:tblBorders>
              <w:tblLook w:val="0000" w:firstRow="0" w:lastRow="0" w:firstColumn="0" w:lastColumn="0" w:noHBand="0" w:noVBand="0"/>
            </w:tblPr>
            <w:tblGrid>
              <w:gridCol w:w="3482"/>
            </w:tblGrid>
            <w:tr w:rsidR="00C23009" w14:paraId="08CFAF0F" w14:textId="77777777">
              <w:trPr>
                <w:trHeight w:val="132"/>
              </w:trPr>
              <w:tc>
                <w:tcPr>
                  <w:tcW w:w="0" w:type="auto"/>
                </w:tcPr>
                <w:p w14:paraId="08CFAF0E" w14:textId="77777777" w:rsidR="00C23009" w:rsidRDefault="00C23009">
                  <w:pPr>
                    <w:pStyle w:val="Default"/>
                    <w:rPr>
                      <w:sz w:val="20"/>
                      <w:szCs w:val="20"/>
                    </w:rPr>
                  </w:pPr>
                  <w:r>
                    <w:t xml:space="preserve"> </w:t>
                  </w:r>
                  <w:r>
                    <w:rPr>
                      <w:b/>
                      <w:bCs/>
                      <w:sz w:val="20"/>
                      <w:szCs w:val="20"/>
                    </w:rPr>
                    <w:t xml:space="preserve">WAC-480-109-120 (3) (vi) and (4) (vi) </w:t>
                  </w:r>
                </w:p>
              </w:tc>
            </w:tr>
          </w:tbl>
          <w:p w14:paraId="08CFAF10" w14:textId="77777777" w:rsidR="00C23009" w:rsidRPr="00184C16" w:rsidRDefault="00C23009" w:rsidP="00184C16">
            <w:pPr>
              <w:jc w:val="left"/>
              <w:rPr>
                <w:sz w:val="20"/>
                <w:szCs w:val="20"/>
              </w:rPr>
            </w:pPr>
          </w:p>
        </w:tc>
      </w:tr>
      <w:tr w:rsidR="00C23009" w:rsidRPr="00F23BA5" w14:paraId="08CFAF1D" w14:textId="77777777" w:rsidTr="00092384">
        <w:tc>
          <w:tcPr>
            <w:tcW w:w="1797" w:type="pct"/>
          </w:tcPr>
          <w:tbl>
            <w:tblPr>
              <w:tblW w:w="0" w:type="auto"/>
              <w:tblBorders>
                <w:top w:val="nil"/>
                <w:left w:val="nil"/>
                <w:bottom w:val="nil"/>
                <w:right w:val="nil"/>
              </w:tblBorders>
              <w:tblLook w:val="0000" w:firstRow="0" w:lastRow="0" w:firstColumn="0" w:lastColumn="0" w:noHBand="0" w:noVBand="0"/>
            </w:tblPr>
            <w:tblGrid>
              <w:gridCol w:w="4928"/>
            </w:tblGrid>
            <w:tr w:rsidR="00C23009" w14:paraId="08CFAF17" w14:textId="77777777">
              <w:trPr>
                <w:trHeight w:val="1050"/>
              </w:trPr>
              <w:tc>
                <w:tcPr>
                  <w:tcW w:w="0" w:type="auto"/>
                </w:tcPr>
                <w:p w14:paraId="08CFAF12" w14:textId="77777777" w:rsidR="00C23009" w:rsidRDefault="00C23009">
                  <w:pPr>
                    <w:pStyle w:val="Default"/>
                    <w:rPr>
                      <w:sz w:val="20"/>
                      <w:szCs w:val="20"/>
                    </w:rPr>
                  </w:pPr>
                  <w:r>
                    <w:t xml:space="preserve"> </w:t>
                  </w:r>
                  <w:r>
                    <w:rPr>
                      <w:sz w:val="20"/>
                      <w:szCs w:val="20"/>
                    </w:rPr>
                    <w:t xml:space="preserve">(3) (vi) Annual conservation report. </w:t>
                  </w:r>
                </w:p>
                <w:p w14:paraId="08CFAF13" w14:textId="77777777" w:rsidR="00C23009" w:rsidRDefault="00C23009">
                  <w:pPr>
                    <w:pStyle w:val="Default"/>
                    <w:rPr>
                      <w:sz w:val="20"/>
                      <w:szCs w:val="20"/>
                    </w:rPr>
                  </w:pPr>
                  <w:r>
                    <w:rPr>
                      <w:sz w:val="20"/>
                      <w:szCs w:val="20"/>
                    </w:rPr>
                    <w:t xml:space="preserve">A discussion of the steps taken to adaptively manage conservation programs throughout the preceding year. </w:t>
                  </w:r>
                </w:p>
                <w:p w14:paraId="08CFAF14" w14:textId="77777777" w:rsidR="00C23009" w:rsidRDefault="00C23009">
                  <w:pPr>
                    <w:pStyle w:val="Default"/>
                    <w:rPr>
                      <w:sz w:val="20"/>
                      <w:szCs w:val="20"/>
                    </w:rPr>
                  </w:pPr>
                </w:p>
                <w:p w14:paraId="08CFAF15" w14:textId="77777777" w:rsidR="00C23009" w:rsidRDefault="00C23009">
                  <w:pPr>
                    <w:pStyle w:val="Default"/>
                    <w:rPr>
                      <w:sz w:val="20"/>
                      <w:szCs w:val="20"/>
                    </w:rPr>
                  </w:pPr>
                  <w:r>
                    <w:rPr>
                      <w:sz w:val="20"/>
                      <w:szCs w:val="20"/>
                    </w:rPr>
                    <w:t xml:space="preserve">(4) (vi) Biennial conservation report. </w:t>
                  </w:r>
                </w:p>
                <w:p w14:paraId="08CFAF16" w14:textId="77777777" w:rsidR="00C23009" w:rsidRDefault="00C23009">
                  <w:pPr>
                    <w:pStyle w:val="Default"/>
                    <w:rPr>
                      <w:sz w:val="20"/>
                      <w:szCs w:val="20"/>
                    </w:rPr>
                  </w:pPr>
                  <w:r>
                    <w:rPr>
                      <w:sz w:val="20"/>
                      <w:szCs w:val="20"/>
                    </w:rPr>
                    <w:t xml:space="preserve">A summary of the steps taken to adaptively manage conservation programs throughout the preceding two years; </w:t>
                  </w:r>
                </w:p>
              </w:tc>
            </w:tr>
          </w:tbl>
          <w:p w14:paraId="08CFAF18" w14:textId="77777777" w:rsidR="00C23009" w:rsidRPr="00F23BA5" w:rsidRDefault="00C23009" w:rsidP="00D218C8">
            <w:pPr>
              <w:rPr>
                <w:sz w:val="20"/>
                <w:szCs w:val="20"/>
              </w:rPr>
            </w:pPr>
          </w:p>
        </w:tc>
        <w:tc>
          <w:tcPr>
            <w:tcW w:w="2925" w:type="pct"/>
          </w:tcPr>
          <w:tbl>
            <w:tblPr>
              <w:tblW w:w="0" w:type="auto"/>
              <w:tblBorders>
                <w:top w:val="nil"/>
                <w:left w:val="nil"/>
                <w:bottom w:val="nil"/>
                <w:right w:val="nil"/>
              </w:tblBorders>
              <w:tblLook w:val="0000" w:firstRow="0" w:lastRow="0" w:firstColumn="0" w:lastColumn="0" w:noHBand="0" w:noVBand="0"/>
            </w:tblPr>
            <w:tblGrid>
              <w:gridCol w:w="8158"/>
            </w:tblGrid>
            <w:tr w:rsidR="00C23009" w14:paraId="08CFAF1A" w14:textId="77777777">
              <w:trPr>
                <w:trHeight w:val="417"/>
              </w:trPr>
              <w:tc>
                <w:tcPr>
                  <w:tcW w:w="0" w:type="auto"/>
                </w:tcPr>
                <w:p w14:paraId="08CFAF19" w14:textId="77777777" w:rsidR="00C23009" w:rsidRPr="00184C16" w:rsidRDefault="00C23009" w:rsidP="00184C16">
                  <w:pPr>
                    <w:pStyle w:val="Default"/>
                    <w:rPr>
                      <w:sz w:val="20"/>
                      <w:szCs w:val="20"/>
                    </w:rPr>
                  </w:pPr>
                  <w:r w:rsidRPr="00184C16">
                    <w:rPr>
                      <w:sz w:val="20"/>
                      <w:szCs w:val="20"/>
                    </w:rPr>
                    <w:t xml:space="preserve">The Company has provided the </w:t>
                  </w:r>
                  <w:r w:rsidRPr="00184C16">
                    <w:rPr>
                      <w:i/>
                      <w:iCs/>
                      <w:sz w:val="20"/>
                      <w:szCs w:val="20"/>
                    </w:rPr>
                    <w:t xml:space="preserve">Summary of Adaptive Management Actions for the 2014-2015 Washington Programs </w:t>
                  </w:r>
                  <w:r w:rsidRPr="00184C16">
                    <w:rPr>
                      <w:sz w:val="20"/>
                      <w:szCs w:val="20"/>
                    </w:rPr>
                    <w:t xml:space="preserve">to supplement the information provided in the 2014 and 2015 annual reports. The same information was included in the </w:t>
                  </w:r>
                  <w:r w:rsidRPr="00184C16">
                    <w:rPr>
                      <w:i/>
                      <w:sz w:val="20"/>
                      <w:szCs w:val="20"/>
                    </w:rPr>
                    <w:t xml:space="preserve"> 2014-2015 Biennial Conservation Report  Washington</w:t>
                  </w:r>
                  <w:r w:rsidRPr="00184C16">
                    <w:rPr>
                      <w:sz w:val="20"/>
                      <w:szCs w:val="20"/>
                    </w:rPr>
                    <w:t>, Fil</w:t>
                  </w:r>
                  <w:r w:rsidR="00192433" w:rsidRPr="00192433">
                    <w:rPr>
                      <w:sz w:val="20"/>
                      <w:szCs w:val="20"/>
                    </w:rPr>
                    <w:t>ed June 1, 2106, Revised July 2</w:t>
                  </w:r>
                  <w:r w:rsidR="00192433">
                    <w:rPr>
                      <w:sz w:val="20"/>
                      <w:szCs w:val="20"/>
                    </w:rPr>
                    <w:t>7</w:t>
                  </w:r>
                  <w:r w:rsidRPr="00184C16">
                    <w:rPr>
                      <w:sz w:val="20"/>
                      <w:szCs w:val="20"/>
                    </w:rPr>
                    <w:t xml:space="preserve">, 2016 </w:t>
                  </w:r>
                </w:p>
              </w:tc>
            </w:tr>
          </w:tbl>
          <w:p w14:paraId="08CFAF1B" w14:textId="77777777" w:rsidR="00C23009" w:rsidRPr="00492A21" w:rsidRDefault="00C23009" w:rsidP="00A56A8F">
            <w:pPr>
              <w:ind w:hanging="18"/>
              <w:rPr>
                <w:sz w:val="20"/>
                <w:szCs w:val="20"/>
              </w:rPr>
            </w:pPr>
          </w:p>
        </w:tc>
        <w:tc>
          <w:tcPr>
            <w:tcW w:w="278" w:type="pct"/>
          </w:tcPr>
          <w:p w14:paraId="08CFAF1C" w14:textId="77777777" w:rsidR="00C23009" w:rsidRPr="00492A21" w:rsidRDefault="00C23009" w:rsidP="00492A21">
            <w:pPr>
              <w:pStyle w:val="ListParagraph"/>
              <w:numPr>
                <w:ilvl w:val="0"/>
                <w:numId w:val="2"/>
              </w:numPr>
              <w:rPr>
                <w:sz w:val="20"/>
                <w:szCs w:val="20"/>
              </w:rPr>
            </w:pPr>
          </w:p>
        </w:tc>
      </w:tr>
    </w:tbl>
    <w:p w14:paraId="08CFAF1E" w14:textId="77777777" w:rsidR="00BD00C6" w:rsidRPr="00F23BA5" w:rsidRDefault="00BD00C6" w:rsidP="00F23BA5">
      <w:pPr>
        <w:rPr>
          <w:sz w:val="20"/>
          <w:szCs w:val="20"/>
        </w:rPr>
      </w:pPr>
    </w:p>
    <w:sectPr w:rsidR="00BD00C6" w:rsidRPr="00F23BA5" w:rsidSect="002416A0">
      <w:pgSz w:w="15840" w:h="12240" w:orient="landscape" w:code="1"/>
      <w:pgMar w:top="1152" w:right="864" w:bottom="1152"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FAF21" w14:textId="77777777" w:rsidR="00135039" w:rsidRDefault="00135039" w:rsidP="00EB0F01">
      <w:r>
        <w:separator/>
      </w:r>
    </w:p>
  </w:endnote>
  <w:endnote w:type="continuationSeparator" w:id="0">
    <w:p w14:paraId="08CFAF22" w14:textId="77777777" w:rsidR="00135039" w:rsidRDefault="00135039" w:rsidP="00EB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FAF25" w14:textId="77777777" w:rsidR="00FA6A19" w:rsidRDefault="00FA6A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42536848"/>
      <w:docPartObj>
        <w:docPartGallery w:val="Page Numbers (Bottom of Page)"/>
        <w:docPartUnique/>
      </w:docPartObj>
    </w:sdtPr>
    <w:sdtEndPr/>
    <w:sdtContent>
      <w:sdt>
        <w:sdtPr>
          <w:rPr>
            <w:sz w:val="20"/>
            <w:szCs w:val="20"/>
          </w:rPr>
          <w:id w:val="565050523"/>
          <w:docPartObj>
            <w:docPartGallery w:val="Page Numbers (Top of Page)"/>
            <w:docPartUnique/>
          </w:docPartObj>
        </w:sdtPr>
        <w:sdtEndPr/>
        <w:sdtContent>
          <w:p w14:paraId="08CFAF26" w14:textId="77777777" w:rsidR="002416A0" w:rsidRPr="002416A0" w:rsidRDefault="002416A0">
            <w:pPr>
              <w:pStyle w:val="Footer"/>
              <w:jc w:val="right"/>
              <w:rPr>
                <w:sz w:val="20"/>
                <w:szCs w:val="20"/>
              </w:rPr>
            </w:pPr>
            <w:r w:rsidRPr="002416A0">
              <w:rPr>
                <w:sz w:val="20"/>
                <w:szCs w:val="20"/>
              </w:rPr>
              <w:t xml:space="preserve">Page </w:t>
            </w:r>
            <w:r w:rsidR="001C7F37" w:rsidRPr="002416A0">
              <w:rPr>
                <w:b/>
                <w:sz w:val="20"/>
                <w:szCs w:val="20"/>
              </w:rPr>
              <w:fldChar w:fldCharType="begin"/>
            </w:r>
            <w:r w:rsidRPr="002416A0">
              <w:rPr>
                <w:b/>
                <w:sz w:val="20"/>
                <w:szCs w:val="20"/>
              </w:rPr>
              <w:instrText xml:space="preserve"> PAGE </w:instrText>
            </w:r>
            <w:r w:rsidR="001C7F37" w:rsidRPr="002416A0">
              <w:rPr>
                <w:b/>
                <w:sz w:val="20"/>
                <w:szCs w:val="20"/>
              </w:rPr>
              <w:fldChar w:fldCharType="separate"/>
            </w:r>
            <w:r w:rsidR="00D8385B">
              <w:rPr>
                <w:b/>
                <w:noProof/>
                <w:sz w:val="20"/>
                <w:szCs w:val="20"/>
              </w:rPr>
              <w:t>2</w:t>
            </w:r>
            <w:r w:rsidR="001C7F37" w:rsidRPr="002416A0">
              <w:rPr>
                <w:b/>
                <w:sz w:val="20"/>
                <w:szCs w:val="20"/>
              </w:rPr>
              <w:fldChar w:fldCharType="end"/>
            </w:r>
            <w:r w:rsidRPr="002416A0">
              <w:rPr>
                <w:sz w:val="20"/>
                <w:szCs w:val="20"/>
              </w:rPr>
              <w:t xml:space="preserve"> of </w:t>
            </w:r>
            <w:r w:rsidR="001C7F37" w:rsidRPr="002416A0">
              <w:rPr>
                <w:b/>
                <w:sz w:val="20"/>
                <w:szCs w:val="20"/>
              </w:rPr>
              <w:fldChar w:fldCharType="begin"/>
            </w:r>
            <w:r w:rsidRPr="002416A0">
              <w:rPr>
                <w:b/>
                <w:sz w:val="20"/>
                <w:szCs w:val="20"/>
              </w:rPr>
              <w:instrText xml:space="preserve"> NUMPAGES  </w:instrText>
            </w:r>
            <w:r w:rsidR="001C7F37" w:rsidRPr="002416A0">
              <w:rPr>
                <w:b/>
                <w:sz w:val="20"/>
                <w:szCs w:val="20"/>
              </w:rPr>
              <w:fldChar w:fldCharType="separate"/>
            </w:r>
            <w:r w:rsidR="00D8385B">
              <w:rPr>
                <w:b/>
                <w:noProof/>
                <w:sz w:val="20"/>
                <w:szCs w:val="20"/>
              </w:rPr>
              <w:t>7</w:t>
            </w:r>
            <w:r w:rsidR="001C7F37" w:rsidRPr="002416A0">
              <w:rPr>
                <w:b/>
                <w:sz w:val="20"/>
                <w:szCs w:val="20"/>
              </w:rPr>
              <w:fldChar w:fldCharType="end"/>
            </w:r>
          </w:p>
        </w:sdtContent>
      </w:sdt>
    </w:sdtContent>
  </w:sdt>
  <w:p w14:paraId="08CFAF27" w14:textId="77777777" w:rsidR="002416A0" w:rsidRDefault="002416A0" w:rsidP="002416A0">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FAF29" w14:textId="77777777" w:rsidR="00FA6A19" w:rsidRDefault="00FA6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FAF1F" w14:textId="77777777" w:rsidR="00135039" w:rsidRDefault="00135039" w:rsidP="00EB0F01">
      <w:r>
        <w:separator/>
      </w:r>
    </w:p>
  </w:footnote>
  <w:footnote w:type="continuationSeparator" w:id="0">
    <w:p w14:paraId="08CFAF20" w14:textId="77777777" w:rsidR="00135039" w:rsidRDefault="00135039" w:rsidP="00EB0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FAF23" w14:textId="77777777" w:rsidR="00FA6A19" w:rsidRDefault="00FA6A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FAF24" w14:textId="77777777" w:rsidR="00FA6A19" w:rsidRDefault="00FA6A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FAF28" w14:textId="77777777" w:rsidR="00FA6A19" w:rsidRDefault="00FA6A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560FB8"/>
    <w:multiLevelType w:val="hybridMultilevel"/>
    <w:tmpl w:val="01742404"/>
    <w:lvl w:ilvl="0" w:tplc="F38AAF20">
      <w:start w:val="1"/>
      <w:numFmt w:val="bullet"/>
      <w:lvlText w:val=""/>
      <w:lvlJc w:val="left"/>
      <w:pPr>
        <w:ind w:left="540" w:hanging="360"/>
      </w:pPr>
      <w:rPr>
        <w:rFonts w:ascii="Wingdings" w:hAnsi="Wingdings" w:hint="default"/>
        <w:color w:val="00B050"/>
        <w:sz w:val="56"/>
        <w:szCs w:val="5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791144F8"/>
    <w:multiLevelType w:val="hybridMultilevel"/>
    <w:tmpl w:val="56D23E80"/>
    <w:lvl w:ilvl="0" w:tplc="F4AE7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F71203"/>
    <w:multiLevelType w:val="hybridMultilevel"/>
    <w:tmpl w:val="A4EA5458"/>
    <w:lvl w:ilvl="0" w:tplc="04090011">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trackRevision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F01"/>
    <w:rsid w:val="0001091C"/>
    <w:rsid w:val="00092384"/>
    <w:rsid w:val="000B0AE4"/>
    <w:rsid w:val="000C0FFF"/>
    <w:rsid w:val="000C5A3E"/>
    <w:rsid w:val="000C5D3C"/>
    <w:rsid w:val="000E00FE"/>
    <w:rsid w:val="001103F8"/>
    <w:rsid w:val="00135039"/>
    <w:rsid w:val="00143139"/>
    <w:rsid w:val="0014352D"/>
    <w:rsid w:val="00145D5E"/>
    <w:rsid w:val="00184C16"/>
    <w:rsid w:val="00191B80"/>
    <w:rsid w:val="00192433"/>
    <w:rsid w:val="00194391"/>
    <w:rsid w:val="00197265"/>
    <w:rsid w:val="001A1752"/>
    <w:rsid w:val="001C7F37"/>
    <w:rsid w:val="002145B3"/>
    <w:rsid w:val="002216DB"/>
    <w:rsid w:val="002416A0"/>
    <w:rsid w:val="002445CB"/>
    <w:rsid w:val="002625DD"/>
    <w:rsid w:val="002B6922"/>
    <w:rsid w:val="002E7136"/>
    <w:rsid w:val="002F2DB7"/>
    <w:rsid w:val="00337647"/>
    <w:rsid w:val="00337674"/>
    <w:rsid w:val="003446F5"/>
    <w:rsid w:val="00357532"/>
    <w:rsid w:val="0036041C"/>
    <w:rsid w:val="00383A5C"/>
    <w:rsid w:val="003D3C3A"/>
    <w:rsid w:val="003E19B4"/>
    <w:rsid w:val="003F0B5B"/>
    <w:rsid w:val="003F71DC"/>
    <w:rsid w:val="00406DD7"/>
    <w:rsid w:val="00407B22"/>
    <w:rsid w:val="004238C2"/>
    <w:rsid w:val="00452D74"/>
    <w:rsid w:val="00470326"/>
    <w:rsid w:val="00492A21"/>
    <w:rsid w:val="004C5274"/>
    <w:rsid w:val="004E494C"/>
    <w:rsid w:val="004E6EED"/>
    <w:rsid w:val="00501FFC"/>
    <w:rsid w:val="00527808"/>
    <w:rsid w:val="00541565"/>
    <w:rsid w:val="00564893"/>
    <w:rsid w:val="00565155"/>
    <w:rsid w:val="0056680C"/>
    <w:rsid w:val="0057347B"/>
    <w:rsid w:val="005C7240"/>
    <w:rsid w:val="005E639C"/>
    <w:rsid w:val="006005A2"/>
    <w:rsid w:val="00681E80"/>
    <w:rsid w:val="006A6A2A"/>
    <w:rsid w:val="006C7051"/>
    <w:rsid w:val="006D3A35"/>
    <w:rsid w:val="006E79D4"/>
    <w:rsid w:val="0071109E"/>
    <w:rsid w:val="00713E22"/>
    <w:rsid w:val="007239A8"/>
    <w:rsid w:val="00732E9D"/>
    <w:rsid w:val="00736172"/>
    <w:rsid w:val="0074466C"/>
    <w:rsid w:val="0075239D"/>
    <w:rsid w:val="007551CF"/>
    <w:rsid w:val="00755B82"/>
    <w:rsid w:val="00785874"/>
    <w:rsid w:val="007A13CF"/>
    <w:rsid w:val="007D2FA9"/>
    <w:rsid w:val="008033FF"/>
    <w:rsid w:val="008100CA"/>
    <w:rsid w:val="008173C5"/>
    <w:rsid w:val="008358DB"/>
    <w:rsid w:val="00845808"/>
    <w:rsid w:val="008620E5"/>
    <w:rsid w:val="00871305"/>
    <w:rsid w:val="008833B6"/>
    <w:rsid w:val="008841C4"/>
    <w:rsid w:val="008B5286"/>
    <w:rsid w:val="008D3EAC"/>
    <w:rsid w:val="008D7859"/>
    <w:rsid w:val="008E75DF"/>
    <w:rsid w:val="008F0C76"/>
    <w:rsid w:val="008F1946"/>
    <w:rsid w:val="00917779"/>
    <w:rsid w:val="00935CA2"/>
    <w:rsid w:val="00936773"/>
    <w:rsid w:val="00981DC3"/>
    <w:rsid w:val="009B7A76"/>
    <w:rsid w:val="009B7BA7"/>
    <w:rsid w:val="009C201D"/>
    <w:rsid w:val="009C21BB"/>
    <w:rsid w:val="009C22B2"/>
    <w:rsid w:val="009C625E"/>
    <w:rsid w:val="009E2139"/>
    <w:rsid w:val="009E2D29"/>
    <w:rsid w:val="009E4D9F"/>
    <w:rsid w:val="00A172C7"/>
    <w:rsid w:val="00A206E7"/>
    <w:rsid w:val="00A254F7"/>
    <w:rsid w:val="00A36213"/>
    <w:rsid w:val="00A379FE"/>
    <w:rsid w:val="00A41E3C"/>
    <w:rsid w:val="00A46F93"/>
    <w:rsid w:val="00A56A8F"/>
    <w:rsid w:val="00A765AE"/>
    <w:rsid w:val="00AA4C7F"/>
    <w:rsid w:val="00AA61D9"/>
    <w:rsid w:val="00AB5F3E"/>
    <w:rsid w:val="00AC28BD"/>
    <w:rsid w:val="00AE6FD1"/>
    <w:rsid w:val="00AF0177"/>
    <w:rsid w:val="00AF4019"/>
    <w:rsid w:val="00B242B0"/>
    <w:rsid w:val="00B33AEE"/>
    <w:rsid w:val="00B41CA4"/>
    <w:rsid w:val="00B475C7"/>
    <w:rsid w:val="00B54B59"/>
    <w:rsid w:val="00B56A57"/>
    <w:rsid w:val="00B70C8B"/>
    <w:rsid w:val="00B72969"/>
    <w:rsid w:val="00B7589F"/>
    <w:rsid w:val="00B76F77"/>
    <w:rsid w:val="00B93D75"/>
    <w:rsid w:val="00BD00C6"/>
    <w:rsid w:val="00BE5500"/>
    <w:rsid w:val="00C040CD"/>
    <w:rsid w:val="00C06D08"/>
    <w:rsid w:val="00C1417E"/>
    <w:rsid w:val="00C1553F"/>
    <w:rsid w:val="00C23009"/>
    <w:rsid w:val="00C3018B"/>
    <w:rsid w:val="00C32940"/>
    <w:rsid w:val="00C466FA"/>
    <w:rsid w:val="00C52940"/>
    <w:rsid w:val="00C6733D"/>
    <w:rsid w:val="00C67E79"/>
    <w:rsid w:val="00C73AA9"/>
    <w:rsid w:val="00C76BEB"/>
    <w:rsid w:val="00C80FFD"/>
    <w:rsid w:val="00C83C4F"/>
    <w:rsid w:val="00C94C3A"/>
    <w:rsid w:val="00CB1CA1"/>
    <w:rsid w:val="00CD082E"/>
    <w:rsid w:val="00CD199A"/>
    <w:rsid w:val="00CF49B5"/>
    <w:rsid w:val="00D138EE"/>
    <w:rsid w:val="00D17816"/>
    <w:rsid w:val="00D17B7D"/>
    <w:rsid w:val="00D218C8"/>
    <w:rsid w:val="00D47401"/>
    <w:rsid w:val="00D502AA"/>
    <w:rsid w:val="00D533C3"/>
    <w:rsid w:val="00D777C3"/>
    <w:rsid w:val="00D807E7"/>
    <w:rsid w:val="00D8385B"/>
    <w:rsid w:val="00D86902"/>
    <w:rsid w:val="00DD5B1A"/>
    <w:rsid w:val="00DE2BD9"/>
    <w:rsid w:val="00E14A23"/>
    <w:rsid w:val="00E35AF7"/>
    <w:rsid w:val="00E64EAD"/>
    <w:rsid w:val="00E90506"/>
    <w:rsid w:val="00EA559A"/>
    <w:rsid w:val="00EB0F01"/>
    <w:rsid w:val="00EB2333"/>
    <w:rsid w:val="00ED78A8"/>
    <w:rsid w:val="00EF045A"/>
    <w:rsid w:val="00EF2882"/>
    <w:rsid w:val="00F11248"/>
    <w:rsid w:val="00F179CA"/>
    <w:rsid w:val="00F23BA5"/>
    <w:rsid w:val="00F441A9"/>
    <w:rsid w:val="00F63B54"/>
    <w:rsid w:val="00F63D34"/>
    <w:rsid w:val="00F64C1E"/>
    <w:rsid w:val="00F71712"/>
    <w:rsid w:val="00F772FD"/>
    <w:rsid w:val="00FA6A19"/>
    <w:rsid w:val="00FD00DD"/>
    <w:rsid w:val="00FD01D0"/>
    <w:rsid w:val="00FF538D"/>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CF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F01"/>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F01"/>
    <w:pPr>
      <w:ind w:left="720"/>
      <w:contextualSpacing/>
    </w:pPr>
  </w:style>
  <w:style w:type="paragraph" w:styleId="FootnoteText">
    <w:name w:val="footnote text"/>
    <w:basedOn w:val="Normal"/>
    <w:link w:val="FootnoteTextChar"/>
    <w:uiPriority w:val="99"/>
    <w:unhideWhenUsed/>
    <w:rsid w:val="00EB0F01"/>
    <w:rPr>
      <w:sz w:val="20"/>
      <w:szCs w:val="20"/>
    </w:rPr>
  </w:style>
  <w:style w:type="character" w:customStyle="1" w:styleId="FootnoteTextChar">
    <w:name w:val="Footnote Text Char"/>
    <w:basedOn w:val="DefaultParagraphFont"/>
    <w:link w:val="FootnoteText"/>
    <w:uiPriority w:val="99"/>
    <w:rsid w:val="00EB0F01"/>
    <w:rPr>
      <w:rFonts w:ascii="Times New Roman" w:hAnsi="Times New Roman"/>
      <w:sz w:val="20"/>
      <w:szCs w:val="20"/>
    </w:rPr>
  </w:style>
  <w:style w:type="character" w:styleId="FootnoteReference">
    <w:name w:val="footnote reference"/>
    <w:basedOn w:val="DefaultParagraphFont"/>
    <w:uiPriority w:val="99"/>
    <w:unhideWhenUsed/>
    <w:rsid w:val="00EB0F01"/>
    <w:rPr>
      <w:vertAlign w:val="superscript"/>
    </w:rPr>
  </w:style>
  <w:style w:type="character" w:styleId="Hyperlink">
    <w:name w:val="Hyperlink"/>
    <w:basedOn w:val="DefaultParagraphFont"/>
    <w:uiPriority w:val="99"/>
    <w:rsid w:val="00EB0F01"/>
    <w:rPr>
      <w:color w:val="0000FF"/>
      <w:u w:val="single"/>
    </w:rPr>
  </w:style>
  <w:style w:type="table" w:styleId="TableGrid">
    <w:name w:val="Table Grid"/>
    <w:basedOn w:val="TableNormal"/>
    <w:uiPriority w:val="59"/>
    <w:rsid w:val="00EB0F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238C2"/>
    <w:rPr>
      <w:sz w:val="16"/>
      <w:szCs w:val="16"/>
    </w:rPr>
  </w:style>
  <w:style w:type="paragraph" w:styleId="CommentText">
    <w:name w:val="annotation text"/>
    <w:basedOn w:val="Normal"/>
    <w:link w:val="CommentTextChar"/>
    <w:uiPriority w:val="99"/>
    <w:semiHidden/>
    <w:unhideWhenUsed/>
    <w:rsid w:val="004238C2"/>
    <w:rPr>
      <w:sz w:val="20"/>
      <w:szCs w:val="20"/>
    </w:rPr>
  </w:style>
  <w:style w:type="character" w:customStyle="1" w:styleId="CommentTextChar">
    <w:name w:val="Comment Text Char"/>
    <w:basedOn w:val="DefaultParagraphFont"/>
    <w:link w:val="CommentText"/>
    <w:uiPriority w:val="99"/>
    <w:semiHidden/>
    <w:rsid w:val="004238C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238C2"/>
    <w:rPr>
      <w:b/>
      <w:bCs/>
    </w:rPr>
  </w:style>
  <w:style w:type="character" w:customStyle="1" w:styleId="CommentSubjectChar">
    <w:name w:val="Comment Subject Char"/>
    <w:basedOn w:val="CommentTextChar"/>
    <w:link w:val="CommentSubject"/>
    <w:uiPriority w:val="99"/>
    <w:semiHidden/>
    <w:rsid w:val="004238C2"/>
    <w:rPr>
      <w:rFonts w:ascii="Times New Roman" w:hAnsi="Times New Roman"/>
      <w:b/>
      <w:bCs/>
      <w:sz w:val="20"/>
      <w:szCs w:val="20"/>
    </w:rPr>
  </w:style>
  <w:style w:type="paragraph" w:styleId="Revision">
    <w:name w:val="Revision"/>
    <w:hidden/>
    <w:uiPriority w:val="99"/>
    <w:semiHidden/>
    <w:rsid w:val="004238C2"/>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4238C2"/>
    <w:rPr>
      <w:rFonts w:ascii="Tahoma" w:hAnsi="Tahoma" w:cs="Tahoma"/>
      <w:sz w:val="16"/>
      <w:szCs w:val="16"/>
    </w:rPr>
  </w:style>
  <w:style w:type="character" w:customStyle="1" w:styleId="BalloonTextChar">
    <w:name w:val="Balloon Text Char"/>
    <w:basedOn w:val="DefaultParagraphFont"/>
    <w:link w:val="BalloonText"/>
    <w:uiPriority w:val="99"/>
    <w:semiHidden/>
    <w:rsid w:val="004238C2"/>
    <w:rPr>
      <w:rFonts w:ascii="Tahoma" w:hAnsi="Tahoma" w:cs="Tahoma"/>
      <w:sz w:val="16"/>
      <w:szCs w:val="16"/>
    </w:rPr>
  </w:style>
  <w:style w:type="paragraph" w:styleId="Header">
    <w:name w:val="header"/>
    <w:basedOn w:val="Normal"/>
    <w:link w:val="HeaderChar"/>
    <w:uiPriority w:val="99"/>
    <w:unhideWhenUsed/>
    <w:rsid w:val="002416A0"/>
    <w:pPr>
      <w:tabs>
        <w:tab w:val="center" w:pos="4680"/>
        <w:tab w:val="right" w:pos="9360"/>
      </w:tabs>
    </w:pPr>
  </w:style>
  <w:style w:type="character" w:customStyle="1" w:styleId="HeaderChar">
    <w:name w:val="Header Char"/>
    <w:basedOn w:val="DefaultParagraphFont"/>
    <w:link w:val="Header"/>
    <w:uiPriority w:val="99"/>
    <w:rsid w:val="002416A0"/>
    <w:rPr>
      <w:rFonts w:ascii="Times New Roman" w:hAnsi="Times New Roman"/>
      <w:sz w:val="24"/>
    </w:rPr>
  </w:style>
  <w:style w:type="paragraph" w:styleId="Footer">
    <w:name w:val="footer"/>
    <w:basedOn w:val="Normal"/>
    <w:link w:val="FooterChar"/>
    <w:uiPriority w:val="99"/>
    <w:unhideWhenUsed/>
    <w:rsid w:val="002416A0"/>
    <w:pPr>
      <w:tabs>
        <w:tab w:val="center" w:pos="4680"/>
        <w:tab w:val="right" w:pos="9360"/>
      </w:tabs>
    </w:pPr>
  </w:style>
  <w:style w:type="character" w:customStyle="1" w:styleId="FooterChar">
    <w:name w:val="Footer Char"/>
    <w:basedOn w:val="DefaultParagraphFont"/>
    <w:link w:val="Footer"/>
    <w:uiPriority w:val="99"/>
    <w:rsid w:val="002416A0"/>
    <w:rPr>
      <w:rFonts w:ascii="Times New Roman" w:hAnsi="Times New Roman"/>
      <w:sz w:val="24"/>
    </w:rPr>
  </w:style>
  <w:style w:type="character" w:customStyle="1" w:styleId="NoSpacingChar">
    <w:name w:val="No Spacing Char"/>
    <w:basedOn w:val="DefaultParagraphFont"/>
    <w:link w:val="NoSpacing"/>
    <w:uiPriority w:val="1"/>
    <w:locked/>
    <w:rsid w:val="002416A0"/>
  </w:style>
  <w:style w:type="paragraph" w:styleId="NoSpacing">
    <w:name w:val="No Spacing"/>
    <w:link w:val="NoSpacingChar"/>
    <w:uiPriority w:val="1"/>
    <w:qFormat/>
    <w:rsid w:val="002416A0"/>
    <w:pPr>
      <w:spacing w:after="0" w:line="240" w:lineRule="auto"/>
    </w:pPr>
  </w:style>
  <w:style w:type="paragraph" w:customStyle="1" w:styleId="Default">
    <w:name w:val="Default"/>
    <w:rsid w:val="00C2300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51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F0D969DD9F084AA5D21488C6E96563" ma:contentTypeVersion="135" ma:contentTypeDescription="" ma:contentTypeScope="" ma:versionID="fbcc1ef2f52ad723506d4f6cd334de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2016-07-27T07:00:00+00:00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132047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86BBD68-669E-408F-B4AA-D757AA264B7F}"/>
</file>

<file path=customXml/itemProps2.xml><?xml version="1.0" encoding="utf-8"?>
<ds:datastoreItem xmlns:ds="http://schemas.openxmlformats.org/officeDocument/2006/customXml" ds:itemID="{121474A5-2AFB-469F-8934-B96B6E730FE0}"/>
</file>

<file path=customXml/itemProps3.xml><?xml version="1.0" encoding="utf-8"?>
<ds:datastoreItem xmlns:ds="http://schemas.openxmlformats.org/officeDocument/2006/customXml" ds:itemID="{5A8DA794-A5E5-4ECF-8353-122BCB4BAC93}"/>
</file>

<file path=customXml/itemProps4.xml><?xml version="1.0" encoding="utf-8"?>
<ds:datastoreItem xmlns:ds="http://schemas.openxmlformats.org/officeDocument/2006/customXml" ds:itemID="{DEF3ECC9-FD25-4886-90EF-65E02254B3C5}"/>
</file>

<file path=docProps/app.xml><?xml version="1.0" encoding="utf-8"?>
<Properties xmlns="http://schemas.openxmlformats.org/officeDocument/2006/extended-properties" xmlns:vt="http://schemas.openxmlformats.org/officeDocument/2006/docPropsVTypes">
  <Template>Normal</Template>
  <TotalTime>0</TotalTime>
  <Pages>7</Pages>
  <Words>2707</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2016-07-27T23:22:00Z</dcterms:created>
  <dcterms:modified xsi:type="dcterms:W3CDTF">2016-07-27T23:22:00Z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0x0101006E56B4D1795A2E4DB2F0B01679ED314A0083F0D969DD9F084AA5D21488C6E96563</vt:lpwstr>
  </property>
  <property fmtid="{D5CDD505-2E9C-101B-9397-08002B2CF9AE}" pid="4" name="_docset_NoMedatataSyncRequired">
    <vt:lpwstr>False</vt:lpwstr>
  </property>
</Properties>
</file>