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25" w:rsidRDefault="00D01605">
      <w:pPr>
        <w:pStyle w:val="Header"/>
        <w:tabs>
          <w:tab w:val="clear" w:pos="4320"/>
          <w:tab w:val="clear" w:pos="8640"/>
          <w:tab w:val="center" w:pos="4680"/>
        </w:tabs>
        <w:spacing w:line="480" w:lineRule="auto"/>
        <w:jc w:val="center"/>
        <w:rPr>
          <w:b/>
          <w:bCs/>
          <w:sz w:val="24"/>
        </w:rPr>
      </w:pPr>
      <w:bookmarkStart w:id="0" w:name="_GoBack"/>
      <w:bookmarkEnd w:id="0"/>
      <w:r>
        <w:rPr>
          <w:b/>
          <w:bCs/>
          <w:sz w:val="24"/>
        </w:rPr>
        <w:t>BEFORE THE</w:t>
      </w:r>
    </w:p>
    <w:p w:rsidR="00032825" w:rsidRDefault="00D01605">
      <w:pPr>
        <w:pStyle w:val="Heading1"/>
        <w:jc w:val="center"/>
        <w:rPr>
          <w:sz w:val="24"/>
        </w:rPr>
      </w:pPr>
      <w:r>
        <w:rPr>
          <w:sz w:val="24"/>
        </w:rPr>
        <w:t>WASHINGTON UTILITIES AND TRANSPORTATION COMMISSION</w:t>
      </w:r>
    </w:p>
    <w:p w:rsidR="00032825" w:rsidRDefault="00032825"/>
    <w:p w:rsidR="00032825" w:rsidRDefault="00032825">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032825">
        <w:tc>
          <w:tcPr>
            <w:tcW w:w="4328" w:type="dxa"/>
            <w:tcBorders>
              <w:bottom w:val="single" w:sz="4" w:space="0" w:color="auto"/>
            </w:tcBorders>
          </w:tcPr>
          <w:p w:rsidR="00032825" w:rsidRDefault="00D01605">
            <w:pPr>
              <w:spacing w:line="264" w:lineRule="auto"/>
            </w:pPr>
            <w:bookmarkStart w:id="1" w:name="Parties"/>
            <w:bookmarkEnd w:id="1"/>
            <w:r>
              <w:t>WASHINGTON UTILITIES AND TRANSPORTATION COMMISSION,</w:t>
            </w:r>
          </w:p>
          <w:p w:rsidR="00032825" w:rsidRDefault="00032825">
            <w:pPr>
              <w:spacing w:line="264" w:lineRule="auto"/>
            </w:pPr>
          </w:p>
          <w:p w:rsidR="00032825" w:rsidRDefault="00D01605">
            <w:pPr>
              <w:tabs>
                <w:tab w:val="left" w:pos="1800"/>
              </w:tabs>
              <w:spacing w:line="264" w:lineRule="auto"/>
            </w:pPr>
            <w:r>
              <w:tab/>
              <w:t>Complainant,</w:t>
            </w:r>
          </w:p>
          <w:p w:rsidR="00032825" w:rsidRDefault="00032825">
            <w:pPr>
              <w:spacing w:line="264" w:lineRule="auto"/>
            </w:pPr>
          </w:p>
          <w:p w:rsidR="00032825" w:rsidRDefault="00D01605">
            <w:pPr>
              <w:spacing w:line="264" w:lineRule="auto"/>
            </w:pPr>
            <w:r>
              <w:t>v.</w:t>
            </w:r>
          </w:p>
          <w:p w:rsidR="00032825" w:rsidRDefault="00032825">
            <w:pPr>
              <w:spacing w:line="264" w:lineRule="auto"/>
              <w:jc w:val="center"/>
            </w:pPr>
          </w:p>
          <w:p w:rsidR="00032825" w:rsidRDefault="00D01605">
            <w:pPr>
              <w:spacing w:line="264" w:lineRule="auto"/>
            </w:pPr>
            <w:r>
              <w:t>PACIFIC POWER &amp; LIGHT COMPANY,</w:t>
            </w:r>
          </w:p>
          <w:p w:rsidR="00032825" w:rsidRDefault="00032825">
            <w:pPr>
              <w:spacing w:line="264" w:lineRule="auto"/>
              <w:jc w:val="center"/>
            </w:pPr>
          </w:p>
          <w:p w:rsidR="00032825" w:rsidRDefault="00D01605">
            <w:pPr>
              <w:pStyle w:val="Footer"/>
              <w:widowControl/>
              <w:tabs>
                <w:tab w:val="clear" w:pos="4320"/>
                <w:tab w:val="clear" w:pos="8640"/>
                <w:tab w:val="left" w:pos="2160"/>
              </w:tabs>
              <w:rPr>
                <w:snapToGrid/>
                <w:lang w:val="en-US" w:eastAsia="en-US"/>
              </w:rPr>
            </w:pPr>
            <w:r>
              <w:tab/>
              <w:t>Respondent.</w:t>
            </w:r>
          </w:p>
        </w:tc>
        <w:tc>
          <w:tcPr>
            <w:tcW w:w="270" w:type="dxa"/>
          </w:tcPr>
          <w:p w:rsidR="00032825" w:rsidRDefault="00D01605">
            <w:pPr>
              <w:pStyle w:val="SingleSpacing"/>
              <w:spacing w:line="240" w:lineRule="auto"/>
            </w:pPr>
            <w:r>
              <w:t>)</w:t>
            </w:r>
          </w:p>
          <w:p w:rsidR="00032825" w:rsidRDefault="00D01605">
            <w:pPr>
              <w:pStyle w:val="SingleSpacing"/>
              <w:spacing w:line="240" w:lineRule="auto"/>
            </w:pPr>
            <w:r>
              <w:t>)</w:t>
            </w:r>
          </w:p>
          <w:p w:rsidR="00032825" w:rsidRDefault="00D01605">
            <w:pPr>
              <w:pStyle w:val="SingleSpacing"/>
              <w:spacing w:line="240" w:lineRule="auto"/>
            </w:pPr>
            <w:r>
              <w:t>)</w:t>
            </w:r>
          </w:p>
          <w:p w:rsidR="00032825" w:rsidRDefault="00D01605">
            <w:pPr>
              <w:pStyle w:val="SingleSpacing"/>
              <w:spacing w:line="240" w:lineRule="auto"/>
            </w:pPr>
            <w:r>
              <w:t>)</w:t>
            </w:r>
          </w:p>
          <w:p w:rsidR="00032825" w:rsidRDefault="00D01605">
            <w:pPr>
              <w:pStyle w:val="SingleSpacing"/>
              <w:spacing w:line="240" w:lineRule="auto"/>
            </w:pPr>
            <w:r>
              <w:t>)</w:t>
            </w:r>
          </w:p>
          <w:p w:rsidR="00032825" w:rsidRDefault="00D01605">
            <w:pPr>
              <w:pStyle w:val="SingleSpacing"/>
              <w:spacing w:line="240" w:lineRule="auto"/>
            </w:pPr>
            <w:r>
              <w:t>)</w:t>
            </w:r>
          </w:p>
          <w:p w:rsidR="00032825" w:rsidRDefault="00D01605">
            <w:pPr>
              <w:pStyle w:val="SingleSpacing"/>
              <w:spacing w:line="240" w:lineRule="auto"/>
            </w:pPr>
            <w:r>
              <w:t>)</w:t>
            </w:r>
          </w:p>
          <w:p w:rsidR="00032825" w:rsidRDefault="00D01605">
            <w:pPr>
              <w:pStyle w:val="SingleSpacing"/>
              <w:spacing w:line="240" w:lineRule="auto"/>
            </w:pPr>
            <w:r>
              <w:t>)</w:t>
            </w:r>
          </w:p>
          <w:p w:rsidR="00032825" w:rsidRDefault="00D01605">
            <w:pPr>
              <w:pStyle w:val="SingleSpacing"/>
              <w:spacing w:line="240" w:lineRule="auto"/>
            </w:pPr>
            <w:r>
              <w:t>)</w:t>
            </w:r>
          </w:p>
          <w:p w:rsidR="00032825" w:rsidRDefault="00D01605">
            <w:pPr>
              <w:pStyle w:val="SingleSpacing"/>
              <w:spacing w:line="240" w:lineRule="auto"/>
            </w:pPr>
            <w:r>
              <w:t>)</w:t>
            </w:r>
          </w:p>
          <w:p w:rsidR="00032825" w:rsidRDefault="00D01605">
            <w:pPr>
              <w:pStyle w:val="SingleSpacing"/>
              <w:spacing w:line="240" w:lineRule="auto"/>
            </w:pPr>
            <w:r>
              <w:t>)</w:t>
            </w:r>
          </w:p>
        </w:tc>
        <w:tc>
          <w:tcPr>
            <w:tcW w:w="4050" w:type="dxa"/>
          </w:tcPr>
          <w:p w:rsidR="00032825" w:rsidRDefault="00D01605">
            <w:pPr>
              <w:pStyle w:val="SingleSpacing"/>
              <w:spacing w:line="240" w:lineRule="auto"/>
            </w:pPr>
            <w:bookmarkStart w:id="2" w:name="CaseNumber"/>
            <w:bookmarkEnd w:id="2"/>
            <w:r>
              <w:t>DOCKET UE-152253</w:t>
            </w:r>
          </w:p>
          <w:p w:rsidR="00032825" w:rsidRDefault="00032825">
            <w:pPr>
              <w:pStyle w:val="BodyText2"/>
            </w:pPr>
          </w:p>
          <w:p w:rsidR="00032825" w:rsidRDefault="00032825">
            <w:pPr>
              <w:pStyle w:val="BodyText2"/>
            </w:pPr>
          </w:p>
          <w:p w:rsidR="00032825" w:rsidRDefault="00032825">
            <w:pPr>
              <w:pStyle w:val="BodyText2"/>
            </w:pPr>
          </w:p>
          <w:p w:rsidR="00032825" w:rsidRDefault="00D01605">
            <w:pPr>
              <w:pStyle w:val="BodyText2"/>
            </w:pPr>
            <w:r>
              <w:t>BOISE WHITE PAPER, L.L.C. RESPONSE TO BENCH REQUEST NO. 5</w:t>
            </w:r>
          </w:p>
          <w:p w:rsidR="00032825" w:rsidRDefault="00032825">
            <w:pPr>
              <w:pStyle w:val="SingleSpacing"/>
              <w:spacing w:line="240" w:lineRule="auto"/>
            </w:pPr>
          </w:p>
        </w:tc>
      </w:tr>
    </w:tbl>
    <w:p w:rsidR="00032825" w:rsidRDefault="00D01605">
      <w:pPr>
        <w:pStyle w:val="IAS2"/>
        <w:tabs>
          <w:tab w:val="clear" w:pos="0"/>
        </w:tabs>
        <w:spacing w:before="240"/>
        <w:ind w:firstLine="0"/>
        <w:jc w:val="center"/>
        <w:rPr>
          <w:b/>
          <w:u w:val="single"/>
          <w:lang w:val="en-US"/>
        </w:rPr>
      </w:pPr>
      <w:r>
        <w:rPr>
          <w:b/>
          <w:u w:val="single"/>
          <w:lang w:val="en-US"/>
        </w:rPr>
        <w:t>BENCH REQUEST NO. 5</w:t>
      </w:r>
    </w:p>
    <w:p w:rsidR="00032825" w:rsidRDefault="00D01605">
      <w:pPr>
        <w:pStyle w:val="Default"/>
        <w:rPr>
          <w:i/>
        </w:rPr>
      </w:pPr>
      <w:r>
        <w:rPr>
          <w:i/>
        </w:rPr>
        <w:t xml:space="preserve">1. Please </w:t>
      </w:r>
      <w:r>
        <w:rPr>
          <w:i/>
          <w:szCs w:val="25"/>
        </w:rPr>
        <w:t xml:space="preserve">re-file Bradley G. Mullins’ exhibit, </w:t>
      </w:r>
      <w:proofErr w:type="spellStart"/>
      <w:r>
        <w:rPr>
          <w:i/>
          <w:szCs w:val="25"/>
        </w:rPr>
        <w:t>Exh</w:t>
      </w:r>
      <w:proofErr w:type="spellEnd"/>
      <w:r>
        <w:rPr>
          <w:i/>
          <w:szCs w:val="25"/>
        </w:rPr>
        <w:t xml:space="preserve">. No. BGM-11 along with the electronic worksheets supporting all calculations contained therein to reflect the requested revisions below.  </w:t>
      </w:r>
    </w:p>
    <w:p w:rsidR="00032825" w:rsidRDefault="00032825">
      <w:pPr>
        <w:pStyle w:val="Default"/>
      </w:pPr>
    </w:p>
    <w:p w:rsidR="00032825" w:rsidRDefault="00D01605">
      <w:pPr>
        <w:pStyle w:val="Default"/>
        <w:spacing w:after="27"/>
        <w:rPr>
          <w:sz w:val="23"/>
          <w:szCs w:val="23"/>
        </w:rPr>
      </w:pPr>
      <w:r>
        <w:rPr>
          <w:sz w:val="23"/>
          <w:szCs w:val="23"/>
        </w:rPr>
        <w:t>Along with this response, Boise White Paper, L.L.C. (“Boise”) is filing Exhibit No. BGM-11 Revised to reflect reque</w:t>
      </w:r>
      <w:r>
        <w:rPr>
          <w:sz w:val="23"/>
          <w:szCs w:val="23"/>
        </w:rPr>
        <w:t>sted revisions, as noted below.  Boise has also included electronic worksheets supporting all calculations, as requested.</w:t>
      </w:r>
    </w:p>
    <w:p w:rsidR="00032825" w:rsidRDefault="00032825">
      <w:pPr>
        <w:pStyle w:val="Default"/>
      </w:pPr>
    </w:p>
    <w:p w:rsidR="00032825" w:rsidRDefault="00D01605">
      <w:pPr>
        <w:pStyle w:val="Default"/>
        <w:rPr>
          <w:i/>
        </w:rPr>
      </w:pPr>
      <w:r>
        <w:rPr>
          <w:i/>
        </w:rPr>
        <w:t xml:space="preserve">2. Please </w:t>
      </w:r>
      <w:r>
        <w:rPr>
          <w:i/>
          <w:szCs w:val="25"/>
        </w:rPr>
        <w:t xml:space="preserve">identify each adjustment using the descriptions and adjustment numbers included in Shelley E. McCoy’s exhibits, </w:t>
      </w:r>
      <w:proofErr w:type="spellStart"/>
      <w:r>
        <w:rPr>
          <w:i/>
          <w:szCs w:val="25"/>
        </w:rPr>
        <w:t>Exh</w:t>
      </w:r>
      <w:proofErr w:type="spellEnd"/>
      <w:r>
        <w:rPr>
          <w:i/>
          <w:szCs w:val="25"/>
        </w:rPr>
        <w:t>. Nos. S</w:t>
      </w:r>
      <w:r>
        <w:rPr>
          <w:i/>
          <w:szCs w:val="25"/>
        </w:rPr>
        <w:t xml:space="preserve">EM-7 and SEM-8. For example, Boise’s adjustment for the Jim Bridger Unit 3 SCR Investments should be recorded within Adj. No. 8.4 rather than a separate adjustment and nomenclature of BWP-A. Assign each a unique alpha-numeric identifier </w:t>
      </w:r>
      <w:r>
        <w:rPr>
          <w:b/>
          <w:i/>
          <w:szCs w:val="25"/>
        </w:rPr>
        <w:t>only</w:t>
      </w:r>
      <w:r>
        <w:rPr>
          <w:i/>
          <w:szCs w:val="25"/>
        </w:rPr>
        <w:t xml:space="preserve"> if you advocat</w:t>
      </w:r>
      <w:r>
        <w:rPr>
          <w:i/>
          <w:szCs w:val="25"/>
        </w:rPr>
        <w:t>e adjustments not identified in Shelley E. McCoy’s exhibits, (e.g. BWP-1).</w:t>
      </w:r>
    </w:p>
    <w:p w:rsidR="00032825" w:rsidRDefault="00032825">
      <w:pPr>
        <w:rPr>
          <w:szCs w:val="24"/>
        </w:rPr>
      </w:pPr>
    </w:p>
    <w:p w:rsidR="00032825" w:rsidRDefault="00D01605">
      <w:pPr>
        <w:pStyle w:val="Default"/>
        <w:spacing w:after="27"/>
        <w:rPr>
          <w:sz w:val="23"/>
          <w:szCs w:val="23"/>
        </w:rPr>
      </w:pPr>
      <w:r>
        <w:t xml:space="preserve">Please </w:t>
      </w:r>
      <w:r>
        <w:rPr>
          <w:sz w:val="23"/>
          <w:szCs w:val="23"/>
        </w:rPr>
        <w:t xml:space="preserve">see Exhibit No. BGM-11 Revised.  On Page 1, Mr. Mullins </w:t>
      </w:r>
      <w:r>
        <w:rPr>
          <w:sz w:val="23"/>
          <w:szCs w:val="23"/>
        </w:rPr>
        <w:t>has</w:t>
      </w:r>
      <w:r>
        <w:rPr>
          <w:sz w:val="23"/>
          <w:szCs w:val="23"/>
        </w:rPr>
        <w:t xml:space="preserve"> combine</w:t>
      </w:r>
      <w:r>
        <w:rPr>
          <w:sz w:val="23"/>
          <w:szCs w:val="23"/>
        </w:rPr>
        <w:t>d</w:t>
      </w:r>
      <w:r>
        <w:rPr>
          <w:sz w:val="23"/>
          <w:szCs w:val="23"/>
        </w:rPr>
        <w:t xml:space="preserve"> his adjustments with those of Pacific Power &amp; Light Company (the “Company”).  </w:t>
      </w:r>
    </w:p>
    <w:p w:rsidR="00032825" w:rsidRDefault="00032825">
      <w:pPr>
        <w:pStyle w:val="Default"/>
        <w:spacing w:after="27"/>
        <w:rPr>
          <w:sz w:val="23"/>
          <w:szCs w:val="23"/>
        </w:rPr>
      </w:pPr>
    </w:p>
    <w:p w:rsidR="00032825" w:rsidRDefault="00D01605">
      <w:pPr>
        <w:pStyle w:val="Default"/>
        <w:spacing w:after="27"/>
        <w:rPr>
          <w:sz w:val="23"/>
          <w:szCs w:val="23"/>
        </w:rPr>
      </w:pPr>
      <w:r>
        <w:rPr>
          <w:sz w:val="23"/>
          <w:szCs w:val="23"/>
        </w:rPr>
        <w:t>In addition, Mr. Mullins prepended the Company’s adjustment numbers with “PAC-” to avoid a look up error in Excel.</w:t>
      </w:r>
    </w:p>
    <w:p w:rsidR="00032825" w:rsidRDefault="00032825"/>
    <w:p w:rsidR="00032825" w:rsidRDefault="00D01605">
      <w:pPr>
        <w:pStyle w:val="Default"/>
        <w:spacing w:after="27"/>
        <w:rPr>
          <w:sz w:val="23"/>
          <w:szCs w:val="23"/>
        </w:rPr>
      </w:pPr>
      <w:r>
        <w:rPr>
          <w:i/>
        </w:rPr>
        <w:t>3. Please identify other parties’ adjustments acce</w:t>
      </w:r>
      <w:r>
        <w:rPr>
          <w:i/>
        </w:rPr>
        <w:t xml:space="preserve">pted by Boise using the descriptions and adjustment numbers included in Shelley E. McCoy’s exhibits, </w:t>
      </w:r>
      <w:proofErr w:type="spellStart"/>
      <w:r>
        <w:rPr>
          <w:i/>
        </w:rPr>
        <w:t>Exh</w:t>
      </w:r>
      <w:proofErr w:type="spellEnd"/>
      <w:r>
        <w:rPr>
          <w:i/>
        </w:rPr>
        <w:t xml:space="preserve">. Nos. SEM-7 and SEM-8. For example, Boise accepts Staff’s Environment Remediation identified as Adj. No. 8.2, please record the adjustment within Adj. </w:t>
      </w:r>
      <w:r>
        <w:rPr>
          <w:i/>
        </w:rPr>
        <w:t>No. 8.2 rather than a separate adjustment and nomenclature of Staff-8.2</w:t>
      </w:r>
      <w:r>
        <w:rPr>
          <w:sz w:val="23"/>
          <w:szCs w:val="23"/>
        </w:rPr>
        <w:t>.</w:t>
      </w:r>
    </w:p>
    <w:p w:rsidR="00032825" w:rsidRDefault="00032825"/>
    <w:p w:rsidR="00032825" w:rsidRDefault="00D01605">
      <w:pPr>
        <w:rPr>
          <w:sz w:val="23"/>
          <w:szCs w:val="23"/>
        </w:rPr>
      </w:pPr>
      <w:r>
        <w:t xml:space="preserve">Please </w:t>
      </w:r>
      <w:r>
        <w:rPr>
          <w:sz w:val="23"/>
          <w:szCs w:val="23"/>
        </w:rPr>
        <w:t xml:space="preserve">see Exhibit No. BGM-11 Revised.  </w:t>
      </w:r>
    </w:p>
    <w:p w:rsidR="00032825" w:rsidRDefault="00032825">
      <w:pPr>
        <w:rPr>
          <w:sz w:val="23"/>
          <w:szCs w:val="23"/>
        </w:rPr>
      </w:pPr>
    </w:p>
    <w:p w:rsidR="00032825" w:rsidRDefault="00D01605">
      <w:pPr>
        <w:autoSpaceDE w:val="0"/>
        <w:autoSpaceDN w:val="0"/>
        <w:adjustRightInd w:val="0"/>
        <w:rPr>
          <w:rFonts w:eastAsia="Calibri"/>
          <w:i/>
          <w:szCs w:val="24"/>
        </w:rPr>
      </w:pPr>
      <w:r>
        <w:rPr>
          <w:rFonts w:eastAsia="Calibri"/>
          <w:i/>
          <w:szCs w:val="24"/>
        </w:rPr>
        <w:t>4. Please include all revenue requirement impacts within the affected adjustment(s) rather than the inclusion of Ad</w:t>
      </w:r>
      <w:r>
        <w:rPr>
          <w:rFonts w:eastAsia="Calibri"/>
          <w:i/>
          <w:szCs w:val="24"/>
        </w:rPr>
        <w:t xml:space="preserve">j. No. BWP-Z Balancing Impact of Boise Adjustments. If certain effects are estimated, please note as such within the testimony exhibit or workpapers associated with the revenue requirement model. </w:t>
      </w:r>
    </w:p>
    <w:p w:rsidR="00032825" w:rsidRDefault="00032825">
      <w:pPr>
        <w:autoSpaceDE w:val="0"/>
        <w:autoSpaceDN w:val="0"/>
        <w:adjustRightInd w:val="0"/>
        <w:rPr>
          <w:rFonts w:eastAsia="Calibri"/>
          <w:szCs w:val="24"/>
        </w:rPr>
      </w:pPr>
    </w:p>
    <w:p w:rsidR="00032825" w:rsidRDefault="00D01605">
      <w:pPr>
        <w:rPr>
          <w:sz w:val="23"/>
          <w:szCs w:val="23"/>
        </w:rPr>
      </w:pPr>
      <w:r>
        <w:rPr>
          <w:rFonts w:eastAsia="Calibri"/>
          <w:szCs w:val="24"/>
        </w:rPr>
        <w:t xml:space="preserve">Please </w:t>
      </w:r>
      <w:r>
        <w:rPr>
          <w:sz w:val="23"/>
          <w:szCs w:val="23"/>
        </w:rPr>
        <w:t>see Exhibit No. BGM-11 Revised, and accompanying work papers.  Because the order of Mr. Mullins’ adjustments will have a material impact on the rate base, net operating income and revenue requirement impacts of several adjustments, Mr. Mullins’ testimony w</w:t>
      </w:r>
      <w:r>
        <w:rPr>
          <w:sz w:val="23"/>
          <w:szCs w:val="23"/>
        </w:rPr>
        <w:t>as that it is more appropriate to present the adjustments in a “one-off” study, rather than as a “step” study.  Mr. Mullins believes that it is most appropriate to understand the impacts of his adjustments when viewed in isolation, rather than performing t</w:t>
      </w:r>
      <w:r>
        <w:rPr>
          <w:sz w:val="23"/>
          <w:szCs w:val="23"/>
        </w:rPr>
        <w:t xml:space="preserve">he adjustments sequentially, where the ordering could skew the rate base, net operating income and revenue requirement impacts of </w:t>
      </w:r>
      <w:r>
        <w:rPr>
          <w:sz w:val="23"/>
          <w:szCs w:val="23"/>
        </w:rPr>
        <w:t>various</w:t>
      </w:r>
      <w:r>
        <w:rPr>
          <w:sz w:val="23"/>
          <w:szCs w:val="23"/>
        </w:rPr>
        <w:t xml:space="preserve"> adjustments.  The reason for this is that, to the extent that two adjustments are overlapping, where the combined r</w:t>
      </w:r>
      <w:r>
        <w:rPr>
          <w:sz w:val="23"/>
          <w:szCs w:val="23"/>
        </w:rPr>
        <w:t xml:space="preserve">evenue requirement impact is greater (or less than) the sum of the two adjustments viewed in isolation, the difference (i.e., the balancing impact) could be attributable to either adjustment.  </w:t>
      </w:r>
    </w:p>
    <w:p w:rsidR="00032825" w:rsidRDefault="00032825">
      <w:pPr>
        <w:rPr>
          <w:sz w:val="23"/>
          <w:szCs w:val="23"/>
        </w:rPr>
      </w:pPr>
    </w:p>
    <w:p w:rsidR="00032825" w:rsidRDefault="00D01605">
      <w:pPr>
        <w:rPr>
          <w:sz w:val="23"/>
          <w:szCs w:val="23"/>
        </w:rPr>
      </w:pPr>
      <w:r>
        <w:rPr>
          <w:sz w:val="23"/>
          <w:szCs w:val="23"/>
        </w:rPr>
        <w:t>For example, Mr. Mullins’ Adjustments related to Bonus Deprec</w:t>
      </w:r>
      <w:r>
        <w:rPr>
          <w:sz w:val="23"/>
          <w:szCs w:val="23"/>
        </w:rPr>
        <w:t>iation and End-of-Period Rate Base, collectively, have a revenue requirement impact of $1.6 million. Yet, the two adjustments, viewed in isolation, result in a revenue requirement impact of $1.5 million.  In a step study, the incremental $0.1 million balan</w:t>
      </w:r>
      <w:r>
        <w:rPr>
          <w:sz w:val="23"/>
          <w:szCs w:val="23"/>
        </w:rPr>
        <w:t xml:space="preserve">cing impact would be assigned to whichever adjustment is performed second.  In a one-off study, the incremental $0.1 million is reflected in a separate adjustment.  </w:t>
      </w:r>
    </w:p>
    <w:p w:rsidR="00032825" w:rsidRDefault="00032825">
      <w:pPr>
        <w:rPr>
          <w:sz w:val="23"/>
          <w:szCs w:val="23"/>
        </w:rPr>
      </w:pPr>
    </w:p>
    <w:p w:rsidR="00032825" w:rsidRDefault="00D01605">
      <w:pPr>
        <w:rPr>
          <w:sz w:val="23"/>
          <w:szCs w:val="23"/>
        </w:rPr>
      </w:pPr>
      <w:r>
        <w:rPr>
          <w:sz w:val="23"/>
          <w:szCs w:val="23"/>
        </w:rPr>
        <w:t>In order to attribute the balancing adjustment to the individual adjustments in Mr. Mulli</w:t>
      </w:r>
      <w:r>
        <w:rPr>
          <w:sz w:val="23"/>
          <w:szCs w:val="23"/>
        </w:rPr>
        <w:t>ns’ study, the balancing impacts were separated based on the specific overlapping adjustments analyzed by Mr. Mullins.  The amounts were then pro-rated and assigned to the individual adjustments in proportion to the revenue requirement impact of each adjus</w:t>
      </w:r>
      <w:r>
        <w:rPr>
          <w:sz w:val="23"/>
          <w:szCs w:val="23"/>
        </w:rPr>
        <w:t xml:space="preserve">tment.  </w:t>
      </w:r>
    </w:p>
    <w:p w:rsidR="00032825" w:rsidRDefault="00032825">
      <w:pPr>
        <w:rPr>
          <w:sz w:val="23"/>
          <w:szCs w:val="23"/>
        </w:rPr>
      </w:pPr>
    </w:p>
    <w:p w:rsidR="00032825" w:rsidRDefault="00D01605">
      <w:pPr>
        <w:rPr>
          <w:sz w:val="23"/>
          <w:szCs w:val="23"/>
        </w:rPr>
      </w:pPr>
      <w:r>
        <w:rPr>
          <w:sz w:val="23"/>
          <w:szCs w:val="23"/>
        </w:rPr>
        <w:t xml:space="preserve">Finally, in preparing this response, Mr. Mullins identified an Excel error in the revenue requirement calculations presented in Cross-Answering Testimony.  Mr. Mullins’ proposal to adopt Public Counsel’s calculations for Pension and OPEB expense </w:t>
      </w:r>
      <w:r>
        <w:rPr>
          <w:sz w:val="23"/>
          <w:szCs w:val="23"/>
        </w:rPr>
        <w:t>was not properly reflected in Mr. Mullins’ final calculations.  This correction has been made in Exhibit No. BGM-11 Revised.</w:t>
      </w:r>
    </w:p>
    <w:sectPr w:rsidR="00032825">
      <w:headerReference w:type="default" r:id="rId8"/>
      <w:footerReference w:type="default" r:id="rId9"/>
      <w:headerReference w:type="first" r:id="rId10"/>
      <w:footerReference w:type="first" r:id="rId11"/>
      <w:pgSz w:w="12240" w:h="15840" w:code="1"/>
      <w:pgMar w:top="1440" w:right="1440" w:bottom="720" w:left="144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825" w:rsidRDefault="00D01605">
      <w:r>
        <w:separator/>
      </w:r>
    </w:p>
  </w:endnote>
  <w:endnote w:type="continuationSeparator" w:id="0">
    <w:p w:rsidR="00032825" w:rsidRDefault="00D0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25" w:rsidRDefault="00D01605">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lang w:val="en-US"/>
      </w:rPr>
      <w:t>BOISE RESPONSE TO BENCH REQUEST NO. 5</w:t>
    </w:r>
  </w:p>
  <w:p w:rsidR="00032825" w:rsidRDefault="00032825">
    <w:pPr>
      <w:pStyle w:val="Footer"/>
      <w:rPr>
        <w:rStyle w:val="PageNumber"/>
      </w:rPr>
    </w:pPr>
  </w:p>
  <w:p w:rsidR="00032825" w:rsidRDefault="00D01605">
    <w:pPr>
      <w:jc w:val="center"/>
      <w:rPr>
        <w:sz w:val="16"/>
      </w:rPr>
    </w:pPr>
    <w:r>
      <w:rPr>
        <w:sz w:val="16"/>
      </w:rPr>
      <w:t>DAVISON VAN CLEVE, P.C.</w:t>
    </w:r>
  </w:p>
  <w:p w:rsidR="00032825" w:rsidRDefault="00D01605">
    <w:pPr>
      <w:tabs>
        <w:tab w:val="center" w:pos="4680"/>
      </w:tabs>
      <w:jc w:val="center"/>
      <w:rPr>
        <w:sz w:val="16"/>
      </w:rPr>
    </w:pPr>
    <w:r>
      <w:rPr>
        <w:sz w:val="16"/>
      </w:rPr>
      <w:t>333 SW Taylor, Suite 400</w:t>
    </w:r>
  </w:p>
  <w:p w:rsidR="00032825" w:rsidRDefault="00D01605">
    <w:pPr>
      <w:tabs>
        <w:tab w:val="center" w:pos="4680"/>
      </w:tabs>
      <w:jc w:val="center"/>
      <w:rPr>
        <w:sz w:val="16"/>
      </w:rPr>
    </w:pPr>
    <w:r>
      <w:rPr>
        <w:sz w:val="16"/>
      </w:rPr>
      <w:t>Portland, OR 97204</w:t>
    </w:r>
  </w:p>
  <w:p w:rsidR="00032825" w:rsidRDefault="00D01605">
    <w:pPr>
      <w:pStyle w:val="Footer"/>
      <w:jc w:val="center"/>
    </w:pPr>
    <w:r>
      <w:rPr>
        <w:sz w:val="16"/>
      </w:rPr>
      <w:t>Telephone (503) 241-7242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25" w:rsidRDefault="00D01605">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lang w:val="en-US"/>
      </w:rPr>
      <w:t>BOISE RESPONSE TO BENCH REQUEST NO. 5</w:t>
    </w:r>
  </w:p>
  <w:p w:rsidR="00032825" w:rsidRDefault="00032825">
    <w:pPr>
      <w:jc w:val="center"/>
      <w:rPr>
        <w:sz w:val="16"/>
      </w:rPr>
    </w:pPr>
  </w:p>
  <w:p w:rsidR="00032825" w:rsidRDefault="00D01605">
    <w:pPr>
      <w:jc w:val="center"/>
      <w:rPr>
        <w:sz w:val="16"/>
      </w:rPr>
    </w:pPr>
    <w:r>
      <w:rPr>
        <w:sz w:val="16"/>
      </w:rPr>
      <w:t>DAVISON VAN CLEVE, P.C.</w:t>
    </w:r>
  </w:p>
  <w:p w:rsidR="00032825" w:rsidRDefault="00D01605">
    <w:pPr>
      <w:tabs>
        <w:tab w:val="center" w:pos="4680"/>
      </w:tabs>
      <w:jc w:val="center"/>
      <w:rPr>
        <w:sz w:val="16"/>
      </w:rPr>
    </w:pPr>
    <w:r>
      <w:rPr>
        <w:sz w:val="16"/>
      </w:rPr>
      <w:t>333 SW Taylor, Suite 400</w:t>
    </w:r>
  </w:p>
  <w:p w:rsidR="00032825" w:rsidRDefault="00D01605">
    <w:pPr>
      <w:tabs>
        <w:tab w:val="center" w:pos="4680"/>
      </w:tabs>
      <w:jc w:val="center"/>
      <w:rPr>
        <w:sz w:val="16"/>
      </w:rPr>
    </w:pPr>
    <w:r>
      <w:rPr>
        <w:sz w:val="16"/>
      </w:rPr>
      <w:t>Portland, OR 97204</w:t>
    </w:r>
  </w:p>
  <w:p w:rsidR="00032825" w:rsidRDefault="00D01605">
    <w:pPr>
      <w:pStyle w:val="Footer"/>
      <w:jc w:val="center"/>
    </w:pPr>
    <w:r>
      <w:rPr>
        <w:sz w:val="16"/>
      </w:rPr>
      <w:t>Telephone (503) 241-7242</w:t>
    </w:r>
  </w:p>
  <w:p w:rsidR="00032825" w:rsidRDefault="00032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825" w:rsidRDefault="00D01605">
      <w:r>
        <w:separator/>
      </w:r>
    </w:p>
  </w:footnote>
  <w:footnote w:type="continuationSeparator" w:id="0">
    <w:p w:rsidR="00032825" w:rsidRDefault="00D01605">
      <w:r>
        <w:separator/>
      </w:r>
    </w:p>
  </w:footnote>
  <w:footnote w:type="continuationNotice" w:id="1">
    <w:p w:rsidR="00032825" w:rsidRDefault="00032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25" w:rsidRDefault="00032825">
    <w:pPr>
      <w:pStyle w:val="Header"/>
      <w:tabs>
        <w:tab w:val="clear" w:pos="4320"/>
        <w:tab w:val="clear" w:pos="8640"/>
        <w:tab w:val="left" w:pos="40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25" w:rsidRDefault="00032825">
    <w:pPr>
      <w:pStyle w:val="Header"/>
      <w:jc w:val="center"/>
      <w:rPr>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7DEB"/>
    <w:multiLevelType w:val="singleLevel"/>
    <w:tmpl w:val="D3B8CF88"/>
    <w:lvl w:ilvl="0">
      <w:start w:val="503"/>
      <w:numFmt w:val="decimal"/>
      <w:lvlText w:val="(%1) "/>
      <w:legacy w:legacy="1" w:legacySpace="0" w:legacyIndent="360"/>
      <w:lvlJc w:val="left"/>
      <w:pPr>
        <w:ind w:left="-360" w:hanging="360"/>
      </w:pPr>
      <w:rPr>
        <w:rFonts w:ascii="Times New Roman" w:hAnsi="Times New Roman" w:cs="Times New Roman" w:hint="default"/>
        <w:b w:val="0"/>
        <w:i w:val="0"/>
        <w:sz w:val="16"/>
        <w:szCs w:val="16"/>
        <w:u w:val="none"/>
      </w:rPr>
    </w:lvl>
  </w:abstractNum>
  <w:abstractNum w:abstractNumId="1" w15:restartNumberingAfterBreak="0">
    <w:nsid w:val="09CF0696"/>
    <w:multiLevelType w:val="hybridMultilevel"/>
    <w:tmpl w:val="173E28C4"/>
    <w:lvl w:ilvl="0" w:tplc="7972A44C">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 w15:restartNumberingAfterBreak="0">
    <w:nsid w:val="110C2A33"/>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2520B"/>
    <w:multiLevelType w:val="hybridMultilevel"/>
    <w:tmpl w:val="0F825414"/>
    <w:lvl w:ilvl="0" w:tplc="98FED9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5" w15:restartNumberingAfterBreak="0">
    <w:nsid w:val="2EF244F4"/>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037247"/>
    <w:multiLevelType w:val="hybridMultilevel"/>
    <w:tmpl w:val="03AC1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A13FC"/>
    <w:multiLevelType w:val="hybridMultilevel"/>
    <w:tmpl w:val="1DC6B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76208EB"/>
    <w:multiLevelType w:val="hybridMultilevel"/>
    <w:tmpl w:val="269459B6"/>
    <w:lvl w:ilvl="0" w:tplc="65F6F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F531D8"/>
    <w:multiLevelType w:val="hybridMultilevel"/>
    <w:tmpl w:val="07103A76"/>
    <w:lvl w:ilvl="0" w:tplc="CBF4EB22">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725F5E"/>
    <w:multiLevelType w:val="multilevel"/>
    <w:tmpl w:val="AE660E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8931D5B"/>
    <w:multiLevelType w:val="hybridMultilevel"/>
    <w:tmpl w:val="75C8E4A0"/>
    <w:lvl w:ilvl="0" w:tplc="7A36E4A2">
      <w:start w:val="1"/>
      <w:numFmt w:val="decimal"/>
      <w:pStyle w:val="WUTCParagraph"/>
      <w:lvlText w:val="%1"/>
      <w:lvlJc w:val="left"/>
      <w:pPr>
        <w:tabs>
          <w:tab w:val="num" w:pos="0"/>
        </w:tabs>
        <w:ind w:left="0" w:hanging="720"/>
      </w:pPr>
      <w:rPr>
        <w:rFonts w:ascii="Palatino Linotype" w:hAnsi="Palatino Linotype"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665E1A"/>
    <w:multiLevelType w:val="hybridMultilevel"/>
    <w:tmpl w:val="CFA8DF48"/>
    <w:lvl w:ilvl="0" w:tplc="8886FF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807F3D"/>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4"/>
  </w:num>
  <w:num w:numId="4">
    <w:abstractNumId w:val="12"/>
  </w:num>
  <w:num w:numId="5">
    <w:abstractNumId w:val="4"/>
  </w:num>
  <w:num w:numId="6">
    <w:abstractNumId w:val="0"/>
  </w:num>
  <w:num w:numId="7">
    <w:abstractNumId w:val="14"/>
  </w:num>
  <w:num w:numId="8">
    <w:abstractNumId w:val="13"/>
  </w:num>
  <w:num w:numId="9">
    <w:abstractNumId w:val="2"/>
  </w:num>
  <w:num w:numId="10">
    <w:abstractNumId w:val="5"/>
  </w:num>
  <w:num w:numId="11">
    <w:abstractNumId w:val="1"/>
  </w:num>
  <w:num w:numId="12">
    <w:abstractNumId w:val="11"/>
  </w:num>
  <w:num w:numId="13">
    <w:abstractNumId w:val="10"/>
  </w:num>
  <w:num w:numId="14">
    <w:abstractNumId w:val="3"/>
  </w:num>
  <w:num w:numId="15">
    <w:abstractNumId w:val="9"/>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25"/>
    <w:rsid w:val="00032825"/>
    <w:rsid w:val="00D0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qFormat="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6">
    <w:name w:val="heading 6"/>
    <w:basedOn w:val="Normal"/>
    <w:next w:val="Normal"/>
    <w:link w:val="Heading6Char"/>
    <w:qFormat/>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link w:val="BodyTextIndentChar"/>
    <w:pPr>
      <w:spacing w:line="480" w:lineRule="auto"/>
      <w:ind w:firstLine="720"/>
    </w:pPr>
    <w:rPr>
      <w:snapToGrid w:val="0"/>
      <w:color w:val="auto"/>
      <w:lang w:val="x-none" w:eastAsia="x-none"/>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pPr>
      <w:keepNext/>
      <w:keepLines/>
      <w:numPr>
        <w:numId w:val="2"/>
      </w:numPr>
      <w:tabs>
        <w:tab w:val="clear" w:pos="0"/>
        <w:tab w:val="left" w:pos="720"/>
      </w:tabs>
      <w:spacing w:after="240"/>
      <w:ind w:firstLine="0"/>
      <w:jc w:val="center"/>
      <w:outlineLvl w:val="0"/>
    </w:pPr>
    <w:rPr>
      <w:b/>
      <w:caps/>
      <w:color w:val="auto"/>
      <w:szCs w:val="24"/>
    </w:rPr>
  </w:style>
  <w:style w:type="paragraph" w:customStyle="1" w:styleId="WUTCHeading2">
    <w:name w:val="WUTC Heading 2"/>
    <w:basedOn w:val="WUTCHeading1"/>
    <w:next w:val="Normal"/>
    <w:pPr>
      <w:numPr>
        <w:ilvl w:val="1"/>
        <w:numId w:val="3"/>
      </w:numPr>
      <w:jc w:val="left"/>
      <w:outlineLvl w:val="1"/>
    </w:pPr>
    <w:rPr>
      <w:caps w:val="0"/>
    </w:rPr>
  </w:style>
  <w:style w:type="paragraph" w:customStyle="1" w:styleId="WUTCParagraph">
    <w:name w:val="WUTC Paragraph"/>
    <w:basedOn w:val="Normal"/>
    <w:link w:val="WUTCParagraphChar"/>
    <w:pPr>
      <w:numPr>
        <w:numId w:val="4"/>
      </w:numPr>
      <w:tabs>
        <w:tab w:val="clear" w:pos="0"/>
        <w:tab w:val="left" w:pos="1440"/>
      </w:tabs>
      <w:spacing w:line="480" w:lineRule="auto"/>
    </w:pPr>
    <w:rPr>
      <w:color w:val="auto"/>
      <w:szCs w:val="24"/>
      <w:lang w:val="x-none" w:eastAsia="x-none"/>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uiPriority w:val="99"/>
    <w:rPr>
      <w:snapToGrid w:val="0"/>
      <w:sz w:val="24"/>
    </w:rPr>
  </w:style>
  <w:style w:type="character" w:customStyle="1" w:styleId="HeaderChar">
    <w:name w:val="Header Char"/>
    <w:basedOn w:val="DefaultParagraphFont"/>
    <w:link w:val="Header"/>
    <w:uiPriority w:val="99"/>
  </w:style>
  <w:style w:type="character" w:customStyle="1" w:styleId="EndnoteTextChar">
    <w:name w:val="Endnote Text Char"/>
    <w:link w:val="EndnoteText"/>
    <w:uiPriority w:val="99"/>
    <w:semiHidden/>
    <w:rPr>
      <w:rFonts w:ascii="Courier" w:hAnsi="Courier"/>
      <w:sz w:val="24"/>
    </w:rPr>
  </w:style>
  <w:style w:type="character" w:styleId="FollowedHyperlink">
    <w:name w:val="FollowedHyperlink"/>
    <w:rPr>
      <w:color w:val="800080"/>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Pr>
      <w:sz w:val="20"/>
      <w:lang w:val="x-none" w:eastAsia="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rPr>
      <w:color w:val="000000"/>
    </w:rPr>
  </w:style>
  <w:style w:type="character" w:styleId="FootnoteReference">
    <w:name w:val="footnote reference"/>
    <w:aliases w:val="o,fr,Style 3,Style 13,Style 12,Style 15,Style 17,Style 9,o1,fr1,o2,fr2,o3,fr3,Style 18,(NECG) Footnote Reference,Style 20,Style 7,Style 8,Style 19,Style 28,Style 11,Style 16,Styl"/>
    <w:rPr>
      <w:vertAlign w:val="superscript"/>
    </w:rPr>
  </w:style>
  <w:style w:type="character" w:styleId="LineNumber">
    <w:name w:val="line number"/>
    <w:uiPriority w:val="99"/>
    <w:unhideWhenUsed/>
    <w:qFormat/>
    <w:rPr>
      <w:rFonts w:ascii="Times New Roman" w:hAnsi="Times New Roman"/>
      <w:sz w:val="24"/>
      <w:szCs w:val="22"/>
    </w:rPr>
  </w:style>
  <w:style w:type="character" w:customStyle="1" w:styleId="WUTCParagraphChar">
    <w:name w:val="WUTC Paragraph Char"/>
    <w:link w:val="WUTCParagraph"/>
    <w:rPr>
      <w:sz w:val="24"/>
      <w:szCs w:val="24"/>
    </w:rPr>
  </w:style>
  <w:style w:type="character" w:customStyle="1" w:styleId="BodyTextIndentChar">
    <w:name w:val="Body Text Indent Char"/>
    <w:link w:val="BodyTextIndent"/>
    <w:rPr>
      <w:snapToGrid w:val="0"/>
      <w:sz w:val="24"/>
    </w:rPr>
  </w:style>
  <w:style w:type="paragraph" w:customStyle="1" w:styleId="draft">
    <w:name w:val="draft"/>
    <w:basedOn w:val="WUTCParagraph"/>
    <w:link w:val="draftChar"/>
    <w:qFormat/>
    <w:pPr>
      <w:tabs>
        <w:tab w:val="num" w:pos="1440"/>
      </w:tabs>
      <w:spacing w:line="570" w:lineRule="exact"/>
    </w:pPr>
  </w:style>
  <w:style w:type="character" w:customStyle="1" w:styleId="draftChar">
    <w:name w:val="draft Char"/>
    <w:link w:val="draft"/>
  </w:style>
  <w:style w:type="paragraph" w:styleId="TableofAuthorities">
    <w:name w:val="table of authorities"/>
    <w:basedOn w:val="Normal"/>
    <w:next w:val="Normal"/>
    <w:uiPriority w:val="99"/>
    <w:unhideWhenUsed/>
    <w:pPr>
      <w:ind w:left="240" w:hanging="240"/>
    </w:pPr>
    <w:rPr>
      <w:color w:val="auto"/>
      <w:szCs w:val="24"/>
    </w:rPr>
  </w:style>
  <w:style w:type="paragraph" w:customStyle="1" w:styleId="UTCStyle">
    <w:name w:val="UTC Style"/>
    <w:basedOn w:val="BodyTextIndent"/>
    <w:link w:val="UTCStyleChar"/>
    <w:qFormat/>
    <w:pPr>
      <w:tabs>
        <w:tab w:val="left" w:pos="720"/>
        <w:tab w:val="right" w:leader="dot" w:pos="8640"/>
      </w:tabs>
      <w:spacing w:line="240" w:lineRule="auto"/>
      <w:ind w:firstLine="0"/>
    </w:pPr>
    <w:rPr>
      <w:sz w:val="28"/>
    </w:rPr>
  </w:style>
  <w:style w:type="character" w:customStyle="1" w:styleId="UTCStyleChar">
    <w:name w:val="UTC Style Char"/>
    <w:link w:val="UTCStyle"/>
    <w:rPr>
      <w:snapToGrid w:val="0"/>
      <w:sz w:val="28"/>
    </w:rPr>
  </w:style>
  <w:style w:type="paragraph" w:customStyle="1" w:styleId="IASFav">
    <w:name w:val="IAS Fav"/>
    <w:basedOn w:val="draft"/>
    <w:link w:val="IASFavChar"/>
    <w:qFormat/>
    <w:rPr>
      <w:szCs w:val="22"/>
    </w:rPr>
  </w:style>
  <w:style w:type="paragraph" w:customStyle="1" w:styleId="IAS2">
    <w:name w:val="IAS 2"/>
    <w:basedOn w:val="Normal"/>
    <w:link w:val="IAS2Char"/>
    <w:qFormat/>
    <w:pPr>
      <w:tabs>
        <w:tab w:val="num" w:pos="0"/>
        <w:tab w:val="left" w:pos="1440"/>
      </w:tabs>
      <w:spacing w:line="480" w:lineRule="auto"/>
      <w:ind w:hanging="720"/>
    </w:pPr>
    <w:rPr>
      <w:color w:val="auto"/>
      <w:szCs w:val="24"/>
      <w:lang w:val="x-none" w:eastAsia="x-none"/>
    </w:rPr>
  </w:style>
  <w:style w:type="character" w:customStyle="1" w:styleId="IASFavChar">
    <w:name w:val="IAS Fav Char"/>
    <w:link w:val="IASFav"/>
    <w:rPr>
      <w:sz w:val="24"/>
      <w:szCs w:val="22"/>
    </w:rPr>
  </w:style>
  <w:style w:type="character" w:customStyle="1" w:styleId="IAS2Char">
    <w:name w:val="IAS 2 Char"/>
    <w:link w:val="IAS2"/>
    <w:rPr>
      <w:sz w:val="24"/>
      <w:szCs w:val="24"/>
      <w:lang w:val="x-none" w:eastAsia="x-none"/>
    </w:rPr>
  </w:style>
  <w:style w:type="character" w:customStyle="1" w:styleId="Heading6Char">
    <w:name w:val="Heading 6 Char"/>
    <w:link w:val="Heading6"/>
    <w:semiHidden/>
    <w:rPr>
      <w:rFonts w:ascii="Calibri" w:eastAsia="Times New Roman" w:hAnsi="Calibri" w:cs="Times New Roman"/>
      <w:b/>
      <w:bCs/>
      <w:color w:val="000000"/>
      <w:sz w:val="22"/>
      <w:szCs w:val="22"/>
    </w:rPr>
  </w:style>
  <w:style w:type="paragraph" w:customStyle="1" w:styleId="draftheading2">
    <w:name w:val="draft heading 2"/>
    <w:basedOn w:val="WUTCHeading2"/>
    <w:link w:val="draftheading2Char"/>
    <w:qFormat/>
    <w:pPr>
      <w:numPr>
        <w:ilvl w:val="0"/>
        <w:numId w:val="0"/>
      </w:numPr>
      <w:spacing w:after="0"/>
      <w:ind w:left="1440" w:hanging="720"/>
    </w:pPr>
    <w:rPr>
      <w:lang w:val="x-none" w:eastAsia="x-none"/>
    </w:rPr>
  </w:style>
  <w:style w:type="character" w:customStyle="1" w:styleId="draftheading2Char">
    <w:name w:val="draft heading 2 Char"/>
    <w:link w:val="draftheading2"/>
    <w:rPr>
      <w:b/>
      <w:sz w:val="24"/>
      <w:szCs w:val="24"/>
    </w:rPr>
  </w:style>
  <w:style w:type="paragraph" w:customStyle="1" w:styleId="draftheading3">
    <w:name w:val="draft heading 3"/>
    <w:basedOn w:val="WUTCParagraph"/>
    <w:link w:val="draftheading3Char"/>
    <w:qFormat/>
    <w:pPr>
      <w:keepNext/>
      <w:numPr>
        <w:numId w:val="0"/>
      </w:numPr>
      <w:spacing w:before="240" w:line="240" w:lineRule="auto"/>
      <w:ind w:left="1440" w:hanging="720"/>
    </w:pPr>
    <w:rPr>
      <w:b/>
    </w:rPr>
  </w:style>
  <w:style w:type="character" w:customStyle="1" w:styleId="draftheading3Char">
    <w:name w:val="draft heading 3 Char"/>
    <w:link w:val="draftheading3"/>
    <w:rPr>
      <w:b/>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color w:val="000000"/>
      <w:sz w:val="16"/>
      <w:szCs w:val="16"/>
    </w:rPr>
  </w:style>
  <w:style w:type="paragraph" w:customStyle="1" w:styleId="MediumGrid1-Accent21">
    <w:name w:val="Medium Grid 1 - Accent 21"/>
    <w:basedOn w:val="Normal"/>
    <w:uiPriority w:val="34"/>
    <w:qFormat/>
    <w:pPr>
      <w:ind w:left="720"/>
    </w:pPr>
  </w:style>
  <w:style w:type="paragraph" w:customStyle="1" w:styleId="ColorfulList-Accent11">
    <w:name w:val="Colorful List - Accent 11"/>
    <w:basedOn w:val="Normal"/>
    <w:uiPriority w:val="34"/>
    <w:qFormat/>
    <w:pPr>
      <w:ind w:left="720"/>
    </w:pPr>
  </w:style>
  <w:style w:type="paragraph" w:customStyle="1" w:styleId="130043Post-hearingBriefParagraph">
    <w:name w:val="130043 Post-hearing Brief Paragraph"/>
    <w:basedOn w:val="WUTCParagraph"/>
    <w:qFormat/>
  </w:style>
  <w:style w:type="paragraph" w:customStyle="1" w:styleId="UTCHeaderletter">
    <w:name w:val="UTC Header (letter)"/>
    <w:basedOn w:val="WUTCParagraph"/>
    <w:qFormat/>
    <w:pPr>
      <w:keepNext/>
      <w:numPr>
        <w:numId w:val="0"/>
      </w:numPr>
      <w:tabs>
        <w:tab w:val="left" w:pos="720"/>
      </w:tabs>
      <w:spacing w:line="570" w:lineRule="exact"/>
      <w:ind w:left="1440" w:hanging="720"/>
    </w:pPr>
    <w:rPr>
      <w:b/>
    </w:rPr>
  </w:style>
  <w:style w:type="paragraph" w:customStyle="1" w:styleId="answer">
    <w:name w:val="answer"/>
    <w:basedOn w:val="Normal"/>
    <w:link w:val="answerChar"/>
    <w:pPr>
      <w:spacing w:before="120" w:after="120" w:line="480" w:lineRule="auto"/>
      <w:ind w:left="720" w:hanging="720"/>
    </w:pPr>
    <w:rPr>
      <w:color w:val="auto"/>
      <w:lang w:val="x-none" w:eastAsia="zh-CN"/>
    </w:rPr>
  </w:style>
  <w:style w:type="character" w:customStyle="1" w:styleId="answerChar">
    <w:name w:val="answer Char"/>
    <w:link w:val="answer"/>
    <w:rPr>
      <w:sz w:val="24"/>
      <w:lang w:eastAsia="zh-CN"/>
    </w:rPr>
  </w:style>
  <w:style w:type="paragraph" w:customStyle="1" w:styleId="Default">
    <w:name w:val="Default"/>
    <w:pPr>
      <w:autoSpaceDE w:val="0"/>
      <w:autoSpaceDN w:val="0"/>
      <w:adjustRightInd w:val="0"/>
    </w:pPr>
    <w:rPr>
      <w:rFonts w:eastAsia="Calibri"/>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lang w:val="x-none" w:eastAsia="x-none"/>
    </w:rPr>
  </w:style>
  <w:style w:type="character" w:customStyle="1" w:styleId="CommentTextChar">
    <w:name w:val="Comment Text Char"/>
    <w:link w:val="CommentText"/>
    <w:rPr>
      <w:color w:val="00000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color w:val="000000"/>
    </w:rPr>
  </w:style>
  <w:style w:type="paragraph" w:customStyle="1" w:styleId="ColorfulShading-Accent11">
    <w:name w:val="Colorful Shading - Accent 11"/>
    <w:hidden/>
    <w:uiPriority w:val="99"/>
    <w:semiHidden/>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7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2016-04-22T07:00:00+00:00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AF594A0-284B-41EE-8AF2-D25E30D2CBDE}"/>
</file>

<file path=customXml/itemProps2.xml><?xml version="1.0" encoding="utf-8"?>
<ds:datastoreItem xmlns:ds="http://schemas.openxmlformats.org/officeDocument/2006/customXml" ds:itemID="{AECFDD9C-F4D8-4535-B4C1-B038AA9A95E6}"/>
</file>

<file path=customXml/itemProps3.xml><?xml version="1.0" encoding="utf-8"?>
<ds:datastoreItem xmlns:ds="http://schemas.openxmlformats.org/officeDocument/2006/customXml" ds:itemID="{223D2DD7-A58E-4073-9963-E10019DC5603}"/>
</file>

<file path=customXml/itemProps4.xml><?xml version="1.0" encoding="utf-8"?>
<ds:datastoreItem xmlns:ds="http://schemas.openxmlformats.org/officeDocument/2006/customXml" ds:itemID="{0CE725A4-71D5-473F-A2F2-6627147D7142}"/>
</file>

<file path=customXml/itemProps5.xml><?xml version="1.0" encoding="utf-8"?>
<ds:datastoreItem xmlns:ds="http://schemas.openxmlformats.org/officeDocument/2006/customXml" ds:itemID="{7D427A5B-293F-478B-B960-29D4F1EA6E4A}"/>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3733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4373</CharactersWithSpaces>
  <SharedDoc>false</SharedDoc>
  <HLinks>
    <vt:vector size="6" baseType="variant">
      <vt:variant>
        <vt:i4>6881382</vt:i4>
      </vt:variant>
      <vt:variant>
        <vt:i4>0</vt:i4>
      </vt:variant>
      <vt:variant>
        <vt:i4>0</vt:i4>
      </vt:variant>
      <vt:variant>
        <vt:i4>5</vt:i4>
      </vt:variant>
      <vt:variant>
        <vt:lpwstr>http://www.utc.wa.gov/docs/Pages/DocketLookup.aspx?FilingID=152253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2016-04-22T14:21:00Z</dcterms:created>
  <dcterms:modified xsi:type="dcterms:W3CDTF">2016-04-22T14:21:00Z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0x0101006E56B4D1795A2E4DB2F0B01679ED314A007595E2AA379E88449A4F511BF799667C</vt:lpwstr>
  </property>
  <property fmtid="{D5CDD505-2E9C-101B-9397-08002B2CF9AE}" pid="5" name="_docset_NoMedatataSyncRequired">
    <vt:lpwstr>False</vt:lpwstr>
  </property>
</Properties>
</file>