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D6D" w:rsidRPr="007A3D6D" w:rsidRDefault="007A3D6D" w:rsidP="00B65199">
      <w:pPr>
        <w:tabs>
          <w:tab w:val="center" w:pos="4680"/>
        </w:tabs>
        <w:spacing w:after="0" w:line="240" w:lineRule="exact"/>
        <w:ind w:right="-108" w:hanging="180"/>
        <w:jc w:val="both"/>
        <w:rPr>
          <w:rFonts w:ascii="Times New Roman" w:hAnsi="Times New Roman" w:cs="Times New Roman"/>
          <w:sz w:val="24"/>
        </w:rPr>
      </w:pPr>
    </w:p>
    <w:p w:rsidR="007A3D6D" w:rsidRPr="007A3D6D" w:rsidRDefault="007A3D6D" w:rsidP="00B65199">
      <w:pPr>
        <w:tabs>
          <w:tab w:val="center" w:pos="4680"/>
        </w:tabs>
        <w:spacing w:after="0" w:line="240" w:lineRule="exact"/>
        <w:ind w:right="-108" w:hanging="180"/>
        <w:jc w:val="both"/>
        <w:rPr>
          <w:rFonts w:ascii="Times New Roman" w:hAnsi="Times New Roman" w:cs="Times New Roman"/>
          <w:sz w:val="24"/>
        </w:rPr>
      </w:pPr>
    </w:p>
    <w:p w:rsidR="007A3D6D" w:rsidRPr="007A3D6D" w:rsidRDefault="007A3D6D" w:rsidP="00B65199">
      <w:pPr>
        <w:tabs>
          <w:tab w:val="center" w:pos="4680"/>
        </w:tabs>
        <w:spacing w:after="0" w:line="240" w:lineRule="exact"/>
        <w:ind w:right="-108" w:hanging="180"/>
        <w:jc w:val="both"/>
        <w:rPr>
          <w:rFonts w:ascii="Times New Roman" w:hAnsi="Times New Roman" w:cs="Times New Roman"/>
          <w:sz w:val="24"/>
        </w:rPr>
      </w:pPr>
    </w:p>
    <w:p w:rsidR="007A3D6D" w:rsidRPr="007A3D6D" w:rsidRDefault="007A3D6D" w:rsidP="00B65199">
      <w:pPr>
        <w:tabs>
          <w:tab w:val="center" w:pos="4680"/>
        </w:tabs>
        <w:spacing w:after="0" w:line="240" w:lineRule="exact"/>
        <w:ind w:right="-108" w:hanging="180"/>
        <w:jc w:val="both"/>
        <w:rPr>
          <w:rFonts w:ascii="Times New Roman" w:hAnsi="Times New Roman" w:cs="Times New Roman"/>
          <w:sz w:val="24"/>
        </w:rPr>
      </w:pPr>
    </w:p>
    <w:p w:rsidR="007A3D6D" w:rsidRPr="007A3D6D" w:rsidRDefault="007A3D6D" w:rsidP="00B65199">
      <w:pPr>
        <w:tabs>
          <w:tab w:val="center" w:pos="4680"/>
        </w:tabs>
        <w:spacing w:after="0" w:line="240" w:lineRule="exact"/>
        <w:ind w:right="-108" w:hanging="180"/>
        <w:jc w:val="both"/>
        <w:rPr>
          <w:rFonts w:ascii="Times New Roman" w:hAnsi="Times New Roman" w:cs="Times New Roman"/>
          <w:sz w:val="24"/>
        </w:rPr>
      </w:pPr>
    </w:p>
    <w:p w:rsidR="007A3D6D" w:rsidRPr="00673F85" w:rsidRDefault="007A3D6D" w:rsidP="00B65199">
      <w:pPr>
        <w:tabs>
          <w:tab w:val="center" w:pos="4680"/>
        </w:tabs>
        <w:spacing w:after="0" w:line="240" w:lineRule="exact"/>
        <w:ind w:right="-108" w:hanging="180"/>
        <w:jc w:val="both"/>
        <w:rPr>
          <w:rFonts w:ascii="Times New Roman" w:hAnsi="Times New Roman" w:cs="Times New Roman"/>
          <w:b/>
          <w:sz w:val="24"/>
          <w:szCs w:val="24"/>
        </w:rPr>
      </w:pPr>
      <w:r w:rsidRPr="00673F85">
        <w:rPr>
          <w:rFonts w:ascii="Times New Roman" w:hAnsi="Times New Roman" w:cs="Times New Roman"/>
          <w:b/>
          <w:sz w:val="24"/>
          <w:szCs w:val="24"/>
        </w:rPr>
        <w:t>BEFORE THE WASHINGTON UTILITIES AND TRANSPORTATION COMMISSION</w:t>
      </w:r>
    </w:p>
    <w:p w:rsidR="007A3D6D" w:rsidRPr="00673F85" w:rsidRDefault="007A3D6D" w:rsidP="00B65199">
      <w:pPr>
        <w:spacing w:after="0" w:line="240" w:lineRule="exact"/>
        <w:jc w:val="both"/>
        <w:rPr>
          <w:rFonts w:ascii="Times New Roman" w:hAnsi="Times New Roman" w:cs="Times New Roman"/>
          <w:b/>
          <w:sz w:val="24"/>
          <w:szCs w:val="24"/>
        </w:rPr>
      </w:pPr>
    </w:p>
    <w:p w:rsidR="007A3D6D" w:rsidRPr="00673F85" w:rsidRDefault="007A3D6D" w:rsidP="00B65199">
      <w:pPr>
        <w:spacing w:after="0" w:line="240" w:lineRule="exact"/>
        <w:jc w:val="both"/>
        <w:rPr>
          <w:rFonts w:ascii="Times New Roman" w:hAnsi="Times New Roman" w:cs="Times New Roman"/>
          <w:b/>
          <w:sz w:val="24"/>
          <w:szCs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7A3D6D" w:rsidRPr="00673F85" w:rsidTr="002B710A">
        <w:tc>
          <w:tcPr>
            <w:tcW w:w="4590" w:type="dxa"/>
            <w:tcBorders>
              <w:top w:val="single" w:sz="6" w:space="0" w:color="FFFFFF"/>
              <w:left w:val="single" w:sz="6" w:space="0" w:color="FFFFFF"/>
              <w:bottom w:val="single" w:sz="7" w:space="0" w:color="000000"/>
              <w:right w:val="single" w:sz="6" w:space="0" w:color="FFFFFF"/>
            </w:tcBorders>
          </w:tcPr>
          <w:p w:rsidR="007A3D6D" w:rsidRPr="00673F85" w:rsidRDefault="007A3D6D" w:rsidP="00B65199">
            <w:pPr>
              <w:spacing w:after="0" w:line="240" w:lineRule="exact"/>
              <w:rPr>
                <w:rFonts w:ascii="Times New Roman" w:hAnsi="Times New Roman" w:cs="Times New Roman"/>
                <w:b/>
                <w:sz w:val="24"/>
                <w:szCs w:val="24"/>
              </w:rPr>
            </w:pPr>
            <w:r w:rsidRPr="00673F85">
              <w:rPr>
                <w:rFonts w:ascii="Times New Roman" w:hAnsi="Times New Roman" w:cs="Times New Roman"/>
                <w:b/>
                <w:sz w:val="24"/>
                <w:szCs w:val="24"/>
              </w:rPr>
              <w:t xml:space="preserve">WASHINGTON UTILITIES AND TRANSPORTATION COMMISSION, </w:t>
            </w:r>
          </w:p>
          <w:p w:rsidR="007A3D6D" w:rsidRPr="00673F85" w:rsidRDefault="007A3D6D" w:rsidP="00B65199">
            <w:pPr>
              <w:spacing w:after="0" w:line="240" w:lineRule="exact"/>
              <w:rPr>
                <w:rFonts w:ascii="Times New Roman" w:hAnsi="Times New Roman" w:cs="Times New Roman"/>
                <w:b/>
                <w:sz w:val="24"/>
                <w:szCs w:val="24"/>
              </w:rPr>
            </w:pPr>
          </w:p>
          <w:p w:rsidR="007A3D6D" w:rsidRPr="00673F85" w:rsidRDefault="007A3D6D" w:rsidP="00B65199">
            <w:pPr>
              <w:spacing w:after="0" w:line="240" w:lineRule="exact"/>
              <w:rPr>
                <w:rFonts w:ascii="Times New Roman" w:hAnsi="Times New Roman" w:cs="Times New Roman"/>
                <w:b/>
                <w:sz w:val="24"/>
                <w:szCs w:val="24"/>
              </w:rPr>
            </w:pPr>
            <w:r w:rsidRPr="00673F85">
              <w:rPr>
                <w:rFonts w:ascii="Times New Roman" w:hAnsi="Times New Roman" w:cs="Times New Roman"/>
                <w:b/>
                <w:sz w:val="24"/>
                <w:szCs w:val="24"/>
              </w:rPr>
              <w:tab/>
            </w:r>
            <w:r w:rsidRPr="00673F85">
              <w:rPr>
                <w:rFonts w:ascii="Times New Roman" w:hAnsi="Times New Roman" w:cs="Times New Roman"/>
                <w:b/>
                <w:sz w:val="24"/>
                <w:szCs w:val="24"/>
              </w:rPr>
              <w:tab/>
              <w:t>Complainant,</w:t>
            </w:r>
          </w:p>
          <w:p w:rsidR="007A3D6D" w:rsidRPr="00673F85" w:rsidRDefault="007A3D6D" w:rsidP="00B65199">
            <w:pPr>
              <w:spacing w:after="0" w:line="240" w:lineRule="exact"/>
              <w:rPr>
                <w:rFonts w:ascii="Times New Roman" w:hAnsi="Times New Roman" w:cs="Times New Roman"/>
                <w:b/>
                <w:sz w:val="24"/>
                <w:szCs w:val="24"/>
              </w:rPr>
            </w:pPr>
          </w:p>
          <w:p w:rsidR="007A3D6D" w:rsidRPr="00673F85" w:rsidRDefault="007A3D6D" w:rsidP="00B65199">
            <w:pPr>
              <w:spacing w:after="0" w:line="240" w:lineRule="exact"/>
              <w:rPr>
                <w:rFonts w:ascii="Times New Roman" w:hAnsi="Times New Roman" w:cs="Times New Roman"/>
                <w:b/>
                <w:sz w:val="24"/>
                <w:szCs w:val="24"/>
              </w:rPr>
            </w:pPr>
            <w:r w:rsidRPr="00673F85">
              <w:rPr>
                <w:rFonts w:ascii="Times New Roman" w:hAnsi="Times New Roman" w:cs="Times New Roman"/>
                <w:b/>
                <w:sz w:val="24"/>
                <w:szCs w:val="24"/>
              </w:rPr>
              <w:tab/>
              <w:t>v.</w:t>
            </w:r>
          </w:p>
          <w:p w:rsidR="007A3D6D" w:rsidRPr="00673F85" w:rsidRDefault="007A3D6D" w:rsidP="00B65199">
            <w:pPr>
              <w:spacing w:after="0" w:line="240" w:lineRule="exact"/>
              <w:rPr>
                <w:rFonts w:ascii="Times New Roman" w:hAnsi="Times New Roman" w:cs="Times New Roman"/>
                <w:b/>
                <w:sz w:val="24"/>
                <w:szCs w:val="24"/>
              </w:rPr>
            </w:pPr>
          </w:p>
          <w:p w:rsidR="007A3D6D" w:rsidRPr="00673F85" w:rsidRDefault="007A3D6D" w:rsidP="00B65199">
            <w:pPr>
              <w:spacing w:after="0" w:line="240" w:lineRule="exact"/>
              <w:rPr>
                <w:rFonts w:ascii="Times New Roman" w:hAnsi="Times New Roman" w:cs="Times New Roman"/>
                <w:b/>
                <w:sz w:val="24"/>
                <w:szCs w:val="24"/>
              </w:rPr>
            </w:pPr>
            <w:r w:rsidRPr="00673F85">
              <w:rPr>
                <w:rFonts w:ascii="Times New Roman" w:hAnsi="Times New Roman" w:cs="Times New Roman"/>
                <w:b/>
                <w:sz w:val="24"/>
                <w:szCs w:val="24"/>
              </w:rPr>
              <w:t xml:space="preserve">PACIFICORP D/B/A PACIFIC POWER &amp; LIGHT COMPANY, </w:t>
            </w:r>
          </w:p>
          <w:p w:rsidR="007A3D6D" w:rsidRPr="00673F85" w:rsidRDefault="007A3D6D" w:rsidP="00B65199">
            <w:pPr>
              <w:spacing w:after="0" w:line="240" w:lineRule="exact"/>
              <w:rPr>
                <w:rFonts w:ascii="Times New Roman" w:hAnsi="Times New Roman" w:cs="Times New Roman"/>
                <w:b/>
                <w:sz w:val="24"/>
                <w:szCs w:val="24"/>
              </w:rPr>
            </w:pPr>
          </w:p>
          <w:p w:rsidR="007A3D6D" w:rsidRPr="00673F85" w:rsidRDefault="007A3D6D" w:rsidP="00B65199">
            <w:pPr>
              <w:spacing w:after="0" w:line="240" w:lineRule="exact"/>
              <w:rPr>
                <w:rFonts w:ascii="Times New Roman" w:hAnsi="Times New Roman" w:cs="Times New Roman"/>
                <w:b/>
                <w:sz w:val="24"/>
                <w:szCs w:val="24"/>
              </w:rPr>
            </w:pPr>
            <w:r w:rsidRPr="00673F85">
              <w:rPr>
                <w:rFonts w:ascii="Times New Roman" w:hAnsi="Times New Roman" w:cs="Times New Roman"/>
                <w:b/>
                <w:sz w:val="24"/>
                <w:szCs w:val="24"/>
              </w:rPr>
              <w:tab/>
            </w:r>
            <w:r w:rsidRPr="00673F85">
              <w:rPr>
                <w:rFonts w:ascii="Times New Roman" w:hAnsi="Times New Roman" w:cs="Times New Roman"/>
                <w:b/>
                <w:sz w:val="24"/>
                <w:szCs w:val="24"/>
              </w:rPr>
              <w:tab/>
              <w:t>Respondent.</w:t>
            </w:r>
          </w:p>
          <w:p w:rsidR="007A3D6D" w:rsidRPr="00673F85" w:rsidRDefault="007A3D6D" w:rsidP="00B65199">
            <w:pPr>
              <w:spacing w:after="0" w:line="240" w:lineRule="exact"/>
              <w:rPr>
                <w:rFonts w:ascii="Times New Roman" w:hAnsi="Times New Roman" w:cs="Times New Roman"/>
                <w:b/>
                <w:sz w:val="24"/>
                <w:szCs w:val="24"/>
              </w:rPr>
            </w:pPr>
          </w:p>
        </w:tc>
        <w:tc>
          <w:tcPr>
            <w:tcW w:w="4590" w:type="dxa"/>
            <w:tcBorders>
              <w:top w:val="single" w:sz="6" w:space="0" w:color="FFFFFF"/>
              <w:left w:val="single" w:sz="7" w:space="0" w:color="000000"/>
              <w:bottom w:val="single" w:sz="6" w:space="0" w:color="FFFFFF"/>
              <w:right w:val="single" w:sz="6" w:space="0" w:color="FFFFFF"/>
            </w:tcBorders>
          </w:tcPr>
          <w:p w:rsidR="007A3D6D" w:rsidRPr="00673F85" w:rsidRDefault="007A3D6D" w:rsidP="00B65199">
            <w:pPr>
              <w:spacing w:after="0" w:line="240" w:lineRule="exact"/>
              <w:ind w:firstLine="720"/>
              <w:rPr>
                <w:rFonts w:ascii="Times New Roman" w:hAnsi="Times New Roman" w:cs="Times New Roman"/>
                <w:b/>
                <w:sz w:val="24"/>
                <w:szCs w:val="24"/>
              </w:rPr>
            </w:pPr>
            <w:r w:rsidRPr="00673F85">
              <w:rPr>
                <w:rFonts w:ascii="Times New Roman" w:hAnsi="Times New Roman" w:cs="Times New Roman"/>
                <w:b/>
                <w:sz w:val="24"/>
                <w:szCs w:val="24"/>
              </w:rPr>
              <w:t xml:space="preserve">DOCKET UE-100749 </w:t>
            </w:r>
          </w:p>
          <w:p w:rsidR="007A3D6D" w:rsidRPr="00673F85" w:rsidRDefault="007A3D6D" w:rsidP="00B65199">
            <w:pPr>
              <w:spacing w:after="0" w:line="240" w:lineRule="exact"/>
              <w:rPr>
                <w:rFonts w:ascii="Times New Roman" w:hAnsi="Times New Roman" w:cs="Times New Roman"/>
                <w:b/>
                <w:sz w:val="24"/>
                <w:szCs w:val="24"/>
              </w:rPr>
            </w:pPr>
          </w:p>
          <w:p w:rsidR="007A3D6D" w:rsidRPr="00673F85" w:rsidRDefault="007A3D6D" w:rsidP="00B65199">
            <w:pPr>
              <w:spacing w:after="0" w:line="240" w:lineRule="exact"/>
              <w:ind w:left="720"/>
              <w:rPr>
                <w:rFonts w:ascii="Times New Roman" w:hAnsi="Times New Roman" w:cs="Times New Roman"/>
                <w:b/>
                <w:sz w:val="24"/>
                <w:szCs w:val="24"/>
              </w:rPr>
            </w:pPr>
          </w:p>
        </w:tc>
      </w:tr>
    </w:tbl>
    <w:p w:rsidR="007A3D6D" w:rsidRDefault="007A3D6D" w:rsidP="00B65199">
      <w:pPr>
        <w:spacing w:after="0" w:line="240" w:lineRule="exact"/>
        <w:jc w:val="both"/>
        <w:rPr>
          <w:rFonts w:ascii="Times New Roman" w:hAnsi="Times New Roman" w:cs="Times New Roman"/>
          <w:b/>
          <w:sz w:val="24"/>
          <w:szCs w:val="24"/>
        </w:rPr>
      </w:pPr>
    </w:p>
    <w:p w:rsidR="00673F85" w:rsidRDefault="00673F85" w:rsidP="00B65199">
      <w:pPr>
        <w:spacing w:after="0" w:line="240" w:lineRule="exact"/>
        <w:jc w:val="both"/>
        <w:rPr>
          <w:rFonts w:ascii="Times New Roman" w:hAnsi="Times New Roman" w:cs="Times New Roman"/>
          <w:b/>
          <w:sz w:val="24"/>
          <w:szCs w:val="24"/>
        </w:rPr>
      </w:pPr>
    </w:p>
    <w:p w:rsidR="00673F85" w:rsidRDefault="00673F85" w:rsidP="00B65199">
      <w:pPr>
        <w:spacing w:after="0" w:line="240" w:lineRule="exact"/>
        <w:jc w:val="both"/>
        <w:rPr>
          <w:rFonts w:ascii="Times New Roman" w:hAnsi="Times New Roman" w:cs="Times New Roman"/>
          <w:b/>
          <w:sz w:val="24"/>
          <w:szCs w:val="24"/>
        </w:rPr>
      </w:pPr>
    </w:p>
    <w:p w:rsidR="00673F85" w:rsidRDefault="00673F85" w:rsidP="00B65199">
      <w:pPr>
        <w:spacing w:after="0" w:line="240" w:lineRule="exact"/>
        <w:jc w:val="both"/>
        <w:rPr>
          <w:rFonts w:ascii="Times New Roman" w:hAnsi="Times New Roman" w:cs="Times New Roman"/>
          <w:b/>
          <w:sz w:val="24"/>
          <w:szCs w:val="24"/>
        </w:rPr>
      </w:pPr>
    </w:p>
    <w:p w:rsidR="00673F85" w:rsidRDefault="008B0FB1" w:rsidP="00B65199">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 xml:space="preserve">INITIAL </w:t>
      </w:r>
      <w:r w:rsidR="00673F85">
        <w:rPr>
          <w:rFonts w:ascii="Times New Roman" w:hAnsi="Times New Roman" w:cs="Times New Roman"/>
          <w:b/>
          <w:sz w:val="24"/>
          <w:szCs w:val="24"/>
        </w:rPr>
        <w:t>BRIEF ON BEHALF OF COMMISSION STAFF</w:t>
      </w:r>
    </w:p>
    <w:p w:rsidR="00673F85" w:rsidRDefault="00673F85" w:rsidP="00B65199">
      <w:pPr>
        <w:spacing w:after="0" w:line="240" w:lineRule="exact"/>
        <w:jc w:val="both"/>
        <w:rPr>
          <w:rFonts w:ascii="Times New Roman" w:hAnsi="Times New Roman" w:cs="Times New Roman"/>
          <w:b/>
          <w:sz w:val="24"/>
          <w:szCs w:val="24"/>
        </w:rPr>
      </w:pPr>
    </w:p>
    <w:p w:rsidR="00673F85" w:rsidRDefault="00673F85" w:rsidP="00B65199">
      <w:pPr>
        <w:spacing w:after="0" w:line="240" w:lineRule="exact"/>
        <w:jc w:val="both"/>
        <w:rPr>
          <w:rFonts w:ascii="Times New Roman" w:hAnsi="Times New Roman" w:cs="Times New Roman"/>
          <w:b/>
          <w:sz w:val="24"/>
          <w:szCs w:val="24"/>
        </w:rPr>
      </w:pPr>
    </w:p>
    <w:p w:rsidR="00915B6F" w:rsidRDefault="00915B6F" w:rsidP="00B65199">
      <w:pPr>
        <w:spacing w:after="0" w:line="240" w:lineRule="exact"/>
        <w:rPr>
          <w:rFonts w:ascii="Times New Roman" w:hAnsi="Times New Roman" w:cs="Times New Roman"/>
          <w:b/>
          <w:bCs/>
          <w:sz w:val="24"/>
          <w:szCs w:val="24"/>
        </w:rPr>
      </w:pPr>
      <w:bookmarkStart w:id="0" w:name="_GoBack"/>
      <w:bookmarkEnd w:id="0"/>
    </w:p>
    <w:p w:rsidR="00915B6F" w:rsidRDefault="00915B6F" w:rsidP="00B65199">
      <w:pPr>
        <w:spacing w:after="0" w:line="240" w:lineRule="exact"/>
        <w:rPr>
          <w:rFonts w:ascii="Times New Roman" w:hAnsi="Times New Roman" w:cs="Times New Roman"/>
          <w:b/>
          <w:bCs/>
          <w:sz w:val="24"/>
          <w:szCs w:val="24"/>
        </w:rPr>
      </w:pPr>
    </w:p>
    <w:p w:rsidR="00915B6F" w:rsidRPr="00673F85" w:rsidRDefault="00915B6F" w:rsidP="00B65199">
      <w:pPr>
        <w:spacing w:after="0" w:line="240" w:lineRule="exact"/>
        <w:rPr>
          <w:rFonts w:ascii="Times New Roman" w:hAnsi="Times New Roman" w:cs="Times New Roman"/>
          <w:b/>
          <w:bCs/>
          <w:sz w:val="24"/>
          <w:szCs w:val="24"/>
        </w:rPr>
      </w:pPr>
    </w:p>
    <w:p w:rsidR="00673F85" w:rsidRPr="00673F85" w:rsidRDefault="00673F85" w:rsidP="00B65199">
      <w:pPr>
        <w:spacing w:after="0" w:line="240" w:lineRule="exact"/>
        <w:rPr>
          <w:rFonts w:ascii="Times New Roman" w:hAnsi="Times New Roman" w:cs="Times New Roman"/>
          <w:b/>
          <w:bCs/>
          <w:sz w:val="24"/>
          <w:szCs w:val="24"/>
        </w:rPr>
      </w:pPr>
      <w:r w:rsidRPr="00673F85">
        <w:rPr>
          <w:rFonts w:ascii="Times New Roman" w:hAnsi="Times New Roman" w:cs="Times New Roman"/>
          <w:b/>
          <w:bCs/>
          <w:sz w:val="24"/>
          <w:szCs w:val="24"/>
        </w:rPr>
        <w:tab/>
      </w:r>
      <w:r w:rsidRPr="00673F85">
        <w:rPr>
          <w:rFonts w:ascii="Times New Roman" w:hAnsi="Times New Roman" w:cs="Times New Roman"/>
          <w:b/>
          <w:bCs/>
          <w:sz w:val="24"/>
          <w:szCs w:val="24"/>
        </w:rPr>
        <w:tab/>
      </w:r>
      <w:r w:rsidRPr="00673F85">
        <w:rPr>
          <w:rFonts w:ascii="Times New Roman" w:hAnsi="Times New Roman" w:cs="Times New Roman"/>
          <w:b/>
          <w:bCs/>
          <w:sz w:val="24"/>
          <w:szCs w:val="24"/>
        </w:rPr>
        <w:tab/>
      </w:r>
      <w:r w:rsidRPr="00673F85">
        <w:rPr>
          <w:rFonts w:ascii="Times New Roman" w:hAnsi="Times New Roman" w:cs="Times New Roman"/>
          <w:b/>
          <w:bCs/>
          <w:sz w:val="24"/>
          <w:szCs w:val="24"/>
        </w:rPr>
        <w:tab/>
      </w:r>
      <w:r w:rsidRPr="00673F85">
        <w:rPr>
          <w:rFonts w:ascii="Times New Roman" w:hAnsi="Times New Roman" w:cs="Times New Roman"/>
          <w:b/>
          <w:bCs/>
          <w:sz w:val="24"/>
          <w:szCs w:val="24"/>
        </w:rPr>
        <w:tab/>
      </w:r>
      <w:r w:rsidRPr="00673F85">
        <w:rPr>
          <w:rFonts w:ascii="Times New Roman" w:hAnsi="Times New Roman" w:cs="Times New Roman"/>
          <w:b/>
          <w:bCs/>
          <w:sz w:val="24"/>
          <w:szCs w:val="24"/>
        </w:rPr>
        <w:tab/>
        <w:t>ROBERT M. MCKENNA</w:t>
      </w:r>
    </w:p>
    <w:p w:rsidR="00673F85" w:rsidRPr="00673F85" w:rsidRDefault="00673F85" w:rsidP="00B65199">
      <w:pPr>
        <w:spacing w:after="0" w:line="240" w:lineRule="exact"/>
        <w:rPr>
          <w:rFonts w:ascii="Times New Roman" w:hAnsi="Times New Roman" w:cs="Times New Roman"/>
          <w:b/>
          <w:bCs/>
          <w:sz w:val="24"/>
          <w:szCs w:val="24"/>
        </w:rPr>
      </w:pPr>
      <w:r w:rsidRPr="00673F85">
        <w:rPr>
          <w:rFonts w:ascii="Times New Roman" w:hAnsi="Times New Roman" w:cs="Times New Roman"/>
          <w:b/>
          <w:bCs/>
          <w:sz w:val="24"/>
          <w:szCs w:val="24"/>
        </w:rPr>
        <w:tab/>
      </w:r>
      <w:r w:rsidRPr="00673F85">
        <w:rPr>
          <w:rFonts w:ascii="Times New Roman" w:hAnsi="Times New Roman" w:cs="Times New Roman"/>
          <w:b/>
          <w:bCs/>
          <w:sz w:val="24"/>
          <w:szCs w:val="24"/>
        </w:rPr>
        <w:tab/>
      </w:r>
      <w:r w:rsidRPr="00673F85">
        <w:rPr>
          <w:rFonts w:ascii="Times New Roman" w:hAnsi="Times New Roman" w:cs="Times New Roman"/>
          <w:b/>
          <w:bCs/>
          <w:sz w:val="24"/>
          <w:szCs w:val="24"/>
        </w:rPr>
        <w:tab/>
      </w:r>
      <w:r w:rsidRPr="00673F85">
        <w:rPr>
          <w:rFonts w:ascii="Times New Roman" w:hAnsi="Times New Roman" w:cs="Times New Roman"/>
          <w:b/>
          <w:bCs/>
          <w:sz w:val="24"/>
          <w:szCs w:val="24"/>
        </w:rPr>
        <w:tab/>
      </w:r>
      <w:r w:rsidRPr="00673F85">
        <w:rPr>
          <w:rFonts w:ascii="Times New Roman" w:hAnsi="Times New Roman" w:cs="Times New Roman"/>
          <w:b/>
          <w:bCs/>
          <w:sz w:val="24"/>
          <w:szCs w:val="24"/>
        </w:rPr>
        <w:tab/>
      </w:r>
      <w:r w:rsidRPr="00673F85">
        <w:rPr>
          <w:rFonts w:ascii="Times New Roman" w:hAnsi="Times New Roman" w:cs="Times New Roman"/>
          <w:b/>
          <w:bCs/>
          <w:sz w:val="24"/>
          <w:szCs w:val="24"/>
        </w:rPr>
        <w:tab/>
        <w:t xml:space="preserve">Attorney General </w:t>
      </w:r>
    </w:p>
    <w:p w:rsidR="00673F85" w:rsidRPr="00673F85" w:rsidRDefault="00673F85" w:rsidP="00B65199">
      <w:pPr>
        <w:spacing w:after="0" w:line="240" w:lineRule="exact"/>
        <w:rPr>
          <w:rFonts w:ascii="Times New Roman" w:hAnsi="Times New Roman" w:cs="Times New Roman"/>
          <w:b/>
          <w:bCs/>
          <w:sz w:val="24"/>
          <w:szCs w:val="24"/>
        </w:rPr>
      </w:pPr>
    </w:p>
    <w:p w:rsidR="00673F85" w:rsidRPr="00673F85" w:rsidRDefault="00673F85" w:rsidP="00B65199">
      <w:pPr>
        <w:spacing w:after="0" w:line="240" w:lineRule="exact"/>
        <w:rPr>
          <w:rFonts w:ascii="Times New Roman" w:hAnsi="Times New Roman" w:cs="Times New Roman"/>
          <w:b/>
          <w:sz w:val="24"/>
          <w:szCs w:val="24"/>
        </w:rPr>
      </w:pPr>
      <w:r w:rsidRPr="00673F85">
        <w:rPr>
          <w:rFonts w:ascii="Times New Roman" w:hAnsi="Times New Roman" w:cs="Times New Roman"/>
          <w:b/>
          <w:bCs/>
          <w:sz w:val="24"/>
          <w:szCs w:val="24"/>
        </w:rPr>
        <w:tab/>
      </w:r>
      <w:r w:rsidRPr="00673F85">
        <w:rPr>
          <w:rFonts w:ascii="Times New Roman" w:hAnsi="Times New Roman" w:cs="Times New Roman"/>
          <w:b/>
          <w:bCs/>
          <w:sz w:val="24"/>
          <w:szCs w:val="24"/>
        </w:rPr>
        <w:tab/>
      </w:r>
      <w:r w:rsidRPr="00673F85">
        <w:rPr>
          <w:rFonts w:ascii="Times New Roman" w:hAnsi="Times New Roman" w:cs="Times New Roman"/>
          <w:b/>
          <w:bCs/>
          <w:sz w:val="24"/>
          <w:szCs w:val="24"/>
        </w:rPr>
        <w:tab/>
      </w:r>
      <w:r w:rsidRPr="00673F85">
        <w:rPr>
          <w:rFonts w:ascii="Times New Roman" w:hAnsi="Times New Roman" w:cs="Times New Roman"/>
          <w:b/>
          <w:bCs/>
          <w:sz w:val="24"/>
          <w:szCs w:val="24"/>
        </w:rPr>
        <w:tab/>
      </w:r>
      <w:r w:rsidRPr="00673F85">
        <w:rPr>
          <w:rFonts w:ascii="Times New Roman" w:hAnsi="Times New Roman" w:cs="Times New Roman"/>
          <w:b/>
          <w:bCs/>
          <w:sz w:val="24"/>
          <w:szCs w:val="24"/>
        </w:rPr>
        <w:tab/>
      </w:r>
      <w:r w:rsidRPr="00673F85">
        <w:rPr>
          <w:rFonts w:ascii="Times New Roman" w:hAnsi="Times New Roman" w:cs="Times New Roman"/>
          <w:b/>
          <w:bCs/>
          <w:sz w:val="24"/>
          <w:szCs w:val="24"/>
        </w:rPr>
        <w:tab/>
      </w:r>
      <w:r>
        <w:rPr>
          <w:rFonts w:ascii="Times New Roman" w:hAnsi="Times New Roman" w:cs="Times New Roman"/>
          <w:b/>
          <w:bCs/>
          <w:sz w:val="24"/>
          <w:szCs w:val="24"/>
        </w:rPr>
        <w:t xml:space="preserve">DONALD T. TROTTER </w:t>
      </w:r>
    </w:p>
    <w:p w:rsidR="00673F85" w:rsidRPr="00673F85" w:rsidRDefault="00673F85" w:rsidP="00B65199">
      <w:pPr>
        <w:spacing w:after="0" w:line="240" w:lineRule="exact"/>
        <w:rPr>
          <w:rFonts w:ascii="Times New Roman" w:hAnsi="Times New Roman" w:cs="Times New Roman"/>
          <w:b/>
          <w:sz w:val="24"/>
          <w:szCs w:val="24"/>
        </w:rPr>
      </w:pP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t xml:space="preserve">Assistant Attorney General </w:t>
      </w:r>
    </w:p>
    <w:p w:rsidR="00673F85" w:rsidRPr="00673F85" w:rsidRDefault="00673F85" w:rsidP="00B65199">
      <w:pPr>
        <w:spacing w:after="0" w:line="240" w:lineRule="exact"/>
        <w:rPr>
          <w:rFonts w:ascii="Times New Roman" w:hAnsi="Times New Roman" w:cs="Times New Roman"/>
          <w:b/>
          <w:sz w:val="24"/>
          <w:szCs w:val="24"/>
        </w:rPr>
      </w:pP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t xml:space="preserve">Office of the Attorney General </w:t>
      </w:r>
    </w:p>
    <w:p w:rsidR="00673F85" w:rsidRPr="00673F85" w:rsidRDefault="00673F85" w:rsidP="00B65199">
      <w:pPr>
        <w:spacing w:after="0" w:line="240" w:lineRule="exact"/>
        <w:rPr>
          <w:rFonts w:ascii="Times New Roman" w:hAnsi="Times New Roman" w:cs="Times New Roman"/>
          <w:b/>
          <w:sz w:val="24"/>
          <w:szCs w:val="24"/>
        </w:rPr>
      </w:pP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t>Utilities &amp; Transportation Division</w:t>
      </w:r>
    </w:p>
    <w:p w:rsidR="00673F85" w:rsidRPr="00673F85" w:rsidRDefault="00673F85" w:rsidP="00B65199">
      <w:pPr>
        <w:spacing w:after="0" w:line="240" w:lineRule="exact"/>
        <w:rPr>
          <w:rFonts w:ascii="Times New Roman" w:hAnsi="Times New Roman" w:cs="Times New Roman"/>
          <w:b/>
          <w:sz w:val="24"/>
          <w:szCs w:val="24"/>
        </w:rPr>
      </w:pPr>
    </w:p>
    <w:p w:rsidR="00673F85" w:rsidRPr="00673F85" w:rsidRDefault="00673F85" w:rsidP="00B65199">
      <w:pPr>
        <w:spacing w:after="0" w:line="240" w:lineRule="exact"/>
        <w:rPr>
          <w:rFonts w:ascii="Times New Roman" w:hAnsi="Times New Roman" w:cs="Times New Roman"/>
          <w:b/>
          <w:sz w:val="24"/>
          <w:szCs w:val="24"/>
        </w:rPr>
      </w:pP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t xml:space="preserve">1400 S Evergreen Park Drive SW </w:t>
      </w:r>
    </w:p>
    <w:p w:rsidR="00673F85" w:rsidRPr="00673F85" w:rsidRDefault="00673F85" w:rsidP="00B65199">
      <w:pPr>
        <w:spacing w:after="0" w:line="240" w:lineRule="exact"/>
        <w:rPr>
          <w:rFonts w:ascii="Times New Roman" w:hAnsi="Times New Roman" w:cs="Times New Roman"/>
          <w:b/>
          <w:sz w:val="24"/>
          <w:szCs w:val="24"/>
        </w:rPr>
      </w:pP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t>P.O. Box 40128</w:t>
      </w:r>
    </w:p>
    <w:p w:rsidR="00673F85" w:rsidRPr="00673F85" w:rsidRDefault="00673F85" w:rsidP="00B65199">
      <w:pPr>
        <w:spacing w:after="0" w:line="240" w:lineRule="exact"/>
        <w:rPr>
          <w:rFonts w:ascii="Times New Roman" w:hAnsi="Times New Roman" w:cs="Times New Roman"/>
          <w:b/>
          <w:sz w:val="24"/>
          <w:szCs w:val="24"/>
        </w:rPr>
      </w:pP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t xml:space="preserve">Olympia, WA  98504-0128 </w:t>
      </w:r>
    </w:p>
    <w:p w:rsidR="00673F85" w:rsidRPr="00673F85" w:rsidRDefault="00673F85" w:rsidP="00B65199">
      <w:pPr>
        <w:spacing w:after="0" w:line="240" w:lineRule="exact"/>
        <w:rPr>
          <w:rFonts w:ascii="Times New Roman" w:hAnsi="Times New Roman" w:cs="Times New Roman"/>
          <w:b/>
          <w:bCs/>
          <w:sz w:val="24"/>
          <w:szCs w:val="24"/>
        </w:rPr>
      </w:pP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r>
      <w:r w:rsidRPr="00673F85">
        <w:rPr>
          <w:rFonts w:ascii="Times New Roman" w:hAnsi="Times New Roman" w:cs="Times New Roman"/>
          <w:b/>
          <w:sz w:val="24"/>
          <w:szCs w:val="24"/>
        </w:rPr>
        <w:tab/>
        <w:t>(360) 664-</w:t>
      </w:r>
      <w:r w:rsidR="00300630">
        <w:rPr>
          <w:rFonts w:ascii="Times New Roman" w:hAnsi="Times New Roman" w:cs="Times New Roman"/>
          <w:b/>
          <w:sz w:val="24"/>
          <w:szCs w:val="24"/>
        </w:rPr>
        <w:t>1189</w:t>
      </w:r>
    </w:p>
    <w:p w:rsidR="00673F85" w:rsidRPr="00673F85" w:rsidRDefault="00673F85" w:rsidP="00673F85">
      <w:pPr>
        <w:spacing w:after="0" w:line="240" w:lineRule="auto"/>
        <w:rPr>
          <w:rFonts w:ascii="Times New Roman" w:hAnsi="Times New Roman" w:cs="Times New Roman"/>
          <w:b/>
          <w:sz w:val="24"/>
          <w:szCs w:val="24"/>
        </w:rPr>
      </w:pPr>
    </w:p>
    <w:p w:rsidR="00915B6F" w:rsidRDefault="00915B6F" w:rsidP="00915B6F">
      <w:pPr>
        <w:rPr>
          <w:rFonts w:ascii="Times New Roman" w:hAnsi="Times New Roman" w:cs="Times New Roman"/>
          <w:b/>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15B6F">
        <w:rPr>
          <w:rFonts w:ascii="Times New Roman" w:hAnsi="Times New Roman" w:cs="Times New Roman"/>
          <w:b/>
          <w:bCs/>
          <w:sz w:val="24"/>
          <w:szCs w:val="24"/>
        </w:rPr>
        <w:t xml:space="preserve">February 11, 2011 </w:t>
      </w:r>
    </w:p>
    <w:p w:rsidR="000F630E" w:rsidRDefault="000F630E" w:rsidP="00915B6F">
      <w:pPr>
        <w:rPr>
          <w:rFonts w:ascii="Times New Roman" w:hAnsi="Times New Roman" w:cs="Times New Roman"/>
          <w:b/>
          <w:bCs/>
          <w:sz w:val="24"/>
          <w:szCs w:val="24"/>
        </w:rPr>
      </w:pPr>
    </w:p>
    <w:p w:rsidR="000F630E" w:rsidRDefault="000F630E" w:rsidP="000F630E">
      <w:pPr>
        <w:jc w:val="center"/>
        <w:rPr>
          <w:rFonts w:ascii="Times New Roman" w:hAnsi="Times New Roman" w:cs="Times New Roman"/>
          <w:b/>
          <w:bCs/>
          <w:sz w:val="24"/>
          <w:szCs w:val="24"/>
        </w:rPr>
      </w:pPr>
      <w:r>
        <w:rPr>
          <w:rFonts w:ascii="Times New Roman" w:hAnsi="Times New Roman" w:cs="Times New Roman"/>
          <w:b/>
          <w:bCs/>
          <w:sz w:val="24"/>
          <w:szCs w:val="24"/>
        </w:rPr>
        <w:t>CONFIDENTIAL PER PROTECTIVE ORDER</w:t>
      </w:r>
    </w:p>
    <w:p w:rsidR="002F6F4B" w:rsidRPr="00915B6F" w:rsidRDefault="002F6F4B" w:rsidP="000F630E">
      <w:pPr>
        <w:jc w:val="center"/>
        <w:rPr>
          <w:rFonts w:ascii="Times New Roman" w:hAnsi="Times New Roman" w:cs="Times New Roman"/>
          <w:b/>
          <w:bCs/>
          <w:sz w:val="24"/>
          <w:szCs w:val="24"/>
        </w:rPr>
      </w:pPr>
      <w:r>
        <w:rPr>
          <w:rFonts w:ascii="Times New Roman" w:hAnsi="Times New Roman" w:cs="Times New Roman"/>
          <w:b/>
          <w:bCs/>
          <w:sz w:val="24"/>
          <w:szCs w:val="24"/>
        </w:rPr>
        <w:t xml:space="preserve">Redacted Version </w:t>
      </w:r>
    </w:p>
    <w:p w:rsidR="00673F85" w:rsidRPr="00673F85" w:rsidRDefault="00673F85" w:rsidP="00915B6F">
      <w:pPr>
        <w:rPr>
          <w:rFonts w:ascii="Times New Roman" w:hAnsi="Times New Roman" w:cs="Times New Roman"/>
          <w:b/>
          <w:sz w:val="24"/>
          <w:szCs w:val="24"/>
        </w:rPr>
      </w:pPr>
    </w:p>
    <w:p w:rsidR="00673F85" w:rsidRPr="00673F85" w:rsidRDefault="00673F85" w:rsidP="00673F85">
      <w:pPr>
        <w:rPr>
          <w:rFonts w:ascii="Times New Roman" w:hAnsi="Times New Roman" w:cs="Times New Roman"/>
          <w:b/>
          <w:sz w:val="24"/>
          <w:szCs w:val="24"/>
        </w:rPr>
        <w:sectPr w:rsidR="00673F85" w:rsidRPr="00673F85" w:rsidSect="00B966E9">
          <w:pgSz w:w="12240" w:h="15840" w:code="1"/>
          <w:pgMar w:top="1440" w:right="1440" w:bottom="1440" w:left="1440" w:header="720" w:footer="720" w:gutter="0"/>
          <w:cols w:space="720"/>
          <w:docGrid w:linePitch="360"/>
        </w:sectPr>
      </w:pPr>
    </w:p>
    <w:p w:rsidR="00673F85" w:rsidRPr="00673F85" w:rsidRDefault="00673F85" w:rsidP="00E25492">
      <w:pPr>
        <w:spacing w:after="0" w:line="240" w:lineRule="exact"/>
        <w:jc w:val="center"/>
        <w:rPr>
          <w:rFonts w:ascii="Times New Roman" w:hAnsi="Times New Roman" w:cs="Times New Roman"/>
          <w:b/>
          <w:sz w:val="24"/>
          <w:szCs w:val="24"/>
        </w:rPr>
      </w:pPr>
      <w:r w:rsidRPr="00673F85">
        <w:rPr>
          <w:rFonts w:ascii="Times New Roman" w:hAnsi="Times New Roman" w:cs="Times New Roman"/>
          <w:b/>
          <w:bCs/>
          <w:sz w:val="24"/>
          <w:szCs w:val="24"/>
        </w:rPr>
        <w:lastRenderedPageBreak/>
        <w:t>TABLE OF CONTENTS</w:t>
      </w:r>
    </w:p>
    <w:p w:rsidR="00673F85" w:rsidRPr="00673F85" w:rsidRDefault="00673F85" w:rsidP="00E25492">
      <w:pPr>
        <w:spacing w:after="0" w:line="240" w:lineRule="exact"/>
        <w:rPr>
          <w:rFonts w:ascii="Times New Roman" w:hAnsi="Times New Roman" w:cs="Times New Roman"/>
          <w:b/>
          <w:sz w:val="24"/>
          <w:szCs w:val="24"/>
        </w:rPr>
      </w:pPr>
    </w:p>
    <w:p w:rsidR="00673F85" w:rsidRPr="00673F85" w:rsidRDefault="00673F85" w:rsidP="00E25492">
      <w:pPr>
        <w:spacing w:after="0" w:line="240" w:lineRule="exact"/>
        <w:rPr>
          <w:rFonts w:ascii="Times New Roman" w:hAnsi="Times New Roman" w:cs="Times New Roman"/>
          <w:b/>
          <w:sz w:val="24"/>
          <w:szCs w:val="24"/>
        </w:rPr>
      </w:pPr>
    </w:p>
    <w:p w:rsidR="00E25492" w:rsidRDefault="00E25492" w:rsidP="00E25492">
      <w:pPr>
        <w:tabs>
          <w:tab w:val="left" w:pos="720"/>
          <w:tab w:val="left" w:pos="1440"/>
          <w:tab w:val="left" w:pos="2160"/>
          <w:tab w:val="right" w:leader="dot" w:pos="9187"/>
        </w:tabs>
        <w:spacing w:after="0" w:line="240" w:lineRule="exact"/>
        <w:rPr>
          <w:rFonts w:ascii="Times New Roman" w:hAnsi="Times New Roman" w:cs="Times New Roman"/>
          <w:sz w:val="24"/>
          <w:szCs w:val="24"/>
        </w:rPr>
      </w:pPr>
      <w:r w:rsidRPr="002E5DD3">
        <w:rPr>
          <w:rFonts w:ascii="Times New Roman" w:hAnsi="Times New Roman" w:cs="Times New Roman"/>
          <w:sz w:val="24"/>
          <w:szCs w:val="24"/>
        </w:rPr>
        <w:t>I.</w:t>
      </w:r>
      <w:r w:rsidRPr="002E5DD3">
        <w:rPr>
          <w:rFonts w:ascii="Times New Roman" w:hAnsi="Times New Roman" w:cs="Times New Roman"/>
          <w:sz w:val="24"/>
          <w:szCs w:val="24"/>
        </w:rPr>
        <w:tab/>
        <w:t>INTRODUCTION</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1</w:t>
      </w:r>
    </w:p>
    <w:p w:rsidR="00E25492" w:rsidRPr="002E5DD3" w:rsidRDefault="00E25492" w:rsidP="00E25492">
      <w:pPr>
        <w:tabs>
          <w:tab w:val="left" w:pos="720"/>
          <w:tab w:val="left" w:pos="1440"/>
          <w:tab w:val="left" w:pos="2160"/>
          <w:tab w:val="right" w:leader="dot" w:pos="9187"/>
        </w:tabs>
        <w:spacing w:after="0" w:line="240" w:lineRule="exact"/>
        <w:rPr>
          <w:rFonts w:ascii="Times New Roman" w:hAnsi="Times New Roman" w:cs="Times New Roman"/>
          <w:sz w:val="24"/>
          <w:szCs w:val="24"/>
        </w:rPr>
      </w:pPr>
    </w:p>
    <w:p w:rsidR="00E25492" w:rsidRDefault="00E25492" w:rsidP="00E25492">
      <w:pPr>
        <w:pStyle w:val="ListParagraph"/>
        <w:tabs>
          <w:tab w:val="left" w:pos="720"/>
          <w:tab w:val="left" w:pos="1440"/>
          <w:tab w:val="right" w:leader="dot" w:pos="9187"/>
        </w:tabs>
        <w:spacing w:after="0" w:line="240" w:lineRule="exact"/>
        <w:ind w:left="0"/>
        <w:rPr>
          <w:rFonts w:ascii="Times New Roman" w:hAnsi="Times New Roman" w:cs="Times New Roman"/>
          <w:sz w:val="24"/>
          <w:szCs w:val="24"/>
        </w:rPr>
      </w:pPr>
      <w:r w:rsidRPr="002E5DD3">
        <w:rPr>
          <w:rFonts w:ascii="Times New Roman" w:hAnsi="Times New Roman" w:cs="Times New Roman"/>
          <w:sz w:val="24"/>
          <w:szCs w:val="24"/>
        </w:rPr>
        <w:t>II.</w:t>
      </w:r>
      <w:r w:rsidRPr="002E5DD3">
        <w:rPr>
          <w:rFonts w:ascii="Times New Roman" w:hAnsi="Times New Roman" w:cs="Times New Roman"/>
          <w:sz w:val="24"/>
          <w:szCs w:val="24"/>
        </w:rPr>
        <w:tab/>
        <w:t>REVENUES</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2</w:t>
      </w:r>
    </w:p>
    <w:p w:rsidR="00E25492" w:rsidRPr="002E5DD3" w:rsidRDefault="00E25492" w:rsidP="00E25492">
      <w:pPr>
        <w:pStyle w:val="ListParagraph"/>
        <w:tabs>
          <w:tab w:val="left" w:pos="720"/>
          <w:tab w:val="left" w:pos="1440"/>
          <w:tab w:val="right" w:leader="dot" w:pos="9187"/>
        </w:tabs>
        <w:spacing w:after="0" w:line="240" w:lineRule="exact"/>
        <w:ind w:left="0"/>
        <w:rPr>
          <w:rFonts w:ascii="Times New Roman" w:hAnsi="Times New Roman" w:cs="Times New Roman"/>
          <w:sz w:val="24"/>
          <w:szCs w:val="24"/>
        </w:rPr>
      </w:pPr>
    </w:p>
    <w:p w:rsidR="00E25492"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r>
        <w:rPr>
          <w:rFonts w:ascii="Times New Roman" w:hAnsi="Times New Roman" w:cs="Times New Roman"/>
          <w:sz w:val="24"/>
          <w:szCs w:val="24"/>
        </w:rPr>
        <w:tab/>
      </w:r>
      <w:r w:rsidRPr="002E5DD3">
        <w:rPr>
          <w:rFonts w:ascii="Times New Roman" w:hAnsi="Times New Roman" w:cs="Times New Roman"/>
          <w:sz w:val="24"/>
          <w:szCs w:val="24"/>
        </w:rPr>
        <w:t>A.</w:t>
      </w:r>
      <w:r w:rsidRPr="002E5DD3">
        <w:rPr>
          <w:rFonts w:ascii="Times New Roman" w:hAnsi="Times New Roman" w:cs="Times New Roman"/>
          <w:sz w:val="24"/>
          <w:szCs w:val="24"/>
        </w:rPr>
        <w:tab/>
        <w:t>Normalizing Temperature Sensitive Loads</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2</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sidRPr="002E5DD3">
        <w:rPr>
          <w:rFonts w:ascii="Times New Roman" w:hAnsi="Times New Roman" w:cs="Times New Roman"/>
          <w:sz w:val="24"/>
          <w:szCs w:val="24"/>
        </w:rPr>
        <w:t xml:space="preserve">The Commission Should Accept the Company’s Temperature </w:t>
      </w: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 xml:space="preserve">Normalization Procedures, But Reject the Adjustment for </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Commercial Schedules Because it is Insufficiently Supported</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2</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p>
    <w:p w:rsidR="00E25492" w:rsidRDefault="00E25492" w:rsidP="00E25492">
      <w:pPr>
        <w:pStyle w:val="FootnoteText"/>
        <w:tabs>
          <w:tab w:val="left" w:pos="720"/>
          <w:tab w:val="left" w:pos="1440"/>
          <w:tab w:val="left" w:pos="2160"/>
          <w:tab w:val="left" w:pos="2880"/>
          <w:tab w:val="right" w:leader="dot" w:pos="9187"/>
        </w:tabs>
        <w:spacing w:line="240" w:lineRule="exact"/>
        <w:rPr>
          <w:rFonts w:cs="Times New Roman"/>
          <w:sz w:val="24"/>
          <w:szCs w:val="24"/>
        </w:rPr>
      </w:pPr>
      <w:r>
        <w:rPr>
          <w:rFonts w:cs="Times New Roman"/>
          <w:sz w:val="24"/>
          <w:szCs w:val="24"/>
        </w:rPr>
        <w:tab/>
      </w:r>
      <w:r>
        <w:rPr>
          <w:rFonts w:cs="Times New Roman"/>
          <w:sz w:val="24"/>
          <w:szCs w:val="24"/>
        </w:rPr>
        <w:tab/>
        <w:t>2.</w:t>
      </w:r>
      <w:r>
        <w:rPr>
          <w:rFonts w:cs="Times New Roman"/>
          <w:sz w:val="24"/>
          <w:szCs w:val="24"/>
        </w:rPr>
        <w:tab/>
      </w:r>
      <w:r w:rsidRPr="002E5DD3">
        <w:rPr>
          <w:rFonts w:cs="Times New Roman"/>
          <w:sz w:val="24"/>
          <w:szCs w:val="24"/>
        </w:rPr>
        <w:t xml:space="preserve">The Commission Should Reject ICNU/Public Counsel’s </w:t>
      </w:r>
    </w:p>
    <w:p w:rsidR="00E25492" w:rsidRDefault="00E25492" w:rsidP="00E25492">
      <w:pPr>
        <w:pStyle w:val="FootnoteText"/>
        <w:tabs>
          <w:tab w:val="left" w:pos="720"/>
          <w:tab w:val="left" w:pos="1440"/>
          <w:tab w:val="left" w:pos="2160"/>
          <w:tab w:val="left" w:pos="2880"/>
          <w:tab w:val="right" w:leader="dot" w:pos="9187"/>
        </w:tabs>
        <w:spacing w:line="240" w:lineRule="exact"/>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sidRPr="002E5DD3">
        <w:rPr>
          <w:rFonts w:cs="Times New Roman"/>
          <w:sz w:val="24"/>
          <w:szCs w:val="24"/>
        </w:rPr>
        <w:t xml:space="preserve">Residential Revenues Adjustment Because it is Based on </w:t>
      </w:r>
    </w:p>
    <w:p w:rsidR="00E25492" w:rsidRDefault="00E25492" w:rsidP="00E25492">
      <w:pPr>
        <w:pStyle w:val="FootnoteText"/>
        <w:tabs>
          <w:tab w:val="left" w:pos="720"/>
          <w:tab w:val="left" w:pos="1440"/>
          <w:tab w:val="left" w:pos="2160"/>
          <w:tab w:val="left" w:pos="2880"/>
          <w:tab w:val="right" w:leader="dot" w:pos="9187"/>
        </w:tabs>
        <w:spacing w:line="240" w:lineRule="exact"/>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sidRPr="002E5DD3">
        <w:rPr>
          <w:rFonts w:cs="Times New Roman"/>
          <w:sz w:val="24"/>
          <w:szCs w:val="24"/>
        </w:rPr>
        <w:t xml:space="preserve">Unadjusted Data.  Properly Adjusted, the Data Provide No </w:t>
      </w:r>
    </w:p>
    <w:p w:rsidR="00E25492" w:rsidRPr="002E5DD3" w:rsidRDefault="00E25492" w:rsidP="00E25492">
      <w:pPr>
        <w:pStyle w:val="FootnoteText"/>
        <w:tabs>
          <w:tab w:val="left" w:pos="720"/>
          <w:tab w:val="left" w:pos="1440"/>
          <w:tab w:val="left" w:pos="2160"/>
          <w:tab w:val="left" w:pos="2880"/>
          <w:tab w:val="right" w:leader="dot" w:pos="9187"/>
        </w:tabs>
        <w:spacing w:line="240" w:lineRule="exact"/>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sidRPr="002E5DD3">
        <w:rPr>
          <w:rFonts w:cs="Times New Roman"/>
          <w:sz w:val="24"/>
          <w:szCs w:val="24"/>
        </w:rPr>
        <w:t xml:space="preserve">Basis for Adding More Revenue to the Test Year </w:t>
      </w:r>
      <w:r>
        <w:rPr>
          <w:rFonts w:cs="Times New Roman"/>
          <w:sz w:val="24"/>
          <w:szCs w:val="24"/>
        </w:rPr>
        <w:tab/>
      </w:r>
      <w:r w:rsidR="00F34F0C">
        <w:rPr>
          <w:rFonts w:cs="Times New Roman"/>
          <w:sz w:val="24"/>
          <w:szCs w:val="24"/>
        </w:rPr>
        <w:t>4</w:t>
      </w:r>
    </w:p>
    <w:p w:rsidR="00E25492" w:rsidRPr="002E5DD3" w:rsidRDefault="00E25492" w:rsidP="00E25492">
      <w:pPr>
        <w:pStyle w:val="FootnoteText"/>
        <w:tabs>
          <w:tab w:val="left" w:pos="720"/>
          <w:tab w:val="left" w:pos="1440"/>
          <w:tab w:val="left" w:pos="2160"/>
          <w:tab w:val="left" w:pos="2880"/>
          <w:tab w:val="right" w:leader="dot" w:pos="9187"/>
        </w:tabs>
        <w:spacing w:line="240" w:lineRule="exact"/>
        <w:rPr>
          <w:rFonts w:cs="Times New Roman"/>
          <w:sz w:val="24"/>
          <w:szCs w:val="24"/>
        </w:rPr>
      </w:pPr>
    </w:p>
    <w:p w:rsidR="00915B6F" w:rsidRDefault="00E25492" w:rsidP="00E25492">
      <w:pPr>
        <w:pStyle w:val="FootnoteText"/>
        <w:tabs>
          <w:tab w:val="left" w:pos="720"/>
          <w:tab w:val="left" w:pos="1440"/>
          <w:tab w:val="left" w:pos="2160"/>
          <w:tab w:val="left" w:pos="2880"/>
          <w:tab w:val="right" w:leader="dot" w:pos="9187"/>
        </w:tabs>
        <w:spacing w:line="240" w:lineRule="exact"/>
        <w:rPr>
          <w:rFonts w:cs="Times New Roman"/>
          <w:sz w:val="24"/>
          <w:szCs w:val="24"/>
        </w:rPr>
      </w:pPr>
      <w:r>
        <w:rPr>
          <w:rFonts w:cs="Times New Roman"/>
          <w:sz w:val="24"/>
          <w:szCs w:val="24"/>
        </w:rPr>
        <w:tab/>
      </w:r>
      <w:r w:rsidRPr="002E5DD3">
        <w:rPr>
          <w:rFonts w:cs="Times New Roman"/>
          <w:sz w:val="24"/>
          <w:szCs w:val="24"/>
        </w:rPr>
        <w:t>B.</w:t>
      </w:r>
      <w:r w:rsidRPr="002E5DD3">
        <w:rPr>
          <w:rFonts w:cs="Times New Roman"/>
          <w:sz w:val="24"/>
          <w:szCs w:val="24"/>
        </w:rPr>
        <w:tab/>
        <w:t xml:space="preserve">The Commission Should Return </w:t>
      </w:r>
      <w:r w:rsidR="00915B6F">
        <w:rPr>
          <w:rFonts w:cs="Times New Roman"/>
          <w:sz w:val="24"/>
          <w:szCs w:val="24"/>
        </w:rPr>
        <w:t xml:space="preserve">Revenues From </w:t>
      </w:r>
      <w:r w:rsidRPr="002E5DD3">
        <w:rPr>
          <w:rFonts w:cs="Times New Roman"/>
          <w:sz w:val="24"/>
          <w:szCs w:val="24"/>
        </w:rPr>
        <w:t xml:space="preserve">Renewable </w:t>
      </w:r>
    </w:p>
    <w:p w:rsidR="00915B6F" w:rsidRDefault="00915B6F" w:rsidP="00E25492">
      <w:pPr>
        <w:pStyle w:val="FootnoteText"/>
        <w:tabs>
          <w:tab w:val="left" w:pos="720"/>
          <w:tab w:val="left" w:pos="1440"/>
          <w:tab w:val="left" w:pos="2160"/>
          <w:tab w:val="left" w:pos="2880"/>
          <w:tab w:val="right" w:leader="dot" w:pos="9187"/>
        </w:tabs>
        <w:spacing w:line="240" w:lineRule="exact"/>
        <w:rPr>
          <w:rFonts w:cs="Times New Roman"/>
          <w:sz w:val="24"/>
          <w:szCs w:val="24"/>
        </w:rPr>
      </w:pPr>
      <w:r>
        <w:rPr>
          <w:rFonts w:cs="Times New Roman"/>
          <w:sz w:val="24"/>
          <w:szCs w:val="24"/>
        </w:rPr>
        <w:tab/>
      </w:r>
      <w:r>
        <w:rPr>
          <w:rFonts w:cs="Times New Roman"/>
          <w:sz w:val="24"/>
          <w:szCs w:val="24"/>
        </w:rPr>
        <w:tab/>
      </w:r>
      <w:r w:rsidR="00E25492" w:rsidRPr="002E5DD3">
        <w:rPr>
          <w:rFonts w:cs="Times New Roman"/>
          <w:sz w:val="24"/>
          <w:szCs w:val="24"/>
        </w:rPr>
        <w:t xml:space="preserve">Energy Credits (RECs) to the Ratepayers, and Require PacifiCorp </w:t>
      </w:r>
    </w:p>
    <w:p w:rsidR="00E25492" w:rsidRDefault="00915B6F" w:rsidP="00E25492">
      <w:pPr>
        <w:pStyle w:val="FootnoteText"/>
        <w:tabs>
          <w:tab w:val="left" w:pos="720"/>
          <w:tab w:val="left" w:pos="1440"/>
          <w:tab w:val="left" w:pos="2160"/>
          <w:tab w:val="left" w:pos="2880"/>
          <w:tab w:val="right" w:leader="dot" w:pos="9187"/>
        </w:tabs>
        <w:spacing w:line="240" w:lineRule="exact"/>
        <w:rPr>
          <w:rFonts w:cs="Times New Roman"/>
          <w:sz w:val="24"/>
          <w:szCs w:val="24"/>
        </w:rPr>
      </w:pPr>
      <w:r>
        <w:rPr>
          <w:rFonts w:cs="Times New Roman"/>
          <w:sz w:val="24"/>
          <w:szCs w:val="24"/>
        </w:rPr>
        <w:tab/>
      </w:r>
      <w:r>
        <w:rPr>
          <w:rFonts w:cs="Times New Roman"/>
          <w:sz w:val="24"/>
          <w:szCs w:val="24"/>
        </w:rPr>
        <w:tab/>
      </w:r>
      <w:r w:rsidR="00E25492" w:rsidRPr="002E5DD3">
        <w:rPr>
          <w:rFonts w:cs="Times New Roman"/>
          <w:sz w:val="24"/>
          <w:szCs w:val="24"/>
        </w:rPr>
        <w:t xml:space="preserve">to Create a Regulatory Liability Account to </w:t>
      </w:r>
      <w:r>
        <w:rPr>
          <w:rFonts w:cs="Times New Roman"/>
          <w:sz w:val="24"/>
          <w:szCs w:val="24"/>
        </w:rPr>
        <w:t>C</w:t>
      </w:r>
      <w:r w:rsidR="00E25492" w:rsidRPr="002E5DD3">
        <w:rPr>
          <w:rFonts w:cs="Times New Roman"/>
          <w:sz w:val="24"/>
          <w:szCs w:val="24"/>
        </w:rPr>
        <w:t xml:space="preserve">apture REC </w:t>
      </w:r>
      <w:r>
        <w:rPr>
          <w:rFonts w:cs="Times New Roman"/>
          <w:sz w:val="24"/>
          <w:szCs w:val="24"/>
        </w:rPr>
        <w:t>R</w:t>
      </w:r>
      <w:r w:rsidR="00E25492" w:rsidRPr="002E5DD3">
        <w:rPr>
          <w:rFonts w:cs="Times New Roman"/>
          <w:sz w:val="24"/>
          <w:szCs w:val="24"/>
        </w:rPr>
        <w:t xml:space="preserve">evenues </w:t>
      </w:r>
      <w:r>
        <w:rPr>
          <w:rFonts w:cs="Times New Roman"/>
          <w:sz w:val="24"/>
          <w:szCs w:val="24"/>
        </w:rPr>
        <w:t>F</w:t>
      </w:r>
      <w:r w:rsidR="00E25492" w:rsidRPr="002E5DD3">
        <w:rPr>
          <w:rFonts w:cs="Times New Roman"/>
          <w:sz w:val="24"/>
          <w:szCs w:val="24"/>
        </w:rPr>
        <w:t xml:space="preserve">rom </w:t>
      </w:r>
    </w:p>
    <w:p w:rsidR="00E25492" w:rsidRPr="002E5DD3" w:rsidRDefault="00E25492" w:rsidP="00E25492">
      <w:pPr>
        <w:pStyle w:val="FootnoteText"/>
        <w:tabs>
          <w:tab w:val="left" w:pos="720"/>
          <w:tab w:val="left" w:pos="1440"/>
          <w:tab w:val="left" w:pos="2160"/>
          <w:tab w:val="left" w:pos="2880"/>
          <w:tab w:val="right" w:leader="dot" w:pos="9187"/>
        </w:tabs>
        <w:spacing w:line="240" w:lineRule="exact"/>
        <w:rPr>
          <w:rFonts w:cs="Times New Roman"/>
          <w:sz w:val="24"/>
          <w:szCs w:val="24"/>
        </w:rPr>
      </w:pPr>
      <w:r>
        <w:rPr>
          <w:rFonts w:cs="Times New Roman"/>
          <w:sz w:val="24"/>
          <w:szCs w:val="24"/>
        </w:rPr>
        <w:tab/>
      </w:r>
      <w:r>
        <w:rPr>
          <w:rFonts w:cs="Times New Roman"/>
          <w:sz w:val="24"/>
          <w:szCs w:val="24"/>
        </w:rPr>
        <w:tab/>
      </w:r>
      <w:r w:rsidRPr="002E5DD3">
        <w:rPr>
          <w:rFonts w:cs="Times New Roman"/>
          <w:sz w:val="24"/>
          <w:szCs w:val="24"/>
        </w:rPr>
        <w:t>January 1, 2010, Forward</w:t>
      </w:r>
      <w:r>
        <w:rPr>
          <w:rFonts w:cs="Times New Roman"/>
          <w:sz w:val="24"/>
          <w:szCs w:val="24"/>
        </w:rPr>
        <w:t xml:space="preserve"> </w:t>
      </w:r>
      <w:r>
        <w:rPr>
          <w:rFonts w:cs="Times New Roman"/>
          <w:sz w:val="24"/>
          <w:szCs w:val="24"/>
        </w:rPr>
        <w:tab/>
      </w:r>
      <w:r w:rsidR="00F34F0C">
        <w:rPr>
          <w:rFonts w:cs="Times New Roman"/>
          <w:sz w:val="24"/>
          <w:szCs w:val="24"/>
        </w:rPr>
        <w:t>6</w:t>
      </w:r>
    </w:p>
    <w:p w:rsidR="00E25492" w:rsidRPr="002E5DD3" w:rsidRDefault="00E25492" w:rsidP="00E25492">
      <w:pPr>
        <w:pStyle w:val="FootnoteText"/>
        <w:tabs>
          <w:tab w:val="left" w:pos="720"/>
          <w:tab w:val="left" w:pos="1440"/>
          <w:tab w:val="left" w:pos="2160"/>
          <w:tab w:val="left" w:pos="2880"/>
          <w:tab w:val="right" w:leader="dot" w:pos="9187"/>
        </w:tabs>
        <w:spacing w:line="240" w:lineRule="exact"/>
        <w:rPr>
          <w:rFonts w:cs="Times New Roman"/>
          <w:sz w:val="24"/>
          <w:szCs w:val="24"/>
        </w:rPr>
      </w:pPr>
    </w:p>
    <w:p w:rsidR="00E25492" w:rsidRDefault="00E25492" w:rsidP="00E25492">
      <w:pPr>
        <w:pStyle w:val="FootnoteText"/>
        <w:tabs>
          <w:tab w:val="left" w:pos="720"/>
          <w:tab w:val="left" w:pos="1440"/>
          <w:tab w:val="right" w:leader="dot" w:pos="9187"/>
        </w:tabs>
        <w:spacing w:line="240" w:lineRule="exact"/>
        <w:rPr>
          <w:sz w:val="24"/>
          <w:szCs w:val="24"/>
        </w:rPr>
      </w:pPr>
      <w:r w:rsidRPr="002E5DD3">
        <w:rPr>
          <w:sz w:val="24"/>
          <w:szCs w:val="24"/>
        </w:rPr>
        <w:t>III.</w:t>
      </w:r>
      <w:r w:rsidRPr="002E5DD3">
        <w:rPr>
          <w:sz w:val="24"/>
          <w:szCs w:val="24"/>
        </w:rPr>
        <w:tab/>
        <w:t>EXPENSES</w:t>
      </w:r>
      <w:r>
        <w:rPr>
          <w:sz w:val="24"/>
          <w:szCs w:val="24"/>
        </w:rPr>
        <w:t xml:space="preserve"> </w:t>
      </w:r>
      <w:r>
        <w:rPr>
          <w:sz w:val="24"/>
          <w:szCs w:val="24"/>
        </w:rPr>
        <w:tab/>
      </w:r>
      <w:r w:rsidR="00F34F0C">
        <w:rPr>
          <w:sz w:val="24"/>
          <w:szCs w:val="24"/>
        </w:rPr>
        <w:t>10</w:t>
      </w:r>
    </w:p>
    <w:p w:rsidR="00E25492" w:rsidRPr="002E5DD3" w:rsidRDefault="00E25492" w:rsidP="00E25492">
      <w:pPr>
        <w:pStyle w:val="FootnoteText"/>
        <w:tabs>
          <w:tab w:val="left" w:pos="720"/>
          <w:tab w:val="left" w:pos="1440"/>
          <w:tab w:val="right" w:leader="dot" w:pos="9187"/>
        </w:tabs>
        <w:spacing w:line="240" w:lineRule="exact"/>
        <w:rPr>
          <w:sz w:val="24"/>
          <w:szCs w:val="24"/>
        </w:rPr>
      </w:pP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r>
        <w:rPr>
          <w:rFonts w:ascii="Times New Roman" w:hAnsi="Times New Roman" w:cs="Times New Roman"/>
          <w:sz w:val="24"/>
          <w:szCs w:val="24"/>
        </w:rPr>
        <w:tab/>
      </w:r>
      <w:r w:rsidRPr="002E5DD3">
        <w:rPr>
          <w:rFonts w:ascii="Times New Roman" w:hAnsi="Times New Roman" w:cs="Times New Roman"/>
          <w:sz w:val="24"/>
          <w:szCs w:val="24"/>
        </w:rPr>
        <w:t>A.</w:t>
      </w:r>
      <w:r w:rsidRPr="002E5DD3">
        <w:rPr>
          <w:rFonts w:ascii="Times New Roman" w:hAnsi="Times New Roman" w:cs="Times New Roman"/>
          <w:sz w:val="24"/>
          <w:szCs w:val="24"/>
        </w:rPr>
        <w:tab/>
        <w:t xml:space="preserve">Wage and Salary Adjustments </w:t>
      </w:r>
      <w:r>
        <w:rPr>
          <w:rFonts w:ascii="Times New Roman" w:hAnsi="Times New Roman" w:cs="Times New Roman"/>
          <w:sz w:val="24"/>
          <w:szCs w:val="24"/>
        </w:rPr>
        <w:tab/>
      </w:r>
      <w:r w:rsidR="00F34F0C">
        <w:rPr>
          <w:rFonts w:ascii="Times New Roman" w:hAnsi="Times New Roman" w:cs="Times New Roman"/>
          <w:sz w:val="24"/>
          <w:szCs w:val="24"/>
        </w:rPr>
        <w:t>10</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sidRPr="002E5DD3">
        <w:rPr>
          <w:rFonts w:ascii="Times New Roman" w:hAnsi="Times New Roman" w:cs="Times New Roman"/>
          <w:sz w:val="24"/>
          <w:szCs w:val="24"/>
        </w:rPr>
        <w:t>The Commission Should Accept the Company</w:t>
      </w:r>
      <w:r w:rsidR="00915B6F">
        <w:rPr>
          <w:rFonts w:ascii="Times New Roman" w:hAnsi="Times New Roman" w:cs="Times New Roman"/>
          <w:sz w:val="24"/>
          <w:szCs w:val="24"/>
        </w:rPr>
        <w:t>’s</w:t>
      </w:r>
      <w:r w:rsidRPr="002E5DD3">
        <w:rPr>
          <w:rFonts w:ascii="Times New Roman" w:hAnsi="Times New Roman" w:cs="Times New Roman"/>
          <w:sz w:val="24"/>
          <w:szCs w:val="24"/>
        </w:rPr>
        <w:t xml:space="preserve"> General </w:t>
      </w:r>
    </w:p>
    <w:p w:rsidR="00915B6F"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 xml:space="preserve">Wage Increase Annualization </w:t>
      </w:r>
      <w:r w:rsidR="00915B6F">
        <w:rPr>
          <w:rFonts w:ascii="Times New Roman" w:hAnsi="Times New Roman" w:cs="Times New Roman"/>
          <w:sz w:val="24"/>
          <w:szCs w:val="24"/>
        </w:rPr>
        <w:t xml:space="preserve">Adjustment </w:t>
      </w:r>
      <w:r w:rsidRPr="002E5DD3">
        <w:rPr>
          <w:rFonts w:ascii="Times New Roman" w:hAnsi="Times New Roman" w:cs="Times New Roman"/>
          <w:sz w:val="24"/>
          <w:szCs w:val="24"/>
        </w:rPr>
        <w:t xml:space="preserve">Because it Properly </w:t>
      </w:r>
    </w:p>
    <w:p w:rsidR="00E25492" w:rsidRDefault="00915B6F"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25492" w:rsidRPr="002E5DD3">
        <w:rPr>
          <w:rFonts w:ascii="Times New Roman" w:hAnsi="Times New Roman" w:cs="Times New Roman"/>
          <w:sz w:val="24"/>
          <w:szCs w:val="24"/>
        </w:rPr>
        <w:t xml:space="preserve">Restates Test Year Wages.  ICNU/Public Counsel’s Objections Are </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 xml:space="preserve">Ill-Supported </w:t>
      </w:r>
      <w:r>
        <w:rPr>
          <w:rFonts w:ascii="Times New Roman" w:hAnsi="Times New Roman" w:cs="Times New Roman"/>
          <w:sz w:val="24"/>
          <w:szCs w:val="24"/>
        </w:rPr>
        <w:tab/>
      </w:r>
      <w:r w:rsidR="00F34F0C">
        <w:rPr>
          <w:rFonts w:ascii="Times New Roman" w:hAnsi="Times New Roman" w:cs="Times New Roman"/>
          <w:sz w:val="24"/>
          <w:szCs w:val="24"/>
        </w:rPr>
        <w:t>11</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2E5DD3">
        <w:rPr>
          <w:rFonts w:ascii="Times New Roman" w:hAnsi="Times New Roman" w:cs="Times New Roman"/>
          <w:sz w:val="24"/>
          <w:szCs w:val="24"/>
        </w:rPr>
        <w:t xml:space="preserve">The Company Correctly Calculated its Pro forma General </w:t>
      </w: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 xml:space="preserve">Wage Increase Adjustment; ICNU/Public Counsel’s </w:t>
      </w: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“Matching” Argument Falls Short</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12</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3.</w:t>
      </w:r>
      <w:r w:rsidRPr="002E5DD3">
        <w:rPr>
          <w:rFonts w:ascii="Times New Roman" w:hAnsi="Times New Roman" w:cs="Times New Roman"/>
          <w:sz w:val="24"/>
          <w:szCs w:val="24"/>
        </w:rPr>
        <w:tab/>
        <w:t xml:space="preserve">ICNU/Public Counsel’s Adjustments to Annual Incentive </w:t>
      </w: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 xml:space="preserve">Plan (AIP) Expenses are Micro-Managing Corporate Wage </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 xml:space="preserve">Policies </w:t>
      </w:r>
      <w:r>
        <w:rPr>
          <w:rFonts w:ascii="Times New Roman" w:hAnsi="Times New Roman" w:cs="Times New Roman"/>
          <w:sz w:val="24"/>
          <w:szCs w:val="24"/>
        </w:rPr>
        <w:tab/>
      </w:r>
      <w:r w:rsidR="00F34F0C">
        <w:rPr>
          <w:rFonts w:ascii="Times New Roman" w:hAnsi="Times New Roman" w:cs="Times New Roman"/>
          <w:sz w:val="24"/>
          <w:szCs w:val="24"/>
        </w:rPr>
        <w:t>13</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p>
    <w:p w:rsidR="00E25492"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r>
        <w:rPr>
          <w:rFonts w:ascii="Times New Roman" w:hAnsi="Times New Roman" w:cs="Times New Roman"/>
          <w:sz w:val="24"/>
          <w:szCs w:val="24"/>
        </w:rPr>
        <w:tab/>
      </w:r>
      <w:r w:rsidRPr="002E5DD3">
        <w:rPr>
          <w:rFonts w:ascii="Times New Roman" w:hAnsi="Times New Roman" w:cs="Times New Roman"/>
          <w:sz w:val="24"/>
          <w:szCs w:val="24"/>
        </w:rPr>
        <w:t>B.</w:t>
      </w:r>
      <w:r w:rsidRPr="002E5DD3">
        <w:rPr>
          <w:rFonts w:ascii="Times New Roman" w:hAnsi="Times New Roman" w:cs="Times New Roman"/>
          <w:sz w:val="24"/>
          <w:szCs w:val="24"/>
        </w:rPr>
        <w:tab/>
        <w:t xml:space="preserve">The Commission Should Accept the Company’s Affiliate </w:t>
      </w:r>
    </w:p>
    <w:p w:rsidR="00E25492"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 xml:space="preserve">Management Fee Adjustment Because it Fairly Implements the </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Stipulation in the MEHC Acquisition Docket</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14</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p>
    <w:p w:rsidR="00E25492"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r>
        <w:rPr>
          <w:rFonts w:ascii="Times New Roman" w:hAnsi="Times New Roman" w:cs="Times New Roman"/>
          <w:sz w:val="24"/>
          <w:szCs w:val="24"/>
        </w:rPr>
        <w:tab/>
      </w:r>
      <w:r w:rsidRPr="002E5DD3">
        <w:rPr>
          <w:rFonts w:ascii="Times New Roman" w:hAnsi="Times New Roman" w:cs="Times New Roman"/>
          <w:sz w:val="24"/>
          <w:szCs w:val="24"/>
        </w:rPr>
        <w:t>C.</w:t>
      </w:r>
      <w:r w:rsidRPr="002E5DD3">
        <w:rPr>
          <w:rFonts w:ascii="Times New Roman" w:hAnsi="Times New Roman" w:cs="Times New Roman"/>
          <w:sz w:val="24"/>
          <w:szCs w:val="24"/>
        </w:rPr>
        <w:tab/>
        <w:t>Net Power Supply Costs</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15</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p>
    <w:p w:rsidR="00E25492" w:rsidRDefault="00F34F0C" w:rsidP="00F34F0C">
      <w:pPr>
        <w:tabs>
          <w:tab w:val="left" w:pos="720"/>
          <w:tab w:val="left" w:pos="1440"/>
          <w:tab w:val="left" w:pos="2160"/>
          <w:tab w:val="left" w:pos="2880"/>
          <w:tab w:val="right" w:leader="dot" w:pos="9187"/>
        </w:tabs>
        <w:spacing w:after="0" w:line="240" w:lineRule="exact"/>
        <w:ind w:left="2880" w:hanging="1440"/>
        <w:rPr>
          <w:rFonts w:ascii="Times New Roman" w:hAnsi="Times New Roman" w:cs="Times New Roman"/>
          <w:sz w:val="24"/>
          <w:szCs w:val="24"/>
        </w:rPr>
      </w:pPr>
      <w:r>
        <w:rPr>
          <w:rFonts w:ascii="Times New Roman" w:hAnsi="Times New Roman" w:cs="Times New Roman"/>
          <w:sz w:val="24"/>
          <w:szCs w:val="24"/>
        </w:rPr>
        <w:t>1</w:t>
      </w:r>
      <w:r w:rsidR="00E25492" w:rsidRPr="002E5DD3">
        <w:rPr>
          <w:rFonts w:ascii="Times New Roman" w:hAnsi="Times New Roman" w:cs="Times New Roman"/>
          <w:sz w:val="24"/>
          <w:szCs w:val="24"/>
        </w:rPr>
        <w:t>.</w:t>
      </w:r>
      <w:r w:rsidR="00E25492" w:rsidRPr="002E5DD3">
        <w:rPr>
          <w:rFonts w:ascii="Times New Roman" w:hAnsi="Times New Roman" w:cs="Times New Roman"/>
          <w:sz w:val="24"/>
          <w:szCs w:val="24"/>
        </w:rPr>
        <w:tab/>
        <w:t xml:space="preserve">Arbitrage Sales Margins </w:t>
      </w:r>
      <w:r w:rsidR="00E25492">
        <w:rPr>
          <w:rFonts w:ascii="Times New Roman" w:hAnsi="Times New Roman" w:cs="Times New Roman"/>
          <w:sz w:val="24"/>
          <w:szCs w:val="24"/>
        </w:rPr>
        <w:tab/>
      </w:r>
      <w:r>
        <w:rPr>
          <w:rFonts w:ascii="Times New Roman" w:hAnsi="Times New Roman" w:cs="Times New Roman"/>
          <w:sz w:val="24"/>
          <w:szCs w:val="24"/>
        </w:rPr>
        <w:t>16</w:t>
      </w:r>
    </w:p>
    <w:p w:rsidR="00E25492" w:rsidRPr="002E5DD3" w:rsidRDefault="00E25492" w:rsidP="00E25492">
      <w:pPr>
        <w:tabs>
          <w:tab w:val="left" w:pos="720"/>
          <w:tab w:val="left" w:pos="1440"/>
          <w:tab w:val="left" w:pos="2160"/>
          <w:tab w:val="left" w:pos="2880"/>
          <w:tab w:val="right" w:leader="dot" w:pos="9187"/>
        </w:tabs>
        <w:spacing w:after="0" w:line="240" w:lineRule="exact"/>
        <w:ind w:left="1440" w:hanging="1440"/>
        <w:rPr>
          <w:rFonts w:ascii="Times New Roman" w:hAnsi="Times New Roman" w:cs="Times New Roman"/>
          <w:sz w:val="24"/>
          <w:szCs w:val="24"/>
        </w:rPr>
      </w:pPr>
    </w:p>
    <w:p w:rsidR="00E25492" w:rsidRDefault="00E25492" w:rsidP="00E25492">
      <w:pPr>
        <w:tabs>
          <w:tab w:val="left" w:pos="720"/>
          <w:tab w:val="left" w:pos="1440"/>
          <w:tab w:val="left" w:pos="2160"/>
          <w:tab w:val="left" w:pos="2880"/>
          <w:tab w:val="right" w:leader="dot" w:pos="9187"/>
        </w:tabs>
        <w:spacing w:after="0" w:line="240" w:lineRule="exact"/>
        <w:ind w:left="1440" w:hanging="1440"/>
        <w:rPr>
          <w:rFonts w:ascii="Times New Roman" w:hAnsi="Times New Roman" w:cs="Times New Roman"/>
          <w:sz w:val="24"/>
          <w:szCs w:val="24"/>
        </w:rPr>
      </w:pPr>
      <w:r w:rsidRPr="002E5DD3">
        <w:rPr>
          <w:rFonts w:ascii="Times New Roman" w:hAnsi="Times New Roman" w:cs="Times New Roman"/>
          <w:sz w:val="24"/>
          <w:szCs w:val="24"/>
        </w:rPr>
        <w:tab/>
      </w:r>
      <w:r w:rsidRPr="002E5DD3">
        <w:rPr>
          <w:rFonts w:ascii="Times New Roman" w:hAnsi="Times New Roman" w:cs="Times New Roman"/>
          <w:sz w:val="24"/>
          <w:szCs w:val="24"/>
        </w:rPr>
        <w:tab/>
      </w:r>
      <w:r w:rsidR="00F34F0C">
        <w:rPr>
          <w:rFonts w:ascii="Times New Roman" w:hAnsi="Times New Roman" w:cs="Times New Roman"/>
          <w:sz w:val="24"/>
          <w:szCs w:val="24"/>
        </w:rPr>
        <w:t>2</w:t>
      </w:r>
      <w:r w:rsidRPr="002E5DD3">
        <w:rPr>
          <w:rFonts w:ascii="Times New Roman" w:hAnsi="Times New Roman" w:cs="Times New Roman"/>
          <w:sz w:val="24"/>
          <w:szCs w:val="24"/>
        </w:rPr>
        <w:t>.</w:t>
      </w:r>
      <w:r w:rsidRPr="002E5DD3">
        <w:rPr>
          <w:rFonts w:ascii="Times New Roman" w:hAnsi="Times New Roman" w:cs="Times New Roman"/>
          <w:sz w:val="24"/>
          <w:szCs w:val="24"/>
        </w:rPr>
        <w:tab/>
        <w:t>SMUD Contract Shaping</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17</w:t>
      </w:r>
    </w:p>
    <w:p w:rsidR="00E25492" w:rsidRPr="002E5DD3" w:rsidRDefault="00E25492" w:rsidP="00E25492">
      <w:pPr>
        <w:tabs>
          <w:tab w:val="left" w:pos="720"/>
          <w:tab w:val="left" w:pos="1440"/>
          <w:tab w:val="left" w:pos="2160"/>
          <w:tab w:val="left" w:pos="2880"/>
          <w:tab w:val="right" w:leader="dot" w:pos="9187"/>
        </w:tabs>
        <w:spacing w:after="0" w:line="240" w:lineRule="exact"/>
        <w:ind w:left="1440" w:hanging="1440"/>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34F0C">
        <w:rPr>
          <w:rFonts w:ascii="Times New Roman" w:hAnsi="Times New Roman" w:cs="Times New Roman"/>
          <w:sz w:val="24"/>
          <w:szCs w:val="24"/>
        </w:rPr>
        <w:t>3</w:t>
      </w:r>
      <w:r w:rsidRPr="002E5DD3">
        <w:rPr>
          <w:rFonts w:ascii="Times New Roman" w:hAnsi="Times New Roman" w:cs="Times New Roman"/>
          <w:sz w:val="24"/>
          <w:szCs w:val="24"/>
        </w:rPr>
        <w:t>.</w:t>
      </w:r>
      <w:r w:rsidRPr="002E5DD3">
        <w:rPr>
          <w:rFonts w:ascii="Times New Roman" w:hAnsi="Times New Roman" w:cs="Times New Roman"/>
          <w:sz w:val="24"/>
          <w:szCs w:val="24"/>
        </w:rPr>
        <w:tab/>
        <w:t>Colstrip Outage Adjustment</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19</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1440" w:hanging="1440"/>
        <w:rPr>
          <w:rFonts w:ascii="Times New Roman" w:hAnsi="Times New Roman" w:cs="Times New Roman"/>
          <w:sz w:val="24"/>
          <w:szCs w:val="24"/>
        </w:rPr>
      </w:pPr>
    </w:p>
    <w:p w:rsidR="00E25492" w:rsidRDefault="00E25492" w:rsidP="00E25492">
      <w:pPr>
        <w:tabs>
          <w:tab w:val="left" w:pos="720"/>
          <w:tab w:val="left" w:pos="1440"/>
          <w:tab w:val="left" w:pos="2160"/>
          <w:tab w:val="left" w:pos="2880"/>
          <w:tab w:val="right" w:leader="dot" w:pos="9187"/>
        </w:tabs>
        <w:spacing w:after="0" w:line="240" w:lineRule="exact"/>
        <w:ind w:left="1440" w:hanging="1440"/>
        <w:rPr>
          <w:rFonts w:ascii="Times New Roman" w:hAnsi="Times New Roman" w:cs="Times New Roman"/>
          <w:sz w:val="24"/>
          <w:szCs w:val="24"/>
        </w:rPr>
      </w:pPr>
      <w:r w:rsidRPr="002E5DD3">
        <w:rPr>
          <w:rFonts w:ascii="Times New Roman" w:hAnsi="Times New Roman" w:cs="Times New Roman"/>
          <w:sz w:val="24"/>
          <w:szCs w:val="24"/>
        </w:rPr>
        <w:tab/>
      </w:r>
      <w:r>
        <w:rPr>
          <w:rFonts w:ascii="Times New Roman" w:hAnsi="Times New Roman" w:cs="Times New Roman"/>
          <w:sz w:val="24"/>
          <w:szCs w:val="24"/>
        </w:rPr>
        <w:tab/>
      </w:r>
      <w:r w:rsidR="00F34F0C">
        <w:rPr>
          <w:rFonts w:ascii="Times New Roman" w:hAnsi="Times New Roman" w:cs="Times New Roman"/>
          <w:sz w:val="24"/>
          <w:szCs w:val="24"/>
        </w:rPr>
        <w:t>4</w:t>
      </w:r>
      <w:r w:rsidRPr="002E5DD3">
        <w:rPr>
          <w:rFonts w:ascii="Times New Roman" w:hAnsi="Times New Roman" w:cs="Times New Roman"/>
          <w:sz w:val="24"/>
          <w:szCs w:val="24"/>
        </w:rPr>
        <w:t>.</w:t>
      </w:r>
      <w:r w:rsidRPr="002E5DD3">
        <w:rPr>
          <w:rFonts w:ascii="Times New Roman" w:hAnsi="Times New Roman" w:cs="Times New Roman"/>
          <w:sz w:val="24"/>
          <w:szCs w:val="24"/>
        </w:rPr>
        <w:tab/>
        <w:t>Idaho Point to Point (PTP) Wheeling Contract</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20</w:t>
      </w:r>
    </w:p>
    <w:p w:rsidR="00E25492" w:rsidRPr="002E5DD3" w:rsidRDefault="00E25492" w:rsidP="00E25492">
      <w:pPr>
        <w:tabs>
          <w:tab w:val="left" w:pos="720"/>
          <w:tab w:val="left" w:pos="1440"/>
          <w:tab w:val="left" w:pos="2160"/>
          <w:tab w:val="left" w:pos="2880"/>
          <w:tab w:val="right" w:leader="dot" w:pos="9187"/>
        </w:tabs>
        <w:spacing w:after="0" w:line="240" w:lineRule="exact"/>
        <w:ind w:left="1440" w:hanging="1440"/>
        <w:rPr>
          <w:rFonts w:ascii="Times New Roman" w:hAnsi="Times New Roman" w:cs="Times New Roman"/>
          <w:sz w:val="24"/>
          <w:szCs w:val="24"/>
        </w:rPr>
      </w:pPr>
    </w:p>
    <w:p w:rsidR="00E25492" w:rsidRDefault="00E25492" w:rsidP="00E25492">
      <w:pPr>
        <w:tabs>
          <w:tab w:val="left" w:pos="720"/>
          <w:tab w:val="left" w:pos="1440"/>
          <w:tab w:val="left" w:pos="2160"/>
          <w:tab w:val="left" w:pos="2880"/>
          <w:tab w:val="right" w:leader="dot" w:pos="9187"/>
        </w:tabs>
        <w:spacing w:after="0" w:line="240" w:lineRule="exact"/>
        <w:ind w:left="1440" w:hanging="144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F34F0C">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 xml:space="preserve">DC Intertie Adjustment </w:t>
      </w:r>
      <w:r>
        <w:rPr>
          <w:rFonts w:ascii="Times New Roman" w:hAnsi="Times New Roman" w:cs="Times New Roman"/>
          <w:sz w:val="24"/>
          <w:szCs w:val="24"/>
        </w:rPr>
        <w:tab/>
      </w:r>
      <w:r w:rsidR="00F34F0C">
        <w:rPr>
          <w:rFonts w:ascii="Times New Roman" w:hAnsi="Times New Roman" w:cs="Times New Roman"/>
          <w:sz w:val="24"/>
          <w:szCs w:val="24"/>
        </w:rPr>
        <w:t>2</w:t>
      </w:r>
      <w:r w:rsidR="005D791A">
        <w:rPr>
          <w:rFonts w:ascii="Times New Roman" w:hAnsi="Times New Roman" w:cs="Times New Roman"/>
          <w:sz w:val="24"/>
          <w:szCs w:val="24"/>
        </w:rPr>
        <w:t>0</w:t>
      </w:r>
    </w:p>
    <w:p w:rsidR="00E25492" w:rsidRPr="002E5DD3" w:rsidRDefault="00E25492" w:rsidP="00E25492">
      <w:pPr>
        <w:tabs>
          <w:tab w:val="left" w:pos="720"/>
          <w:tab w:val="left" w:pos="1440"/>
          <w:tab w:val="left" w:pos="2160"/>
          <w:tab w:val="left" w:pos="2880"/>
          <w:tab w:val="right" w:leader="dot" w:pos="9187"/>
        </w:tabs>
        <w:spacing w:after="0" w:line="240" w:lineRule="exact"/>
        <w:ind w:left="1440" w:hanging="1440"/>
        <w:rPr>
          <w:rFonts w:ascii="Times New Roman" w:hAnsi="Times New Roman" w:cs="Times New Roman"/>
          <w:sz w:val="24"/>
          <w:szCs w:val="24"/>
        </w:rPr>
      </w:pPr>
    </w:p>
    <w:p w:rsidR="00E25492" w:rsidRDefault="00E25492" w:rsidP="00E25492">
      <w:pPr>
        <w:pStyle w:val="BodyTextIndent"/>
        <w:tabs>
          <w:tab w:val="left" w:pos="720"/>
          <w:tab w:val="left" w:pos="1440"/>
          <w:tab w:val="left" w:pos="2160"/>
          <w:tab w:val="left" w:pos="2880"/>
          <w:tab w:val="right" w:leader="dot" w:pos="9187"/>
        </w:tabs>
        <w:spacing w:line="240" w:lineRule="exact"/>
        <w:ind w:left="1440" w:hanging="1440"/>
      </w:pPr>
      <w:r>
        <w:tab/>
      </w:r>
      <w:r>
        <w:tab/>
      </w:r>
      <w:r w:rsidR="00F34F0C">
        <w:t>6</w:t>
      </w:r>
      <w:r w:rsidRPr="002E5DD3">
        <w:t>.</w:t>
      </w:r>
      <w:r w:rsidRPr="002E5DD3">
        <w:tab/>
        <w:t>Wind Integration Costs</w:t>
      </w:r>
      <w:r>
        <w:t xml:space="preserve"> </w:t>
      </w:r>
      <w:r>
        <w:tab/>
      </w:r>
      <w:r w:rsidR="00F34F0C">
        <w:t>22</w:t>
      </w:r>
    </w:p>
    <w:p w:rsidR="007514CD" w:rsidRDefault="007514CD" w:rsidP="00E25492">
      <w:pPr>
        <w:pStyle w:val="BodyTextIndent"/>
        <w:tabs>
          <w:tab w:val="left" w:pos="720"/>
          <w:tab w:val="left" w:pos="1440"/>
          <w:tab w:val="left" w:pos="2160"/>
          <w:tab w:val="left" w:pos="2880"/>
          <w:tab w:val="right" w:leader="dot" w:pos="9187"/>
        </w:tabs>
        <w:spacing w:line="240" w:lineRule="exact"/>
        <w:ind w:left="1440" w:hanging="1440"/>
      </w:pPr>
    </w:p>
    <w:p w:rsidR="007514CD" w:rsidRDefault="007514CD" w:rsidP="00E25492">
      <w:pPr>
        <w:pStyle w:val="BodyTextIndent"/>
        <w:tabs>
          <w:tab w:val="left" w:pos="720"/>
          <w:tab w:val="left" w:pos="1440"/>
          <w:tab w:val="left" w:pos="2160"/>
          <w:tab w:val="left" w:pos="2880"/>
          <w:tab w:val="right" w:leader="dot" w:pos="9187"/>
        </w:tabs>
        <w:spacing w:line="240" w:lineRule="exact"/>
        <w:ind w:left="1440" w:hanging="1440"/>
      </w:pPr>
      <w:r>
        <w:tab/>
      </w:r>
      <w:r>
        <w:tab/>
        <w:t>7</w:t>
      </w:r>
      <w:r w:rsidRPr="007355FA">
        <w:t>.</w:t>
      </w:r>
      <w:r w:rsidRPr="007355FA">
        <w:tab/>
        <w:t>Idaho Point to Point (PTP) Wheeling Contract Update</w:t>
      </w:r>
      <w:r>
        <w:t xml:space="preserve"> </w:t>
      </w:r>
      <w:r>
        <w:tab/>
        <w:t>24</w:t>
      </w:r>
    </w:p>
    <w:p w:rsidR="007355FA" w:rsidRPr="007355FA" w:rsidRDefault="007355FA" w:rsidP="007355FA">
      <w:pPr>
        <w:pStyle w:val="BodyTextIndent"/>
        <w:tabs>
          <w:tab w:val="left" w:pos="720"/>
          <w:tab w:val="left" w:pos="1440"/>
          <w:tab w:val="left" w:pos="2160"/>
          <w:tab w:val="left" w:pos="2880"/>
          <w:tab w:val="right" w:leader="dot" w:pos="9187"/>
        </w:tabs>
        <w:spacing w:line="240" w:lineRule="exact"/>
        <w:ind w:left="1440" w:hanging="1440"/>
      </w:pPr>
    </w:p>
    <w:p w:rsidR="00E25492" w:rsidRDefault="00E25492" w:rsidP="00E25492">
      <w:pPr>
        <w:pStyle w:val="BodyTextIndent"/>
        <w:tabs>
          <w:tab w:val="left" w:pos="720"/>
          <w:tab w:val="left" w:pos="1440"/>
          <w:tab w:val="left" w:pos="2160"/>
          <w:tab w:val="left" w:pos="2880"/>
          <w:tab w:val="right" w:leader="dot" w:pos="9187"/>
        </w:tabs>
        <w:spacing w:line="240" w:lineRule="exact"/>
        <w:ind w:left="1440" w:hanging="1440"/>
      </w:pPr>
      <w:r>
        <w:tab/>
      </w:r>
      <w:r>
        <w:tab/>
      </w:r>
      <w:r w:rsidR="00F34F0C">
        <w:t>8</w:t>
      </w:r>
      <w:r w:rsidRPr="002E5DD3">
        <w:t>.</w:t>
      </w:r>
      <w:r w:rsidRPr="002E5DD3">
        <w:tab/>
        <w:t>ICNU</w:t>
      </w:r>
      <w:r>
        <w:t>’s</w:t>
      </w:r>
      <w:r w:rsidRPr="002E5DD3">
        <w:t xml:space="preserve"> Non-Firm Transmission Adjustment</w:t>
      </w:r>
      <w:r>
        <w:t xml:space="preserve"> </w:t>
      </w:r>
      <w:r>
        <w:tab/>
      </w:r>
      <w:r w:rsidR="00F34F0C">
        <w:t>24</w:t>
      </w:r>
    </w:p>
    <w:p w:rsidR="00E25492" w:rsidRPr="002E5DD3" w:rsidRDefault="00E25492" w:rsidP="00E25492">
      <w:pPr>
        <w:pStyle w:val="BodyTextIndent"/>
        <w:tabs>
          <w:tab w:val="left" w:pos="720"/>
          <w:tab w:val="left" w:pos="1440"/>
          <w:tab w:val="left" w:pos="2160"/>
          <w:tab w:val="left" w:pos="2880"/>
          <w:tab w:val="right" w:leader="dot" w:pos="9187"/>
        </w:tabs>
        <w:spacing w:line="240" w:lineRule="exact"/>
        <w:ind w:left="1440" w:hanging="1440"/>
      </w:pPr>
    </w:p>
    <w:p w:rsidR="00E25492" w:rsidRDefault="00E25492" w:rsidP="00E25492">
      <w:pPr>
        <w:tabs>
          <w:tab w:val="left" w:pos="720"/>
          <w:tab w:val="left" w:pos="1440"/>
          <w:tab w:val="right" w:leader="dot" w:pos="9187"/>
        </w:tabs>
        <w:spacing w:after="0" w:line="240" w:lineRule="exact"/>
        <w:rPr>
          <w:rFonts w:ascii="Times New Roman" w:hAnsi="Times New Roman" w:cs="Times New Roman"/>
          <w:sz w:val="24"/>
          <w:szCs w:val="24"/>
        </w:rPr>
      </w:pPr>
      <w:r w:rsidRPr="002E5DD3">
        <w:rPr>
          <w:rFonts w:ascii="Times New Roman" w:hAnsi="Times New Roman" w:cs="Times New Roman"/>
          <w:sz w:val="24"/>
          <w:szCs w:val="24"/>
        </w:rPr>
        <w:t>IV.</w:t>
      </w:r>
      <w:r w:rsidRPr="002E5DD3">
        <w:rPr>
          <w:rFonts w:ascii="Times New Roman" w:hAnsi="Times New Roman" w:cs="Times New Roman"/>
          <w:sz w:val="24"/>
          <w:szCs w:val="24"/>
        </w:rPr>
        <w:tab/>
        <w:t>RATE BASE</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25</w:t>
      </w:r>
    </w:p>
    <w:p w:rsidR="00E25492" w:rsidRPr="002E5DD3" w:rsidRDefault="00E25492" w:rsidP="00E25492">
      <w:pPr>
        <w:tabs>
          <w:tab w:val="left" w:pos="720"/>
          <w:tab w:val="left" w:pos="1440"/>
          <w:tab w:val="right" w:leader="dot" w:pos="9187"/>
        </w:tabs>
        <w:spacing w:after="0" w:line="240" w:lineRule="exact"/>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Pr="002E5DD3">
        <w:rPr>
          <w:rFonts w:ascii="Times New Roman" w:hAnsi="Times New Roman" w:cs="Times New Roman"/>
          <w:sz w:val="24"/>
          <w:szCs w:val="24"/>
        </w:rPr>
        <w:t xml:space="preserve">The Commission Should Accept </w:t>
      </w:r>
      <w:r>
        <w:rPr>
          <w:rFonts w:ascii="Times New Roman" w:hAnsi="Times New Roman" w:cs="Times New Roman"/>
          <w:sz w:val="24"/>
          <w:szCs w:val="24"/>
        </w:rPr>
        <w:t xml:space="preserve">Staff’s Adjustment </w:t>
      </w: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F7F80">
        <w:rPr>
          <w:rFonts w:ascii="Times New Roman" w:hAnsi="Times New Roman" w:cs="Times New Roman"/>
          <w:sz w:val="24"/>
          <w:szCs w:val="24"/>
        </w:rPr>
        <w:t xml:space="preserve">Because the </w:t>
      </w:r>
      <w:r w:rsidRPr="002E5DD3">
        <w:rPr>
          <w:rFonts w:ascii="Times New Roman" w:hAnsi="Times New Roman" w:cs="Times New Roman"/>
          <w:sz w:val="24"/>
          <w:szCs w:val="24"/>
        </w:rPr>
        <w:t xml:space="preserve">Investor-Supplied Working Capital Method is </w:t>
      </w: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Theoretically Sound</w:t>
      </w:r>
      <w:r w:rsidR="0083728E">
        <w:rPr>
          <w:rFonts w:ascii="Times New Roman" w:hAnsi="Times New Roman" w:cs="Times New Roman"/>
          <w:sz w:val="24"/>
          <w:szCs w:val="24"/>
        </w:rPr>
        <w:t>,</w:t>
      </w:r>
      <w:r w:rsidRPr="002E5DD3">
        <w:rPr>
          <w:rFonts w:ascii="Times New Roman" w:hAnsi="Times New Roman" w:cs="Times New Roman"/>
          <w:sz w:val="24"/>
          <w:szCs w:val="24"/>
        </w:rPr>
        <w:t xml:space="preserve"> and </w:t>
      </w:r>
      <w:r w:rsidR="00DF7F80">
        <w:rPr>
          <w:rFonts w:ascii="Times New Roman" w:hAnsi="Times New Roman" w:cs="Times New Roman"/>
          <w:sz w:val="24"/>
          <w:szCs w:val="24"/>
        </w:rPr>
        <w:t>Staff’s</w:t>
      </w:r>
      <w:r w:rsidRPr="002E5DD3">
        <w:rPr>
          <w:rFonts w:ascii="Times New Roman" w:hAnsi="Times New Roman" w:cs="Times New Roman"/>
          <w:sz w:val="24"/>
          <w:szCs w:val="24"/>
        </w:rPr>
        <w:t xml:space="preserve"> Adjustment is Calculated </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Consistent with the West Control Area Allocation Method</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26</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Pr="002E5DD3">
        <w:rPr>
          <w:rFonts w:ascii="Times New Roman" w:hAnsi="Times New Roman" w:cs="Times New Roman"/>
          <w:sz w:val="24"/>
          <w:szCs w:val="24"/>
        </w:rPr>
        <w:t>The Commission Should Reject the Company’s 1/8</w:t>
      </w:r>
      <w:r w:rsidRPr="002E5DD3">
        <w:rPr>
          <w:rFonts w:ascii="Times New Roman" w:hAnsi="Times New Roman" w:cs="Times New Roman"/>
          <w:sz w:val="24"/>
          <w:szCs w:val="24"/>
          <w:vertAlign w:val="superscript"/>
        </w:rPr>
        <w:t>th</w:t>
      </w:r>
      <w:r w:rsidRPr="002E5DD3">
        <w:rPr>
          <w:rFonts w:ascii="Times New Roman" w:hAnsi="Times New Roman" w:cs="Times New Roman"/>
          <w:sz w:val="24"/>
          <w:szCs w:val="24"/>
        </w:rPr>
        <w:t xml:space="preserve"> Method, </w:t>
      </w: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 xml:space="preserve">Because it Does Not Measure Working Capital Supplied by </w:t>
      </w: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 xml:space="preserve">Investors, and it Always Measures Positive Working Capital, </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Though Working Capital Can be Negative</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28</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r>
      <w:r w:rsidRPr="002E5DD3">
        <w:rPr>
          <w:rFonts w:ascii="Times New Roman" w:hAnsi="Times New Roman" w:cs="Times New Roman"/>
          <w:sz w:val="24"/>
          <w:szCs w:val="24"/>
        </w:rPr>
        <w:t xml:space="preserve">Because the Current Assets Accounts </w:t>
      </w:r>
      <w:r w:rsidR="00DF7F80">
        <w:rPr>
          <w:rFonts w:ascii="Times New Roman" w:hAnsi="Times New Roman" w:cs="Times New Roman"/>
          <w:sz w:val="24"/>
          <w:szCs w:val="24"/>
        </w:rPr>
        <w:t xml:space="preserve">for </w:t>
      </w:r>
      <w:r w:rsidRPr="002E5DD3">
        <w:rPr>
          <w:rFonts w:ascii="Times New Roman" w:hAnsi="Times New Roman" w:cs="Times New Roman"/>
          <w:sz w:val="24"/>
          <w:szCs w:val="24"/>
        </w:rPr>
        <w:t xml:space="preserve">Fuel Stock and Materials </w:t>
      </w:r>
    </w:p>
    <w:p w:rsidR="00DF7F80"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F7F80">
        <w:rPr>
          <w:rFonts w:ascii="Times New Roman" w:hAnsi="Times New Roman" w:cs="Times New Roman"/>
          <w:sz w:val="24"/>
          <w:szCs w:val="24"/>
        </w:rPr>
        <w:t xml:space="preserve">And Supplies </w:t>
      </w:r>
      <w:r w:rsidRPr="002E5DD3">
        <w:rPr>
          <w:rFonts w:ascii="Times New Roman" w:hAnsi="Times New Roman" w:cs="Times New Roman"/>
          <w:sz w:val="24"/>
          <w:szCs w:val="24"/>
        </w:rPr>
        <w:t xml:space="preserve">are Inventory Accounts, the Commission Should </w:t>
      </w:r>
    </w:p>
    <w:p w:rsidR="00E25492" w:rsidRPr="002E5DD3" w:rsidRDefault="00DF7F80"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25492" w:rsidRPr="002E5DD3">
        <w:rPr>
          <w:rFonts w:ascii="Times New Roman" w:hAnsi="Times New Roman" w:cs="Times New Roman"/>
          <w:sz w:val="24"/>
          <w:szCs w:val="24"/>
        </w:rPr>
        <w:t xml:space="preserve">Remove Them From </w:t>
      </w:r>
      <w:r w:rsidR="00E25492">
        <w:rPr>
          <w:rFonts w:ascii="Times New Roman" w:hAnsi="Times New Roman" w:cs="Times New Roman"/>
          <w:sz w:val="24"/>
          <w:szCs w:val="24"/>
        </w:rPr>
        <w:t>R</w:t>
      </w:r>
      <w:r w:rsidR="00E25492" w:rsidRPr="002E5DD3">
        <w:rPr>
          <w:rFonts w:ascii="Times New Roman" w:hAnsi="Times New Roman" w:cs="Times New Roman"/>
          <w:sz w:val="24"/>
          <w:szCs w:val="24"/>
        </w:rPr>
        <w:t>at</w:t>
      </w:r>
      <w:r w:rsidR="00E25492">
        <w:rPr>
          <w:rFonts w:ascii="Times New Roman" w:hAnsi="Times New Roman" w:cs="Times New Roman"/>
          <w:sz w:val="24"/>
          <w:szCs w:val="24"/>
        </w:rPr>
        <w:t xml:space="preserve">e Base to Avoid Double Recovery </w:t>
      </w:r>
      <w:r w:rsidR="00E25492">
        <w:rPr>
          <w:rFonts w:ascii="Times New Roman" w:hAnsi="Times New Roman" w:cs="Times New Roman"/>
          <w:sz w:val="24"/>
          <w:szCs w:val="24"/>
        </w:rPr>
        <w:tab/>
      </w:r>
      <w:r w:rsidR="00F34F0C">
        <w:rPr>
          <w:rFonts w:ascii="Times New Roman" w:hAnsi="Times New Roman" w:cs="Times New Roman"/>
          <w:sz w:val="24"/>
          <w:szCs w:val="24"/>
        </w:rPr>
        <w:t>29</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p>
    <w:p w:rsidR="00E25492"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r w:rsidRPr="002E5DD3">
        <w:rPr>
          <w:rFonts w:ascii="Times New Roman" w:hAnsi="Times New Roman" w:cs="Times New Roman"/>
          <w:sz w:val="24"/>
          <w:szCs w:val="24"/>
        </w:rPr>
        <w:t>V.</w:t>
      </w:r>
      <w:r w:rsidRPr="002E5DD3">
        <w:rPr>
          <w:rFonts w:ascii="Times New Roman" w:hAnsi="Times New Roman" w:cs="Times New Roman"/>
          <w:sz w:val="24"/>
          <w:szCs w:val="24"/>
        </w:rPr>
        <w:tab/>
        <w:t>FEDERAL INCOME TAX</w:t>
      </w:r>
      <w:r>
        <w:rPr>
          <w:rFonts w:ascii="Times New Roman" w:hAnsi="Times New Roman" w:cs="Times New Roman"/>
          <w:sz w:val="24"/>
          <w:szCs w:val="24"/>
        </w:rPr>
        <w:t xml:space="preserve"> </w:t>
      </w:r>
      <w:r>
        <w:rPr>
          <w:rFonts w:ascii="Times New Roman" w:hAnsi="Times New Roman" w:cs="Times New Roman"/>
          <w:sz w:val="24"/>
          <w:szCs w:val="24"/>
        </w:rPr>
        <w:tab/>
      </w:r>
      <w:r w:rsidR="005D791A">
        <w:rPr>
          <w:rFonts w:ascii="Times New Roman" w:hAnsi="Times New Roman" w:cs="Times New Roman"/>
          <w:sz w:val="24"/>
          <w:szCs w:val="24"/>
        </w:rPr>
        <w:t>29</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p>
    <w:p w:rsidR="00E25492" w:rsidRDefault="00E25492" w:rsidP="00E25492">
      <w:pPr>
        <w:tabs>
          <w:tab w:val="left" w:pos="720"/>
          <w:tab w:val="left" w:pos="1440"/>
          <w:tab w:val="left" w:pos="2160"/>
          <w:tab w:val="right" w:leader="dot" w:pos="9187"/>
        </w:tabs>
        <w:spacing w:after="0" w:line="240" w:lineRule="exact"/>
        <w:rPr>
          <w:rFonts w:ascii="Times New Roman" w:hAnsi="Times New Roman" w:cs="Times New Roman"/>
          <w:sz w:val="24"/>
          <w:szCs w:val="24"/>
        </w:rPr>
      </w:pPr>
      <w:r>
        <w:rPr>
          <w:rFonts w:ascii="Times New Roman" w:hAnsi="Times New Roman" w:cs="Times New Roman"/>
          <w:sz w:val="24"/>
          <w:szCs w:val="24"/>
        </w:rPr>
        <w:tab/>
      </w:r>
      <w:r w:rsidRPr="002E5DD3">
        <w:rPr>
          <w:rFonts w:ascii="Times New Roman" w:hAnsi="Times New Roman" w:cs="Times New Roman"/>
          <w:sz w:val="24"/>
          <w:szCs w:val="24"/>
        </w:rPr>
        <w:t>A.</w:t>
      </w:r>
      <w:r w:rsidRPr="002E5DD3">
        <w:rPr>
          <w:rFonts w:ascii="Times New Roman" w:hAnsi="Times New Roman" w:cs="Times New Roman"/>
          <w:sz w:val="24"/>
          <w:szCs w:val="24"/>
        </w:rPr>
        <w:tab/>
        <w:t>Overview</w:t>
      </w:r>
      <w:r>
        <w:rPr>
          <w:rFonts w:ascii="Times New Roman" w:hAnsi="Times New Roman" w:cs="Times New Roman"/>
          <w:sz w:val="24"/>
          <w:szCs w:val="24"/>
        </w:rPr>
        <w:t xml:space="preserve"> </w:t>
      </w:r>
      <w:r>
        <w:rPr>
          <w:rFonts w:ascii="Times New Roman" w:hAnsi="Times New Roman" w:cs="Times New Roman"/>
          <w:sz w:val="24"/>
          <w:szCs w:val="24"/>
        </w:rPr>
        <w:tab/>
      </w:r>
      <w:r w:rsidR="005D791A">
        <w:rPr>
          <w:rFonts w:ascii="Times New Roman" w:hAnsi="Times New Roman" w:cs="Times New Roman"/>
          <w:sz w:val="24"/>
          <w:szCs w:val="24"/>
        </w:rPr>
        <w:t>29</w:t>
      </w:r>
    </w:p>
    <w:p w:rsidR="00E25492" w:rsidRPr="002E5DD3" w:rsidRDefault="00E25492" w:rsidP="00E25492">
      <w:pPr>
        <w:tabs>
          <w:tab w:val="left" w:pos="720"/>
          <w:tab w:val="left" w:pos="1440"/>
          <w:tab w:val="left" w:pos="2160"/>
          <w:tab w:val="right" w:leader="dot" w:pos="9187"/>
        </w:tabs>
        <w:spacing w:after="0" w:line="240" w:lineRule="exact"/>
        <w:rPr>
          <w:rFonts w:ascii="Times New Roman" w:hAnsi="Times New Roman" w:cs="Times New Roman"/>
          <w:sz w:val="24"/>
          <w:szCs w:val="24"/>
        </w:rPr>
      </w:pP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r>
        <w:rPr>
          <w:rFonts w:ascii="Times New Roman" w:hAnsi="Times New Roman" w:cs="Times New Roman"/>
          <w:sz w:val="24"/>
          <w:szCs w:val="24"/>
        </w:rPr>
        <w:tab/>
      </w:r>
      <w:r w:rsidRPr="002E5DD3">
        <w:rPr>
          <w:rFonts w:ascii="Times New Roman" w:hAnsi="Times New Roman" w:cs="Times New Roman"/>
          <w:sz w:val="24"/>
          <w:szCs w:val="24"/>
        </w:rPr>
        <w:t>B.</w:t>
      </w:r>
      <w:r w:rsidRPr="002E5DD3">
        <w:rPr>
          <w:rFonts w:ascii="Times New Roman" w:hAnsi="Times New Roman" w:cs="Times New Roman"/>
          <w:sz w:val="24"/>
          <w:szCs w:val="24"/>
        </w:rPr>
        <w:tab/>
        <w:t>Background on Flow-Through and Normalization</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31</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p>
    <w:p w:rsidR="00E25492"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r>
        <w:rPr>
          <w:rFonts w:ascii="Times New Roman" w:hAnsi="Times New Roman" w:cs="Times New Roman"/>
          <w:sz w:val="24"/>
          <w:szCs w:val="24"/>
        </w:rPr>
        <w:tab/>
      </w:r>
      <w:r w:rsidRPr="002E5DD3">
        <w:rPr>
          <w:rFonts w:ascii="Times New Roman" w:hAnsi="Times New Roman" w:cs="Times New Roman"/>
          <w:sz w:val="24"/>
          <w:szCs w:val="24"/>
        </w:rPr>
        <w:t>C.</w:t>
      </w:r>
      <w:r w:rsidRPr="002E5DD3">
        <w:rPr>
          <w:rFonts w:ascii="Times New Roman" w:hAnsi="Times New Roman" w:cs="Times New Roman"/>
          <w:sz w:val="24"/>
          <w:szCs w:val="24"/>
        </w:rPr>
        <w:tab/>
        <w:t xml:space="preserve">The Company Has Not Demonstrated Any Ratepayer Benefit </w:t>
      </w:r>
      <w:r w:rsidR="0083728E">
        <w:rPr>
          <w:rFonts w:ascii="Times New Roman" w:hAnsi="Times New Roman" w:cs="Times New Roman"/>
          <w:sz w:val="24"/>
          <w:szCs w:val="24"/>
        </w:rPr>
        <w:t>F</w:t>
      </w:r>
      <w:r w:rsidRPr="002E5DD3">
        <w:rPr>
          <w:rFonts w:ascii="Times New Roman" w:hAnsi="Times New Roman" w:cs="Times New Roman"/>
          <w:sz w:val="24"/>
          <w:szCs w:val="24"/>
        </w:rPr>
        <w:t xml:space="preserve">rom </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its Full Normalization Proposal</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32</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p>
    <w:p w:rsidR="00E25492"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r>
        <w:rPr>
          <w:rFonts w:ascii="Times New Roman" w:hAnsi="Times New Roman" w:cs="Times New Roman"/>
          <w:sz w:val="24"/>
          <w:szCs w:val="24"/>
        </w:rPr>
        <w:tab/>
      </w:r>
      <w:r w:rsidRPr="002E5DD3">
        <w:rPr>
          <w:rFonts w:ascii="Times New Roman" w:hAnsi="Times New Roman" w:cs="Times New Roman"/>
          <w:sz w:val="24"/>
          <w:szCs w:val="24"/>
        </w:rPr>
        <w:t>D.</w:t>
      </w:r>
      <w:r w:rsidRPr="002E5DD3">
        <w:rPr>
          <w:rFonts w:ascii="Times New Roman" w:hAnsi="Times New Roman" w:cs="Times New Roman"/>
          <w:sz w:val="24"/>
          <w:szCs w:val="24"/>
        </w:rPr>
        <w:tab/>
        <w:t xml:space="preserve">The Types of Items Subject to PacifiCorp’s Normalization Request </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Are More Properly Treated Under the Flow-Through Method</w:t>
      </w:r>
      <w:r>
        <w:rPr>
          <w:rFonts w:ascii="Times New Roman" w:hAnsi="Times New Roman" w:cs="Times New Roman"/>
          <w:sz w:val="24"/>
          <w:szCs w:val="24"/>
        </w:rPr>
        <w:t xml:space="preserve"> </w:t>
      </w:r>
      <w:r>
        <w:rPr>
          <w:rFonts w:ascii="Times New Roman" w:hAnsi="Times New Roman" w:cs="Times New Roman"/>
          <w:sz w:val="24"/>
          <w:szCs w:val="24"/>
        </w:rPr>
        <w:tab/>
      </w:r>
      <w:r w:rsidR="005D791A">
        <w:rPr>
          <w:rFonts w:ascii="Times New Roman" w:hAnsi="Times New Roman" w:cs="Times New Roman"/>
          <w:sz w:val="24"/>
          <w:szCs w:val="24"/>
        </w:rPr>
        <w:t>32</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p>
    <w:p w:rsidR="00E25492"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r>
        <w:rPr>
          <w:rFonts w:ascii="Times New Roman" w:hAnsi="Times New Roman" w:cs="Times New Roman"/>
          <w:sz w:val="24"/>
          <w:szCs w:val="24"/>
        </w:rPr>
        <w:tab/>
      </w:r>
      <w:r w:rsidRPr="002E5DD3">
        <w:rPr>
          <w:rFonts w:ascii="Times New Roman" w:hAnsi="Times New Roman" w:cs="Times New Roman"/>
          <w:sz w:val="24"/>
          <w:szCs w:val="24"/>
        </w:rPr>
        <w:t>E.</w:t>
      </w:r>
      <w:r w:rsidRPr="002E5DD3">
        <w:rPr>
          <w:rFonts w:ascii="Times New Roman" w:hAnsi="Times New Roman" w:cs="Times New Roman"/>
          <w:sz w:val="24"/>
          <w:szCs w:val="24"/>
        </w:rPr>
        <w:tab/>
        <w:t xml:space="preserve">The Company has Improperly Characterized the Impact of Full </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Normalization</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3</w:t>
      </w:r>
      <w:r w:rsidR="005D791A">
        <w:rPr>
          <w:rFonts w:ascii="Times New Roman" w:hAnsi="Times New Roman" w:cs="Times New Roman"/>
          <w:sz w:val="24"/>
          <w:szCs w:val="24"/>
        </w:rPr>
        <w:t>3</w:t>
      </w:r>
    </w:p>
    <w:p w:rsidR="00E25492"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p>
    <w:p w:rsidR="00E25492"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r>
        <w:rPr>
          <w:rFonts w:ascii="Times New Roman" w:hAnsi="Times New Roman" w:cs="Times New Roman"/>
          <w:sz w:val="24"/>
          <w:szCs w:val="24"/>
        </w:rPr>
        <w:tab/>
      </w:r>
      <w:r w:rsidRPr="002E5DD3">
        <w:rPr>
          <w:rFonts w:ascii="Times New Roman" w:hAnsi="Times New Roman" w:cs="Times New Roman"/>
          <w:sz w:val="24"/>
          <w:szCs w:val="24"/>
        </w:rPr>
        <w:t>F.</w:t>
      </w:r>
      <w:r w:rsidRPr="002E5DD3">
        <w:rPr>
          <w:rFonts w:ascii="Times New Roman" w:hAnsi="Times New Roman" w:cs="Times New Roman"/>
          <w:sz w:val="24"/>
          <w:szCs w:val="24"/>
        </w:rPr>
        <w:tab/>
        <w:t xml:space="preserve">The Company Fails To Address the Transitional Regulatory Asset </w:t>
      </w:r>
    </w:p>
    <w:p w:rsidR="00E25492" w:rsidRDefault="00E25492" w:rsidP="00E25492">
      <w:pPr>
        <w:tabs>
          <w:tab w:val="left" w:pos="720"/>
          <w:tab w:val="left" w:pos="1440"/>
          <w:tab w:val="left" w:pos="2160"/>
          <w:tab w:val="right" w:leader="dot" w:pos="9187"/>
        </w:tabs>
        <w:spacing w:after="0" w:line="24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or Liability</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35</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sidRPr="002E5DD3">
        <w:rPr>
          <w:rFonts w:ascii="Times New Roman" w:hAnsi="Times New Roman" w:cs="Times New Roman"/>
          <w:sz w:val="24"/>
          <w:szCs w:val="24"/>
        </w:rPr>
        <w:t>G.</w:t>
      </w:r>
      <w:r w:rsidRPr="002E5DD3">
        <w:rPr>
          <w:rFonts w:ascii="Times New Roman" w:hAnsi="Times New Roman" w:cs="Times New Roman"/>
          <w:sz w:val="24"/>
          <w:szCs w:val="24"/>
        </w:rPr>
        <w:tab/>
        <w:t xml:space="preserve">The Commission Should Approve PacifiCorp’s Request to </w:t>
      </w: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 xml:space="preserve">Normalize Taxes Related to the Repairs Deduction, But Should </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 xml:space="preserve">Give Full Rate Base Effect to the </w:t>
      </w:r>
      <w:r>
        <w:rPr>
          <w:rFonts w:ascii="Times New Roman" w:hAnsi="Times New Roman" w:cs="Times New Roman"/>
          <w:sz w:val="24"/>
          <w:szCs w:val="24"/>
        </w:rPr>
        <w:t xml:space="preserve">Accounting </w:t>
      </w:r>
      <w:r w:rsidRPr="002E5DD3">
        <w:rPr>
          <w:rFonts w:ascii="Times New Roman" w:hAnsi="Times New Roman" w:cs="Times New Roman"/>
          <w:sz w:val="24"/>
          <w:szCs w:val="24"/>
        </w:rPr>
        <w:t>Change</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3</w:t>
      </w:r>
      <w:r w:rsidR="005D791A">
        <w:rPr>
          <w:rFonts w:ascii="Times New Roman" w:hAnsi="Times New Roman" w:cs="Times New Roman"/>
          <w:sz w:val="24"/>
          <w:szCs w:val="24"/>
        </w:rPr>
        <w:t>5</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sidRPr="002E5DD3">
        <w:rPr>
          <w:rFonts w:ascii="Times New Roman" w:hAnsi="Times New Roman" w:cs="Times New Roman"/>
          <w:sz w:val="24"/>
          <w:szCs w:val="24"/>
        </w:rPr>
        <w:t>H.</w:t>
      </w:r>
      <w:r w:rsidRPr="002E5DD3">
        <w:rPr>
          <w:rFonts w:ascii="Times New Roman" w:hAnsi="Times New Roman" w:cs="Times New Roman"/>
          <w:sz w:val="24"/>
          <w:szCs w:val="24"/>
        </w:rPr>
        <w:tab/>
        <w:t xml:space="preserve">The Commission Should Reject as Premature PacifiCorp’s </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 xml:space="preserve">Request to Create a Regulatory Liability Account </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3</w:t>
      </w:r>
      <w:r w:rsidR="005D791A">
        <w:rPr>
          <w:rFonts w:ascii="Times New Roman" w:hAnsi="Times New Roman" w:cs="Times New Roman"/>
          <w:sz w:val="24"/>
          <w:szCs w:val="24"/>
        </w:rPr>
        <w:t>6</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right" w:leader="dot" w:pos="9187"/>
        </w:tabs>
        <w:spacing w:after="0" w:line="240" w:lineRule="exact"/>
        <w:ind w:left="0"/>
        <w:rPr>
          <w:rFonts w:ascii="Times New Roman" w:hAnsi="Times New Roman" w:cs="Times New Roman"/>
          <w:sz w:val="24"/>
          <w:szCs w:val="24"/>
        </w:rPr>
      </w:pPr>
      <w:r w:rsidRPr="002E5DD3">
        <w:rPr>
          <w:rFonts w:ascii="Times New Roman" w:hAnsi="Times New Roman" w:cs="Times New Roman"/>
          <w:sz w:val="24"/>
          <w:szCs w:val="24"/>
        </w:rPr>
        <w:t>VI.</w:t>
      </w:r>
      <w:r w:rsidRPr="002E5DD3">
        <w:rPr>
          <w:rFonts w:ascii="Times New Roman" w:hAnsi="Times New Roman" w:cs="Times New Roman"/>
          <w:sz w:val="24"/>
          <w:szCs w:val="24"/>
        </w:rPr>
        <w:tab/>
        <w:t>COST OF CAPITAL</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37</w:t>
      </w:r>
    </w:p>
    <w:p w:rsidR="00E25492" w:rsidRPr="002E5DD3" w:rsidRDefault="00E25492" w:rsidP="00E25492">
      <w:pPr>
        <w:pStyle w:val="ListParagraph"/>
        <w:tabs>
          <w:tab w:val="left" w:pos="720"/>
          <w:tab w:val="left" w:pos="1440"/>
          <w:tab w:val="left" w:pos="2160"/>
          <w:tab w:val="right" w:leader="dot" w:pos="9187"/>
        </w:tabs>
        <w:spacing w:after="0" w:line="240" w:lineRule="exact"/>
        <w:ind w:left="0"/>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sidRPr="002E5DD3">
        <w:rPr>
          <w:rFonts w:ascii="Times New Roman" w:hAnsi="Times New Roman" w:cs="Times New Roman"/>
          <w:sz w:val="24"/>
          <w:szCs w:val="24"/>
        </w:rPr>
        <w:t>A.</w:t>
      </w:r>
      <w:r w:rsidRPr="002E5DD3">
        <w:rPr>
          <w:rFonts w:ascii="Times New Roman" w:hAnsi="Times New Roman" w:cs="Times New Roman"/>
          <w:sz w:val="24"/>
          <w:szCs w:val="24"/>
        </w:rPr>
        <w:tab/>
        <w:t xml:space="preserve">Overview </w:t>
      </w:r>
      <w:r>
        <w:rPr>
          <w:rFonts w:ascii="Times New Roman" w:hAnsi="Times New Roman" w:cs="Times New Roman"/>
          <w:sz w:val="24"/>
          <w:szCs w:val="24"/>
        </w:rPr>
        <w:tab/>
      </w:r>
      <w:r w:rsidR="00F34F0C">
        <w:rPr>
          <w:rFonts w:ascii="Times New Roman" w:hAnsi="Times New Roman" w:cs="Times New Roman"/>
          <w:sz w:val="24"/>
          <w:szCs w:val="24"/>
        </w:rPr>
        <w:t>37</w:t>
      </w:r>
    </w:p>
    <w:p w:rsidR="00E25492" w:rsidRPr="002E5DD3" w:rsidRDefault="00E25492" w:rsidP="00E25492">
      <w:pPr>
        <w:pStyle w:val="ListParagraph"/>
        <w:tabs>
          <w:tab w:val="left" w:pos="720"/>
          <w:tab w:val="left" w:pos="1440"/>
          <w:tab w:val="left" w:pos="2160"/>
          <w:tab w:val="right" w:leader="dot" w:pos="9187"/>
        </w:tabs>
        <w:spacing w:after="0" w:line="240" w:lineRule="exact"/>
        <w:ind w:left="0"/>
        <w:rPr>
          <w:rFonts w:ascii="Times New Roman" w:hAnsi="Times New Roman" w:cs="Times New Roman"/>
          <w:sz w:val="24"/>
          <w:szCs w:val="24"/>
        </w:rPr>
      </w:pP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sidRPr="002E5DD3">
        <w:rPr>
          <w:rFonts w:ascii="Times New Roman" w:hAnsi="Times New Roman" w:cs="Times New Roman"/>
          <w:sz w:val="24"/>
          <w:szCs w:val="24"/>
        </w:rPr>
        <w:t>B.</w:t>
      </w:r>
      <w:r w:rsidRPr="002E5DD3">
        <w:rPr>
          <w:rFonts w:ascii="Times New Roman" w:hAnsi="Times New Roman" w:cs="Times New Roman"/>
          <w:sz w:val="24"/>
          <w:szCs w:val="24"/>
        </w:rPr>
        <w:tab/>
        <w:t>Capital Structure</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3</w:t>
      </w:r>
      <w:r w:rsidR="005D791A">
        <w:rPr>
          <w:rFonts w:ascii="Times New Roman" w:hAnsi="Times New Roman" w:cs="Times New Roman"/>
          <w:sz w:val="24"/>
          <w:szCs w:val="24"/>
        </w:rPr>
        <w:t>7</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1.</w:t>
      </w:r>
      <w:r w:rsidRPr="002E5DD3">
        <w:rPr>
          <w:rFonts w:ascii="Times New Roman" w:hAnsi="Times New Roman" w:cs="Times New Roman"/>
          <w:sz w:val="24"/>
          <w:szCs w:val="24"/>
        </w:rPr>
        <w:tab/>
        <w:t xml:space="preserve">The Commission Should Accept a Ratemaking Capital </w:t>
      </w:r>
    </w:p>
    <w:p w:rsidR="00DF7F80"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 xml:space="preserve">Structure Containing 46.5 Percent </w:t>
      </w:r>
      <w:r w:rsidR="00DF7F80">
        <w:rPr>
          <w:rFonts w:ascii="Times New Roman" w:hAnsi="Times New Roman" w:cs="Times New Roman"/>
          <w:sz w:val="24"/>
          <w:szCs w:val="24"/>
        </w:rPr>
        <w:t xml:space="preserve">Common </w:t>
      </w:r>
      <w:r w:rsidRPr="002E5DD3">
        <w:rPr>
          <w:rFonts w:ascii="Times New Roman" w:hAnsi="Times New Roman" w:cs="Times New Roman"/>
          <w:sz w:val="24"/>
          <w:szCs w:val="24"/>
        </w:rPr>
        <w:t xml:space="preserve">Equity Because </w:t>
      </w:r>
    </w:p>
    <w:p w:rsidR="00E25492" w:rsidRPr="002E5DD3" w:rsidRDefault="00DF7F80"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25492" w:rsidRPr="002E5DD3">
        <w:rPr>
          <w:rFonts w:ascii="Times New Roman" w:hAnsi="Times New Roman" w:cs="Times New Roman"/>
          <w:sz w:val="24"/>
          <w:szCs w:val="24"/>
        </w:rPr>
        <w:t>it is</w:t>
      </w:r>
      <w:r>
        <w:rPr>
          <w:rFonts w:ascii="Times New Roman" w:hAnsi="Times New Roman" w:cs="Times New Roman"/>
          <w:sz w:val="24"/>
          <w:szCs w:val="24"/>
        </w:rPr>
        <w:t xml:space="preserve"> </w:t>
      </w:r>
      <w:r w:rsidR="00E25492" w:rsidRPr="002E5DD3">
        <w:rPr>
          <w:rFonts w:ascii="Times New Roman" w:hAnsi="Times New Roman" w:cs="Times New Roman"/>
          <w:sz w:val="24"/>
          <w:szCs w:val="24"/>
        </w:rPr>
        <w:t>Safe and Economical</w:t>
      </w:r>
      <w:r w:rsidR="00E25492">
        <w:rPr>
          <w:rFonts w:ascii="Times New Roman" w:hAnsi="Times New Roman" w:cs="Times New Roman"/>
          <w:sz w:val="24"/>
          <w:szCs w:val="24"/>
        </w:rPr>
        <w:t xml:space="preserve"> </w:t>
      </w:r>
      <w:r w:rsidR="00E25492">
        <w:rPr>
          <w:rFonts w:ascii="Times New Roman" w:hAnsi="Times New Roman" w:cs="Times New Roman"/>
          <w:sz w:val="24"/>
          <w:szCs w:val="24"/>
        </w:rPr>
        <w:tab/>
      </w:r>
      <w:r w:rsidR="00F34F0C">
        <w:rPr>
          <w:rFonts w:ascii="Times New Roman" w:hAnsi="Times New Roman" w:cs="Times New Roman"/>
          <w:sz w:val="24"/>
          <w:szCs w:val="24"/>
        </w:rPr>
        <w:t>38</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2.</w:t>
      </w:r>
      <w:r w:rsidRPr="002E5DD3">
        <w:rPr>
          <w:rFonts w:ascii="Times New Roman" w:hAnsi="Times New Roman" w:cs="Times New Roman"/>
          <w:sz w:val="24"/>
          <w:szCs w:val="24"/>
        </w:rPr>
        <w:tab/>
        <w:t xml:space="preserve">The Burden of Proof is on the Company to Demonstrate </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its Proposed Capital St</w:t>
      </w:r>
      <w:r>
        <w:rPr>
          <w:rFonts w:ascii="Times New Roman" w:hAnsi="Times New Roman" w:cs="Times New Roman"/>
          <w:sz w:val="24"/>
          <w:szCs w:val="24"/>
        </w:rPr>
        <w:t xml:space="preserve">ructure is Safe and Economical </w:t>
      </w:r>
      <w:r>
        <w:rPr>
          <w:rFonts w:ascii="Times New Roman" w:hAnsi="Times New Roman" w:cs="Times New Roman"/>
          <w:sz w:val="24"/>
          <w:szCs w:val="24"/>
        </w:rPr>
        <w:tab/>
      </w:r>
      <w:r w:rsidR="00F34F0C">
        <w:rPr>
          <w:rFonts w:ascii="Times New Roman" w:hAnsi="Times New Roman" w:cs="Times New Roman"/>
          <w:sz w:val="24"/>
          <w:szCs w:val="24"/>
        </w:rPr>
        <w:t>39</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3.</w:t>
      </w:r>
      <w:r w:rsidRPr="002E5DD3">
        <w:rPr>
          <w:rFonts w:ascii="Times New Roman" w:hAnsi="Times New Roman" w:cs="Times New Roman"/>
          <w:sz w:val="24"/>
          <w:szCs w:val="24"/>
        </w:rPr>
        <w:tab/>
        <w:t xml:space="preserve">In any Event, There are “Compelling Reasons” Not to Use </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the Company’s 52.1%Capital Structure for Ratemaking Purposes</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40</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4.</w:t>
      </w:r>
      <w:r w:rsidRPr="002E5DD3">
        <w:rPr>
          <w:rFonts w:ascii="Times New Roman" w:hAnsi="Times New Roman" w:cs="Times New Roman"/>
          <w:sz w:val="24"/>
          <w:szCs w:val="24"/>
        </w:rPr>
        <w:tab/>
        <w:t xml:space="preserve">The Commission Should Include Short-Term Debt in the </w:t>
      </w: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 xml:space="preserve">Ratemaking Capital Structure, Despite the Company’s Policy </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Not to Use it</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41</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sidRPr="002E5DD3">
        <w:rPr>
          <w:rFonts w:ascii="Times New Roman" w:hAnsi="Times New Roman" w:cs="Times New Roman"/>
          <w:sz w:val="24"/>
          <w:szCs w:val="24"/>
        </w:rPr>
        <w:t>C.</w:t>
      </w:r>
      <w:r w:rsidRPr="002E5DD3">
        <w:rPr>
          <w:rFonts w:ascii="Times New Roman" w:hAnsi="Times New Roman" w:cs="Times New Roman"/>
          <w:sz w:val="24"/>
          <w:szCs w:val="24"/>
        </w:rPr>
        <w:tab/>
        <w:t>Cost of Common Equity</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43</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1.</w:t>
      </w:r>
      <w:r w:rsidRPr="002E5DD3">
        <w:rPr>
          <w:rFonts w:ascii="Times New Roman" w:hAnsi="Times New Roman" w:cs="Times New Roman"/>
          <w:sz w:val="24"/>
          <w:szCs w:val="24"/>
        </w:rPr>
        <w:tab/>
        <w:t xml:space="preserve">Introduction </w:t>
      </w:r>
      <w:r>
        <w:rPr>
          <w:rFonts w:ascii="Times New Roman" w:hAnsi="Times New Roman" w:cs="Times New Roman"/>
          <w:sz w:val="24"/>
          <w:szCs w:val="24"/>
        </w:rPr>
        <w:tab/>
      </w:r>
      <w:r w:rsidR="00F34F0C">
        <w:rPr>
          <w:rFonts w:ascii="Times New Roman" w:hAnsi="Times New Roman" w:cs="Times New Roman"/>
          <w:sz w:val="24"/>
          <w:szCs w:val="24"/>
        </w:rPr>
        <w:t>43</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2.</w:t>
      </w:r>
      <w:r w:rsidRPr="002E5DD3">
        <w:rPr>
          <w:rFonts w:ascii="Times New Roman" w:hAnsi="Times New Roman" w:cs="Times New Roman"/>
          <w:sz w:val="24"/>
          <w:szCs w:val="24"/>
        </w:rPr>
        <w:tab/>
        <w:t>Staff’s ROE Analysis is Based on a Proxy Group Comprised</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of Companies Comparable to PacifiCorp</w:t>
      </w:r>
      <w:r w:rsidRPr="002E5DD3" w:rsidDel="00B110F3">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4</w:t>
      </w:r>
      <w:r w:rsidR="005D791A">
        <w:rPr>
          <w:rFonts w:ascii="Times New Roman" w:hAnsi="Times New Roman" w:cs="Times New Roman"/>
          <w:sz w:val="24"/>
          <w:szCs w:val="24"/>
        </w:rPr>
        <w:t>3</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3.</w:t>
      </w:r>
      <w:r w:rsidRPr="002E5DD3">
        <w:rPr>
          <w:rFonts w:ascii="Times New Roman" w:hAnsi="Times New Roman" w:cs="Times New Roman"/>
          <w:sz w:val="24"/>
          <w:szCs w:val="24"/>
        </w:rPr>
        <w:tab/>
        <w:t xml:space="preserve">Staff’s DCF Analysis is Reasonable and Transparent, Focusing </w:t>
      </w: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 xml:space="preserve">on the Expectations of Investors Making Rational Investment </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Decisions</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44</w:t>
      </w:r>
    </w:p>
    <w:p w:rsidR="00E25492" w:rsidRPr="002E5DD3" w:rsidRDefault="00E25492" w:rsidP="00E25492">
      <w:pPr>
        <w:pStyle w:val="FootnoteText"/>
        <w:tabs>
          <w:tab w:val="left" w:pos="720"/>
          <w:tab w:val="left" w:pos="1440"/>
          <w:tab w:val="left" w:pos="2160"/>
          <w:tab w:val="left" w:pos="2880"/>
          <w:tab w:val="right" w:leader="dot" w:pos="9187"/>
        </w:tabs>
        <w:spacing w:line="240" w:lineRule="exact"/>
        <w:rPr>
          <w:rFonts w:cs="Times New Roman"/>
          <w:sz w:val="24"/>
          <w:szCs w:val="24"/>
        </w:rPr>
      </w:pP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4.</w:t>
      </w:r>
      <w:r w:rsidRPr="002E5DD3">
        <w:rPr>
          <w:rFonts w:ascii="Times New Roman" w:hAnsi="Times New Roman" w:cs="Times New Roman"/>
          <w:sz w:val="24"/>
          <w:szCs w:val="24"/>
        </w:rPr>
        <w:tab/>
        <w:t xml:space="preserve">PacifiCorp and ICNU’s Analyses are Based on a Proxy Group </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Not Comparable to PacifiCorp</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4</w:t>
      </w:r>
      <w:r w:rsidR="005D791A">
        <w:rPr>
          <w:rFonts w:ascii="Times New Roman" w:hAnsi="Times New Roman" w:cs="Times New Roman"/>
          <w:sz w:val="24"/>
          <w:szCs w:val="24"/>
        </w:rPr>
        <w:t>6</w:t>
      </w:r>
    </w:p>
    <w:p w:rsidR="00E25492" w:rsidRPr="002E5DD3" w:rsidRDefault="00E25492" w:rsidP="00E25492">
      <w:pPr>
        <w:pStyle w:val="FootnoteText"/>
        <w:tabs>
          <w:tab w:val="left" w:pos="720"/>
          <w:tab w:val="left" w:pos="1440"/>
          <w:tab w:val="left" w:pos="2160"/>
          <w:tab w:val="left" w:pos="2880"/>
          <w:tab w:val="right" w:leader="dot" w:pos="9187"/>
        </w:tabs>
        <w:spacing w:line="240" w:lineRule="exact"/>
        <w:rPr>
          <w:rFonts w:cs="Times New Roman"/>
          <w:sz w:val="24"/>
          <w:szCs w:val="24"/>
        </w:rPr>
      </w:pP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5.</w:t>
      </w:r>
      <w:r w:rsidRPr="002E5DD3">
        <w:rPr>
          <w:rFonts w:ascii="Times New Roman" w:hAnsi="Times New Roman" w:cs="Times New Roman"/>
          <w:sz w:val="24"/>
          <w:szCs w:val="24"/>
        </w:rPr>
        <w:tab/>
        <w:t xml:space="preserve">PacifiCorp’s DCF Results are Driven by Dr. Hadaway’s </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 xml:space="preserve">Undefended Choice of Weighting Historical GDP Data </w:t>
      </w:r>
      <w:r>
        <w:rPr>
          <w:rFonts w:ascii="Times New Roman" w:hAnsi="Times New Roman" w:cs="Times New Roman"/>
          <w:sz w:val="24"/>
          <w:szCs w:val="24"/>
        </w:rPr>
        <w:tab/>
      </w:r>
      <w:r w:rsidR="00F34F0C">
        <w:rPr>
          <w:rFonts w:ascii="Times New Roman" w:hAnsi="Times New Roman" w:cs="Times New Roman"/>
          <w:sz w:val="24"/>
          <w:szCs w:val="24"/>
        </w:rPr>
        <w:t>49</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6.</w:t>
      </w:r>
      <w:r w:rsidRPr="002E5DD3">
        <w:rPr>
          <w:rFonts w:ascii="Times New Roman" w:hAnsi="Times New Roman" w:cs="Times New Roman"/>
          <w:sz w:val="24"/>
          <w:szCs w:val="24"/>
        </w:rPr>
        <w:tab/>
        <w:t>Conclusion</w:t>
      </w:r>
      <w:r>
        <w:rPr>
          <w:rFonts w:ascii="Times New Roman" w:hAnsi="Times New Roman" w:cs="Times New Roman"/>
          <w:sz w:val="24"/>
          <w:szCs w:val="24"/>
        </w:rPr>
        <w:t xml:space="preserve"> </w:t>
      </w:r>
      <w:r>
        <w:rPr>
          <w:rFonts w:ascii="Times New Roman" w:hAnsi="Times New Roman" w:cs="Times New Roman"/>
          <w:sz w:val="24"/>
          <w:szCs w:val="24"/>
        </w:rPr>
        <w:tab/>
      </w:r>
      <w:r w:rsidR="005D791A">
        <w:rPr>
          <w:rFonts w:ascii="Times New Roman" w:hAnsi="Times New Roman" w:cs="Times New Roman"/>
          <w:sz w:val="24"/>
          <w:szCs w:val="24"/>
        </w:rPr>
        <w:t>49</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sidRPr="002E5DD3">
        <w:rPr>
          <w:rFonts w:ascii="Times New Roman" w:hAnsi="Times New Roman" w:cs="Times New Roman"/>
          <w:sz w:val="24"/>
          <w:szCs w:val="24"/>
        </w:rPr>
        <w:t>D.</w:t>
      </w:r>
      <w:r w:rsidRPr="002E5DD3">
        <w:rPr>
          <w:rFonts w:ascii="Times New Roman" w:hAnsi="Times New Roman" w:cs="Times New Roman"/>
          <w:sz w:val="24"/>
          <w:szCs w:val="24"/>
        </w:rPr>
        <w:tab/>
        <w:t>Cost of Long-Term Debt</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50</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1.</w:t>
      </w:r>
      <w:r w:rsidRPr="002E5DD3">
        <w:rPr>
          <w:rFonts w:ascii="Times New Roman" w:hAnsi="Times New Roman" w:cs="Times New Roman"/>
          <w:sz w:val="24"/>
          <w:szCs w:val="24"/>
        </w:rPr>
        <w:tab/>
        <w:t xml:space="preserve">The Commission Should Make No Adjustment to the Cost of </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Long-Term Debt to Account for the Alleged “Rating Downgrade”</w:t>
      </w:r>
      <w:r>
        <w:rPr>
          <w:rFonts w:ascii="Times New Roman" w:hAnsi="Times New Roman" w:cs="Times New Roman"/>
          <w:sz w:val="24"/>
          <w:szCs w:val="24"/>
        </w:rPr>
        <w:tab/>
      </w:r>
      <w:r w:rsidR="00F34F0C">
        <w:rPr>
          <w:rFonts w:ascii="Times New Roman" w:hAnsi="Times New Roman" w:cs="Times New Roman"/>
          <w:sz w:val="24"/>
          <w:szCs w:val="24"/>
        </w:rPr>
        <w:t>50</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p>
    <w:p w:rsidR="00E25492" w:rsidRPr="002E5DD3" w:rsidRDefault="00E25492" w:rsidP="00E25492">
      <w:pPr>
        <w:tabs>
          <w:tab w:val="left" w:pos="720"/>
          <w:tab w:val="left" w:pos="1440"/>
          <w:tab w:val="left" w:pos="2160"/>
          <w:tab w:val="right" w:leader="dot" w:pos="9187"/>
        </w:tabs>
        <w:spacing w:after="0" w:line="240" w:lineRule="exact"/>
        <w:rPr>
          <w:rFonts w:ascii="Times New Roman" w:hAnsi="Times New Roman" w:cs="Times New Roman"/>
          <w:sz w:val="24"/>
          <w:szCs w:val="24"/>
        </w:rPr>
      </w:pPr>
      <w:r w:rsidRPr="002E5DD3">
        <w:rPr>
          <w:rFonts w:ascii="Times New Roman" w:hAnsi="Times New Roman" w:cs="Times New Roman"/>
          <w:sz w:val="24"/>
          <w:szCs w:val="24"/>
        </w:rPr>
        <w:t>VII.</w:t>
      </w:r>
      <w:r w:rsidRPr="002E5DD3">
        <w:rPr>
          <w:rFonts w:ascii="Times New Roman" w:hAnsi="Times New Roman" w:cs="Times New Roman"/>
          <w:sz w:val="24"/>
          <w:szCs w:val="24"/>
        </w:rPr>
        <w:tab/>
        <w:t>COST OF SERVICE</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5</w:t>
      </w:r>
      <w:r w:rsidR="005D791A">
        <w:rPr>
          <w:rFonts w:ascii="Times New Roman" w:hAnsi="Times New Roman" w:cs="Times New Roman"/>
          <w:sz w:val="24"/>
          <w:szCs w:val="24"/>
        </w:rPr>
        <w:t>1</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p>
    <w:p w:rsidR="00E25492" w:rsidRDefault="00E25492" w:rsidP="00E25492">
      <w:pPr>
        <w:tabs>
          <w:tab w:val="left" w:pos="720"/>
          <w:tab w:val="left" w:pos="1440"/>
          <w:tab w:val="left" w:pos="2160"/>
          <w:tab w:val="left" w:pos="2880"/>
          <w:tab w:val="right" w:leader="dot" w:pos="9187"/>
        </w:tabs>
        <w:spacing w:after="0" w:line="240" w:lineRule="exact"/>
        <w:ind w:left="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421D6D">
        <w:rPr>
          <w:rFonts w:ascii="Times New Roman" w:hAnsi="Times New Roman" w:cs="Times New Roman"/>
          <w:sz w:val="24"/>
          <w:szCs w:val="24"/>
        </w:rPr>
        <w:t xml:space="preserve">The Commission Should Allocate Demand Costs Using the Top 100 </w:t>
      </w:r>
    </w:p>
    <w:p w:rsidR="00E25492" w:rsidRDefault="00E25492" w:rsidP="00E25492">
      <w:pPr>
        <w:tabs>
          <w:tab w:val="left" w:pos="720"/>
          <w:tab w:val="left" w:pos="1440"/>
          <w:tab w:val="left" w:pos="2160"/>
          <w:tab w:val="left" w:pos="2880"/>
          <w:tab w:val="right" w:leader="dot" w:pos="9187"/>
        </w:tabs>
        <w:spacing w:after="0" w:line="240" w:lineRule="exact"/>
        <w:ind w:left="720"/>
        <w:rPr>
          <w:rFonts w:ascii="Times New Roman" w:hAnsi="Times New Roman" w:cs="Times New Roman"/>
          <w:sz w:val="24"/>
          <w:szCs w:val="24"/>
        </w:rPr>
      </w:pPr>
      <w:r>
        <w:rPr>
          <w:rFonts w:ascii="Times New Roman" w:hAnsi="Times New Roman" w:cs="Times New Roman"/>
          <w:sz w:val="24"/>
          <w:szCs w:val="24"/>
        </w:rPr>
        <w:tab/>
      </w:r>
      <w:r w:rsidR="00DF7F80">
        <w:rPr>
          <w:rFonts w:ascii="Times New Roman" w:hAnsi="Times New Roman" w:cs="Times New Roman"/>
          <w:sz w:val="24"/>
          <w:szCs w:val="24"/>
        </w:rPr>
        <w:t>H</w:t>
      </w:r>
      <w:r w:rsidRPr="00421D6D">
        <w:rPr>
          <w:rFonts w:ascii="Times New Roman" w:hAnsi="Times New Roman" w:cs="Times New Roman"/>
          <w:sz w:val="24"/>
          <w:szCs w:val="24"/>
        </w:rPr>
        <w:t xml:space="preserve">ours </w:t>
      </w:r>
      <w:r w:rsidR="00DF7F80">
        <w:rPr>
          <w:rFonts w:ascii="Times New Roman" w:hAnsi="Times New Roman" w:cs="Times New Roman"/>
          <w:sz w:val="24"/>
          <w:szCs w:val="24"/>
        </w:rPr>
        <w:t>F</w:t>
      </w:r>
      <w:r w:rsidRPr="00421D6D">
        <w:rPr>
          <w:rFonts w:ascii="Times New Roman" w:hAnsi="Times New Roman" w:cs="Times New Roman"/>
          <w:sz w:val="24"/>
          <w:szCs w:val="24"/>
        </w:rPr>
        <w:t xml:space="preserve">rom </w:t>
      </w:r>
      <w:r w:rsidR="00DF7F80">
        <w:rPr>
          <w:rFonts w:ascii="Times New Roman" w:hAnsi="Times New Roman" w:cs="Times New Roman"/>
          <w:sz w:val="24"/>
          <w:szCs w:val="24"/>
        </w:rPr>
        <w:t>E</w:t>
      </w:r>
      <w:r w:rsidRPr="00421D6D">
        <w:rPr>
          <w:rFonts w:ascii="Times New Roman" w:hAnsi="Times New Roman" w:cs="Times New Roman"/>
          <w:sz w:val="24"/>
          <w:szCs w:val="24"/>
        </w:rPr>
        <w:t xml:space="preserve">ach Winter and Summer; ICNU’s 71 Hour Proposal is Too </w:t>
      </w:r>
    </w:p>
    <w:p w:rsidR="00E25492" w:rsidRPr="00421D6D" w:rsidRDefault="00E25492" w:rsidP="00E25492">
      <w:pPr>
        <w:tabs>
          <w:tab w:val="left" w:pos="720"/>
          <w:tab w:val="left" w:pos="1440"/>
          <w:tab w:val="left" w:pos="2160"/>
          <w:tab w:val="right" w:leader="dot" w:pos="9187"/>
        </w:tabs>
        <w:spacing w:after="0" w:line="240" w:lineRule="exact"/>
        <w:ind w:left="720"/>
        <w:rPr>
          <w:rFonts w:ascii="Times New Roman" w:hAnsi="Times New Roman" w:cs="Times New Roman"/>
          <w:sz w:val="24"/>
          <w:szCs w:val="24"/>
        </w:rPr>
      </w:pPr>
      <w:r>
        <w:rPr>
          <w:rFonts w:ascii="Times New Roman" w:hAnsi="Times New Roman" w:cs="Times New Roman"/>
          <w:sz w:val="24"/>
          <w:szCs w:val="24"/>
        </w:rPr>
        <w:tab/>
      </w:r>
      <w:r w:rsidRPr="00421D6D">
        <w:rPr>
          <w:rFonts w:ascii="Times New Roman" w:hAnsi="Times New Roman" w:cs="Times New Roman"/>
          <w:sz w:val="24"/>
          <w:szCs w:val="24"/>
        </w:rPr>
        <w:t xml:space="preserve">Restrictive </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52</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p>
    <w:p w:rsidR="00E25492"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r w:rsidRPr="002E5DD3">
        <w:rPr>
          <w:rFonts w:ascii="Times New Roman" w:hAnsi="Times New Roman" w:cs="Times New Roman"/>
          <w:sz w:val="24"/>
          <w:szCs w:val="24"/>
        </w:rPr>
        <w:t>VIII.</w:t>
      </w:r>
      <w:r w:rsidRPr="002E5DD3">
        <w:rPr>
          <w:rFonts w:ascii="Times New Roman" w:hAnsi="Times New Roman" w:cs="Times New Roman"/>
          <w:sz w:val="24"/>
          <w:szCs w:val="24"/>
        </w:rPr>
        <w:tab/>
        <w:t>REVENUE ALLOCATION/RATE SPREAD</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53</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p>
    <w:p w:rsidR="00E25492" w:rsidRPr="002E5DD3" w:rsidRDefault="00E25492" w:rsidP="00E25492">
      <w:pPr>
        <w:pStyle w:val="ListParagraph"/>
        <w:tabs>
          <w:tab w:val="left" w:pos="720"/>
          <w:tab w:val="left" w:pos="1440"/>
          <w:tab w:val="left" w:pos="2160"/>
          <w:tab w:val="right" w:leader="dot" w:pos="9187"/>
        </w:tabs>
        <w:spacing w:after="0" w:line="240" w:lineRule="exact"/>
        <w:ind w:left="0"/>
        <w:rPr>
          <w:rFonts w:ascii="Times New Roman" w:hAnsi="Times New Roman" w:cs="Times New Roman"/>
          <w:sz w:val="24"/>
          <w:szCs w:val="24"/>
        </w:rPr>
      </w:pPr>
      <w:r w:rsidRPr="002E5DD3">
        <w:rPr>
          <w:rFonts w:ascii="Times New Roman" w:hAnsi="Times New Roman" w:cs="Times New Roman"/>
          <w:sz w:val="24"/>
          <w:szCs w:val="24"/>
        </w:rPr>
        <w:t>IX.</w:t>
      </w:r>
      <w:r w:rsidRPr="002E5DD3">
        <w:rPr>
          <w:rFonts w:ascii="Times New Roman" w:hAnsi="Times New Roman" w:cs="Times New Roman"/>
          <w:sz w:val="24"/>
          <w:szCs w:val="24"/>
        </w:rPr>
        <w:tab/>
        <w:t>RATE DESIGN</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5</w:t>
      </w:r>
      <w:r w:rsidR="005D791A">
        <w:rPr>
          <w:rFonts w:ascii="Times New Roman" w:hAnsi="Times New Roman" w:cs="Times New Roman"/>
          <w:sz w:val="24"/>
          <w:szCs w:val="24"/>
        </w:rPr>
        <w:t>4</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sidRPr="002E5DD3">
        <w:rPr>
          <w:rFonts w:ascii="Times New Roman" w:hAnsi="Times New Roman" w:cs="Times New Roman"/>
          <w:sz w:val="24"/>
          <w:szCs w:val="24"/>
        </w:rPr>
        <w:t>A.</w:t>
      </w:r>
      <w:r w:rsidRPr="002E5DD3">
        <w:rPr>
          <w:rFonts w:ascii="Times New Roman" w:hAnsi="Times New Roman" w:cs="Times New Roman"/>
          <w:sz w:val="24"/>
          <w:szCs w:val="24"/>
        </w:rPr>
        <w:tab/>
        <w:t xml:space="preserve">The Commission Should Accept a $7.50 Residential Basic Charge </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 xml:space="preserve">Because it is Cost-Based </w:t>
      </w:r>
      <w:r>
        <w:rPr>
          <w:rFonts w:ascii="Times New Roman" w:hAnsi="Times New Roman" w:cs="Times New Roman"/>
          <w:sz w:val="24"/>
          <w:szCs w:val="24"/>
        </w:rPr>
        <w:tab/>
      </w:r>
      <w:r w:rsidR="00F34F0C">
        <w:rPr>
          <w:rFonts w:ascii="Times New Roman" w:hAnsi="Times New Roman" w:cs="Times New Roman"/>
          <w:sz w:val="24"/>
          <w:szCs w:val="24"/>
        </w:rPr>
        <w:t>5</w:t>
      </w:r>
      <w:r w:rsidR="005D791A">
        <w:rPr>
          <w:rFonts w:ascii="Times New Roman" w:hAnsi="Times New Roman" w:cs="Times New Roman"/>
          <w:sz w:val="24"/>
          <w:szCs w:val="24"/>
        </w:rPr>
        <w:t>4</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p>
    <w:p w:rsidR="00E25492" w:rsidRDefault="00E25492" w:rsidP="003B2148">
      <w:pPr>
        <w:pStyle w:val="ListParagraph"/>
        <w:keepNext/>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lastRenderedPageBreak/>
        <w:tab/>
      </w:r>
      <w:r w:rsidRPr="002E5DD3">
        <w:rPr>
          <w:rFonts w:ascii="Times New Roman" w:hAnsi="Times New Roman" w:cs="Times New Roman"/>
          <w:sz w:val="24"/>
          <w:szCs w:val="24"/>
        </w:rPr>
        <w:t>B.</w:t>
      </w:r>
      <w:r w:rsidRPr="002E5DD3">
        <w:rPr>
          <w:rFonts w:ascii="Times New Roman" w:hAnsi="Times New Roman" w:cs="Times New Roman"/>
          <w:sz w:val="24"/>
          <w:szCs w:val="24"/>
        </w:rPr>
        <w:tab/>
        <w:t xml:space="preserve">The Energy Project’s Proposal to Have No Increase in the Residential </w:t>
      </w:r>
    </w:p>
    <w:p w:rsidR="005C0E7F" w:rsidRDefault="00E25492" w:rsidP="003B2148">
      <w:pPr>
        <w:pStyle w:val="ListParagraph"/>
        <w:keepNext/>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 xml:space="preserve">Basic Charge Violates Cost Causation Principles; </w:t>
      </w:r>
      <w:r w:rsidR="005C0E7F">
        <w:rPr>
          <w:rFonts w:ascii="Times New Roman" w:hAnsi="Times New Roman" w:cs="Times New Roman"/>
          <w:sz w:val="24"/>
          <w:szCs w:val="24"/>
        </w:rPr>
        <w:t xml:space="preserve">In Any Event, </w:t>
      </w:r>
    </w:p>
    <w:p w:rsidR="005C0E7F" w:rsidRDefault="005C0E7F" w:rsidP="005C0E7F">
      <w:pPr>
        <w:pStyle w:val="ListParagraph"/>
        <w:keepNext/>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25492" w:rsidRPr="002E5DD3">
        <w:rPr>
          <w:rFonts w:ascii="Times New Roman" w:hAnsi="Times New Roman" w:cs="Times New Roman"/>
          <w:sz w:val="24"/>
          <w:szCs w:val="24"/>
        </w:rPr>
        <w:t xml:space="preserve">Recovering These Costs Through Volumetric Charges Sends No </w:t>
      </w:r>
    </w:p>
    <w:p w:rsidR="00E25492" w:rsidRPr="002E5DD3" w:rsidRDefault="005C0E7F" w:rsidP="005C0E7F">
      <w:pPr>
        <w:pStyle w:val="ListParagraph"/>
        <w:keepNext/>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25492" w:rsidRPr="002E5DD3">
        <w:rPr>
          <w:rFonts w:ascii="Times New Roman" w:hAnsi="Times New Roman" w:cs="Times New Roman"/>
          <w:sz w:val="24"/>
          <w:szCs w:val="24"/>
        </w:rPr>
        <w:t>Meaningful Price Signal</w:t>
      </w:r>
      <w:r w:rsidR="00E25492">
        <w:rPr>
          <w:rFonts w:ascii="Times New Roman" w:hAnsi="Times New Roman" w:cs="Times New Roman"/>
          <w:sz w:val="24"/>
          <w:szCs w:val="24"/>
        </w:rPr>
        <w:t xml:space="preserve"> </w:t>
      </w:r>
      <w:r w:rsidR="00E25492">
        <w:rPr>
          <w:rFonts w:ascii="Times New Roman" w:hAnsi="Times New Roman" w:cs="Times New Roman"/>
          <w:sz w:val="24"/>
          <w:szCs w:val="24"/>
        </w:rPr>
        <w:tab/>
      </w:r>
      <w:r w:rsidR="00F34F0C">
        <w:rPr>
          <w:rFonts w:ascii="Times New Roman" w:hAnsi="Times New Roman" w:cs="Times New Roman"/>
          <w:sz w:val="24"/>
          <w:szCs w:val="24"/>
        </w:rPr>
        <w:t>55</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sidRPr="002E5DD3">
        <w:rPr>
          <w:rFonts w:ascii="Times New Roman" w:hAnsi="Times New Roman" w:cs="Times New Roman"/>
          <w:sz w:val="24"/>
          <w:szCs w:val="24"/>
        </w:rPr>
        <w:t>X.</w:t>
      </w:r>
      <w:r w:rsidRPr="002E5DD3">
        <w:rPr>
          <w:rFonts w:ascii="Times New Roman" w:hAnsi="Times New Roman" w:cs="Times New Roman"/>
          <w:sz w:val="24"/>
          <w:szCs w:val="24"/>
        </w:rPr>
        <w:tab/>
        <w:t>LOW INCOME ISSUES</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5</w:t>
      </w:r>
      <w:r w:rsidR="005D791A">
        <w:rPr>
          <w:rFonts w:ascii="Times New Roman" w:hAnsi="Times New Roman" w:cs="Times New Roman"/>
          <w:sz w:val="24"/>
          <w:szCs w:val="24"/>
        </w:rPr>
        <w:t>5</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r>
        <w:rPr>
          <w:rFonts w:ascii="Times New Roman" w:hAnsi="Times New Roman" w:cs="Times New Roman"/>
          <w:sz w:val="24"/>
          <w:szCs w:val="24"/>
        </w:rPr>
        <w:tab/>
      </w:r>
      <w:r w:rsidRPr="002E5DD3">
        <w:rPr>
          <w:rFonts w:ascii="Times New Roman" w:hAnsi="Times New Roman" w:cs="Times New Roman"/>
          <w:sz w:val="24"/>
          <w:szCs w:val="24"/>
        </w:rPr>
        <w:t>A.</w:t>
      </w:r>
      <w:r w:rsidRPr="002E5DD3">
        <w:rPr>
          <w:rFonts w:ascii="Times New Roman" w:hAnsi="Times New Roman" w:cs="Times New Roman"/>
          <w:sz w:val="24"/>
          <w:szCs w:val="24"/>
        </w:rPr>
        <w:tab/>
        <w:t>Low Income Bill Assistance (LIBA)</w:t>
      </w:r>
      <w:r>
        <w:rPr>
          <w:rFonts w:ascii="Times New Roman" w:hAnsi="Times New Roman" w:cs="Times New Roman"/>
          <w:sz w:val="24"/>
          <w:szCs w:val="24"/>
        </w:rPr>
        <w:tab/>
      </w:r>
      <w:r w:rsidR="00F34F0C">
        <w:rPr>
          <w:rFonts w:ascii="Times New Roman" w:hAnsi="Times New Roman" w:cs="Times New Roman"/>
          <w:sz w:val="24"/>
          <w:szCs w:val="24"/>
        </w:rPr>
        <w:t>56</w:t>
      </w:r>
    </w:p>
    <w:p w:rsidR="00E25492" w:rsidRPr="002E5DD3"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p>
    <w:p w:rsidR="00E25492" w:rsidRDefault="00E25492" w:rsidP="00E25492">
      <w:pPr>
        <w:tabs>
          <w:tab w:val="left" w:pos="720"/>
          <w:tab w:val="left" w:pos="1440"/>
          <w:tab w:val="left" w:pos="2160"/>
          <w:tab w:val="left" w:pos="2880"/>
          <w:tab w:val="right" w:leader="dot" w:pos="9187"/>
        </w:tabs>
        <w:spacing w:after="0" w:line="240" w:lineRule="exact"/>
        <w:ind w:left="720"/>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r>
      <w:r w:rsidRPr="00421D6D">
        <w:rPr>
          <w:rFonts w:ascii="Times New Roman" w:hAnsi="Times New Roman" w:cs="Times New Roman"/>
          <w:sz w:val="24"/>
          <w:szCs w:val="24"/>
        </w:rPr>
        <w:t xml:space="preserve">The Increase in LIBA Funding Should be Used to Welcome </w:t>
      </w:r>
    </w:p>
    <w:p w:rsidR="00E25492" w:rsidRDefault="00E25492" w:rsidP="00E25492">
      <w:pPr>
        <w:tabs>
          <w:tab w:val="left" w:pos="720"/>
          <w:tab w:val="left" w:pos="1440"/>
          <w:tab w:val="left" w:pos="2160"/>
          <w:tab w:val="left" w:pos="2880"/>
          <w:tab w:val="right" w:leader="dot" w:pos="9187"/>
        </w:tabs>
        <w:spacing w:after="0" w:line="240" w:lineRule="exact"/>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21D6D">
        <w:rPr>
          <w:rFonts w:ascii="Times New Roman" w:hAnsi="Times New Roman" w:cs="Times New Roman"/>
          <w:sz w:val="24"/>
          <w:szCs w:val="24"/>
        </w:rPr>
        <w:t xml:space="preserve">More Needy </w:t>
      </w:r>
      <w:r>
        <w:rPr>
          <w:rFonts w:ascii="Times New Roman" w:hAnsi="Times New Roman" w:cs="Times New Roman"/>
          <w:sz w:val="24"/>
          <w:szCs w:val="24"/>
        </w:rPr>
        <w:t>Households</w:t>
      </w:r>
      <w:r w:rsidRPr="00421D6D">
        <w:rPr>
          <w:rFonts w:ascii="Times New Roman" w:hAnsi="Times New Roman" w:cs="Times New Roman"/>
          <w:sz w:val="24"/>
          <w:szCs w:val="24"/>
        </w:rPr>
        <w:t xml:space="preserve"> Without More of an Increase in </w:t>
      </w:r>
    </w:p>
    <w:p w:rsidR="00E25492" w:rsidRPr="00421D6D" w:rsidRDefault="00E25492" w:rsidP="00E25492">
      <w:pPr>
        <w:tabs>
          <w:tab w:val="left" w:pos="720"/>
          <w:tab w:val="left" w:pos="1440"/>
          <w:tab w:val="left" w:pos="2160"/>
          <w:tab w:val="left" w:pos="2880"/>
          <w:tab w:val="right" w:leader="dot" w:pos="9187"/>
        </w:tabs>
        <w:spacing w:after="0" w:line="240" w:lineRule="exact"/>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21D6D">
        <w:rPr>
          <w:rFonts w:ascii="Times New Roman" w:hAnsi="Times New Roman" w:cs="Times New Roman"/>
          <w:sz w:val="24"/>
          <w:szCs w:val="24"/>
        </w:rPr>
        <w:t>Funding Than PacifiCorp Proposes</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5</w:t>
      </w:r>
      <w:r w:rsidR="005D791A">
        <w:rPr>
          <w:rFonts w:ascii="Times New Roman" w:hAnsi="Times New Roman" w:cs="Times New Roman"/>
          <w:sz w:val="24"/>
          <w:szCs w:val="24"/>
        </w:rPr>
        <w:t>6</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p>
    <w:p w:rsidR="00E25492"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2.</w:t>
      </w:r>
      <w:r w:rsidRPr="002E5DD3">
        <w:rPr>
          <w:rFonts w:ascii="Times New Roman" w:hAnsi="Times New Roman" w:cs="Times New Roman"/>
          <w:sz w:val="24"/>
          <w:szCs w:val="24"/>
        </w:rPr>
        <w:tab/>
        <w:t xml:space="preserve">The Commission Should Change the Low Income Customer </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Certification Process to Improve Efficiency</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57</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p>
    <w:p w:rsidR="00E25492"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3.</w:t>
      </w:r>
      <w:r w:rsidRPr="002E5DD3">
        <w:rPr>
          <w:rFonts w:ascii="Times New Roman" w:hAnsi="Times New Roman" w:cs="Times New Roman"/>
          <w:sz w:val="24"/>
          <w:szCs w:val="24"/>
        </w:rPr>
        <w:tab/>
        <w:t xml:space="preserve">There is No Justification for </w:t>
      </w:r>
      <w:r w:rsidR="00DF7F80">
        <w:rPr>
          <w:rFonts w:ascii="Times New Roman" w:hAnsi="Times New Roman" w:cs="Times New Roman"/>
          <w:sz w:val="24"/>
          <w:szCs w:val="24"/>
        </w:rPr>
        <w:t xml:space="preserve">Increasing </w:t>
      </w:r>
      <w:r w:rsidRPr="002E5DD3">
        <w:rPr>
          <w:rFonts w:ascii="Times New Roman" w:hAnsi="Times New Roman" w:cs="Times New Roman"/>
          <w:sz w:val="24"/>
          <w:szCs w:val="24"/>
        </w:rPr>
        <w:t xml:space="preserve">the Low Income </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5DD3">
        <w:rPr>
          <w:rFonts w:ascii="Times New Roman" w:hAnsi="Times New Roman" w:cs="Times New Roman"/>
          <w:sz w:val="24"/>
          <w:szCs w:val="24"/>
        </w:rPr>
        <w:t>Customer Certification Fee</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58</w:t>
      </w:r>
    </w:p>
    <w:p w:rsidR="00E25492" w:rsidRPr="002E5DD3" w:rsidRDefault="00E25492" w:rsidP="00E25492">
      <w:pPr>
        <w:tabs>
          <w:tab w:val="left" w:pos="720"/>
          <w:tab w:val="left" w:pos="1440"/>
          <w:tab w:val="left" w:pos="2160"/>
          <w:tab w:val="left" w:pos="2880"/>
          <w:tab w:val="right" w:leader="dot" w:pos="9187"/>
        </w:tabs>
        <w:spacing w:after="0" w:line="240" w:lineRule="exact"/>
        <w:rPr>
          <w:rFonts w:ascii="Times New Roman" w:hAnsi="Times New Roman" w:cs="Times New Roman"/>
          <w:sz w:val="24"/>
          <w:szCs w:val="24"/>
        </w:rPr>
      </w:pPr>
    </w:p>
    <w:p w:rsidR="00F34F0C"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sidRPr="002E5DD3">
        <w:rPr>
          <w:rFonts w:ascii="Times New Roman" w:hAnsi="Times New Roman" w:cs="Times New Roman"/>
          <w:sz w:val="24"/>
          <w:szCs w:val="24"/>
        </w:rPr>
        <w:t>B.</w:t>
      </w:r>
      <w:r w:rsidRPr="002E5DD3">
        <w:rPr>
          <w:rFonts w:ascii="Times New Roman" w:hAnsi="Times New Roman" w:cs="Times New Roman"/>
          <w:sz w:val="24"/>
          <w:szCs w:val="24"/>
        </w:rPr>
        <w:tab/>
        <w:t xml:space="preserve">Low </w:t>
      </w:r>
      <w:r w:rsidR="00DF7F80">
        <w:rPr>
          <w:rFonts w:ascii="Times New Roman" w:hAnsi="Times New Roman" w:cs="Times New Roman"/>
          <w:sz w:val="24"/>
          <w:szCs w:val="24"/>
        </w:rPr>
        <w:t>I</w:t>
      </w:r>
      <w:r w:rsidRPr="002E5DD3">
        <w:rPr>
          <w:rFonts w:ascii="Times New Roman" w:hAnsi="Times New Roman" w:cs="Times New Roman"/>
          <w:sz w:val="24"/>
          <w:szCs w:val="24"/>
        </w:rPr>
        <w:t xml:space="preserve">ncome </w:t>
      </w:r>
      <w:r w:rsidR="00DF7F80">
        <w:rPr>
          <w:rFonts w:ascii="Times New Roman" w:hAnsi="Times New Roman" w:cs="Times New Roman"/>
          <w:sz w:val="24"/>
          <w:szCs w:val="24"/>
        </w:rPr>
        <w:t>W</w:t>
      </w:r>
      <w:r w:rsidRPr="002E5DD3">
        <w:rPr>
          <w:rFonts w:ascii="Times New Roman" w:hAnsi="Times New Roman" w:cs="Times New Roman"/>
          <w:sz w:val="24"/>
          <w:szCs w:val="24"/>
        </w:rPr>
        <w:t>eatherization</w:t>
      </w:r>
      <w:r>
        <w:rPr>
          <w:rFonts w:ascii="Times New Roman" w:hAnsi="Times New Roman" w:cs="Times New Roman"/>
          <w:sz w:val="24"/>
          <w:szCs w:val="24"/>
        </w:rPr>
        <w:t xml:space="preserve"> </w:t>
      </w:r>
      <w:r w:rsidR="00DF7F80">
        <w:rPr>
          <w:rFonts w:ascii="Times New Roman" w:hAnsi="Times New Roman" w:cs="Times New Roman"/>
          <w:sz w:val="24"/>
          <w:szCs w:val="24"/>
        </w:rPr>
        <w:t xml:space="preserve">Issues are Not </w:t>
      </w:r>
      <w:r w:rsidR="00F34F0C">
        <w:rPr>
          <w:rFonts w:ascii="Times New Roman" w:hAnsi="Times New Roman" w:cs="Times New Roman"/>
          <w:sz w:val="24"/>
          <w:szCs w:val="24"/>
        </w:rPr>
        <w:t xml:space="preserve">Properly </w:t>
      </w:r>
    </w:p>
    <w:p w:rsidR="00E25492" w:rsidRPr="002E5DD3" w:rsidRDefault="00F34F0C"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F7F80">
        <w:rPr>
          <w:rFonts w:ascii="Times New Roman" w:hAnsi="Times New Roman" w:cs="Times New Roman"/>
          <w:sz w:val="24"/>
          <w:szCs w:val="24"/>
        </w:rPr>
        <w:t>Before the Commission</w:t>
      </w:r>
      <w:r w:rsidR="00E25492">
        <w:rPr>
          <w:rFonts w:ascii="Times New Roman" w:hAnsi="Times New Roman" w:cs="Times New Roman"/>
          <w:sz w:val="24"/>
          <w:szCs w:val="24"/>
        </w:rPr>
        <w:tab/>
      </w:r>
      <w:r>
        <w:rPr>
          <w:rFonts w:ascii="Times New Roman" w:hAnsi="Times New Roman" w:cs="Times New Roman"/>
          <w:sz w:val="24"/>
          <w:szCs w:val="24"/>
        </w:rPr>
        <w:t>59</w:t>
      </w:r>
    </w:p>
    <w:p w:rsidR="00E25492" w:rsidRDefault="00E25492" w:rsidP="00E25492">
      <w:pPr>
        <w:pStyle w:val="ListParagraph"/>
        <w:tabs>
          <w:tab w:val="left" w:pos="720"/>
          <w:tab w:val="left" w:pos="1440"/>
          <w:tab w:val="left" w:pos="2160"/>
          <w:tab w:val="left" w:pos="2880"/>
          <w:tab w:val="right" w:leader="dot" w:pos="9187"/>
        </w:tabs>
        <w:spacing w:after="0" w:line="240" w:lineRule="exact"/>
        <w:ind w:left="0"/>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right" w:leader="dot" w:pos="9187"/>
        </w:tabs>
        <w:spacing w:after="0" w:line="240" w:lineRule="exact"/>
        <w:ind w:left="0"/>
        <w:rPr>
          <w:rFonts w:ascii="Times New Roman" w:hAnsi="Times New Roman" w:cs="Times New Roman"/>
          <w:sz w:val="24"/>
          <w:szCs w:val="24"/>
        </w:rPr>
      </w:pPr>
      <w:r w:rsidRPr="002E5DD3">
        <w:rPr>
          <w:rFonts w:ascii="Times New Roman" w:hAnsi="Times New Roman" w:cs="Times New Roman"/>
          <w:sz w:val="24"/>
          <w:szCs w:val="24"/>
        </w:rPr>
        <w:t>XI.</w:t>
      </w:r>
      <w:r w:rsidRPr="002E5DD3">
        <w:rPr>
          <w:rFonts w:ascii="Times New Roman" w:hAnsi="Times New Roman" w:cs="Times New Roman"/>
          <w:sz w:val="24"/>
          <w:szCs w:val="24"/>
        </w:rPr>
        <w:tab/>
        <w:t>CONCLUSION</w:t>
      </w:r>
      <w:r>
        <w:rPr>
          <w:rFonts w:ascii="Times New Roman" w:hAnsi="Times New Roman" w:cs="Times New Roman"/>
          <w:sz w:val="24"/>
          <w:szCs w:val="24"/>
        </w:rPr>
        <w:t xml:space="preserve"> </w:t>
      </w:r>
      <w:r>
        <w:rPr>
          <w:rFonts w:ascii="Times New Roman" w:hAnsi="Times New Roman" w:cs="Times New Roman"/>
          <w:sz w:val="24"/>
          <w:szCs w:val="24"/>
        </w:rPr>
        <w:tab/>
      </w:r>
      <w:r w:rsidR="00F34F0C">
        <w:rPr>
          <w:rFonts w:ascii="Times New Roman" w:hAnsi="Times New Roman" w:cs="Times New Roman"/>
          <w:sz w:val="24"/>
          <w:szCs w:val="24"/>
        </w:rPr>
        <w:t>60</w:t>
      </w:r>
    </w:p>
    <w:p w:rsidR="00E25492" w:rsidRDefault="00E25492" w:rsidP="00E25492">
      <w:pPr>
        <w:spacing w:after="0" w:line="240" w:lineRule="exact"/>
        <w:rPr>
          <w:rFonts w:ascii="Times New Roman" w:hAnsi="Times New Roman" w:cs="Times New Roman"/>
          <w:b/>
          <w:sz w:val="24"/>
          <w:szCs w:val="24"/>
        </w:rPr>
      </w:pPr>
    </w:p>
    <w:p w:rsidR="00F34F0C" w:rsidRDefault="00F34F0C" w:rsidP="00E25492">
      <w:pPr>
        <w:spacing w:after="0" w:line="240" w:lineRule="exact"/>
        <w:rPr>
          <w:rFonts w:ascii="Times New Roman" w:hAnsi="Times New Roman" w:cs="Times New Roman"/>
          <w:b/>
          <w:sz w:val="24"/>
          <w:szCs w:val="24"/>
        </w:rPr>
      </w:pPr>
    </w:p>
    <w:p w:rsidR="00F34F0C" w:rsidRDefault="00F34F0C" w:rsidP="00E25492">
      <w:pPr>
        <w:spacing w:after="0" w:line="240" w:lineRule="exact"/>
        <w:rPr>
          <w:rFonts w:ascii="Times New Roman" w:hAnsi="Times New Roman" w:cs="Times New Roman"/>
          <w:b/>
          <w:sz w:val="24"/>
          <w:szCs w:val="24"/>
        </w:rPr>
      </w:pPr>
    </w:p>
    <w:p w:rsidR="00F34F0C" w:rsidRDefault="00F34F0C" w:rsidP="00E25492">
      <w:pPr>
        <w:spacing w:after="0" w:line="240" w:lineRule="exact"/>
        <w:rPr>
          <w:rFonts w:ascii="Times New Roman" w:hAnsi="Times New Roman" w:cs="Times New Roman"/>
          <w:b/>
          <w:sz w:val="24"/>
          <w:szCs w:val="24"/>
        </w:rPr>
      </w:pPr>
    </w:p>
    <w:p w:rsidR="00F34F0C" w:rsidRDefault="00F34F0C" w:rsidP="00E25492">
      <w:pPr>
        <w:spacing w:after="0" w:line="240" w:lineRule="exact"/>
        <w:rPr>
          <w:rFonts w:ascii="Times New Roman" w:hAnsi="Times New Roman" w:cs="Times New Roman"/>
          <w:b/>
          <w:sz w:val="24"/>
          <w:szCs w:val="24"/>
        </w:rPr>
      </w:pPr>
    </w:p>
    <w:p w:rsidR="00F34F0C" w:rsidRDefault="00F34F0C" w:rsidP="00E25492">
      <w:pPr>
        <w:spacing w:after="0" w:line="240" w:lineRule="exact"/>
        <w:rPr>
          <w:rFonts w:ascii="Times New Roman" w:hAnsi="Times New Roman" w:cs="Times New Roman"/>
          <w:b/>
          <w:sz w:val="24"/>
          <w:szCs w:val="24"/>
        </w:rPr>
      </w:pPr>
    </w:p>
    <w:p w:rsidR="00E25492" w:rsidRDefault="005C0E7F" w:rsidP="00E25492">
      <w:pPr>
        <w:pStyle w:val="ListParagraph"/>
        <w:tabs>
          <w:tab w:val="left" w:pos="720"/>
          <w:tab w:val="left" w:pos="1440"/>
          <w:tab w:val="left" w:pos="2160"/>
          <w:tab w:val="right" w:leader="dot" w:pos="9187"/>
        </w:tabs>
        <w:spacing w:after="0" w:line="240" w:lineRule="exact"/>
        <w:ind w:left="0"/>
        <w:jc w:val="center"/>
        <w:rPr>
          <w:rFonts w:ascii="Times New Roman" w:hAnsi="Times New Roman" w:cs="Times New Roman"/>
          <w:sz w:val="24"/>
          <w:szCs w:val="24"/>
        </w:rPr>
      </w:pPr>
      <w:r>
        <w:rPr>
          <w:rFonts w:ascii="Times New Roman" w:hAnsi="Times New Roman" w:cs="Times New Roman"/>
          <w:b/>
          <w:sz w:val="24"/>
          <w:szCs w:val="24"/>
        </w:rPr>
        <w:t>APPENDIC</w:t>
      </w:r>
      <w:r w:rsidR="00E25492">
        <w:rPr>
          <w:rFonts w:ascii="Times New Roman" w:hAnsi="Times New Roman" w:cs="Times New Roman"/>
          <w:b/>
          <w:sz w:val="24"/>
          <w:szCs w:val="24"/>
        </w:rPr>
        <w:t>ES</w:t>
      </w:r>
    </w:p>
    <w:p w:rsidR="00E25492" w:rsidRDefault="00E25492" w:rsidP="00E25492">
      <w:pPr>
        <w:pStyle w:val="ListParagraph"/>
        <w:tabs>
          <w:tab w:val="left" w:pos="720"/>
          <w:tab w:val="left" w:pos="1440"/>
          <w:tab w:val="left" w:pos="2160"/>
          <w:tab w:val="right" w:leader="dot" w:pos="9187"/>
        </w:tabs>
        <w:spacing w:after="0" w:line="240" w:lineRule="exact"/>
        <w:ind w:left="0"/>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right" w:leader="dot" w:pos="9187"/>
        </w:tabs>
        <w:spacing w:after="0" w:line="240" w:lineRule="exact"/>
        <w:ind w:left="0"/>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right" w:leader="dot" w:pos="9187"/>
        </w:tabs>
        <w:spacing w:after="0" w:line="240" w:lineRule="exact"/>
        <w:ind w:left="0"/>
        <w:rPr>
          <w:rFonts w:ascii="Times New Roman" w:hAnsi="Times New Roman" w:cs="Times New Roman"/>
          <w:sz w:val="24"/>
          <w:szCs w:val="24"/>
        </w:rPr>
      </w:pPr>
      <w:r>
        <w:rPr>
          <w:rFonts w:ascii="Times New Roman" w:hAnsi="Times New Roman" w:cs="Times New Roman"/>
          <w:sz w:val="24"/>
          <w:szCs w:val="24"/>
        </w:rPr>
        <w:t>1.</w:t>
      </w:r>
      <w:r w:rsidR="00FB66A9">
        <w:rPr>
          <w:rFonts w:ascii="Times New Roman" w:hAnsi="Times New Roman" w:cs="Times New Roman"/>
          <w:sz w:val="24"/>
          <w:szCs w:val="24"/>
        </w:rPr>
        <w:tab/>
      </w:r>
      <w:r w:rsidR="00A74E85">
        <w:rPr>
          <w:rFonts w:ascii="Times New Roman" w:hAnsi="Times New Roman" w:cs="Times New Roman"/>
          <w:sz w:val="24"/>
          <w:szCs w:val="24"/>
        </w:rPr>
        <w:t xml:space="preserve">Staff Revenue Requirements Summary </w:t>
      </w:r>
      <w:r w:rsidR="00FB66A9">
        <w:rPr>
          <w:rFonts w:ascii="Times New Roman" w:hAnsi="Times New Roman" w:cs="Times New Roman"/>
          <w:sz w:val="24"/>
          <w:szCs w:val="24"/>
        </w:rPr>
        <w:t xml:space="preserve"> </w:t>
      </w:r>
    </w:p>
    <w:p w:rsidR="00E25492" w:rsidRDefault="00E25492" w:rsidP="00E25492">
      <w:pPr>
        <w:pStyle w:val="ListParagraph"/>
        <w:tabs>
          <w:tab w:val="left" w:pos="720"/>
          <w:tab w:val="left" w:pos="1440"/>
          <w:tab w:val="left" w:pos="2160"/>
          <w:tab w:val="right" w:leader="dot" w:pos="9187"/>
        </w:tabs>
        <w:spacing w:after="0" w:line="240" w:lineRule="exact"/>
        <w:ind w:left="0"/>
        <w:rPr>
          <w:rFonts w:ascii="Times New Roman" w:hAnsi="Times New Roman" w:cs="Times New Roman"/>
          <w:sz w:val="24"/>
          <w:szCs w:val="24"/>
        </w:rPr>
      </w:pPr>
    </w:p>
    <w:p w:rsidR="001107F3" w:rsidRDefault="00E25492" w:rsidP="00E53BCF">
      <w:pPr>
        <w:pStyle w:val="ListParagraph"/>
        <w:tabs>
          <w:tab w:val="left" w:pos="720"/>
          <w:tab w:val="left" w:pos="1440"/>
          <w:tab w:val="left" w:pos="2160"/>
          <w:tab w:val="right" w:leader="dot" w:pos="9187"/>
        </w:tabs>
        <w:spacing w:after="0" w:line="240" w:lineRule="exact"/>
        <w:ind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031C41">
        <w:rPr>
          <w:rFonts w:ascii="Times New Roman" w:hAnsi="Times New Roman" w:cs="Times New Roman"/>
          <w:sz w:val="24"/>
          <w:szCs w:val="24"/>
        </w:rPr>
        <w:t xml:space="preserve">Revenue Requirement Impact of Staff Adjustments </w:t>
      </w:r>
    </w:p>
    <w:p w:rsidR="00E25492" w:rsidRDefault="00E25492" w:rsidP="00E25492">
      <w:pPr>
        <w:pStyle w:val="ListParagraph"/>
        <w:tabs>
          <w:tab w:val="left" w:pos="720"/>
          <w:tab w:val="left" w:pos="1440"/>
          <w:tab w:val="left" w:pos="2160"/>
          <w:tab w:val="right" w:leader="dot" w:pos="9187"/>
        </w:tabs>
        <w:spacing w:after="0" w:line="240" w:lineRule="exact"/>
        <w:ind w:left="0"/>
        <w:rPr>
          <w:rFonts w:ascii="Times New Roman" w:hAnsi="Times New Roman" w:cs="Times New Roman"/>
          <w:sz w:val="24"/>
          <w:szCs w:val="24"/>
        </w:rPr>
      </w:pPr>
    </w:p>
    <w:p w:rsidR="00E53BCF" w:rsidRDefault="00E25492" w:rsidP="00E53BCF">
      <w:pPr>
        <w:pStyle w:val="ListParagraph"/>
        <w:tabs>
          <w:tab w:val="left" w:pos="720"/>
          <w:tab w:val="left" w:pos="1440"/>
          <w:tab w:val="left" w:pos="2160"/>
          <w:tab w:val="right" w:leader="dot" w:pos="9187"/>
        </w:tabs>
        <w:spacing w:after="0" w:line="240" w:lineRule="exact"/>
        <w:ind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E53BCF">
        <w:rPr>
          <w:rFonts w:ascii="Times New Roman" w:hAnsi="Times New Roman" w:cs="Times New Roman"/>
          <w:sz w:val="24"/>
          <w:szCs w:val="24"/>
        </w:rPr>
        <w:t xml:space="preserve">Summary of Staff’s Remaining Proposed Adjustments to the Pro-forma Net Power Costs </w:t>
      </w:r>
    </w:p>
    <w:p w:rsidR="001107F3" w:rsidRPr="001107F3" w:rsidRDefault="001107F3" w:rsidP="001107F3">
      <w:pPr>
        <w:pStyle w:val="ListParagraph"/>
        <w:tabs>
          <w:tab w:val="left" w:pos="720"/>
          <w:tab w:val="left" w:pos="1440"/>
          <w:tab w:val="left" w:pos="2160"/>
          <w:tab w:val="right" w:leader="dot" w:pos="9187"/>
        </w:tabs>
        <w:spacing w:after="0" w:line="240" w:lineRule="exact"/>
        <w:ind w:left="0"/>
        <w:rPr>
          <w:rFonts w:ascii="Times New Roman" w:hAnsi="Times New Roman" w:cs="Times New Roman"/>
          <w:sz w:val="24"/>
          <w:szCs w:val="24"/>
        </w:rPr>
      </w:pPr>
    </w:p>
    <w:p w:rsidR="00E25492" w:rsidRDefault="00E25492" w:rsidP="00E25492">
      <w:pPr>
        <w:pStyle w:val="ListParagraph"/>
        <w:tabs>
          <w:tab w:val="left" w:pos="720"/>
          <w:tab w:val="left" w:pos="1440"/>
          <w:tab w:val="left" w:pos="2160"/>
          <w:tab w:val="right" w:leader="dot" w:pos="9187"/>
        </w:tabs>
        <w:spacing w:after="0" w:line="240" w:lineRule="exact"/>
        <w:ind w:left="0"/>
        <w:rPr>
          <w:rFonts w:ascii="Times New Roman" w:hAnsi="Times New Roman" w:cs="Times New Roman"/>
          <w:sz w:val="24"/>
          <w:szCs w:val="24"/>
        </w:rPr>
      </w:pPr>
    </w:p>
    <w:p w:rsidR="00E25492" w:rsidRDefault="00E25492" w:rsidP="00E25492">
      <w:pPr>
        <w:spacing w:after="0" w:line="240" w:lineRule="exact"/>
        <w:rPr>
          <w:rFonts w:ascii="Times New Roman" w:hAnsi="Times New Roman" w:cs="Times New Roman"/>
          <w:sz w:val="24"/>
          <w:szCs w:val="24"/>
        </w:rPr>
      </w:pPr>
      <w:r>
        <w:rPr>
          <w:rFonts w:ascii="Times New Roman" w:hAnsi="Times New Roman" w:cs="Times New Roman"/>
          <w:sz w:val="24"/>
          <w:szCs w:val="24"/>
        </w:rPr>
        <w:br w:type="page"/>
      </w:r>
    </w:p>
    <w:p w:rsidR="00E25492" w:rsidRDefault="00E25492" w:rsidP="00E25492">
      <w:pPr>
        <w:tabs>
          <w:tab w:val="left" w:pos="720"/>
          <w:tab w:val="left" w:pos="1440"/>
          <w:tab w:val="left" w:pos="2160"/>
          <w:tab w:val="right" w:leader="dot" w:pos="9180"/>
        </w:tabs>
        <w:spacing w:after="0" w:line="240" w:lineRule="exact"/>
        <w:jc w:val="center"/>
        <w:rPr>
          <w:rFonts w:ascii="Times New Roman" w:hAnsi="Times New Roman" w:cs="Times New Roman"/>
          <w:sz w:val="24"/>
          <w:szCs w:val="24"/>
        </w:rPr>
      </w:pPr>
      <w:r>
        <w:rPr>
          <w:rFonts w:ascii="Times New Roman" w:hAnsi="Times New Roman" w:cs="Times New Roman"/>
          <w:b/>
          <w:sz w:val="24"/>
          <w:szCs w:val="24"/>
        </w:rPr>
        <w:lastRenderedPageBreak/>
        <w:t>TABLE OF AUTHORITIES</w:t>
      </w:r>
    </w:p>
    <w:p w:rsidR="00E25492"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Pr="00906EB6" w:rsidRDefault="00E25492" w:rsidP="00E25492">
      <w:pPr>
        <w:tabs>
          <w:tab w:val="left" w:pos="720"/>
          <w:tab w:val="left" w:pos="1440"/>
          <w:tab w:val="left" w:pos="2160"/>
          <w:tab w:val="right" w:leader="dot" w:pos="9180"/>
        </w:tabs>
        <w:spacing w:after="0" w:line="240" w:lineRule="exact"/>
        <w:jc w:val="center"/>
        <w:rPr>
          <w:rFonts w:ascii="Times New Roman" w:hAnsi="Times New Roman" w:cs="Times New Roman"/>
          <w:b/>
          <w:sz w:val="24"/>
          <w:szCs w:val="24"/>
        </w:rPr>
      </w:pPr>
      <w:r w:rsidRPr="00906EB6">
        <w:rPr>
          <w:rFonts w:ascii="Times New Roman" w:hAnsi="Times New Roman" w:cs="Times New Roman"/>
          <w:b/>
          <w:i/>
          <w:sz w:val="24"/>
          <w:szCs w:val="24"/>
        </w:rPr>
        <w:t>Cases</w:t>
      </w:r>
    </w:p>
    <w:p w:rsidR="00E25492"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B00398" w:rsidRDefault="00E25492" w:rsidP="00E25492">
      <w:pPr>
        <w:tabs>
          <w:tab w:val="left" w:pos="720"/>
          <w:tab w:val="left" w:pos="1440"/>
          <w:tab w:val="left" w:pos="2160"/>
          <w:tab w:val="right" w:leader="dot" w:pos="9180"/>
        </w:tabs>
        <w:spacing w:after="0" w:line="240" w:lineRule="exact"/>
        <w:rPr>
          <w:rFonts w:ascii="Times New Roman" w:hAnsi="Times New Roman" w:cs="Times New Roman"/>
          <w:i/>
          <w:sz w:val="24"/>
          <w:szCs w:val="24"/>
        </w:rPr>
      </w:pPr>
      <w:r>
        <w:rPr>
          <w:rFonts w:ascii="Times New Roman" w:hAnsi="Times New Roman" w:cs="Times New Roman"/>
          <w:i/>
          <w:sz w:val="24"/>
          <w:szCs w:val="24"/>
        </w:rPr>
        <w:t xml:space="preserve">Bluefield Water Works and Improvement Co. v. Public Service Commission </w:t>
      </w:r>
    </w:p>
    <w:p w:rsidR="00E25492" w:rsidRDefault="00E25492" w:rsidP="00E25492">
      <w:pPr>
        <w:tabs>
          <w:tab w:val="left" w:pos="720"/>
          <w:tab w:val="left" w:pos="1440"/>
          <w:tab w:val="left" w:pos="2160"/>
          <w:tab w:val="right" w:leader="dot" w:pos="9180"/>
        </w:tabs>
        <w:spacing w:after="0" w:line="240" w:lineRule="exact"/>
        <w:rPr>
          <w:rFonts w:ascii="Times New Roman" w:hAnsi="Times New Roman" w:cs="Times New Roman"/>
          <w:i/>
          <w:sz w:val="24"/>
          <w:szCs w:val="24"/>
        </w:rPr>
      </w:pPr>
      <w:r>
        <w:rPr>
          <w:rFonts w:ascii="Times New Roman" w:hAnsi="Times New Roman" w:cs="Times New Roman"/>
          <w:i/>
          <w:sz w:val="24"/>
          <w:szCs w:val="24"/>
        </w:rPr>
        <w:t xml:space="preserve">of West Virginia, </w:t>
      </w:r>
    </w:p>
    <w:p w:rsidR="00E25492"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262 U.S. 679, 692 (1923) </w:t>
      </w:r>
      <w:r>
        <w:rPr>
          <w:rFonts w:ascii="Times New Roman" w:hAnsi="Times New Roman" w:cs="Times New Roman"/>
          <w:sz w:val="24"/>
          <w:szCs w:val="24"/>
        </w:rPr>
        <w:tab/>
      </w:r>
      <w:r w:rsidR="00F454D6">
        <w:rPr>
          <w:rFonts w:ascii="Times New Roman" w:hAnsi="Times New Roman" w:cs="Times New Roman"/>
          <w:sz w:val="24"/>
          <w:szCs w:val="24"/>
        </w:rPr>
        <w:t xml:space="preserve">43, </w:t>
      </w:r>
      <w:r>
        <w:rPr>
          <w:rFonts w:ascii="Times New Roman" w:hAnsi="Times New Roman" w:cs="Times New Roman"/>
          <w:sz w:val="24"/>
          <w:szCs w:val="24"/>
        </w:rPr>
        <w:t>4</w:t>
      </w:r>
      <w:r w:rsidR="00930ACB">
        <w:rPr>
          <w:rFonts w:ascii="Times New Roman" w:hAnsi="Times New Roman" w:cs="Times New Roman"/>
          <w:sz w:val="24"/>
          <w:szCs w:val="24"/>
        </w:rPr>
        <w:t>4</w:t>
      </w:r>
    </w:p>
    <w:p w:rsidR="00E25492" w:rsidRPr="001B72A7"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sidRPr="00BD1C51">
        <w:rPr>
          <w:rFonts w:ascii="Times New Roman" w:hAnsi="Times New Roman" w:cs="Times New Roman"/>
          <w:i/>
          <w:sz w:val="24"/>
          <w:szCs w:val="24"/>
        </w:rPr>
        <w:t>Federal Power Commission v. Hope Natural Gas Co.</w:t>
      </w:r>
      <w:r w:rsidRPr="00BD1C51">
        <w:rPr>
          <w:rFonts w:ascii="Times New Roman" w:hAnsi="Times New Roman" w:cs="Times New Roman"/>
          <w:sz w:val="24"/>
          <w:szCs w:val="24"/>
        </w:rPr>
        <w:t xml:space="preserve">, </w:t>
      </w:r>
    </w:p>
    <w:p w:rsidR="00E25492" w:rsidRPr="00BD1C51"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Pr>
          <w:rFonts w:ascii="Times New Roman" w:hAnsi="Times New Roman" w:cs="Times New Roman"/>
          <w:sz w:val="24"/>
          <w:szCs w:val="24"/>
        </w:rPr>
        <w:tab/>
      </w:r>
      <w:r w:rsidRPr="00BD1C51">
        <w:rPr>
          <w:rFonts w:ascii="Times New Roman" w:hAnsi="Times New Roman" w:cs="Times New Roman"/>
          <w:sz w:val="24"/>
          <w:szCs w:val="24"/>
        </w:rPr>
        <w:t>320 U.S. 591, 603 (1942)</w:t>
      </w:r>
      <w:r>
        <w:rPr>
          <w:rFonts w:ascii="Times New Roman" w:hAnsi="Times New Roman" w:cs="Times New Roman"/>
          <w:sz w:val="24"/>
          <w:szCs w:val="24"/>
        </w:rPr>
        <w:tab/>
      </w:r>
      <w:r w:rsidR="00F454D6">
        <w:rPr>
          <w:rFonts w:ascii="Times New Roman" w:hAnsi="Times New Roman" w:cs="Times New Roman"/>
          <w:sz w:val="24"/>
          <w:szCs w:val="24"/>
        </w:rPr>
        <w:t xml:space="preserve">37, </w:t>
      </w:r>
      <w:r>
        <w:rPr>
          <w:rFonts w:ascii="Times New Roman" w:hAnsi="Times New Roman" w:cs="Times New Roman"/>
          <w:sz w:val="24"/>
          <w:szCs w:val="24"/>
        </w:rPr>
        <w:t>3</w:t>
      </w:r>
      <w:r w:rsidR="00930ACB">
        <w:rPr>
          <w:rFonts w:ascii="Times New Roman" w:hAnsi="Times New Roman" w:cs="Times New Roman"/>
          <w:sz w:val="24"/>
          <w:szCs w:val="24"/>
        </w:rPr>
        <w:t>9</w:t>
      </w:r>
      <w:r>
        <w:rPr>
          <w:rFonts w:ascii="Times New Roman" w:hAnsi="Times New Roman" w:cs="Times New Roman"/>
          <w:sz w:val="24"/>
          <w:szCs w:val="24"/>
        </w:rPr>
        <w:t>, 4</w:t>
      </w:r>
      <w:r w:rsidR="00F454D6">
        <w:rPr>
          <w:rFonts w:ascii="Times New Roman" w:hAnsi="Times New Roman" w:cs="Times New Roman"/>
          <w:sz w:val="24"/>
          <w:szCs w:val="24"/>
        </w:rPr>
        <w:t>4</w:t>
      </w:r>
    </w:p>
    <w:p w:rsidR="00E25492"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Pr="00906EB6" w:rsidRDefault="00E25492" w:rsidP="00E25492">
      <w:pPr>
        <w:tabs>
          <w:tab w:val="left" w:pos="720"/>
          <w:tab w:val="left" w:pos="1440"/>
          <w:tab w:val="left" w:pos="2160"/>
          <w:tab w:val="right" w:leader="dot" w:pos="9180"/>
        </w:tabs>
        <w:spacing w:after="0" w:line="240" w:lineRule="exact"/>
        <w:jc w:val="center"/>
        <w:rPr>
          <w:rFonts w:ascii="Times New Roman" w:hAnsi="Times New Roman" w:cs="Times New Roman"/>
          <w:b/>
          <w:sz w:val="24"/>
          <w:szCs w:val="24"/>
        </w:rPr>
      </w:pPr>
      <w:r w:rsidRPr="00906EB6">
        <w:rPr>
          <w:rFonts w:ascii="Times New Roman" w:hAnsi="Times New Roman" w:cs="Times New Roman"/>
          <w:b/>
          <w:i/>
          <w:sz w:val="24"/>
          <w:szCs w:val="24"/>
        </w:rPr>
        <w:t>Administrative Authorities</w:t>
      </w:r>
    </w:p>
    <w:p w:rsidR="00E25492"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Pr="00FD740E" w:rsidRDefault="00E25492" w:rsidP="00E25492">
      <w:pPr>
        <w:tabs>
          <w:tab w:val="left" w:pos="720"/>
          <w:tab w:val="left" w:pos="1440"/>
          <w:tab w:val="left" w:pos="2160"/>
          <w:tab w:val="right" w:leader="dot" w:pos="9180"/>
        </w:tabs>
        <w:spacing w:after="0" w:line="240" w:lineRule="exact"/>
        <w:rPr>
          <w:rFonts w:ascii="Times New Roman" w:hAnsi="Times New Roman" w:cs="Times New Roman"/>
          <w:i/>
          <w:sz w:val="24"/>
          <w:szCs w:val="24"/>
        </w:rPr>
      </w:pPr>
      <w:r w:rsidRPr="00FD740E">
        <w:rPr>
          <w:rFonts w:ascii="Times New Roman" w:hAnsi="Times New Roman" w:cs="Times New Roman"/>
          <w:i/>
          <w:sz w:val="24"/>
          <w:szCs w:val="24"/>
        </w:rPr>
        <w:t xml:space="preserve">Joint Application of MidAmerican Energy Holdings Company and PacifiCorp, </w:t>
      </w:r>
    </w:p>
    <w:p w:rsidR="00E25492"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sidRPr="00FD740E">
        <w:rPr>
          <w:rFonts w:ascii="Times New Roman" w:hAnsi="Times New Roman" w:cs="Times New Roman"/>
          <w:i/>
          <w:sz w:val="24"/>
          <w:szCs w:val="24"/>
        </w:rPr>
        <w:tab/>
      </w:r>
      <w:r w:rsidRPr="00FD740E">
        <w:rPr>
          <w:rFonts w:ascii="Times New Roman" w:hAnsi="Times New Roman" w:cs="Times New Roman"/>
          <w:sz w:val="24"/>
          <w:szCs w:val="24"/>
        </w:rPr>
        <w:t>Docket UE-051090, Order 07 (February 23, 2006)</w:t>
      </w:r>
      <w:r>
        <w:rPr>
          <w:rFonts w:ascii="Times New Roman" w:hAnsi="Times New Roman" w:cs="Times New Roman"/>
          <w:sz w:val="24"/>
          <w:szCs w:val="24"/>
        </w:rPr>
        <w:t xml:space="preserve"> </w:t>
      </w:r>
      <w:r w:rsidRPr="00FD740E">
        <w:rPr>
          <w:rFonts w:ascii="Times New Roman" w:hAnsi="Times New Roman" w:cs="Times New Roman"/>
          <w:sz w:val="24"/>
          <w:szCs w:val="24"/>
        </w:rPr>
        <w:tab/>
      </w:r>
      <w:r>
        <w:rPr>
          <w:rFonts w:ascii="Times New Roman" w:hAnsi="Times New Roman" w:cs="Times New Roman"/>
          <w:sz w:val="24"/>
          <w:szCs w:val="24"/>
        </w:rPr>
        <w:t>1</w:t>
      </w:r>
      <w:r w:rsidR="00930ACB">
        <w:rPr>
          <w:rFonts w:ascii="Times New Roman" w:hAnsi="Times New Roman" w:cs="Times New Roman"/>
          <w:sz w:val="24"/>
          <w:szCs w:val="24"/>
        </w:rPr>
        <w:t>4</w:t>
      </w:r>
    </w:p>
    <w:p w:rsidR="00E25492"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Pr="00FD740E"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sidRPr="00FD740E">
        <w:rPr>
          <w:rFonts w:ascii="Times New Roman" w:hAnsi="Times New Roman" w:cs="Times New Roman"/>
          <w:i/>
          <w:sz w:val="24"/>
          <w:szCs w:val="24"/>
        </w:rPr>
        <w:t>Petition of PacifiCorp,</w:t>
      </w:r>
      <w:r w:rsidRPr="00FD740E">
        <w:rPr>
          <w:rFonts w:ascii="Times New Roman" w:hAnsi="Times New Roman" w:cs="Times New Roman"/>
          <w:sz w:val="24"/>
          <w:szCs w:val="24"/>
        </w:rPr>
        <w:t xml:space="preserve"> </w:t>
      </w:r>
    </w:p>
    <w:p w:rsidR="00E25492" w:rsidRPr="00BD1C51"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sidRPr="00FD740E">
        <w:rPr>
          <w:rFonts w:ascii="Times New Roman" w:hAnsi="Times New Roman" w:cs="Times New Roman"/>
          <w:sz w:val="24"/>
          <w:szCs w:val="24"/>
        </w:rPr>
        <w:tab/>
        <w:t>Docket UE-020714, Third Supplemental Order (September 27, 2002)</w:t>
      </w:r>
      <w:r w:rsidRPr="00FD740E">
        <w:rPr>
          <w:rFonts w:ascii="Times New Roman" w:hAnsi="Times New Roman" w:cs="Times New Roman"/>
          <w:sz w:val="24"/>
          <w:szCs w:val="24"/>
        </w:rPr>
        <w:tab/>
      </w:r>
      <w:r w:rsidRPr="00BD1C51">
        <w:rPr>
          <w:rFonts w:ascii="Times New Roman" w:hAnsi="Times New Roman" w:cs="Times New Roman"/>
          <w:iCs/>
          <w:sz w:val="24"/>
          <w:szCs w:val="24"/>
        </w:rPr>
        <w:t>.</w:t>
      </w:r>
      <w:r w:rsidR="00930ACB">
        <w:rPr>
          <w:rFonts w:ascii="Times New Roman" w:hAnsi="Times New Roman" w:cs="Times New Roman"/>
          <w:iCs/>
          <w:sz w:val="24"/>
          <w:szCs w:val="24"/>
        </w:rPr>
        <w:t>9</w:t>
      </w:r>
    </w:p>
    <w:p w:rsidR="00E25492" w:rsidRPr="00FD740E"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Pr="00F5309F" w:rsidRDefault="00E25492" w:rsidP="00E25492">
      <w:pPr>
        <w:tabs>
          <w:tab w:val="left" w:pos="720"/>
          <w:tab w:val="left" w:pos="1440"/>
          <w:tab w:val="left" w:pos="2160"/>
          <w:tab w:val="right" w:leader="dot" w:pos="9180"/>
        </w:tabs>
        <w:spacing w:after="0" w:line="240" w:lineRule="exact"/>
        <w:rPr>
          <w:rFonts w:ascii="Times New Roman" w:hAnsi="Times New Roman" w:cs="Times New Roman"/>
          <w:i/>
          <w:sz w:val="24"/>
          <w:szCs w:val="24"/>
        </w:rPr>
      </w:pPr>
      <w:r w:rsidRPr="00F5309F">
        <w:rPr>
          <w:rFonts w:ascii="Times New Roman" w:hAnsi="Times New Roman" w:cs="Times New Roman"/>
          <w:i/>
          <w:sz w:val="24"/>
          <w:szCs w:val="24"/>
        </w:rPr>
        <w:t xml:space="preserve">Utilities and Transportation Commission v. Avista Corp., </w:t>
      </w:r>
    </w:p>
    <w:p w:rsidR="005D791A"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sidRPr="00F5309F">
        <w:rPr>
          <w:rFonts w:ascii="Times New Roman" w:hAnsi="Times New Roman" w:cs="Times New Roman"/>
          <w:i/>
          <w:sz w:val="24"/>
          <w:szCs w:val="24"/>
        </w:rPr>
        <w:tab/>
      </w:r>
      <w:r w:rsidRPr="00F5309F">
        <w:rPr>
          <w:rFonts w:ascii="Times New Roman" w:hAnsi="Times New Roman" w:cs="Times New Roman"/>
          <w:sz w:val="24"/>
          <w:szCs w:val="24"/>
        </w:rPr>
        <w:t xml:space="preserve">Dockets UE-991606 and UG-991607 </w:t>
      </w:r>
    </w:p>
    <w:p w:rsidR="00E25492" w:rsidRPr="00F5309F" w:rsidRDefault="005D791A"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Pr>
          <w:rFonts w:ascii="Times New Roman" w:hAnsi="Times New Roman" w:cs="Times New Roman"/>
          <w:sz w:val="24"/>
          <w:szCs w:val="24"/>
        </w:rPr>
        <w:tab/>
      </w:r>
      <w:r w:rsidR="00E25492" w:rsidRPr="00F5309F">
        <w:rPr>
          <w:rFonts w:ascii="Times New Roman" w:hAnsi="Times New Roman" w:cs="Times New Roman"/>
          <w:sz w:val="24"/>
          <w:szCs w:val="24"/>
        </w:rPr>
        <w:t xml:space="preserve">Third Supplemental Order (September 29, 2000) </w:t>
      </w:r>
      <w:r w:rsidR="00E25492" w:rsidRPr="00F5309F">
        <w:rPr>
          <w:rFonts w:ascii="Times New Roman" w:hAnsi="Times New Roman" w:cs="Times New Roman"/>
          <w:sz w:val="24"/>
          <w:szCs w:val="24"/>
        </w:rPr>
        <w:tab/>
      </w:r>
      <w:r w:rsidR="00E25492">
        <w:rPr>
          <w:rFonts w:ascii="Times New Roman" w:hAnsi="Times New Roman" w:cs="Times New Roman"/>
          <w:sz w:val="24"/>
          <w:szCs w:val="24"/>
        </w:rPr>
        <w:t>9</w:t>
      </w:r>
    </w:p>
    <w:p w:rsidR="00E25492"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Pr="009739F6" w:rsidRDefault="005D791A"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Pr>
          <w:rFonts w:ascii="Times New Roman" w:hAnsi="Times New Roman" w:cs="Times New Roman"/>
          <w:sz w:val="24"/>
          <w:szCs w:val="24"/>
        </w:rPr>
        <w:tab/>
      </w:r>
      <w:r w:rsidR="00E25492" w:rsidRPr="009739F6">
        <w:rPr>
          <w:rFonts w:ascii="Times New Roman" w:hAnsi="Times New Roman" w:cs="Times New Roman"/>
          <w:sz w:val="24"/>
          <w:szCs w:val="24"/>
        </w:rPr>
        <w:t>Fourth Supplemental Order on Reconsidera</w:t>
      </w:r>
      <w:r w:rsidR="00E25492">
        <w:rPr>
          <w:rFonts w:ascii="Times New Roman" w:hAnsi="Times New Roman" w:cs="Times New Roman"/>
          <w:sz w:val="24"/>
          <w:szCs w:val="24"/>
        </w:rPr>
        <w:t xml:space="preserve">tion (November 9, 2000) </w:t>
      </w:r>
      <w:r w:rsidR="00E25492">
        <w:rPr>
          <w:rFonts w:ascii="Times New Roman" w:hAnsi="Times New Roman" w:cs="Times New Roman"/>
          <w:sz w:val="24"/>
          <w:szCs w:val="24"/>
        </w:rPr>
        <w:tab/>
        <w:t>9</w:t>
      </w:r>
    </w:p>
    <w:p w:rsidR="00E25492" w:rsidRPr="009739F6"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Pr="003D7B36"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sidRPr="003D7B36">
        <w:rPr>
          <w:rFonts w:ascii="Times New Roman" w:hAnsi="Times New Roman" w:cs="Times New Roman"/>
          <w:i/>
          <w:sz w:val="24"/>
          <w:szCs w:val="24"/>
        </w:rPr>
        <w:t>Utilities &amp; Transportation Commission v. Pacific Power &amp; Light Co.,</w:t>
      </w:r>
      <w:r w:rsidRPr="003D7B36">
        <w:rPr>
          <w:rFonts w:ascii="Times New Roman" w:hAnsi="Times New Roman" w:cs="Times New Roman"/>
          <w:sz w:val="24"/>
          <w:szCs w:val="24"/>
        </w:rPr>
        <w:t xml:space="preserve"> </w:t>
      </w:r>
    </w:p>
    <w:p w:rsidR="00E25492" w:rsidRPr="003D7B36"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sidRPr="003D7B36">
        <w:rPr>
          <w:rFonts w:ascii="Times New Roman" w:hAnsi="Times New Roman" w:cs="Times New Roman"/>
          <w:sz w:val="24"/>
          <w:szCs w:val="24"/>
        </w:rPr>
        <w:tab/>
        <w:t>Docket</w:t>
      </w:r>
      <w:r w:rsidR="00F454D6">
        <w:rPr>
          <w:rFonts w:ascii="Times New Roman" w:hAnsi="Times New Roman" w:cs="Times New Roman"/>
          <w:sz w:val="24"/>
          <w:szCs w:val="24"/>
        </w:rPr>
        <w:t>s</w:t>
      </w:r>
      <w:r w:rsidRPr="003D7B36">
        <w:rPr>
          <w:rFonts w:ascii="Times New Roman" w:hAnsi="Times New Roman" w:cs="Times New Roman"/>
          <w:sz w:val="24"/>
          <w:szCs w:val="24"/>
        </w:rPr>
        <w:t xml:space="preserve"> U-82-12 and 35, </w:t>
      </w:r>
      <w:r w:rsidR="005D791A">
        <w:rPr>
          <w:rFonts w:ascii="Times New Roman" w:hAnsi="Times New Roman" w:cs="Times New Roman"/>
          <w:sz w:val="24"/>
          <w:szCs w:val="24"/>
        </w:rPr>
        <w:t>Fourth</w:t>
      </w:r>
      <w:r w:rsidRPr="003D7B36">
        <w:rPr>
          <w:rFonts w:ascii="Times New Roman" w:hAnsi="Times New Roman" w:cs="Times New Roman"/>
          <w:sz w:val="24"/>
          <w:szCs w:val="24"/>
        </w:rPr>
        <w:t xml:space="preserve"> Supplemental Order (February 2, 1983) </w:t>
      </w:r>
      <w:r w:rsidRPr="003D7B36">
        <w:rPr>
          <w:rFonts w:ascii="Times New Roman" w:hAnsi="Times New Roman" w:cs="Times New Roman"/>
          <w:sz w:val="24"/>
          <w:szCs w:val="24"/>
        </w:rPr>
        <w:tab/>
        <w:t>4</w:t>
      </w:r>
      <w:r w:rsidR="005D791A">
        <w:rPr>
          <w:rFonts w:ascii="Times New Roman" w:hAnsi="Times New Roman" w:cs="Times New Roman"/>
          <w:sz w:val="24"/>
          <w:szCs w:val="24"/>
        </w:rPr>
        <w:t>2</w:t>
      </w:r>
    </w:p>
    <w:p w:rsidR="00E25492" w:rsidRPr="003D7B36"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Pr="00AE1FD6" w:rsidRDefault="00E25492" w:rsidP="00E25492">
      <w:pPr>
        <w:tabs>
          <w:tab w:val="left" w:pos="720"/>
          <w:tab w:val="left" w:pos="1440"/>
          <w:tab w:val="left" w:pos="2160"/>
          <w:tab w:val="right" w:leader="dot" w:pos="9180"/>
        </w:tabs>
        <w:spacing w:after="0" w:line="240" w:lineRule="exact"/>
        <w:rPr>
          <w:rFonts w:ascii="Times New Roman" w:hAnsi="Times New Roman" w:cs="Times New Roman"/>
          <w:i/>
          <w:sz w:val="24"/>
          <w:szCs w:val="24"/>
        </w:rPr>
      </w:pPr>
      <w:r w:rsidRPr="00AE1FD6">
        <w:rPr>
          <w:rFonts w:ascii="Times New Roman" w:hAnsi="Times New Roman" w:cs="Times New Roman"/>
          <w:i/>
          <w:sz w:val="24"/>
          <w:szCs w:val="24"/>
        </w:rPr>
        <w:t xml:space="preserve">Utilities and Transportation Commission vs. PacifiCorp, </w:t>
      </w:r>
    </w:p>
    <w:p w:rsidR="00E25492"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sidRPr="00AE1FD6">
        <w:rPr>
          <w:rFonts w:ascii="Times New Roman" w:hAnsi="Times New Roman" w:cs="Times New Roman"/>
          <w:i/>
          <w:sz w:val="24"/>
          <w:szCs w:val="24"/>
        </w:rPr>
        <w:tab/>
      </w:r>
      <w:r w:rsidRPr="00AE1FD6">
        <w:rPr>
          <w:rFonts w:ascii="Times New Roman" w:hAnsi="Times New Roman" w:cs="Times New Roman"/>
          <w:sz w:val="24"/>
          <w:szCs w:val="24"/>
        </w:rPr>
        <w:t xml:space="preserve">Docket UE-940947, Commission Decision and Order Granting </w:t>
      </w:r>
    </w:p>
    <w:p w:rsidR="00E25492" w:rsidRPr="00AE1FD6"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Pr>
          <w:rFonts w:ascii="Times New Roman" w:hAnsi="Times New Roman" w:cs="Times New Roman"/>
          <w:sz w:val="24"/>
          <w:szCs w:val="24"/>
        </w:rPr>
        <w:tab/>
      </w:r>
      <w:r w:rsidRPr="00AE1FD6">
        <w:rPr>
          <w:rFonts w:ascii="Times New Roman" w:hAnsi="Times New Roman" w:cs="Times New Roman"/>
          <w:sz w:val="24"/>
          <w:szCs w:val="24"/>
        </w:rPr>
        <w:t xml:space="preserve">Authorization </w:t>
      </w:r>
      <w:r>
        <w:rPr>
          <w:rFonts w:ascii="Times New Roman" w:hAnsi="Times New Roman" w:cs="Times New Roman"/>
          <w:sz w:val="24"/>
          <w:szCs w:val="24"/>
        </w:rPr>
        <w:t xml:space="preserve">(September 14, 1994) </w:t>
      </w:r>
      <w:r>
        <w:rPr>
          <w:rFonts w:ascii="Times New Roman" w:hAnsi="Times New Roman" w:cs="Times New Roman"/>
          <w:sz w:val="24"/>
          <w:szCs w:val="24"/>
        </w:rPr>
        <w:tab/>
        <w:t>9</w:t>
      </w:r>
    </w:p>
    <w:p w:rsidR="00E25492"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Pr="00FD740E" w:rsidRDefault="00E25492" w:rsidP="00E25492">
      <w:pPr>
        <w:tabs>
          <w:tab w:val="left" w:pos="720"/>
          <w:tab w:val="left" w:pos="1440"/>
          <w:tab w:val="left" w:pos="2160"/>
          <w:tab w:val="right" w:leader="dot" w:pos="9180"/>
        </w:tabs>
        <w:spacing w:after="0" w:line="240" w:lineRule="exact"/>
        <w:rPr>
          <w:rFonts w:ascii="Times New Roman" w:hAnsi="Times New Roman" w:cs="Times New Roman"/>
          <w:i/>
          <w:sz w:val="24"/>
          <w:szCs w:val="24"/>
        </w:rPr>
      </w:pPr>
      <w:r w:rsidRPr="00FD740E">
        <w:rPr>
          <w:rFonts w:ascii="Times New Roman" w:hAnsi="Times New Roman" w:cs="Times New Roman"/>
          <w:i/>
          <w:sz w:val="24"/>
          <w:szCs w:val="24"/>
        </w:rPr>
        <w:t xml:space="preserve">Utilities and Transportation Commission v. PacifiCorp, </w:t>
      </w:r>
    </w:p>
    <w:p w:rsidR="004767A9"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sidRPr="00FD740E">
        <w:rPr>
          <w:rFonts w:ascii="Times New Roman" w:hAnsi="Times New Roman" w:cs="Times New Roman"/>
          <w:i/>
          <w:sz w:val="24"/>
          <w:szCs w:val="24"/>
        </w:rPr>
        <w:tab/>
      </w:r>
      <w:r w:rsidRPr="00FD740E">
        <w:rPr>
          <w:rFonts w:ascii="Times New Roman" w:hAnsi="Times New Roman" w:cs="Times New Roman"/>
          <w:sz w:val="24"/>
          <w:szCs w:val="24"/>
        </w:rPr>
        <w:t>Docket UE-050684</w:t>
      </w:r>
    </w:p>
    <w:p w:rsidR="00E25492" w:rsidRPr="00FD740E" w:rsidRDefault="004767A9"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Pr>
          <w:rFonts w:ascii="Times New Roman" w:hAnsi="Times New Roman" w:cs="Times New Roman"/>
          <w:sz w:val="24"/>
          <w:szCs w:val="24"/>
        </w:rPr>
        <w:tab/>
      </w:r>
      <w:r w:rsidR="00E25492" w:rsidRPr="00FD740E">
        <w:rPr>
          <w:rFonts w:ascii="Times New Roman" w:hAnsi="Times New Roman" w:cs="Times New Roman"/>
          <w:sz w:val="24"/>
          <w:szCs w:val="24"/>
        </w:rPr>
        <w:t xml:space="preserve">Order 03 (June 9, 2005) </w:t>
      </w:r>
      <w:r w:rsidR="00E25492" w:rsidRPr="00FD740E">
        <w:rPr>
          <w:rFonts w:ascii="Times New Roman" w:hAnsi="Times New Roman" w:cs="Times New Roman"/>
          <w:sz w:val="24"/>
          <w:szCs w:val="24"/>
        </w:rPr>
        <w:tab/>
      </w:r>
      <w:r w:rsidR="00E25492">
        <w:rPr>
          <w:rFonts w:ascii="Times New Roman" w:hAnsi="Times New Roman" w:cs="Times New Roman"/>
          <w:sz w:val="24"/>
          <w:szCs w:val="24"/>
        </w:rPr>
        <w:t>14</w:t>
      </w:r>
      <w:r w:rsidR="00930ACB">
        <w:rPr>
          <w:rFonts w:ascii="Times New Roman" w:hAnsi="Times New Roman" w:cs="Times New Roman"/>
          <w:sz w:val="24"/>
          <w:szCs w:val="24"/>
        </w:rPr>
        <w:t>, 41</w:t>
      </w:r>
    </w:p>
    <w:p w:rsidR="00E25492"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Pr="00FD740E" w:rsidRDefault="004767A9"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Pr>
          <w:rFonts w:ascii="Times New Roman" w:hAnsi="Times New Roman" w:cs="Times New Roman"/>
          <w:sz w:val="24"/>
          <w:szCs w:val="24"/>
        </w:rPr>
        <w:tab/>
      </w:r>
      <w:r w:rsidR="00E25492" w:rsidRPr="00FD740E">
        <w:rPr>
          <w:rFonts w:ascii="Times New Roman" w:hAnsi="Times New Roman" w:cs="Times New Roman"/>
          <w:sz w:val="24"/>
          <w:szCs w:val="24"/>
        </w:rPr>
        <w:t>Order 0</w:t>
      </w:r>
      <w:r w:rsidR="00E25492">
        <w:rPr>
          <w:rFonts w:ascii="Times New Roman" w:hAnsi="Times New Roman" w:cs="Times New Roman"/>
          <w:sz w:val="24"/>
          <w:szCs w:val="24"/>
        </w:rPr>
        <w:t>4</w:t>
      </w:r>
      <w:r w:rsidR="00E25492" w:rsidRPr="00FD740E">
        <w:rPr>
          <w:rFonts w:ascii="Times New Roman" w:hAnsi="Times New Roman" w:cs="Times New Roman"/>
          <w:sz w:val="24"/>
          <w:szCs w:val="24"/>
        </w:rPr>
        <w:t xml:space="preserve"> (</w:t>
      </w:r>
      <w:r w:rsidR="00E25492">
        <w:rPr>
          <w:rFonts w:ascii="Times New Roman" w:hAnsi="Times New Roman" w:cs="Times New Roman"/>
          <w:sz w:val="24"/>
          <w:szCs w:val="24"/>
        </w:rPr>
        <w:t>April 17, 2006</w:t>
      </w:r>
      <w:r w:rsidR="00E25492" w:rsidRPr="00FD740E">
        <w:rPr>
          <w:rFonts w:ascii="Times New Roman" w:hAnsi="Times New Roman" w:cs="Times New Roman"/>
          <w:sz w:val="24"/>
          <w:szCs w:val="24"/>
        </w:rPr>
        <w:t xml:space="preserve">) </w:t>
      </w:r>
      <w:r w:rsidR="00E25492" w:rsidRPr="00FD740E">
        <w:rPr>
          <w:rFonts w:ascii="Times New Roman" w:hAnsi="Times New Roman" w:cs="Times New Roman"/>
          <w:sz w:val="24"/>
          <w:szCs w:val="24"/>
        </w:rPr>
        <w:tab/>
      </w:r>
      <w:r w:rsidR="00E25492">
        <w:rPr>
          <w:rFonts w:ascii="Times New Roman" w:hAnsi="Times New Roman" w:cs="Times New Roman"/>
          <w:sz w:val="24"/>
          <w:szCs w:val="24"/>
        </w:rPr>
        <w:t>2</w:t>
      </w:r>
      <w:r w:rsidR="00F454D6">
        <w:rPr>
          <w:rFonts w:ascii="Times New Roman" w:hAnsi="Times New Roman" w:cs="Times New Roman"/>
          <w:sz w:val="24"/>
          <w:szCs w:val="24"/>
        </w:rPr>
        <w:t>5</w:t>
      </w:r>
      <w:r w:rsidR="00E25492">
        <w:rPr>
          <w:rFonts w:ascii="Times New Roman" w:hAnsi="Times New Roman" w:cs="Times New Roman"/>
          <w:sz w:val="24"/>
          <w:szCs w:val="24"/>
        </w:rPr>
        <w:t>, 4</w:t>
      </w:r>
      <w:r w:rsidR="00930ACB">
        <w:rPr>
          <w:rFonts w:ascii="Times New Roman" w:hAnsi="Times New Roman" w:cs="Times New Roman"/>
          <w:sz w:val="24"/>
          <w:szCs w:val="24"/>
        </w:rPr>
        <w:t>3</w:t>
      </w:r>
      <w:r w:rsidR="00E25492">
        <w:rPr>
          <w:rFonts w:ascii="Times New Roman" w:hAnsi="Times New Roman" w:cs="Times New Roman"/>
          <w:sz w:val="24"/>
          <w:szCs w:val="24"/>
        </w:rPr>
        <w:t>, 44, 4</w:t>
      </w:r>
      <w:r w:rsidR="00930ACB">
        <w:rPr>
          <w:rFonts w:ascii="Times New Roman" w:hAnsi="Times New Roman" w:cs="Times New Roman"/>
          <w:sz w:val="24"/>
          <w:szCs w:val="24"/>
        </w:rPr>
        <w:t>8</w:t>
      </w:r>
      <w:r w:rsidR="00E25492">
        <w:rPr>
          <w:rFonts w:ascii="Times New Roman" w:hAnsi="Times New Roman" w:cs="Times New Roman"/>
          <w:sz w:val="24"/>
          <w:szCs w:val="24"/>
        </w:rPr>
        <w:t xml:space="preserve">, </w:t>
      </w:r>
      <w:r w:rsidR="00930ACB">
        <w:rPr>
          <w:rFonts w:ascii="Times New Roman" w:hAnsi="Times New Roman" w:cs="Times New Roman"/>
          <w:sz w:val="24"/>
          <w:szCs w:val="24"/>
        </w:rPr>
        <w:t>49</w:t>
      </w:r>
    </w:p>
    <w:p w:rsidR="00E25492"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Pr="00AC6ACA" w:rsidRDefault="00E25492" w:rsidP="00E25492">
      <w:pPr>
        <w:tabs>
          <w:tab w:val="left" w:pos="720"/>
          <w:tab w:val="left" w:pos="1440"/>
          <w:tab w:val="left" w:pos="2160"/>
          <w:tab w:val="right" w:leader="dot" w:pos="9180"/>
        </w:tabs>
        <w:spacing w:after="0" w:line="240" w:lineRule="exact"/>
        <w:rPr>
          <w:rFonts w:ascii="Times New Roman" w:hAnsi="Times New Roman" w:cs="Times New Roman"/>
          <w:i/>
          <w:sz w:val="24"/>
          <w:szCs w:val="24"/>
        </w:rPr>
      </w:pPr>
      <w:r w:rsidRPr="00AC6ACA">
        <w:rPr>
          <w:rFonts w:ascii="Times New Roman" w:hAnsi="Times New Roman" w:cs="Times New Roman"/>
          <w:i/>
          <w:sz w:val="24"/>
          <w:szCs w:val="24"/>
        </w:rPr>
        <w:t xml:space="preserve">Utilities and Transportation Commission v. PacifiCorp, </w:t>
      </w:r>
    </w:p>
    <w:p w:rsidR="00E25492"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sidRPr="00AC6ACA">
        <w:rPr>
          <w:rFonts w:ascii="Times New Roman" w:hAnsi="Times New Roman" w:cs="Times New Roman"/>
          <w:i/>
          <w:sz w:val="24"/>
          <w:szCs w:val="24"/>
        </w:rPr>
        <w:tab/>
      </w:r>
      <w:r w:rsidRPr="00AC6ACA">
        <w:rPr>
          <w:rFonts w:ascii="Times New Roman" w:hAnsi="Times New Roman" w:cs="Times New Roman"/>
          <w:sz w:val="24"/>
          <w:szCs w:val="24"/>
        </w:rPr>
        <w:t xml:space="preserve">Docket UE-061546 and UE-060817 (consolidated), Order 08 </w:t>
      </w:r>
    </w:p>
    <w:p w:rsidR="00E25492" w:rsidRPr="00AC6ACA"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Pr>
          <w:rFonts w:ascii="Times New Roman" w:hAnsi="Times New Roman" w:cs="Times New Roman"/>
          <w:sz w:val="24"/>
          <w:szCs w:val="24"/>
        </w:rPr>
        <w:tab/>
      </w:r>
      <w:r w:rsidRPr="00AC6ACA">
        <w:rPr>
          <w:rFonts w:ascii="Times New Roman" w:hAnsi="Times New Roman" w:cs="Times New Roman"/>
          <w:sz w:val="24"/>
          <w:szCs w:val="24"/>
        </w:rPr>
        <w:t xml:space="preserve">(June 21, 2007) </w:t>
      </w:r>
      <w:r w:rsidRPr="00AC6ACA">
        <w:rPr>
          <w:rFonts w:ascii="Times New Roman" w:hAnsi="Times New Roman" w:cs="Times New Roman"/>
          <w:sz w:val="24"/>
          <w:szCs w:val="24"/>
        </w:rPr>
        <w:tab/>
        <w:t>2</w:t>
      </w:r>
      <w:r w:rsidR="00F454D6">
        <w:rPr>
          <w:rFonts w:ascii="Times New Roman" w:hAnsi="Times New Roman" w:cs="Times New Roman"/>
          <w:sz w:val="24"/>
          <w:szCs w:val="24"/>
        </w:rPr>
        <w:t>5</w:t>
      </w:r>
      <w:r w:rsidRPr="00AC6ACA">
        <w:rPr>
          <w:rFonts w:ascii="Times New Roman" w:hAnsi="Times New Roman" w:cs="Times New Roman"/>
          <w:sz w:val="24"/>
          <w:szCs w:val="24"/>
        </w:rPr>
        <w:t>, 2</w:t>
      </w:r>
      <w:r w:rsidR="00930ACB">
        <w:rPr>
          <w:rFonts w:ascii="Times New Roman" w:hAnsi="Times New Roman" w:cs="Times New Roman"/>
          <w:sz w:val="24"/>
          <w:szCs w:val="24"/>
        </w:rPr>
        <w:t>7</w:t>
      </w:r>
      <w:r w:rsidRPr="00AC6ACA">
        <w:rPr>
          <w:rFonts w:ascii="Times New Roman" w:hAnsi="Times New Roman" w:cs="Times New Roman"/>
          <w:sz w:val="24"/>
          <w:szCs w:val="24"/>
        </w:rPr>
        <w:t>, 3</w:t>
      </w:r>
      <w:r w:rsidR="00930ACB">
        <w:rPr>
          <w:rFonts w:ascii="Times New Roman" w:hAnsi="Times New Roman" w:cs="Times New Roman"/>
          <w:sz w:val="24"/>
          <w:szCs w:val="24"/>
        </w:rPr>
        <w:t>4</w:t>
      </w:r>
    </w:p>
    <w:p w:rsidR="00E25492" w:rsidRPr="00AC6ACA"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Default="00E25492" w:rsidP="00E25492">
      <w:pPr>
        <w:tabs>
          <w:tab w:val="left" w:pos="720"/>
          <w:tab w:val="left" w:pos="1440"/>
          <w:tab w:val="left" w:pos="2160"/>
          <w:tab w:val="right" w:leader="dot" w:pos="9180"/>
        </w:tabs>
        <w:spacing w:after="0" w:line="240" w:lineRule="exact"/>
        <w:rPr>
          <w:rFonts w:ascii="Times New Roman" w:hAnsi="Times New Roman" w:cs="Times New Roman"/>
          <w:i/>
          <w:sz w:val="24"/>
          <w:szCs w:val="24"/>
        </w:rPr>
      </w:pPr>
      <w:r w:rsidRPr="007A58E0">
        <w:rPr>
          <w:rFonts w:ascii="Times New Roman" w:hAnsi="Times New Roman" w:cs="Times New Roman"/>
          <w:i/>
          <w:sz w:val="24"/>
          <w:szCs w:val="24"/>
        </w:rPr>
        <w:t>Utilities and Transport</w:t>
      </w:r>
      <w:r>
        <w:rPr>
          <w:rFonts w:ascii="Times New Roman" w:hAnsi="Times New Roman" w:cs="Times New Roman"/>
          <w:i/>
          <w:sz w:val="24"/>
          <w:szCs w:val="24"/>
        </w:rPr>
        <w:t>ation Commission, v. PacifiCorp</w:t>
      </w:r>
      <w:r w:rsidRPr="007A58E0">
        <w:rPr>
          <w:rFonts w:ascii="Times New Roman" w:hAnsi="Times New Roman" w:cs="Times New Roman"/>
          <w:i/>
          <w:sz w:val="24"/>
          <w:szCs w:val="24"/>
        </w:rPr>
        <w:t xml:space="preserve">, </w:t>
      </w:r>
    </w:p>
    <w:p w:rsidR="00E25492" w:rsidRPr="007A58E0"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Pr>
          <w:rFonts w:ascii="Times New Roman" w:hAnsi="Times New Roman" w:cs="Times New Roman"/>
          <w:i/>
          <w:sz w:val="24"/>
          <w:szCs w:val="24"/>
        </w:rPr>
        <w:tab/>
      </w:r>
      <w:r w:rsidRPr="007A58E0">
        <w:rPr>
          <w:rFonts w:ascii="Times New Roman" w:hAnsi="Times New Roman" w:cs="Times New Roman"/>
          <w:sz w:val="24"/>
          <w:szCs w:val="24"/>
        </w:rPr>
        <w:t xml:space="preserve">Docket UE-090205, </w:t>
      </w:r>
      <w:r>
        <w:rPr>
          <w:rFonts w:ascii="Times New Roman" w:hAnsi="Times New Roman" w:cs="Times New Roman"/>
          <w:sz w:val="24"/>
          <w:szCs w:val="24"/>
        </w:rPr>
        <w:t xml:space="preserve">Order </w:t>
      </w:r>
      <w:r w:rsidRPr="007A58E0">
        <w:rPr>
          <w:rFonts w:ascii="Times New Roman" w:hAnsi="Times New Roman" w:cs="Times New Roman"/>
          <w:sz w:val="24"/>
          <w:szCs w:val="24"/>
        </w:rPr>
        <w:t>09 (December 16, 2009).</w:t>
      </w:r>
      <w:r>
        <w:rPr>
          <w:rFonts w:ascii="Times New Roman" w:hAnsi="Times New Roman" w:cs="Times New Roman"/>
          <w:sz w:val="24"/>
          <w:szCs w:val="24"/>
        </w:rPr>
        <w:tab/>
        <w:t>3</w:t>
      </w:r>
      <w:r w:rsidR="00930ACB">
        <w:rPr>
          <w:rFonts w:ascii="Times New Roman" w:hAnsi="Times New Roman" w:cs="Times New Roman"/>
          <w:sz w:val="24"/>
          <w:szCs w:val="24"/>
        </w:rPr>
        <w:t>4</w:t>
      </w:r>
    </w:p>
    <w:p w:rsidR="00E25492" w:rsidRPr="007A58E0"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Pr="001C49DD" w:rsidRDefault="00E25492" w:rsidP="00E25492">
      <w:pPr>
        <w:tabs>
          <w:tab w:val="left" w:pos="720"/>
          <w:tab w:val="left" w:pos="1440"/>
          <w:tab w:val="left" w:pos="2160"/>
          <w:tab w:val="right" w:leader="dot" w:pos="9180"/>
        </w:tabs>
        <w:spacing w:after="0" w:line="240" w:lineRule="exact"/>
        <w:rPr>
          <w:rFonts w:ascii="Times New Roman" w:hAnsi="Times New Roman" w:cs="Times New Roman"/>
          <w:i/>
          <w:sz w:val="24"/>
          <w:szCs w:val="24"/>
        </w:rPr>
      </w:pPr>
      <w:r w:rsidRPr="001C49DD">
        <w:rPr>
          <w:rFonts w:ascii="Times New Roman" w:hAnsi="Times New Roman" w:cs="Times New Roman"/>
          <w:i/>
          <w:sz w:val="24"/>
          <w:szCs w:val="24"/>
        </w:rPr>
        <w:t>Utilities and Transportation Commission v. Puget Sound Energy,</w:t>
      </w:r>
    </w:p>
    <w:p w:rsidR="00E25492" w:rsidRPr="001C49DD"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sidRPr="001C49DD">
        <w:rPr>
          <w:rFonts w:ascii="Times New Roman" w:hAnsi="Times New Roman" w:cs="Times New Roman"/>
          <w:i/>
          <w:sz w:val="24"/>
          <w:szCs w:val="24"/>
        </w:rPr>
        <w:tab/>
        <w:t xml:space="preserve"> </w:t>
      </w:r>
      <w:r w:rsidRPr="001C49DD">
        <w:rPr>
          <w:rFonts w:ascii="Times New Roman" w:hAnsi="Times New Roman" w:cs="Times New Roman"/>
          <w:sz w:val="24"/>
          <w:szCs w:val="24"/>
        </w:rPr>
        <w:t>Dockets UE-06</w:t>
      </w:r>
      <w:r>
        <w:rPr>
          <w:rFonts w:ascii="Times New Roman" w:hAnsi="Times New Roman" w:cs="Times New Roman"/>
          <w:sz w:val="24"/>
          <w:szCs w:val="24"/>
        </w:rPr>
        <w:t>0</w:t>
      </w:r>
      <w:r w:rsidRPr="001C49DD">
        <w:rPr>
          <w:rFonts w:ascii="Times New Roman" w:hAnsi="Times New Roman" w:cs="Times New Roman"/>
          <w:sz w:val="24"/>
          <w:szCs w:val="24"/>
        </w:rPr>
        <w:t>266 and UG-06</w:t>
      </w:r>
      <w:r>
        <w:rPr>
          <w:rFonts w:ascii="Times New Roman" w:hAnsi="Times New Roman" w:cs="Times New Roman"/>
          <w:sz w:val="24"/>
          <w:szCs w:val="24"/>
        </w:rPr>
        <w:t>0</w:t>
      </w:r>
      <w:r w:rsidRPr="001C49DD">
        <w:rPr>
          <w:rFonts w:ascii="Times New Roman" w:hAnsi="Times New Roman" w:cs="Times New Roman"/>
          <w:sz w:val="24"/>
          <w:szCs w:val="24"/>
        </w:rPr>
        <w:t xml:space="preserve">267, Order 8 (January 5, 2007) </w:t>
      </w:r>
      <w:r w:rsidRPr="001C49DD">
        <w:rPr>
          <w:rFonts w:ascii="Times New Roman" w:hAnsi="Times New Roman" w:cs="Times New Roman"/>
          <w:sz w:val="24"/>
          <w:szCs w:val="24"/>
        </w:rPr>
        <w:tab/>
      </w:r>
      <w:r w:rsidR="00F454D6">
        <w:rPr>
          <w:rFonts w:ascii="Times New Roman" w:hAnsi="Times New Roman" w:cs="Times New Roman"/>
          <w:sz w:val="24"/>
          <w:szCs w:val="24"/>
        </w:rPr>
        <w:t xml:space="preserve">39, </w:t>
      </w:r>
      <w:r w:rsidRPr="001C49DD">
        <w:rPr>
          <w:rFonts w:ascii="Times New Roman" w:hAnsi="Times New Roman" w:cs="Times New Roman"/>
          <w:sz w:val="24"/>
          <w:szCs w:val="24"/>
        </w:rPr>
        <w:t>4</w:t>
      </w:r>
      <w:r w:rsidR="00930ACB">
        <w:rPr>
          <w:rFonts w:ascii="Times New Roman" w:hAnsi="Times New Roman" w:cs="Times New Roman"/>
          <w:sz w:val="24"/>
          <w:szCs w:val="24"/>
        </w:rPr>
        <w:t>0</w:t>
      </w:r>
    </w:p>
    <w:p w:rsidR="00E25492" w:rsidRPr="001C49DD"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Pr="007856A7"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sidRPr="007856A7">
        <w:rPr>
          <w:rFonts w:ascii="Times New Roman" w:hAnsi="Times New Roman" w:cs="Times New Roman"/>
          <w:i/>
          <w:sz w:val="24"/>
          <w:szCs w:val="24"/>
        </w:rPr>
        <w:t>Utilities and Transportation Commission v. Puget Sound Energy Co.,</w:t>
      </w:r>
      <w:r w:rsidRPr="007856A7">
        <w:rPr>
          <w:rFonts w:ascii="Times New Roman" w:hAnsi="Times New Roman" w:cs="Times New Roman"/>
          <w:sz w:val="24"/>
          <w:szCs w:val="24"/>
        </w:rPr>
        <w:t xml:space="preserve"> </w:t>
      </w:r>
    </w:p>
    <w:p w:rsidR="00E25492" w:rsidRPr="007856A7"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sidRPr="007856A7">
        <w:rPr>
          <w:rFonts w:ascii="Times New Roman" w:hAnsi="Times New Roman" w:cs="Times New Roman"/>
          <w:sz w:val="24"/>
          <w:szCs w:val="24"/>
        </w:rPr>
        <w:tab/>
        <w:t>Docket UE-070725, Order 03 (May 20, 2010</w:t>
      </w:r>
      <w:r>
        <w:rPr>
          <w:rFonts w:ascii="Times New Roman" w:hAnsi="Times New Roman" w:cs="Times New Roman"/>
          <w:sz w:val="24"/>
          <w:szCs w:val="24"/>
        </w:rPr>
        <w:t>)</w:t>
      </w:r>
      <w:r w:rsidRPr="007856A7">
        <w:rPr>
          <w:rFonts w:ascii="Times New Roman" w:hAnsi="Times New Roman" w:cs="Times New Roman"/>
          <w:sz w:val="24"/>
          <w:szCs w:val="24"/>
        </w:rPr>
        <w:t xml:space="preserve"> </w:t>
      </w:r>
      <w:r w:rsidRPr="007856A7">
        <w:rPr>
          <w:rFonts w:ascii="Times New Roman" w:hAnsi="Times New Roman" w:cs="Times New Roman"/>
          <w:sz w:val="24"/>
          <w:szCs w:val="24"/>
        </w:rPr>
        <w:tab/>
      </w:r>
      <w:r>
        <w:rPr>
          <w:rFonts w:ascii="Times New Roman" w:hAnsi="Times New Roman" w:cs="Times New Roman"/>
          <w:sz w:val="24"/>
          <w:szCs w:val="24"/>
        </w:rPr>
        <w:t>6</w:t>
      </w:r>
    </w:p>
    <w:p w:rsidR="00E25492" w:rsidRPr="007856A7"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Pr="00FD740E" w:rsidRDefault="00E25492" w:rsidP="00E25492">
      <w:pPr>
        <w:tabs>
          <w:tab w:val="left" w:pos="720"/>
          <w:tab w:val="left" w:pos="1440"/>
          <w:tab w:val="left" w:pos="2160"/>
          <w:tab w:val="right" w:leader="dot" w:pos="9180"/>
        </w:tabs>
        <w:spacing w:after="0" w:line="240" w:lineRule="exact"/>
        <w:rPr>
          <w:rFonts w:ascii="Times New Roman" w:hAnsi="Times New Roman" w:cs="Times New Roman"/>
          <w:i/>
          <w:sz w:val="24"/>
          <w:szCs w:val="24"/>
        </w:rPr>
      </w:pPr>
      <w:r w:rsidRPr="00FD740E">
        <w:rPr>
          <w:rFonts w:ascii="Times New Roman" w:hAnsi="Times New Roman" w:cs="Times New Roman"/>
          <w:i/>
          <w:sz w:val="24"/>
          <w:szCs w:val="24"/>
        </w:rPr>
        <w:t xml:space="preserve">Utilities and Transportation Commission v. Puget Sound Energy, </w:t>
      </w:r>
    </w:p>
    <w:p w:rsidR="00E25492" w:rsidRPr="00FD740E"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sidRPr="00FD740E">
        <w:rPr>
          <w:rFonts w:ascii="Times New Roman" w:hAnsi="Times New Roman" w:cs="Times New Roman"/>
          <w:i/>
          <w:sz w:val="24"/>
          <w:szCs w:val="24"/>
        </w:rPr>
        <w:lastRenderedPageBreak/>
        <w:tab/>
      </w:r>
      <w:r w:rsidRPr="00FD740E">
        <w:rPr>
          <w:rFonts w:ascii="Times New Roman" w:hAnsi="Times New Roman" w:cs="Times New Roman"/>
          <w:sz w:val="24"/>
          <w:szCs w:val="24"/>
        </w:rPr>
        <w:t xml:space="preserve">Dockets UE-090704 and UG-090705, Order 11 (April 2, 2010) </w:t>
      </w:r>
      <w:r w:rsidRPr="00FD740E">
        <w:rPr>
          <w:rFonts w:ascii="Times New Roman" w:hAnsi="Times New Roman" w:cs="Times New Roman"/>
          <w:sz w:val="24"/>
          <w:szCs w:val="24"/>
        </w:rPr>
        <w:tab/>
      </w:r>
      <w:r>
        <w:rPr>
          <w:rFonts w:ascii="Times New Roman" w:hAnsi="Times New Roman" w:cs="Times New Roman"/>
          <w:sz w:val="24"/>
          <w:szCs w:val="24"/>
        </w:rPr>
        <w:t>1</w:t>
      </w:r>
      <w:r w:rsidR="00930ACB">
        <w:rPr>
          <w:rFonts w:ascii="Times New Roman" w:hAnsi="Times New Roman" w:cs="Times New Roman"/>
          <w:sz w:val="24"/>
          <w:szCs w:val="24"/>
        </w:rPr>
        <w:t xml:space="preserve">2, </w:t>
      </w:r>
      <w:r w:rsidR="00F454D6">
        <w:rPr>
          <w:rFonts w:ascii="Times New Roman" w:hAnsi="Times New Roman" w:cs="Times New Roman"/>
          <w:sz w:val="24"/>
          <w:szCs w:val="24"/>
        </w:rPr>
        <w:t>59</w:t>
      </w:r>
    </w:p>
    <w:p w:rsidR="00E25492" w:rsidRDefault="00E25492" w:rsidP="00E25492">
      <w:pPr>
        <w:tabs>
          <w:tab w:val="left" w:pos="720"/>
          <w:tab w:val="left" w:pos="1440"/>
          <w:tab w:val="left" w:pos="2160"/>
          <w:tab w:val="right" w:leader="dot" w:pos="9180"/>
        </w:tabs>
        <w:spacing w:after="0" w:line="240" w:lineRule="exact"/>
        <w:rPr>
          <w:rFonts w:ascii="Times New Roman" w:hAnsi="Times New Roman" w:cs="Times New Roman"/>
          <w:i/>
          <w:sz w:val="24"/>
          <w:szCs w:val="24"/>
        </w:rPr>
      </w:pPr>
    </w:p>
    <w:p w:rsidR="00E25492" w:rsidRPr="00AC6ACA" w:rsidRDefault="00E25492" w:rsidP="00E25492">
      <w:pPr>
        <w:tabs>
          <w:tab w:val="left" w:pos="720"/>
          <w:tab w:val="left" w:pos="1440"/>
          <w:tab w:val="left" w:pos="2160"/>
          <w:tab w:val="right" w:leader="dot" w:pos="9180"/>
        </w:tabs>
        <w:spacing w:after="0" w:line="240" w:lineRule="exact"/>
        <w:rPr>
          <w:rFonts w:ascii="Times New Roman" w:hAnsi="Times New Roman" w:cs="Times New Roman"/>
          <w:i/>
          <w:sz w:val="24"/>
          <w:szCs w:val="24"/>
        </w:rPr>
      </w:pPr>
      <w:r w:rsidRPr="00AC6ACA">
        <w:rPr>
          <w:rFonts w:ascii="Times New Roman" w:hAnsi="Times New Roman" w:cs="Times New Roman"/>
          <w:i/>
          <w:sz w:val="24"/>
          <w:szCs w:val="24"/>
        </w:rPr>
        <w:t xml:space="preserve">Utilities and Transportation Commission, v. Puget Sound Power &amp; Light Co., </w:t>
      </w:r>
    </w:p>
    <w:p w:rsidR="00E25492" w:rsidRPr="00AC6ACA"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sidRPr="00AC6ACA">
        <w:rPr>
          <w:rFonts w:ascii="Times New Roman" w:hAnsi="Times New Roman" w:cs="Times New Roman"/>
          <w:i/>
          <w:sz w:val="24"/>
          <w:szCs w:val="24"/>
        </w:rPr>
        <w:tab/>
      </w:r>
      <w:r w:rsidRPr="00AC6ACA">
        <w:rPr>
          <w:rFonts w:ascii="Times New Roman" w:hAnsi="Times New Roman" w:cs="Times New Roman"/>
          <w:sz w:val="24"/>
          <w:szCs w:val="24"/>
        </w:rPr>
        <w:t xml:space="preserve">Docket UE-910626, First Supplemental Order (September 25, 1991) </w:t>
      </w:r>
      <w:r w:rsidRPr="00AC6ACA">
        <w:rPr>
          <w:rFonts w:ascii="Times New Roman" w:hAnsi="Times New Roman" w:cs="Times New Roman"/>
          <w:sz w:val="24"/>
          <w:szCs w:val="24"/>
        </w:rPr>
        <w:tab/>
        <w:t>3</w:t>
      </w:r>
      <w:r w:rsidR="00930ACB">
        <w:rPr>
          <w:rFonts w:ascii="Times New Roman" w:hAnsi="Times New Roman" w:cs="Times New Roman"/>
          <w:sz w:val="24"/>
          <w:szCs w:val="24"/>
        </w:rPr>
        <w:t>1</w:t>
      </w:r>
    </w:p>
    <w:p w:rsidR="00E25492" w:rsidRPr="00AC6ACA"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Default="00E25492" w:rsidP="00E25492">
      <w:pPr>
        <w:tabs>
          <w:tab w:val="left" w:pos="720"/>
          <w:tab w:val="left" w:pos="1440"/>
          <w:tab w:val="left" w:pos="2160"/>
          <w:tab w:val="right" w:leader="dot" w:pos="9180"/>
        </w:tabs>
        <w:spacing w:after="0" w:line="240" w:lineRule="exact"/>
        <w:rPr>
          <w:rFonts w:ascii="Times New Roman" w:hAnsi="Times New Roman" w:cs="Times New Roman"/>
          <w:i/>
          <w:sz w:val="24"/>
          <w:szCs w:val="24"/>
        </w:rPr>
      </w:pPr>
      <w:r w:rsidRPr="004C3403">
        <w:rPr>
          <w:rFonts w:ascii="Times New Roman" w:hAnsi="Times New Roman" w:cs="Times New Roman"/>
          <w:i/>
          <w:sz w:val="24"/>
          <w:szCs w:val="24"/>
        </w:rPr>
        <w:t>Utilities and Transportation Commission v. US WEST Communications, Inc.,</w:t>
      </w:r>
    </w:p>
    <w:p w:rsidR="00E25492" w:rsidRPr="004C3403"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Pr>
          <w:rFonts w:ascii="Times New Roman" w:hAnsi="Times New Roman" w:cs="Times New Roman"/>
          <w:i/>
          <w:sz w:val="24"/>
          <w:szCs w:val="24"/>
        </w:rPr>
        <w:tab/>
      </w:r>
      <w:r w:rsidRPr="004C3403">
        <w:rPr>
          <w:rFonts w:ascii="Times New Roman" w:hAnsi="Times New Roman" w:cs="Times New Roman"/>
          <w:i/>
          <w:sz w:val="24"/>
          <w:szCs w:val="24"/>
        </w:rPr>
        <w:t xml:space="preserve"> </w:t>
      </w:r>
      <w:r w:rsidRPr="004C3403">
        <w:rPr>
          <w:rFonts w:ascii="Times New Roman" w:hAnsi="Times New Roman" w:cs="Times New Roman"/>
          <w:sz w:val="24"/>
          <w:szCs w:val="24"/>
        </w:rPr>
        <w:t>Docket UT-950200, 15</w:t>
      </w:r>
      <w:r w:rsidRPr="004C3403">
        <w:rPr>
          <w:rFonts w:ascii="Times New Roman" w:hAnsi="Times New Roman" w:cs="Times New Roman"/>
          <w:sz w:val="24"/>
          <w:szCs w:val="24"/>
          <w:vertAlign w:val="superscript"/>
        </w:rPr>
        <w:t>th</w:t>
      </w:r>
      <w:r w:rsidRPr="004C3403">
        <w:rPr>
          <w:rFonts w:ascii="Times New Roman" w:hAnsi="Times New Roman" w:cs="Times New Roman"/>
          <w:sz w:val="24"/>
          <w:szCs w:val="24"/>
        </w:rPr>
        <w:t xml:space="preserve"> Supplemental Order (April 11, 1996)</w:t>
      </w:r>
      <w:r>
        <w:rPr>
          <w:rFonts w:ascii="Times New Roman" w:hAnsi="Times New Roman" w:cs="Times New Roman"/>
          <w:sz w:val="24"/>
          <w:szCs w:val="24"/>
        </w:rPr>
        <w:t xml:space="preserve"> </w:t>
      </w:r>
      <w:r>
        <w:rPr>
          <w:rFonts w:ascii="Times New Roman" w:hAnsi="Times New Roman" w:cs="Times New Roman"/>
          <w:sz w:val="24"/>
          <w:szCs w:val="24"/>
        </w:rPr>
        <w:tab/>
        <w:t>28</w:t>
      </w:r>
    </w:p>
    <w:p w:rsidR="00E25492" w:rsidRPr="004C3403"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Pr="00906EB6"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Pr="00906EB6" w:rsidRDefault="00E25492" w:rsidP="00E25492">
      <w:pPr>
        <w:tabs>
          <w:tab w:val="left" w:pos="720"/>
          <w:tab w:val="left" w:pos="1440"/>
          <w:tab w:val="left" w:pos="2160"/>
          <w:tab w:val="right" w:leader="dot" w:pos="9180"/>
        </w:tabs>
        <w:spacing w:after="0" w:line="240" w:lineRule="exact"/>
        <w:jc w:val="center"/>
        <w:rPr>
          <w:rFonts w:ascii="Times New Roman" w:hAnsi="Times New Roman" w:cs="Times New Roman"/>
          <w:b/>
          <w:sz w:val="24"/>
          <w:szCs w:val="24"/>
        </w:rPr>
      </w:pPr>
      <w:r w:rsidRPr="00906EB6">
        <w:rPr>
          <w:rFonts w:ascii="Times New Roman" w:hAnsi="Times New Roman" w:cs="Times New Roman"/>
          <w:b/>
          <w:i/>
          <w:sz w:val="24"/>
          <w:szCs w:val="24"/>
        </w:rPr>
        <w:t>Statutes and Rules</w:t>
      </w:r>
    </w:p>
    <w:p w:rsidR="00E25492"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Default="00E25492" w:rsidP="00E25492">
      <w:pPr>
        <w:tabs>
          <w:tab w:val="left" w:pos="720"/>
          <w:tab w:val="left" w:pos="1440"/>
          <w:tab w:val="right" w:leader="dot" w:pos="9180"/>
        </w:tabs>
        <w:spacing w:after="0" w:line="240" w:lineRule="exact"/>
        <w:rPr>
          <w:rFonts w:ascii="Times New Roman" w:hAnsi="Times New Roman" w:cs="Times New Roman"/>
          <w:sz w:val="24"/>
          <w:szCs w:val="24"/>
        </w:rPr>
      </w:pPr>
      <w:r w:rsidRPr="00741D70">
        <w:rPr>
          <w:rFonts w:ascii="Times New Roman" w:hAnsi="Times New Roman" w:cs="Times New Roman"/>
          <w:sz w:val="24"/>
          <w:szCs w:val="24"/>
        </w:rPr>
        <w:t>RCW 80.04.130(1)</w:t>
      </w:r>
      <w:r>
        <w:rPr>
          <w:rFonts w:ascii="Times New Roman" w:hAnsi="Times New Roman" w:cs="Times New Roman"/>
          <w:sz w:val="24"/>
          <w:szCs w:val="24"/>
        </w:rPr>
        <w:t xml:space="preserve"> </w:t>
      </w:r>
      <w:r>
        <w:rPr>
          <w:rFonts w:ascii="Times New Roman" w:hAnsi="Times New Roman" w:cs="Times New Roman"/>
          <w:sz w:val="24"/>
          <w:szCs w:val="24"/>
        </w:rPr>
        <w:tab/>
      </w:r>
      <w:r w:rsidR="00930ACB">
        <w:rPr>
          <w:rFonts w:ascii="Times New Roman" w:hAnsi="Times New Roman" w:cs="Times New Roman"/>
          <w:sz w:val="24"/>
          <w:szCs w:val="24"/>
        </w:rPr>
        <w:t>59</w:t>
      </w:r>
    </w:p>
    <w:p w:rsidR="00E25492" w:rsidRDefault="00E25492" w:rsidP="00E25492">
      <w:pPr>
        <w:tabs>
          <w:tab w:val="left" w:pos="720"/>
          <w:tab w:val="left" w:pos="1440"/>
          <w:tab w:val="right" w:leader="dot" w:pos="9180"/>
        </w:tabs>
        <w:spacing w:after="0" w:line="240" w:lineRule="exact"/>
        <w:rPr>
          <w:rFonts w:ascii="Times New Roman" w:hAnsi="Times New Roman" w:cs="Times New Roman"/>
          <w:sz w:val="24"/>
          <w:szCs w:val="24"/>
        </w:rPr>
      </w:pPr>
    </w:p>
    <w:p w:rsidR="00E25492" w:rsidRDefault="00E25492" w:rsidP="00E25492">
      <w:pPr>
        <w:tabs>
          <w:tab w:val="left" w:pos="720"/>
          <w:tab w:val="left" w:pos="1440"/>
          <w:tab w:val="right" w:leader="dot" w:pos="918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RCW 80.04.130(4) </w:t>
      </w:r>
      <w:r>
        <w:rPr>
          <w:rFonts w:ascii="Times New Roman" w:hAnsi="Times New Roman" w:cs="Times New Roman"/>
          <w:sz w:val="24"/>
          <w:szCs w:val="24"/>
        </w:rPr>
        <w:tab/>
        <w:t xml:space="preserve">1, </w:t>
      </w:r>
      <w:r w:rsidR="00930ACB">
        <w:rPr>
          <w:rFonts w:ascii="Times New Roman" w:hAnsi="Times New Roman" w:cs="Times New Roman"/>
          <w:sz w:val="24"/>
          <w:szCs w:val="24"/>
        </w:rPr>
        <w:t>39</w:t>
      </w:r>
    </w:p>
    <w:p w:rsidR="00E25492" w:rsidRDefault="00E25492" w:rsidP="00E25492">
      <w:pPr>
        <w:tabs>
          <w:tab w:val="left" w:pos="720"/>
          <w:tab w:val="left" w:pos="1440"/>
          <w:tab w:val="right" w:leader="dot" w:pos="9180"/>
        </w:tabs>
        <w:spacing w:after="0" w:line="240" w:lineRule="exact"/>
        <w:rPr>
          <w:rFonts w:ascii="Times New Roman" w:hAnsi="Times New Roman" w:cs="Times New Roman"/>
          <w:sz w:val="24"/>
          <w:szCs w:val="24"/>
        </w:rPr>
      </w:pPr>
    </w:p>
    <w:p w:rsidR="00E25492" w:rsidRDefault="00E25492" w:rsidP="00E25492">
      <w:pPr>
        <w:tabs>
          <w:tab w:val="left" w:pos="720"/>
          <w:tab w:val="left" w:pos="1440"/>
          <w:tab w:val="right" w:leader="dot" w:pos="918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RCW 80.80.060(6) </w:t>
      </w:r>
      <w:r>
        <w:rPr>
          <w:rFonts w:ascii="Times New Roman" w:hAnsi="Times New Roman" w:cs="Times New Roman"/>
          <w:sz w:val="24"/>
          <w:szCs w:val="24"/>
        </w:rPr>
        <w:tab/>
        <w:t>3</w:t>
      </w:r>
      <w:r w:rsidR="00F454D6">
        <w:rPr>
          <w:rFonts w:ascii="Times New Roman" w:hAnsi="Times New Roman" w:cs="Times New Roman"/>
          <w:sz w:val="24"/>
          <w:szCs w:val="24"/>
        </w:rPr>
        <w:t>4</w:t>
      </w:r>
    </w:p>
    <w:p w:rsidR="00E25492" w:rsidRDefault="00E25492" w:rsidP="00E25492">
      <w:pPr>
        <w:tabs>
          <w:tab w:val="left" w:pos="720"/>
          <w:tab w:val="left" w:pos="1440"/>
          <w:tab w:val="right" w:leader="dot" w:pos="9180"/>
        </w:tabs>
        <w:spacing w:after="0" w:line="240" w:lineRule="exact"/>
        <w:rPr>
          <w:rFonts w:ascii="Times New Roman" w:hAnsi="Times New Roman" w:cs="Times New Roman"/>
          <w:sz w:val="24"/>
          <w:szCs w:val="24"/>
        </w:rPr>
      </w:pPr>
    </w:p>
    <w:p w:rsidR="00E25492" w:rsidRDefault="00E25492" w:rsidP="00E25492">
      <w:pPr>
        <w:tabs>
          <w:tab w:val="left" w:pos="720"/>
          <w:tab w:val="left" w:pos="1440"/>
          <w:tab w:val="right" w:leader="dot" w:pos="918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WAC 480-100-203 </w:t>
      </w:r>
      <w:r>
        <w:rPr>
          <w:rFonts w:ascii="Times New Roman" w:hAnsi="Times New Roman" w:cs="Times New Roman"/>
          <w:sz w:val="24"/>
          <w:szCs w:val="24"/>
        </w:rPr>
        <w:tab/>
        <w:t>4</w:t>
      </w:r>
      <w:r w:rsidR="00F454D6">
        <w:rPr>
          <w:rFonts w:ascii="Times New Roman" w:hAnsi="Times New Roman" w:cs="Times New Roman"/>
          <w:sz w:val="24"/>
          <w:szCs w:val="24"/>
        </w:rPr>
        <w:t>2</w:t>
      </w:r>
    </w:p>
    <w:p w:rsidR="00E25492" w:rsidRDefault="00E25492" w:rsidP="00E25492">
      <w:pPr>
        <w:tabs>
          <w:tab w:val="left" w:pos="720"/>
          <w:tab w:val="left" w:pos="1440"/>
          <w:tab w:val="right" w:leader="dot" w:pos="9180"/>
        </w:tabs>
        <w:spacing w:after="0" w:line="240" w:lineRule="exact"/>
        <w:rPr>
          <w:rFonts w:ascii="Times New Roman" w:hAnsi="Times New Roman" w:cs="Times New Roman"/>
          <w:sz w:val="24"/>
          <w:szCs w:val="24"/>
        </w:rPr>
      </w:pPr>
    </w:p>
    <w:p w:rsidR="00E25492" w:rsidRDefault="00E25492" w:rsidP="00E25492">
      <w:pPr>
        <w:tabs>
          <w:tab w:val="left" w:pos="720"/>
          <w:tab w:val="left" w:pos="1440"/>
          <w:tab w:val="right" w:leader="dot" w:pos="918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WAC 408-100-203(4) </w:t>
      </w:r>
      <w:r>
        <w:rPr>
          <w:rFonts w:ascii="Times New Roman" w:hAnsi="Times New Roman" w:cs="Times New Roman"/>
          <w:sz w:val="24"/>
          <w:szCs w:val="24"/>
        </w:rPr>
        <w:tab/>
        <w:t>4</w:t>
      </w:r>
      <w:r w:rsidR="00F454D6">
        <w:rPr>
          <w:rFonts w:ascii="Times New Roman" w:hAnsi="Times New Roman" w:cs="Times New Roman"/>
          <w:sz w:val="24"/>
          <w:szCs w:val="24"/>
        </w:rPr>
        <w:t>2</w:t>
      </w:r>
    </w:p>
    <w:p w:rsidR="00E25492" w:rsidRDefault="00E25492" w:rsidP="00E25492">
      <w:pPr>
        <w:tabs>
          <w:tab w:val="left" w:pos="720"/>
          <w:tab w:val="left" w:pos="1440"/>
          <w:tab w:val="right" w:leader="dot" w:pos="9180"/>
        </w:tabs>
        <w:spacing w:after="0" w:line="240" w:lineRule="exact"/>
        <w:rPr>
          <w:rFonts w:ascii="Times New Roman" w:hAnsi="Times New Roman" w:cs="Times New Roman"/>
          <w:sz w:val="24"/>
          <w:szCs w:val="24"/>
        </w:rPr>
      </w:pPr>
    </w:p>
    <w:p w:rsidR="00E25492" w:rsidRDefault="00930ACB" w:rsidP="00E25492">
      <w:pPr>
        <w:tabs>
          <w:tab w:val="left" w:pos="720"/>
          <w:tab w:val="left" w:pos="1440"/>
          <w:tab w:val="right" w:leader="dot" w:pos="918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WAC 480-100-435 </w:t>
      </w:r>
      <w:r>
        <w:rPr>
          <w:rFonts w:ascii="Times New Roman" w:hAnsi="Times New Roman" w:cs="Times New Roman"/>
          <w:sz w:val="24"/>
          <w:szCs w:val="24"/>
        </w:rPr>
        <w:tab/>
        <w:t>34</w:t>
      </w:r>
    </w:p>
    <w:p w:rsidR="00E25492" w:rsidRDefault="00E25492" w:rsidP="00E25492">
      <w:pPr>
        <w:tabs>
          <w:tab w:val="left" w:pos="720"/>
          <w:tab w:val="left" w:pos="1440"/>
          <w:tab w:val="right" w:leader="dot" w:pos="9180"/>
        </w:tabs>
        <w:spacing w:after="0" w:line="240" w:lineRule="exact"/>
        <w:rPr>
          <w:rFonts w:ascii="Times New Roman" w:hAnsi="Times New Roman" w:cs="Times New Roman"/>
          <w:sz w:val="24"/>
          <w:szCs w:val="24"/>
        </w:rPr>
      </w:pPr>
    </w:p>
    <w:p w:rsidR="00E25492" w:rsidRDefault="00E25492" w:rsidP="00E25492">
      <w:pPr>
        <w:tabs>
          <w:tab w:val="left" w:pos="720"/>
          <w:tab w:val="left" w:pos="1440"/>
          <w:tab w:val="right" w:leader="dot" w:pos="9180"/>
        </w:tabs>
        <w:spacing w:after="0" w:line="240" w:lineRule="exact"/>
        <w:rPr>
          <w:rFonts w:ascii="Times New Roman" w:hAnsi="Times New Roman" w:cs="Times New Roman"/>
          <w:sz w:val="24"/>
          <w:szCs w:val="24"/>
        </w:rPr>
      </w:pPr>
    </w:p>
    <w:p w:rsidR="00E25492" w:rsidRPr="00906EB6" w:rsidRDefault="00E25492" w:rsidP="00E25492">
      <w:pPr>
        <w:tabs>
          <w:tab w:val="left" w:pos="720"/>
          <w:tab w:val="left" w:pos="1440"/>
          <w:tab w:val="left" w:pos="2160"/>
          <w:tab w:val="right" w:leader="dot" w:pos="9180"/>
        </w:tabs>
        <w:spacing w:after="0" w:line="240" w:lineRule="exact"/>
        <w:jc w:val="center"/>
        <w:rPr>
          <w:rFonts w:ascii="Times New Roman" w:hAnsi="Times New Roman" w:cs="Times New Roman"/>
          <w:b/>
          <w:sz w:val="24"/>
          <w:szCs w:val="24"/>
        </w:rPr>
      </w:pPr>
      <w:r w:rsidRPr="00906EB6">
        <w:rPr>
          <w:rFonts w:ascii="Times New Roman" w:hAnsi="Times New Roman" w:cs="Times New Roman"/>
          <w:b/>
          <w:i/>
          <w:sz w:val="24"/>
          <w:szCs w:val="24"/>
        </w:rPr>
        <w:t>Other Authorities</w:t>
      </w:r>
    </w:p>
    <w:p w:rsidR="00E25492"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Pr="005D791A"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sidRPr="00FD740E">
        <w:rPr>
          <w:rFonts w:ascii="Times New Roman" w:hAnsi="Times New Roman" w:cs="Times New Roman"/>
          <w:sz w:val="24"/>
          <w:szCs w:val="24"/>
        </w:rPr>
        <w:t xml:space="preserve">Leonard Saul Goodman, </w:t>
      </w:r>
      <w:r w:rsidRPr="00FD740E">
        <w:rPr>
          <w:rFonts w:ascii="Times New Roman" w:hAnsi="Times New Roman" w:cs="Times New Roman"/>
          <w:i/>
          <w:sz w:val="24"/>
          <w:szCs w:val="24"/>
        </w:rPr>
        <w:t>The Process of Ratemaking</w:t>
      </w:r>
      <w:r w:rsidRPr="00FD740E">
        <w:rPr>
          <w:rFonts w:ascii="Times New Roman" w:hAnsi="Times New Roman" w:cs="Times New Roman"/>
          <w:sz w:val="24"/>
          <w:szCs w:val="24"/>
        </w:rPr>
        <w:t xml:space="preserve"> (1998)</w:t>
      </w:r>
      <w:r w:rsidRPr="00FD740E">
        <w:rPr>
          <w:rFonts w:ascii="Times New Roman" w:hAnsi="Times New Roman" w:cs="Times New Roman"/>
          <w:i/>
          <w:sz w:val="24"/>
          <w:szCs w:val="24"/>
        </w:rPr>
        <w:t xml:space="preserve"> </w:t>
      </w:r>
      <w:r w:rsidR="005F7905" w:rsidRPr="0022264C">
        <w:rPr>
          <w:rFonts w:ascii="Times New Roman" w:hAnsi="Times New Roman" w:cs="Times New Roman"/>
          <w:sz w:val="24"/>
          <w:szCs w:val="24"/>
        </w:rPr>
        <w:tab/>
        <w:t>9</w:t>
      </w:r>
    </w:p>
    <w:p w:rsidR="00E25492" w:rsidRPr="00FD740E"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Pr="00FD740E"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r w:rsidRPr="00FD740E">
        <w:rPr>
          <w:rFonts w:ascii="Times New Roman" w:hAnsi="Times New Roman" w:cs="Times New Roman"/>
          <w:sz w:val="24"/>
          <w:szCs w:val="24"/>
        </w:rPr>
        <w:t xml:space="preserve">Stefan H. Krieger, </w:t>
      </w:r>
      <w:r w:rsidRPr="00FD740E">
        <w:rPr>
          <w:rFonts w:ascii="Times New Roman" w:hAnsi="Times New Roman" w:cs="Times New Roman"/>
          <w:i/>
          <w:sz w:val="24"/>
          <w:szCs w:val="24"/>
        </w:rPr>
        <w:t xml:space="preserve">The Ghost of Regulation Past:  Current Applications of the Rule Against Retroactive Ratemaking in Public Utility Proceedings”, </w:t>
      </w:r>
      <w:r w:rsidRPr="00FD740E">
        <w:rPr>
          <w:rFonts w:ascii="Times New Roman" w:hAnsi="Times New Roman" w:cs="Times New Roman"/>
          <w:sz w:val="24"/>
          <w:szCs w:val="24"/>
        </w:rPr>
        <w:t>1991 Univ. Ill. L. Rev</w:t>
      </w:r>
      <w:r>
        <w:rPr>
          <w:rFonts w:ascii="Times New Roman" w:hAnsi="Times New Roman" w:cs="Times New Roman"/>
          <w:sz w:val="24"/>
          <w:szCs w:val="24"/>
        </w:rPr>
        <w:t xml:space="preserve">. 983 </w:t>
      </w:r>
      <w:r>
        <w:rPr>
          <w:rFonts w:ascii="Times New Roman" w:hAnsi="Times New Roman" w:cs="Times New Roman"/>
          <w:sz w:val="24"/>
          <w:szCs w:val="24"/>
        </w:rPr>
        <w:tab/>
        <w:t>10</w:t>
      </w:r>
    </w:p>
    <w:p w:rsidR="00E25492" w:rsidRDefault="00E25492"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E25492" w:rsidRPr="002E5DD3" w:rsidRDefault="00E25492" w:rsidP="00E25492">
      <w:pPr>
        <w:pStyle w:val="ListParagraph"/>
        <w:tabs>
          <w:tab w:val="left" w:pos="720"/>
          <w:tab w:val="left" w:pos="1440"/>
          <w:tab w:val="left" w:pos="2160"/>
          <w:tab w:val="right" w:leader="dot" w:pos="9187"/>
        </w:tabs>
        <w:spacing w:after="0" w:line="240" w:lineRule="exact"/>
        <w:ind w:left="0"/>
        <w:rPr>
          <w:rFonts w:ascii="Times New Roman" w:hAnsi="Times New Roman" w:cs="Times New Roman"/>
          <w:sz w:val="24"/>
          <w:szCs w:val="24"/>
        </w:rPr>
      </w:pPr>
    </w:p>
    <w:p w:rsidR="00132125" w:rsidRDefault="00132125"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132125" w:rsidRDefault="00132125" w:rsidP="00E25492">
      <w:pPr>
        <w:tabs>
          <w:tab w:val="left" w:pos="720"/>
          <w:tab w:val="left" w:pos="1440"/>
          <w:tab w:val="left" w:pos="2160"/>
          <w:tab w:val="right" w:leader="dot" w:pos="9180"/>
        </w:tabs>
        <w:spacing w:after="0" w:line="240" w:lineRule="exact"/>
        <w:rPr>
          <w:rFonts w:ascii="Times New Roman" w:hAnsi="Times New Roman" w:cs="Times New Roman"/>
          <w:sz w:val="24"/>
          <w:szCs w:val="24"/>
        </w:rPr>
      </w:pPr>
    </w:p>
    <w:p w:rsidR="00CD5B8B" w:rsidRPr="00CD5B8B" w:rsidRDefault="00CD5B8B" w:rsidP="00B65199">
      <w:pPr>
        <w:tabs>
          <w:tab w:val="left" w:pos="720"/>
          <w:tab w:val="left" w:pos="1440"/>
          <w:tab w:val="left" w:pos="2160"/>
          <w:tab w:val="right" w:leader="dot" w:pos="8640"/>
        </w:tabs>
        <w:spacing w:after="0" w:line="240" w:lineRule="exact"/>
        <w:rPr>
          <w:rFonts w:ascii="Times New Roman" w:hAnsi="Times New Roman" w:cs="Times New Roman"/>
          <w:sz w:val="24"/>
          <w:szCs w:val="24"/>
        </w:rPr>
      </w:pPr>
    </w:p>
    <w:p w:rsidR="007A3D6D" w:rsidRDefault="007A3D6D" w:rsidP="00B65199">
      <w:pPr>
        <w:spacing w:after="0" w:line="240" w:lineRule="exact"/>
        <w:rPr>
          <w:rFonts w:ascii="Times New Roman" w:hAnsi="Times New Roman" w:cs="Times New Roman"/>
          <w:b/>
          <w:sz w:val="24"/>
          <w:szCs w:val="24"/>
        </w:rPr>
      </w:pPr>
    </w:p>
    <w:p w:rsidR="007A3D6D" w:rsidRDefault="007A3D6D" w:rsidP="00B65199">
      <w:pPr>
        <w:spacing w:after="0" w:line="240" w:lineRule="exact"/>
        <w:rPr>
          <w:rFonts w:ascii="Times New Roman" w:hAnsi="Times New Roman" w:cs="Times New Roman"/>
          <w:b/>
          <w:sz w:val="24"/>
          <w:szCs w:val="24"/>
        </w:rPr>
        <w:sectPr w:rsidR="007A3D6D" w:rsidSect="00B966E9">
          <w:footerReference w:type="default" r:id="rId9"/>
          <w:pgSz w:w="12240" w:h="15840"/>
          <w:pgMar w:top="1440" w:right="1440" w:bottom="1440" w:left="1440" w:header="720" w:footer="720" w:gutter="0"/>
          <w:pgNumType w:fmt="lowerRoman" w:start="1"/>
          <w:cols w:space="720"/>
          <w:docGrid w:linePitch="360"/>
        </w:sectPr>
      </w:pPr>
    </w:p>
    <w:p w:rsidR="00C939A9" w:rsidRPr="00C939A9" w:rsidRDefault="003C14CB" w:rsidP="00C939A9">
      <w:pPr>
        <w:spacing w:after="0" w:line="480" w:lineRule="exact"/>
        <w:jc w:val="center"/>
        <w:rPr>
          <w:rFonts w:ascii="Times New Roman" w:hAnsi="Times New Roman" w:cs="Times New Roman"/>
          <w:b/>
          <w:sz w:val="24"/>
          <w:szCs w:val="24"/>
        </w:rPr>
      </w:pPr>
      <w:r w:rsidRPr="00C939A9">
        <w:rPr>
          <w:rFonts w:ascii="Times New Roman" w:hAnsi="Times New Roman" w:cs="Times New Roman"/>
          <w:b/>
          <w:sz w:val="24"/>
          <w:szCs w:val="24"/>
        </w:rPr>
        <w:lastRenderedPageBreak/>
        <w:t>I</w:t>
      </w:r>
      <w:r w:rsidR="00B966E9" w:rsidRPr="00C939A9">
        <w:rPr>
          <w:rFonts w:ascii="Times New Roman" w:hAnsi="Times New Roman" w:cs="Times New Roman"/>
          <w:b/>
          <w:sz w:val="24"/>
          <w:szCs w:val="24"/>
        </w:rPr>
        <w:t>.</w:t>
      </w:r>
      <w:r w:rsidR="00B966E9" w:rsidRPr="00C939A9">
        <w:rPr>
          <w:rFonts w:ascii="Times New Roman" w:hAnsi="Times New Roman" w:cs="Times New Roman"/>
          <w:b/>
          <w:sz w:val="24"/>
          <w:szCs w:val="24"/>
        </w:rPr>
        <w:tab/>
      </w:r>
      <w:r w:rsidR="00C939A9">
        <w:rPr>
          <w:rFonts w:ascii="Times New Roman" w:hAnsi="Times New Roman" w:cs="Times New Roman"/>
          <w:b/>
          <w:sz w:val="24"/>
          <w:szCs w:val="24"/>
        </w:rPr>
        <w:t>INTRODUCTION</w:t>
      </w:r>
    </w:p>
    <w:p w:rsidR="00CE373E" w:rsidRPr="00CE373E" w:rsidRDefault="00C939A9" w:rsidP="00CE373E">
      <w:pPr>
        <w:pStyle w:val="ListParagraph"/>
        <w:numPr>
          <w:ilvl w:val="0"/>
          <w:numId w:val="3"/>
        </w:numPr>
        <w:spacing w:after="0" w:line="480" w:lineRule="exact"/>
        <w:rPr>
          <w:rFonts w:ascii="Times New Roman" w:hAnsi="Times New Roman" w:cs="Times New Roman"/>
          <w:sz w:val="24"/>
          <w:szCs w:val="24"/>
        </w:rPr>
      </w:pPr>
      <w:r w:rsidRPr="00CE373E">
        <w:rPr>
          <w:rFonts w:ascii="Times New Roman" w:hAnsi="Times New Roman" w:cs="Times New Roman"/>
          <w:sz w:val="24"/>
          <w:szCs w:val="24"/>
        </w:rPr>
        <w:tab/>
        <w:t xml:space="preserve">This </w:t>
      </w:r>
      <w:r w:rsidR="00CE373E" w:rsidRPr="00CE373E">
        <w:rPr>
          <w:rFonts w:ascii="Times New Roman" w:hAnsi="Times New Roman" w:cs="Times New Roman"/>
          <w:sz w:val="24"/>
          <w:szCs w:val="24"/>
        </w:rPr>
        <w:t xml:space="preserve">case marks the fifth rate case PacifiCorp has filed in the last six years.  </w:t>
      </w:r>
      <w:r w:rsidR="00257CF2">
        <w:rPr>
          <w:rFonts w:ascii="Times New Roman" w:hAnsi="Times New Roman" w:cs="Times New Roman"/>
          <w:sz w:val="24"/>
          <w:szCs w:val="24"/>
        </w:rPr>
        <w:t xml:space="preserve">This case is </w:t>
      </w:r>
      <w:r w:rsidR="008309E8">
        <w:rPr>
          <w:rFonts w:ascii="Times New Roman" w:hAnsi="Times New Roman" w:cs="Times New Roman"/>
          <w:sz w:val="24"/>
          <w:szCs w:val="24"/>
        </w:rPr>
        <w:t xml:space="preserve">the </w:t>
      </w:r>
      <w:r w:rsidR="00930ACB" w:rsidRPr="00930ACB">
        <w:rPr>
          <w:rFonts w:ascii="Times New Roman" w:hAnsi="Times New Roman" w:cs="Times New Roman"/>
          <w:sz w:val="24"/>
          <w:szCs w:val="24"/>
        </w:rPr>
        <w:t xml:space="preserve">Company’s </w:t>
      </w:r>
      <w:r w:rsidR="00257CF2">
        <w:rPr>
          <w:rFonts w:ascii="Times New Roman" w:hAnsi="Times New Roman" w:cs="Times New Roman"/>
          <w:sz w:val="24"/>
          <w:szCs w:val="24"/>
        </w:rPr>
        <w:t xml:space="preserve">largest </w:t>
      </w:r>
      <w:r w:rsidR="00CE373E" w:rsidRPr="00CE373E">
        <w:rPr>
          <w:rFonts w:ascii="Times New Roman" w:hAnsi="Times New Roman" w:cs="Times New Roman"/>
          <w:sz w:val="24"/>
          <w:szCs w:val="24"/>
        </w:rPr>
        <w:t xml:space="preserve">rate increase request in that time span, despite </w:t>
      </w:r>
      <w:r w:rsidR="00930ACB">
        <w:rPr>
          <w:rFonts w:ascii="Times New Roman" w:hAnsi="Times New Roman" w:cs="Times New Roman"/>
          <w:sz w:val="24"/>
          <w:szCs w:val="24"/>
        </w:rPr>
        <w:t xml:space="preserve">adding </w:t>
      </w:r>
      <w:r w:rsidR="00CE373E" w:rsidRPr="00CE373E">
        <w:rPr>
          <w:rFonts w:ascii="Times New Roman" w:hAnsi="Times New Roman" w:cs="Times New Roman"/>
          <w:sz w:val="24"/>
          <w:szCs w:val="24"/>
        </w:rPr>
        <w:t xml:space="preserve">no major </w:t>
      </w:r>
      <w:r w:rsidR="006738BF">
        <w:rPr>
          <w:rFonts w:ascii="Times New Roman" w:hAnsi="Times New Roman" w:cs="Times New Roman"/>
          <w:sz w:val="24"/>
          <w:szCs w:val="24"/>
        </w:rPr>
        <w:t>facilities</w:t>
      </w:r>
      <w:r w:rsidR="00CE373E" w:rsidRPr="00CE373E">
        <w:rPr>
          <w:rFonts w:ascii="Times New Roman" w:hAnsi="Times New Roman" w:cs="Times New Roman"/>
          <w:sz w:val="24"/>
          <w:szCs w:val="24"/>
        </w:rPr>
        <w:t>.</w:t>
      </w:r>
      <w:r w:rsidR="00CE373E" w:rsidRPr="00CE373E">
        <w:rPr>
          <w:rStyle w:val="FootnoteReference"/>
          <w:rFonts w:ascii="Times New Roman" w:hAnsi="Times New Roman" w:cs="Times New Roman"/>
          <w:sz w:val="24"/>
          <w:szCs w:val="24"/>
        </w:rPr>
        <w:footnoteReference w:id="1"/>
      </w:r>
      <w:r w:rsidR="00CE373E" w:rsidRPr="00CE373E">
        <w:rPr>
          <w:rFonts w:ascii="Times New Roman" w:hAnsi="Times New Roman" w:cs="Times New Roman"/>
          <w:sz w:val="24"/>
          <w:szCs w:val="24"/>
        </w:rPr>
        <w:t xml:space="preserve"> </w:t>
      </w:r>
      <w:r w:rsidR="00257CF2">
        <w:rPr>
          <w:rFonts w:ascii="Times New Roman" w:hAnsi="Times New Roman" w:cs="Times New Roman"/>
          <w:sz w:val="24"/>
          <w:szCs w:val="24"/>
        </w:rPr>
        <w:t xml:space="preserve"> </w:t>
      </w:r>
      <w:r w:rsidR="00CE373E" w:rsidRPr="00CE373E">
        <w:rPr>
          <w:rFonts w:ascii="Times New Roman" w:hAnsi="Times New Roman" w:cs="Times New Roman"/>
          <w:sz w:val="24"/>
          <w:szCs w:val="24"/>
        </w:rPr>
        <w:t>Although this rate increase occurs in times of economic distress</w:t>
      </w:r>
      <w:r w:rsidR="00257CF2">
        <w:rPr>
          <w:rFonts w:ascii="Times New Roman" w:hAnsi="Times New Roman" w:cs="Times New Roman"/>
          <w:sz w:val="24"/>
          <w:szCs w:val="24"/>
        </w:rPr>
        <w:t>,</w:t>
      </w:r>
      <w:r w:rsidR="00CE373E" w:rsidRPr="00CE373E">
        <w:rPr>
          <w:rFonts w:ascii="Times New Roman" w:hAnsi="Times New Roman" w:cs="Times New Roman"/>
          <w:sz w:val="24"/>
          <w:szCs w:val="24"/>
        </w:rPr>
        <w:t xml:space="preserve"> PacifiCorp’s w</w:t>
      </w:r>
      <w:r w:rsidR="00257CF2">
        <w:rPr>
          <w:rFonts w:ascii="Times New Roman" w:hAnsi="Times New Roman" w:cs="Times New Roman"/>
          <w:sz w:val="24"/>
          <w:szCs w:val="24"/>
        </w:rPr>
        <w:t>ants</w:t>
      </w:r>
      <w:r w:rsidR="00CE373E" w:rsidRPr="00CE373E">
        <w:rPr>
          <w:rFonts w:ascii="Times New Roman" w:hAnsi="Times New Roman" w:cs="Times New Roman"/>
          <w:sz w:val="24"/>
          <w:szCs w:val="24"/>
        </w:rPr>
        <w:t xml:space="preserve"> to increase </w:t>
      </w:r>
      <w:r w:rsidR="00257CF2">
        <w:rPr>
          <w:rFonts w:ascii="Times New Roman" w:hAnsi="Times New Roman" w:cs="Times New Roman"/>
          <w:sz w:val="24"/>
          <w:szCs w:val="24"/>
        </w:rPr>
        <w:t xml:space="preserve">its </w:t>
      </w:r>
      <w:r w:rsidR="00CE373E" w:rsidRPr="00CE373E">
        <w:rPr>
          <w:rFonts w:ascii="Times New Roman" w:hAnsi="Times New Roman" w:cs="Times New Roman"/>
          <w:sz w:val="24"/>
          <w:szCs w:val="24"/>
        </w:rPr>
        <w:t xml:space="preserve">revenues by nearly 18 percent.  </w:t>
      </w:r>
    </w:p>
    <w:p w:rsidR="00CE373E" w:rsidRPr="00CE373E" w:rsidRDefault="00CE373E" w:rsidP="00CE373E">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CE373E">
        <w:rPr>
          <w:rFonts w:ascii="Times New Roman" w:hAnsi="Times New Roman" w:cs="Times New Roman"/>
          <w:sz w:val="24"/>
          <w:szCs w:val="24"/>
        </w:rPr>
        <w:t xml:space="preserve">A rational person would think a utility company would not ask for higher profits when interest rates are at all time lows, but they would be wrong:  PacifiCorp is seeking </w:t>
      </w:r>
      <w:r w:rsidR="008309E8">
        <w:rPr>
          <w:rFonts w:ascii="Times New Roman" w:hAnsi="Times New Roman" w:cs="Times New Roman"/>
          <w:sz w:val="24"/>
          <w:szCs w:val="24"/>
        </w:rPr>
        <w:t xml:space="preserve">approximately </w:t>
      </w:r>
      <w:r w:rsidRPr="00CE373E">
        <w:rPr>
          <w:rFonts w:ascii="Times New Roman" w:hAnsi="Times New Roman" w:cs="Times New Roman"/>
          <w:sz w:val="24"/>
          <w:szCs w:val="24"/>
        </w:rPr>
        <w:t>$12 million more in profits than Staff recommend</w:t>
      </w:r>
      <w:r w:rsidR="008309E8">
        <w:rPr>
          <w:rFonts w:ascii="Times New Roman" w:hAnsi="Times New Roman" w:cs="Times New Roman"/>
          <w:sz w:val="24"/>
          <w:szCs w:val="24"/>
        </w:rPr>
        <w:t>s</w:t>
      </w:r>
      <w:r w:rsidRPr="00CE373E">
        <w:rPr>
          <w:rFonts w:ascii="Times New Roman" w:hAnsi="Times New Roman" w:cs="Times New Roman"/>
          <w:sz w:val="24"/>
          <w:szCs w:val="24"/>
        </w:rPr>
        <w:t xml:space="preserve"> to the Commission.</w:t>
      </w:r>
      <w:r w:rsidRPr="00CE373E">
        <w:rPr>
          <w:rStyle w:val="FootnoteReference"/>
          <w:rFonts w:ascii="Times New Roman" w:hAnsi="Times New Roman" w:cs="Times New Roman"/>
          <w:sz w:val="24"/>
          <w:szCs w:val="24"/>
        </w:rPr>
        <w:footnoteReference w:id="2"/>
      </w:r>
      <w:r w:rsidRPr="00CE373E">
        <w:rPr>
          <w:rFonts w:ascii="Times New Roman" w:hAnsi="Times New Roman" w:cs="Times New Roman"/>
          <w:sz w:val="24"/>
          <w:szCs w:val="24"/>
        </w:rPr>
        <w:t xml:space="preserve">  PacifiCorp pumps up its profits with an equity ratio that has ballooned to over 52 percent,</w:t>
      </w:r>
      <w:r w:rsidRPr="00CE373E">
        <w:rPr>
          <w:vertAlign w:val="superscript"/>
        </w:rPr>
        <w:footnoteReference w:id="3"/>
      </w:r>
      <w:r w:rsidRPr="00CE373E">
        <w:rPr>
          <w:rFonts w:ascii="Times New Roman" w:hAnsi="Times New Roman" w:cs="Times New Roman"/>
          <w:sz w:val="24"/>
          <w:szCs w:val="24"/>
        </w:rPr>
        <w:t xml:space="preserve"> plus a</w:t>
      </w:r>
      <w:r w:rsidR="005309A8">
        <w:rPr>
          <w:rFonts w:ascii="Times New Roman" w:hAnsi="Times New Roman" w:cs="Times New Roman"/>
          <w:sz w:val="24"/>
          <w:szCs w:val="24"/>
        </w:rPr>
        <w:t xml:space="preserve"> return on </w:t>
      </w:r>
      <w:r w:rsidRPr="00CE373E">
        <w:rPr>
          <w:rFonts w:ascii="Times New Roman" w:hAnsi="Times New Roman" w:cs="Times New Roman"/>
          <w:sz w:val="24"/>
          <w:szCs w:val="24"/>
        </w:rPr>
        <w:t xml:space="preserve">equity </w:t>
      </w:r>
      <w:r w:rsidR="005309A8">
        <w:rPr>
          <w:rFonts w:ascii="Times New Roman" w:hAnsi="Times New Roman" w:cs="Times New Roman"/>
          <w:sz w:val="24"/>
          <w:szCs w:val="24"/>
        </w:rPr>
        <w:t>(ROE)</w:t>
      </w:r>
      <w:r w:rsidRPr="00CE373E">
        <w:rPr>
          <w:rFonts w:ascii="Times New Roman" w:hAnsi="Times New Roman" w:cs="Times New Roman"/>
          <w:sz w:val="24"/>
          <w:szCs w:val="24"/>
        </w:rPr>
        <w:t xml:space="preserve"> of 10.6 percent.</w:t>
      </w:r>
      <w:r w:rsidRPr="00CE373E">
        <w:rPr>
          <w:rStyle w:val="FootnoteReference"/>
          <w:rFonts w:ascii="Times New Roman" w:hAnsi="Times New Roman" w:cs="Times New Roman"/>
          <w:sz w:val="24"/>
          <w:szCs w:val="24"/>
        </w:rPr>
        <w:footnoteReference w:id="4"/>
      </w:r>
      <w:r w:rsidRPr="00CE373E">
        <w:rPr>
          <w:rFonts w:ascii="Times New Roman" w:hAnsi="Times New Roman" w:cs="Times New Roman"/>
          <w:sz w:val="24"/>
          <w:szCs w:val="24"/>
        </w:rPr>
        <w:t xml:space="preserve">  This return on equity is not only much higher than previously authorized, but it is also well </w:t>
      </w:r>
      <w:r w:rsidR="005309A8">
        <w:rPr>
          <w:rFonts w:ascii="Times New Roman" w:hAnsi="Times New Roman" w:cs="Times New Roman"/>
          <w:sz w:val="24"/>
          <w:szCs w:val="24"/>
        </w:rPr>
        <w:t>above the low end</w:t>
      </w:r>
      <w:r w:rsidRPr="00CE373E">
        <w:rPr>
          <w:rFonts w:ascii="Times New Roman" w:hAnsi="Times New Roman" w:cs="Times New Roman"/>
          <w:sz w:val="24"/>
          <w:szCs w:val="24"/>
        </w:rPr>
        <w:t xml:space="preserve">, and even </w:t>
      </w:r>
      <w:r w:rsidR="005309A8">
        <w:rPr>
          <w:rFonts w:ascii="Times New Roman" w:hAnsi="Times New Roman" w:cs="Times New Roman"/>
          <w:sz w:val="24"/>
          <w:szCs w:val="24"/>
        </w:rPr>
        <w:t xml:space="preserve">above </w:t>
      </w:r>
      <w:r w:rsidRPr="00CE373E">
        <w:rPr>
          <w:rFonts w:ascii="Times New Roman" w:hAnsi="Times New Roman" w:cs="Times New Roman"/>
          <w:sz w:val="24"/>
          <w:szCs w:val="24"/>
        </w:rPr>
        <w:t>the midpoint</w:t>
      </w:r>
      <w:r w:rsidR="005309A8">
        <w:rPr>
          <w:rFonts w:ascii="Times New Roman" w:hAnsi="Times New Roman" w:cs="Times New Roman"/>
          <w:sz w:val="24"/>
          <w:szCs w:val="24"/>
        </w:rPr>
        <w:t>,</w:t>
      </w:r>
      <w:r w:rsidRPr="00CE373E">
        <w:rPr>
          <w:rFonts w:ascii="Times New Roman" w:hAnsi="Times New Roman" w:cs="Times New Roman"/>
          <w:sz w:val="24"/>
          <w:szCs w:val="24"/>
        </w:rPr>
        <w:t xml:space="preserve"> of </w:t>
      </w:r>
      <w:r w:rsidR="00930ACB">
        <w:rPr>
          <w:rFonts w:ascii="Times New Roman" w:hAnsi="Times New Roman" w:cs="Times New Roman"/>
          <w:sz w:val="24"/>
          <w:szCs w:val="24"/>
        </w:rPr>
        <w:t>the ROE range of the Company’s own witness</w:t>
      </w:r>
      <w:r w:rsidRPr="00CE373E">
        <w:rPr>
          <w:rFonts w:ascii="Times New Roman" w:hAnsi="Times New Roman" w:cs="Times New Roman"/>
          <w:sz w:val="24"/>
          <w:szCs w:val="24"/>
        </w:rPr>
        <w:t>.</w:t>
      </w:r>
      <w:r w:rsidRPr="00CE373E">
        <w:rPr>
          <w:rStyle w:val="FootnoteReference"/>
          <w:rFonts w:ascii="Times New Roman" w:hAnsi="Times New Roman" w:cs="Times New Roman"/>
          <w:sz w:val="24"/>
          <w:szCs w:val="24"/>
        </w:rPr>
        <w:footnoteReference w:id="5"/>
      </w:r>
      <w:r w:rsidRPr="00CE373E">
        <w:rPr>
          <w:rFonts w:ascii="Times New Roman" w:hAnsi="Times New Roman" w:cs="Times New Roman"/>
          <w:sz w:val="24"/>
          <w:szCs w:val="24"/>
        </w:rPr>
        <w:t xml:space="preserve">  In short, there is no way this case legitimately can be called a “make whole” case, as PacifiCorp unfathomably contends.</w:t>
      </w:r>
      <w:r w:rsidRPr="00CE373E">
        <w:rPr>
          <w:rStyle w:val="FootnoteReference"/>
          <w:rFonts w:ascii="Times New Roman" w:hAnsi="Times New Roman" w:cs="Times New Roman"/>
          <w:sz w:val="24"/>
          <w:szCs w:val="24"/>
        </w:rPr>
        <w:footnoteReference w:id="6"/>
      </w:r>
    </w:p>
    <w:p w:rsidR="00C939A9" w:rsidRPr="00CE373E" w:rsidRDefault="00CE373E" w:rsidP="00CE373E">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CE373E">
        <w:rPr>
          <w:rFonts w:ascii="Times New Roman" w:hAnsi="Times New Roman" w:cs="Times New Roman"/>
          <w:sz w:val="24"/>
          <w:szCs w:val="24"/>
        </w:rPr>
        <w:t>Perhaps the Commission cannot tell the Company that its rate request is unrealistic.  However, the Legislature places the burden of proof squarely on PacifiCorp.</w:t>
      </w:r>
      <w:r w:rsidRPr="00CE373E">
        <w:rPr>
          <w:rStyle w:val="FootnoteReference"/>
          <w:rFonts w:ascii="Times New Roman" w:hAnsi="Times New Roman" w:cs="Times New Roman"/>
          <w:sz w:val="24"/>
          <w:szCs w:val="24"/>
        </w:rPr>
        <w:footnoteReference w:id="7"/>
      </w:r>
      <w:r w:rsidRPr="00CE373E">
        <w:rPr>
          <w:rFonts w:ascii="Times New Roman" w:hAnsi="Times New Roman" w:cs="Times New Roman"/>
          <w:sz w:val="24"/>
          <w:szCs w:val="24"/>
        </w:rPr>
        <w:t xml:space="preserve">  </w:t>
      </w:r>
      <w:r w:rsidR="00930ACB">
        <w:rPr>
          <w:rFonts w:ascii="Times New Roman" w:hAnsi="Times New Roman" w:cs="Times New Roman"/>
          <w:sz w:val="24"/>
          <w:szCs w:val="24"/>
        </w:rPr>
        <w:t>T</w:t>
      </w:r>
      <w:r w:rsidRPr="00CE373E">
        <w:rPr>
          <w:rFonts w:ascii="Times New Roman" w:hAnsi="Times New Roman" w:cs="Times New Roman"/>
          <w:sz w:val="24"/>
          <w:szCs w:val="24"/>
        </w:rPr>
        <w:t xml:space="preserve">he Commission can and should closely scrutinize the Company’s filing </w:t>
      </w:r>
      <w:r w:rsidR="005309A8">
        <w:rPr>
          <w:rFonts w:ascii="Times New Roman" w:hAnsi="Times New Roman" w:cs="Times New Roman"/>
          <w:sz w:val="24"/>
          <w:szCs w:val="24"/>
        </w:rPr>
        <w:t>to</w:t>
      </w:r>
      <w:r w:rsidRPr="00CE373E">
        <w:rPr>
          <w:rFonts w:ascii="Times New Roman" w:hAnsi="Times New Roman" w:cs="Times New Roman"/>
          <w:sz w:val="24"/>
          <w:szCs w:val="24"/>
        </w:rPr>
        <w:t xml:space="preserve"> assure the public </w:t>
      </w:r>
      <w:r w:rsidR="004B0054">
        <w:rPr>
          <w:rFonts w:ascii="Times New Roman" w:hAnsi="Times New Roman" w:cs="Times New Roman"/>
          <w:sz w:val="24"/>
          <w:szCs w:val="24"/>
        </w:rPr>
        <w:t xml:space="preserve">that </w:t>
      </w:r>
      <w:r w:rsidRPr="00CE373E">
        <w:rPr>
          <w:rFonts w:ascii="Times New Roman" w:hAnsi="Times New Roman" w:cs="Times New Roman"/>
          <w:sz w:val="24"/>
          <w:szCs w:val="24"/>
        </w:rPr>
        <w:t>rates will be set at the lowest reasonable cost.  Staff’s recommendations are based on sound regulatory methodologies that produce a fair and reasonable result.  For the reasons stated in this brief, the Commission should allow PacifiCorp a ra</w:t>
      </w:r>
      <w:r w:rsidR="00B61C33">
        <w:rPr>
          <w:rFonts w:ascii="Times New Roman" w:hAnsi="Times New Roman" w:cs="Times New Roman"/>
          <w:sz w:val="24"/>
          <w:szCs w:val="24"/>
        </w:rPr>
        <w:t>te increase of no more than 9.</w:t>
      </w:r>
      <w:r w:rsidR="0092619D">
        <w:rPr>
          <w:rFonts w:ascii="Times New Roman" w:hAnsi="Times New Roman" w:cs="Times New Roman"/>
          <w:sz w:val="24"/>
          <w:szCs w:val="24"/>
        </w:rPr>
        <w:t>5</w:t>
      </w:r>
      <w:r w:rsidRPr="00CE373E">
        <w:rPr>
          <w:rFonts w:ascii="Times New Roman" w:hAnsi="Times New Roman" w:cs="Times New Roman"/>
          <w:sz w:val="24"/>
          <w:szCs w:val="24"/>
        </w:rPr>
        <w:t xml:space="preserve"> percent.</w:t>
      </w:r>
      <w:r w:rsidR="008309E8">
        <w:rPr>
          <w:rStyle w:val="FootnoteReference"/>
          <w:rFonts w:ascii="Times New Roman" w:hAnsi="Times New Roman" w:cs="Times New Roman"/>
          <w:sz w:val="24"/>
          <w:szCs w:val="24"/>
        </w:rPr>
        <w:footnoteReference w:id="8"/>
      </w:r>
    </w:p>
    <w:p w:rsidR="00A66520" w:rsidRDefault="00A66520">
      <w:pPr>
        <w:rPr>
          <w:rFonts w:ascii="Times New Roman" w:hAnsi="Times New Roman" w:cs="Times New Roman"/>
          <w:b/>
          <w:sz w:val="24"/>
          <w:szCs w:val="24"/>
        </w:rPr>
      </w:pPr>
      <w:r>
        <w:rPr>
          <w:rFonts w:ascii="Times New Roman" w:hAnsi="Times New Roman" w:cs="Times New Roman"/>
          <w:b/>
          <w:sz w:val="24"/>
          <w:szCs w:val="24"/>
        </w:rPr>
        <w:br w:type="page"/>
      </w:r>
    </w:p>
    <w:p w:rsidR="002B710A" w:rsidRPr="00B966E9" w:rsidRDefault="00C939A9" w:rsidP="00CE373E">
      <w:pPr>
        <w:keepNext/>
        <w:spacing w:after="0" w:line="480" w:lineRule="exact"/>
        <w:jc w:val="center"/>
        <w:rPr>
          <w:rFonts w:ascii="Times New Roman" w:hAnsi="Times New Roman" w:cs="Times New Roman"/>
          <w:b/>
          <w:sz w:val="24"/>
          <w:szCs w:val="24"/>
        </w:rPr>
      </w:pPr>
      <w:r>
        <w:rPr>
          <w:rFonts w:ascii="Times New Roman" w:hAnsi="Times New Roman" w:cs="Times New Roman"/>
          <w:b/>
          <w:sz w:val="24"/>
          <w:szCs w:val="24"/>
        </w:rPr>
        <w:lastRenderedPageBreak/>
        <w:t>II.</w:t>
      </w:r>
      <w:r>
        <w:rPr>
          <w:rFonts w:ascii="Times New Roman" w:hAnsi="Times New Roman" w:cs="Times New Roman"/>
          <w:b/>
          <w:sz w:val="24"/>
          <w:szCs w:val="24"/>
        </w:rPr>
        <w:tab/>
      </w:r>
      <w:r w:rsidR="002B710A" w:rsidRPr="00B966E9">
        <w:rPr>
          <w:rFonts w:ascii="Times New Roman" w:hAnsi="Times New Roman" w:cs="Times New Roman"/>
          <w:b/>
          <w:sz w:val="24"/>
          <w:szCs w:val="24"/>
        </w:rPr>
        <w:t>REVENUES</w:t>
      </w:r>
    </w:p>
    <w:p w:rsidR="002B710A" w:rsidRPr="00B966E9" w:rsidRDefault="00B966E9" w:rsidP="00B65199">
      <w:pPr>
        <w:spacing w:after="0" w:line="480" w:lineRule="exact"/>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2B710A" w:rsidRPr="00B966E9">
        <w:rPr>
          <w:rFonts w:ascii="Times New Roman" w:hAnsi="Times New Roman" w:cs="Times New Roman"/>
          <w:b/>
          <w:sz w:val="24"/>
          <w:szCs w:val="24"/>
        </w:rPr>
        <w:t>Normalizing Temperature Sensitive Loads</w:t>
      </w:r>
    </w:p>
    <w:p w:rsidR="002B710A" w:rsidRPr="00B966E9" w:rsidRDefault="00B966E9"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2B710A" w:rsidRPr="00B966E9">
        <w:rPr>
          <w:rFonts w:ascii="Times New Roman" w:hAnsi="Times New Roman" w:cs="Times New Roman"/>
          <w:sz w:val="24"/>
          <w:szCs w:val="24"/>
        </w:rPr>
        <w:t>Many PacifiCorp customers use electricity for space heating.  Changes in temperature greatly affect their usage, which in turn greatly affect</w:t>
      </w:r>
      <w:r w:rsidR="00C745D7">
        <w:rPr>
          <w:rFonts w:ascii="Times New Roman" w:hAnsi="Times New Roman" w:cs="Times New Roman"/>
          <w:sz w:val="24"/>
          <w:szCs w:val="24"/>
        </w:rPr>
        <w:t>s</w:t>
      </w:r>
      <w:r w:rsidR="002B710A" w:rsidRPr="00B966E9">
        <w:rPr>
          <w:rFonts w:ascii="Times New Roman" w:hAnsi="Times New Roman" w:cs="Times New Roman"/>
          <w:sz w:val="24"/>
          <w:szCs w:val="24"/>
        </w:rPr>
        <w:t xml:space="preserve"> the Company’s revenues.  In a rate case, test period revenues are normalized to reflect “normal” temperatures.</w:t>
      </w:r>
      <w:r w:rsidR="002B710A" w:rsidRPr="002B710A">
        <w:rPr>
          <w:vertAlign w:val="superscript"/>
        </w:rPr>
        <w:footnoteReference w:id="9"/>
      </w:r>
      <w:r w:rsidR="002B710A" w:rsidRPr="00B966E9">
        <w:rPr>
          <w:rFonts w:ascii="Times New Roman" w:hAnsi="Times New Roman" w:cs="Times New Roman"/>
          <w:sz w:val="24"/>
          <w:szCs w:val="24"/>
        </w:rPr>
        <w:t xml:space="preserve">  </w:t>
      </w:r>
    </w:p>
    <w:p w:rsidR="002B710A" w:rsidRPr="00B966E9" w:rsidRDefault="00B966E9"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2B710A" w:rsidRPr="00B966E9">
        <w:rPr>
          <w:rFonts w:ascii="Times New Roman" w:hAnsi="Times New Roman" w:cs="Times New Roman"/>
          <w:sz w:val="24"/>
          <w:szCs w:val="24"/>
        </w:rPr>
        <w:t xml:space="preserve">There are two </w:t>
      </w:r>
      <w:r w:rsidR="00257CF2">
        <w:rPr>
          <w:rFonts w:ascii="Times New Roman" w:hAnsi="Times New Roman" w:cs="Times New Roman"/>
          <w:sz w:val="24"/>
          <w:szCs w:val="24"/>
        </w:rPr>
        <w:t>issues</w:t>
      </w:r>
      <w:r w:rsidR="002B710A" w:rsidRPr="00B966E9">
        <w:rPr>
          <w:rFonts w:ascii="Times New Roman" w:hAnsi="Times New Roman" w:cs="Times New Roman"/>
          <w:sz w:val="24"/>
          <w:szCs w:val="24"/>
        </w:rPr>
        <w:t xml:space="preserve">.  </w:t>
      </w:r>
      <w:r w:rsidR="00257CF2">
        <w:rPr>
          <w:rFonts w:ascii="Times New Roman" w:hAnsi="Times New Roman" w:cs="Times New Roman"/>
          <w:sz w:val="24"/>
          <w:szCs w:val="24"/>
        </w:rPr>
        <w:t xml:space="preserve">The first issue relates to Adjustments 3.1 and 3.7, the </w:t>
      </w:r>
      <w:r w:rsidR="002B710A" w:rsidRPr="00B966E9">
        <w:rPr>
          <w:rFonts w:ascii="Times New Roman" w:hAnsi="Times New Roman" w:cs="Times New Roman"/>
          <w:sz w:val="24"/>
          <w:szCs w:val="24"/>
        </w:rPr>
        <w:t xml:space="preserve">“standard” temperature normalization adjustment </w:t>
      </w:r>
      <w:r w:rsidR="00C745D7">
        <w:rPr>
          <w:rFonts w:ascii="Times New Roman" w:hAnsi="Times New Roman" w:cs="Times New Roman"/>
          <w:sz w:val="24"/>
          <w:szCs w:val="24"/>
        </w:rPr>
        <w:t xml:space="preserve">which is </w:t>
      </w:r>
      <w:r w:rsidR="002B710A" w:rsidRPr="00B966E9">
        <w:rPr>
          <w:rFonts w:ascii="Times New Roman" w:hAnsi="Times New Roman" w:cs="Times New Roman"/>
          <w:sz w:val="24"/>
          <w:szCs w:val="24"/>
        </w:rPr>
        <w:t>based on Commission</w:t>
      </w:r>
      <w:r w:rsidR="00257CF2">
        <w:rPr>
          <w:rFonts w:ascii="Times New Roman" w:hAnsi="Times New Roman" w:cs="Times New Roman"/>
          <w:sz w:val="24"/>
          <w:szCs w:val="24"/>
        </w:rPr>
        <w:t>-</w:t>
      </w:r>
      <w:r w:rsidR="002B710A" w:rsidRPr="00B966E9">
        <w:rPr>
          <w:rFonts w:ascii="Times New Roman" w:hAnsi="Times New Roman" w:cs="Times New Roman"/>
          <w:sz w:val="24"/>
          <w:szCs w:val="24"/>
        </w:rPr>
        <w:t xml:space="preserve">approved </w:t>
      </w:r>
      <w:r w:rsidR="00257CF2">
        <w:rPr>
          <w:rFonts w:ascii="Times New Roman" w:hAnsi="Times New Roman" w:cs="Times New Roman"/>
          <w:sz w:val="24"/>
          <w:szCs w:val="24"/>
        </w:rPr>
        <w:t>procedures</w:t>
      </w:r>
      <w:r w:rsidR="002B710A" w:rsidRPr="00B966E9">
        <w:rPr>
          <w:rFonts w:ascii="Times New Roman" w:hAnsi="Times New Roman" w:cs="Times New Roman"/>
          <w:sz w:val="24"/>
          <w:szCs w:val="24"/>
        </w:rPr>
        <w:t xml:space="preserve">.  The Staff/Company difference </w:t>
      </w:r>
      <w:r w:rsidR="00257CF2">
        <w:rPr>
          <w:rFonts w:ascii="Times New Roman" w:hAnsi="Times New Roman" w:cs="Times New Roman"/>
          <w:sz w:val="24"/>
          <w:szCs w:val="24"/>
        </w:rPr>
        <w:t>here</w:t>
      </w:r>
      <w:r w:rsidR="002B710A" w:rsidRPr="00B966E9">
        <w:rPr>
          <w:rFonts w:ascii="Times New Roman" w:hAnsi="Times New Roman" w:cs="Times New Roman"/>
          <w:sz w:val="24"/>
          <w:szCs w:val="24"/>
        </w:rPr>
        <w:t xml:space="preserve"> is </w:t>
      </w:r>
      <w:r w:rsidR="00257CF2">
        <w:rPr>
          <w:rFonts w:ascii="Times New Roman" w:hAnsi="Times New Roman" w:cs="Times New Roman"/>
          <w:sz w:val="24"/>
          <w:szCs w:val="24"/>
        </w:rPr>
        <w:t xml:space="preserve">due to the </w:t>
      </w:r>
      <w:r w:rsidR="002B710A" w:rsidRPr="00B966E9">
        <w:rPr>
          <w:rFonts w:ascii="Times New Roman" w:hAnsi="Times New Roman" w:cs="Times New Roman"/>
          <w:sz w:val="24"/>
          <w:szCs w:val="24"/>
        </w:rPr>
        <w:t xml:space="preserve">marginal statistical support PacifiCorp </w:t>
      </w:r>
      <w:r w:rsidR="00257CF2">
        <w:rPr>
          <w:rFonts w:ascii="Times New Roman" w:hAnsi="Times New Roman" w:cs="Times New Roman"/>
          <w:sz w:val="24"/>
          <w:szCs w:val="24"/>
        </w:rPr>
        <w:t xml:space="preserve">provides to adjust </w:t>
      </w:r>
      <w:r w:rsidR="007D7EE8" w:rsidRPr="00B966E9">
        <w:rPr>
          <w:rFonts w:ascii="Times New Roman" w:hAnsi="Times New Roman" w:cs="Times New Roman"/>
          <w:sz w:val="24"/>
          <w:szCs w:val="24"/>
        </w:rPr>
        <w:t xml:space="preserve">the Commercial schedules </w:t>
      </w:r>
      <w:r w:rsidR="007D7EE8">
        <w:rPr>
          <w:rFonts w:ascii="Times New Roman" w:hAnsi="Times New Roman" w:cs="Times New Roman"/>
          <w:sz w:val="24"/>
          <w:szCs w:val="24"/>
        </w:rPr>
        <w:t>to</w:t>
      </w:r>
      <w:r w:rsidR="007D7EE8" w:rsidRPr="00B966E9">
        <w:rPr>
          <w:rFonts w:ascii="Times New Roman" w:hAnsi="Times New Roman" w:cs="Times New Roman"/>
          <w:sz w:val="24"/>
          <w:szCs w:val="24"/>
        </w:rPr>
        <w:t xml:space="preserve"> </w:t>
      </w:r>
      <w:r w:rsidR="002B710A" w:rsidRPr="00B966E9">
        <w:rPr>
          <w:rFonts w:ascii="Times New Roman" w:hAnsi="Times New Roman" w:cs="Times New Roman"/>
          <w:sz w:val="24"/>
          <w:szCs w:val="24"/>
        </w:rPr>
        <w:t>normal temperatures.</w:t>
      </w:r>
    </w:p>
    <w:p w:rsidR="002B710A" w:rsidRDefault="00B966E9"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2B710A" w:rsidRPr="00B966E9">
        <w:rPr>
          <w:rFonts w:ascii="Times New Roman" w:hAnsi="Times New Roman" w:cs="Times New Roman"/>
          <w:sz w:val="24"/>
          <w:szCs w:val="24"/>
        </w:rPr>
        <w:t xml:space="preserve">The </w:t>
      </w:r>
      <w:r w:rsidR="00257CF2">
        <w:rPr>
          <w:rFonts w:ascii="Times New Roman" w:hAnsi="Times New Roman" w:cs="Times New Roman"/>
          <w:sz w:val="24"/>
          <w:szCs w:val="24"/>
        </w:rPr>
        <w:t xml:space="preserve">second issue relates to an </w:t>
      </w:r>
      <w:r w:rsidR="002B710A" w:rsidRPr="00B966E9">
        <w:rPr>
          <w:rFonts w:ascii="Times New Roman" w:hAnsi="Times New Roman" w:cs="Times New Roman"/>
          <w:sz w:val="24"/>
          <w:szCs w:val="24"/>
        </w:rPr>
        <w:t xml:space="preserve">adjustment offered by ICNU/Public Counsel, based on a snapshot of evidence that suggests increasing Residential customer usage.  However, that snapshot is out of focus and provides </w:t>
      </w:r>
      <w:r w:rsidR="00257CF2">
        <w:rPr>
          <w:rFonts w:ascii="Times New Roman" w:hAnsi="Times New Roman" w:cs="Times New Roman"/>
          <w:sz w:val="24"/>
          <w:szCs w:val="24"/>
        </w:rPr>
        <w:t xml:space="preserve">an </w:t>
      </w:r>
      <w:r w:rsidR="002B710A" w:rsidRPr="00B966E9">
        <w:rPr>
          <w:rFonts w:ascii="Times New Roman" w:hAnsi="Times New Roman" w:cs="Times New Roman"/>
          <w:sz w:val="24"/>
          <w:szCs w:val="24"/>
        </w:rPr>
        <w:t xml:space="preserve">unreliable </w:t>
      </w:r>
      <w:r w:rsidR="00257CF2">
        <w:rPr>
          <w:rFonts w:ascii="Times New Roman" w:hAnsi="Times New Roman" w:cs="Times New Roman"/>
          <w:sz w:val="24"/>
          <w:szCs w:val="24"/>
        </w:rPr>
        <w:t>basis for measuring Residential customer usage</w:t>
      </w:r>
      <w:r w:rsidR="002B710A" w:rsidRPr="00B966E9">
        <w:rPr>
          <w:rFonts w:ascii="Times New Roman" w:hAnsi="Times New Roman" w:cs="Times New Roman"/>
          <w:sz w:val="24"/>
          <w:szCs w:val="24"/>
        </w:rPr>
        <w:t>.</w:t>
      </w:r>
    </w:p>
    <w:p w:rsidR="00B65199" w:rsidRPr="00AA7D2A" w:rsidRDefault="00B65199" w:rsidP="00B65199">
      <w:pPr>
        <w:pStyle w:val="ListParagraph"/>
        <w:spacing w:after="0" w:line="240" w:lineRule="exact"/>
        <w:ind w:left="0"/>
        <w:rPr>
          <w:rFonts w:ascii="Times New Roman" w:hAnsi="Times New Roman" w:cs="Times New Roman"/>
          <w:b/>
          <w:sz w:val="24"/>
          <w:szCs w:val="24"/>
        </w:rPr>
      </w:pPr>
    </w:p>
    <w:p w:rsidR="002B710A" w:rsidRPr="005C1FA9" w:rsidRDefault="005C1FA9" w:rsidP="005C1FA9">
      <w:pPr>
        <w:spacing w:after="0" w:line="240" w:lineRule="exact"/>
        <w:ind w:left="1440" w:hanging="72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2B710A" w:rsidRPr="005C1FA9">
        <w:rPr>
          <w:rFonts w:ascii="Times New Roman" w:hAnsi="Times New Roman" w:cs="Times New Roman"/>
          <w:b/>
          <w:sz w:val="24"/>
          <w:szCs w:val="24"/>
        </w:rPr>
        <w:t>The Commission Should Accept the Company’s Temperature Normalization Procedures, But Reject the Adjustment for Commercial Schedules Because it is Insufficiently Supported</w:t>
      </w:r>
    </w:p>
    <w:p w:rsidR="002B710A" w:rsidRPr="00B966E9" w:rsidRDefault="00B966E9"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2B710A" w:rsidRPr="00B966E9">
        <w:rPr>
          <w:rFonts w:ascii="Times New Roman" w:hAnsi="Times New Roman" w:cs="Times New Roman"/>
          <w:sz w:val="24"/>
          <w:szCs w:val="24"/>
        </w:rPr>
        <w:t xml:space="preserve">Pursuant to the Stipulation in Docket UE-050684, the Company filed its temperature normalization adjustment in this </w:t>
      </w:r>
      <w:r w:rsidR="00257CF2">
        <w:rPr>
          <w:rFonts w:ascii="Times New Roman" w:hAnsi="Times New Roman" w:cs="Times New Roman"/>
          <w:sz w:val="24"/>
          <w:szCs w:val="24"/>
        </w:rPr>
        <w:t xml:space="preserve">case </w:t>
      </w:r>
      <w:r w:rsidR="002B710A" w:rsidRPr="00B966E9">
        <w:rPr>
          <w:rFonts w:ascii="Times New Roman" w:hAnsi="Times New Roman" w:cs="Times New Roman"/>
          <w:sz w:val="24"/>
          <w:szCs w:val="24"/>
        </w:rPr>
        <w:t xml:space="preserve">using the </w:t>
      </w:r>
      <w:r w:rsidR="00257CF2">
        <w:rPr>
          <w:rFonts w:ascii="Times New Roman" w:hAnsi="Times New Roman" w:cs="Times New Roman"/>
          <w:sz w:val="24"/>
          <w:szCs w:val="24"/>
        </w:rPr>
        <w:t xml:space="preserve">Commission-approved </w:t>
      </w:r>
      <w:r w:rsidR="002B710A" w:rsidRPr="00B966E9">
        <w:rPr>
          <w:rFonts w:ascii="Times New Roman" w:hAnsi="Times New Roman" w:cs="Times New Roman"/>
          <w:sz w:val="24"/>
          <w:szCs w:val="24"/>
        </w:rPr>
        <w:t>temperature normalization methodology.</w:t>
      </w:r>
      <w:r w:rsidR="002B710A" w:rsidRPr="002B710A">
        <w:rPr>
          <w:vertAlign w:val="superscript"/>
        </w:rPr>
        <w:footnoteReference w:id="10"/>
      </w:r>
      <w:r w:rsidR="002B710A" w:rsidRPr="00B966E9">
        <w:rPr>
          <w:rFonts w:ascii="Times New Roman" w:hAnsi="Times New Roman" w:cs="Times New Roman"/>
          <w:sz w:val="24"/>
          <w:szCs w:val="24"/>
        </w:rPr>
        <w:t xml:space="preserve">  Staff confirmed th</w:t>
      </w:r>
      <w:r w:rsidR="00257CF2">
        <w:rPr>
          <w:rFonts w:ascii="Times New Roman" w:hAnsi="Times New Roman" w:cs="Times New Roman"/>
          <w:sz w:val="24"/>
          <w:szCs w:val="24"/>
        </w:rPr>
        <w:t>at th</w:t>
      </w:r>
      <w:r w:rsidR="002B710A" w:rsidRPr="00B966E9">
        <w:rPr>
          <w:rFonts w:ascii="Times New Roman" w:hAnsi="Times New Roman" w:cs="Times New Roman"/>
          <w:sz w:val="24"/>
          <w:szCs w:val="24"/>
        </w:rPr>
        <w:t>e methodology the Company used is consistent with that Stipulation.</w:t>
      </w:r>
      <w:r w:rsidR="002B710A" w:rsidRPr="002B710A">
        <w:rPr>
          <w:vertAlign w:val="superscript"/>
        </w:rPr>
        <w:footnoteReference w:id="11"/>
      </w:r>
      <w:r w:rsidR="002B710A" w:rsidRPr="00B966E9">
        <w:rPr>
          <w:rFonts w:ascii="Times New Roman" w:hAnsi="Times New Roman" w:cs="Times New Roman"/>
          <w:sz w:val="24"/>
          <w:szCs w:val="24"/>
        </w:rPr>
        <w:t xml:space="preserve">  </w:t>
      </w:r>
    </w:p>
    <w:p w:rsidR="002B710A" w:rsidRPr="00B966E9" w:rsidRDefault="00B966E9"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2B710A" w:rsidRPr="00B966E9">
        <w:rPr>
          <w:rFonts w:ascii="Times New Roman" w:hAnsi="Times New Roman" w:cs="Times New Roman"/>
          <w:sz w:val="24"/>
          <w:szCs w:val="24"/>
        </w:rPr>
        <w:t xml:space="preserve">However, as applied to the Company’s </w:t>
      </w:r>
      <w:r w:rsidR="00930ACB">
        <w:rPr>
          <w:rFonts w:ascii="Times New Roman" w:hAnsi="Times New Roman" w:cs="Times New Roman"/>
          <w:sz w:val="24"/>
          <w:szCs w:val="24"/>
        </w:rPr>
        <w:t>C</w:t>
      </w:r>
      <w:r w:rsidR="002B710A" w:rsidRPr="00B966E9">
        <w:rPr>
          <w:rFonts w:ascii="Times New Roman" w:hAnsi="Times New Roman" w:cs="Times New Roman"/>
          <w:sz w:val="24"/>
          <w:szCs w:val="24"/>
        </w:rPr>
        <w:t>ommercial schedules, PacifiCorp’s application of that methodology failed to produce reliable results.  Staff reviewed the statistical results, and found that while the Company was able to support the sensitivity coefficients for the Residential schedule (i.e., a model which produces an R-squared of 0.976),</w:t>
      </w:r>
      <w:r w:rsidR="002B710A" w:rsidRPr="002B710A">
        <w:rPr>
          <w:vertAlign w:val="superscript"/>
        </w:rPr>
        <w:footnoteReference w:id="12"/>
      </w:r>
      <w:r w:rsidR="002B710A" w:rsidRPr="00B966E9">
        <w:rPr>
          <w:rFonts w:ascii="Times New Roman" w:hAnsi="Times New Roman" w:cs="Times New Roman"/>
          <w:sz w:val="24"/>
          <w:szCs w:val="24"/>
        </w:rPr>
        <w:t xml:space="preserve"> the Company was unable to </w:t>
      </w:r>
      <w:r w:rsidR="002B710A" w:rsidRPr="00B966E9">
        <w:rPr>
          <w:rFonts w:ascii="Times New Roman" w:hAnsi="Times New Roman" w:cs="Times New Roman"/>
          <w:sz w:val="24"/>
          <w:szCs w:val="24"/>
        </w:rPr>
        <w:lastRenderedPageBreak/>
        <w:t>support the sensitivity coefficients for the Commercial schedules (i.e., a model which produces an R-squared of only 0.644).</w:t>
      </w:r>
      <w:r w:rsidR="002B710A" w:rsidRPr="002B710A">
        <w:rPr>
          <w:vertAlign w:val="superscript"/>
        </w:rPr>
        <w:footnoteReference w:id="13"/>
      </w:r>
      <w:r w:rsidR="002B710A" w:rsidRPr="00B966E9">
        <w:rPr>
          <w:rFonts w:ascii="Times New Roman" w:hAnsi="Times New Roman" w:cs="Times New Roman"/>
          <w:sz w:val="24"/>
          <w:szCs w:val="24"/>
        </w:rPr>
        <w:t xml:space="preserve">  </w:t>
      </w:r>
    </w:p>
    <w:p w:rsidR="002B710A" w:rsidRPr="00B966E9" w:rsidRDefault="00B966E9"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2B710A" w:rsidRPr="00B966E9">
        <w:rPr>
          <w:rFonts w:ascii="Times New Roman" w:hAnsi="Times New Roman" w:cs="Times New Roman"/>
          <w:sz w:val="24"/>
          <w:szCs w:val="24"/>
        </w:rPr>
        <w:t>In other words, using the Company’s equations, the statistical model failed to explain 35.6 percent of the variation in Commercial loads.  Consequently, Staff rejected that part of the Company’s temperature normalization adjustment, which reduces the overall adjustment by $965,317 at the revenue requirement level.</w:t>
      </w:r>
      <w:r w:rsidR="002B710A" w:rsidRPr="002B710A">
        <w:rPr>
          <w:vertAlign w:val="superscript"/>
        </w:rPr>
        <w:footnoteReference w:id="14"/>
      </w:r>
    </w:p>
    <w:p w:rsidR="002B710A" w:rsidRPr="00B966E9" w:rsidRDefault="00B966E9"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2B710A" w:rsidRPr="00B966E9">
        <w:rPr>
          <w:rFonts w:ascii="Times New Roman" w:hAnsi="Times New Roman" w:cs="Times New Roman"/>
          <w:sz w:val="24"/>
          <w:szCs w:val="24"/>
        </w:rPr>
        <w:t xml:space="preserve">PacifiCorp does not contest </w:t>
      </w:r>
      <w:r w:rsidR="00930ACB">
        <w:rPr>
          <w:rFonts w:ascii="Times New Roman" w:hAnsi="Times New Roman" w:cs="Times New Roman"/>
          <w:sz w:val="24"/>
          <w:szCs w:val="24"/>
        </w:rPr>
        <w:t xml:space="preserve">the </w:t>
      </w:r>
      <w:r w:rsidR="002B710A" w:rsidRPr="00B966E9">
        <w:rPr>
          <w:rFonts w:ascii="Times New Roman" w:hAnsi="Times New Roman" w:cs="Times New Roman"/>
          <w:sz w:val="24"/>
          <w:szCs w:val="24"/>
        </w:rPr>
        <w:t>calculation, but opposes the adjustment.  Mr. Duvall says it is not appropriate to use R squared as a single measure of the model, because it will increase when variables are added, and those variables may not add explanation.</w:t>
      </w:r>
      <w:r w:rsidR="002B710A" w:rsidRPr="002B710A">
        <w:rPr>
          <w:vertAlign w:val="superscript"/>
        </w:rPr>
        <w:footnoteReference w:id="15"/>
      </w:r>
      <w:r w:rsidR="002B710A" w:rsidRPr="00B966E9">
        <w:rPr>
          <w:rFonts w:ascii="Times New Roman" w:hAnsi="Times New Roman" w:cs="Times New Roman"/>
          <w:sz w:val="24"/>
          <w:szCs w:val="24"/>
        </w:rPr>
        <w:t xml:space="preserve">  Nonetheless, the R squared is a standard measure of the quality of fit to the data.  If the R squared is too low, this suggests the fit function (or model) is not adequate.  </w:t>
      </w:r>
    </w:p>
    <w:p w:rsidR="002B710A" w:rsidRPr="00B966E9" w:rsidRDefault="00B966E9"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2B710A" w:rsidRPr="00B966E9">
        <w:rPr>
          <w:rFonts w:ascii="Times New Roman" w:hAnsi="Times New Roman" w:cs="Times New Roman"/>
          <w:sz w:val="24"/>
          <w:szCs w:val="24"/>
        </w:rPr>
        <w:t>The Company speculates the problem is due to allegedly heterogeneous customer characteristics</w:t>
      </w:r>
      <w:r w:rsidR="00B53C89">
        <w:rPr>
          <w:rFonts w:ascii="Times New Roman" w:hAnsi="Times New Roman" w:cs="Times New Roman"/>
          <w:sz w:val="24"/>
          <w:szCs w:val="24"/>
        </w:rPr>
        <w:t>;</w:t>
      </w:r>
      <w:r w:rsidR="002B710A" w:rsidRPr="002B710A">
        <w:rPr>
          <w:vertAlign w:val="superscript"/>
        </w:rPr>
        <w:footnoteReference w:id="16"/>
      </w:r>
      <w:r w:rsidR="002B710A" w:rsidRPr="00B966E9">
        <w:rPr>
          <w:rFonts w:ascii="Times New Roman" w:hAnsi="Times New Roman" w:cs="Times New Roman"/>
          <w:sz w:val="24"/>
          <w:szCs w:val="24"/>
        </w:rPr>
        <w:t xml:space="preserve"> </w:t>
      </w:r>
      <w:r w:rsidR="00B53C89">
        <w:rPr>
          <w:rFonts w:ascii="Times New Roman" w:hAnsi="Times New Roman" w:cs="Times New Roman"/>
          <w:sz w:val="24"/>
          <w:szCs w:val="24"/>
        </w:rPr>
        <w:t xml:space="preserve">perhaps so, but </w:t>
      </w:r>
      <w:r w:rsidR="002B710A" w:rsidRPr="00B966E9">
        <w:rPr>
          <w:rFonts w:ascii="Times New Roman" w:hAnsi="Times New Roman" w:cs="Times New Roman"/>
          <w:sz w:val="24"/>
          <w:szCs w:val="24"/>
        </w:rPr>
        <w:t xml:space="preserve">that </w:t>
      </w:r>
      <w:r w:rsidR="00B53C89">
        <w:rPr>
          <w:rFonts w:ascii="Times New Roman" w:hAnsi="Times New Roman" w:cs="Times New Roman"/>
          <w:sz w:val="24"/>
          <w:szCs w:val="24"/>
        </w:rPr>
        <w:t>does not improve the result</w:t>
      </w:r>
      <w:r w:rsidR="002B710A" w:rsidRPr="00B966E9">
        <w:rPr>
          <w:rFonts w:ascii="Times New Roman" w:hAnsi="Times New Roman" w:cs="Times New Roman"/>
          <w:sz w:val="24"/>
          <w:szCs w:val="24"/>
        </w:rPr>
        <w:t xml:space="preserve">.  Staff </w:t>
      </w:r>
      <w:r w:rsidR="00B53C89">
        <w:rPr>
          <w:rFonts w:ascii="Times New Roman" w:hAnsi="Times New Roman" w:cs="Times New Roman"/>
          <w:sz w:val="24"/>
          <w:szCs w:val="24"/>
        </w:rPr>
        <w:t>promotes a</w:t>
      </w:r>
      <w:r w:rsidR="002B710A" w:rsidRPr="00B966E9">
        <w:rPr>
          <w:rFonts w:ascii="Times New Roman" w:hAnsi="Times New Roman" w:cs="Times New Roman"/>
          <w:sz w:val="24"/>
          <w:szCs w:val="24"/>
        </w:rPr>
        <w:t xml:space="preserve"> more detailed analysis of the data </w:t>
      </w:r>
      <w:r w:rsidR="00B53C89">
        <w:rPr>
          <w:rFonts w:ascii="Times New Roman" w:hAnsi="Times New Roman" w:cs="Times New Roman"/>
          <w:sz w:val="24"/>
          <w:szCs w:val="24"/>
        </w:rPr>
        <w:t>to</w:t>
      </w:r>
      <w:r w:rsidR="00B53C89" w:rsidRPr="00B966E9">
        <w:rPr>
          <w:rFonts w:ascii="Times New Roman" w:hAnsi="Times New Roman" w:cs="Times New Roman"/>
          <w:sz w:val="24"/>
          <w:szCs w:val="24"/>
        </w:rPr>
        <w:t xml:space="preserve"> </w:t>
      </w:r>
      <w:r w:rsidR="00B53C89">
        <w:rPr>
          <w:rFonts w:ascii="Times New Roman" w:hAnsi="Times New Roman" w:cs="Times New Roman"/>
          <w:sz w:val="24"/>
          <w:szCs w:val="24"/>
        </w:rPr>
        <w:t xml:space="preserve">derive a more statistically valid result for the </w:t>
      </w:r>
      <w:r w:rsidR="00C772E3">
        <w:rPr>
          <w:rFonts w:ascii="Times New Roman" w:hAnsi="Times New Roman" w:cs="Times New Roman"/>
          <w:sz w:val="24"/>
          <w:szCs w:val="24"/>
        </w:rPr>
        <w:t>C</w:t>
      </w:r>
      <w:r w:rsidR="00B53C89">
        <w:rPr>
          <w:rFonts w:ascii="Times New Roman" w:hAnsi="Times New Roman" w:cs="Times New Roman"/>
          <w:sz w:val="24"/>
          <w:szCs w:val="24"/>
        </w:rPr>
        <w:t xml:space="preserve">ommercial class. </w:t>
      </w:r>
      <w:r w:rsidR="00930ACB">
        <w:rPr>
          <w:rFonts w:ascii="Times New Roman" w:hAnsi="Times New Roman" w:cs="Times New Roman"/>
          <w:sz w:val="24"/>
          <w:szCs w:val="24"/>
        </w:rPr>
        <w:t xml:space="preserve"> </w:t>
      </w:r>
      <w:r w:rsidR="002B710A" w:rsidRPr="00B966E9">
        <w:rPr>
          <w:rFonts w:ascii="Times New Roman" w:hAnsi="Times New Roman" w:cs="Times New Roman"/>
          <w:sz w:val="24"/>
          <w:szCs w:val="24"/>
        </w:rPr>
        <w:t xml:space="preserve">In the meantime, the Commission should not accept the Company’s poorly </w:t>
      </w:r>
      <w:r w:rsidR="00B53C89">
        <w:rPr>
          <w:rFonts w:ascii="Times New Roman" w:hAnsi="Times New Roman" w:cs="Times New Roman"/>
          <w:sz w:val="24"/>
          <w:szCs w:val="24"/>
        </w:rPr>
        <w:t>constructed</w:t>
      </w:r>
      <w:r w:rsidR="00B53C89" w:rsidRPr="00B966E9">
        <w:rPr>
          <w:rFonts w:ascii="Times New Roman" w:hAnsi="Times New Roman" w:cs="Times New Roman"/>
          <w:sz w:val="24"/>
          <w:szCs w:val="24"/>
        </w:rPr>
        <w:t xml:space="preserve"> </w:t>
      </w:r>
      <w:r w:rsidR="002B710A" w:rsidRPr="00B966E9">
        <w:rPr>
          <w:rFonts w:ascii="Times New Roman" w:hAnsi="Times New Roman" w:cs="Times New Roman"/>
          <w:sz w:val="24"/>
          <w:szCs w:val="24"/>
        </w:rPr>
        <w:t xml:space="preserve">adjustment.  </w:t>
      </w:r>
    </w:p>
    <w:p w:rsidR="002B710A" w:rsidRPr="00B966E9" w:rsidRDefault="00B966E9"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2B710A" w:rsidRPr="00B966E9">
        <w:rPr>
          <w:rFonts w:ascii="Times New Roman" w:hAnsi="Times New Roman" w:cs="Times New Roman"/>
          <w:sz w:val="24"/>
          <w:szCs w:val="24"/>
        </w:rPr>
        <w:t xml:space="preserve">Mr. Duvall goes on to argue that removing the </w:t>
      </w:r>
      <w:r w:rsidR="00B53C89">
        <w:rPr>
          <w:rFonts w:ascii="Times New Roman" w:hAnsi="Times New Roman" w:cs="Times New Roman"/>
          <w:sz w:val="24"/>
          <w:szCs w:val="24"/>
        </w:rPr>
        <w:t xml:space="preserve">Company’s </w:t>
      </w:r>
      <w:r w:rsidR="00C772E3">
        <w:rPr>
          <w:rFonts w:ascii="Times New Roman" w:hAnsi="Times New Roman" w:cs="Times New Roman"/>
          <w:sz w:val="24"/>
          <w:szCs w:val="24"/>
        </w:rPr>
        <w:t>C</w:t>
      </w:r>
      <w:r w:rsidR="00B53C89">
        <w:rPr>
          <w:rFonts w:ascii="Times New Roman" w:hAnsi="Times New Roman" w:cs="Times New Roman"/>
          <w:sz w:val="24"/>
          <w:szCs w:val="24"/>
        </w:rPr>
        <w:t>ommercial class</w:t>
      </w:r>
      <w:r w:rsidR="002B710A" w:rsidRPr="00B966E9">
        <w:rPr>
          <w:rFonts w:ascii="Times New Roman" w:hAnsi="Times New Roman" w:cs="Times New Roman"/>
          <w:sz w:val="24"/>
          <w:szCs w:val="24"/>
        </w:rPr>
        <w:t xml:space="preserve"> adjustment reduces the accuracy of the load forecast.</w:t>
      </w:r>
      <w:r w:rsidR="002B710A" w:rsidRPr="002B710A">
        <w:rPr>
          <w:vertAlign w:val="superscript"/>
        </w:rPr>
        <w:footnoteReference w:id="17"/>
      </w:r>
      <w:r w:rsidR="002B710A" w:rsidRPr="00B966E9">
        <w:rPr>
          <w:rFonts w:ascii="Times New Roman" w:hAnsi="Times New Roman" w:cs="Times New Roman"/>
          <w:sz w:val="24"/>
          <w:szCs w:val="24"/>
        </w:rPr>
        <w:t xml:space="preserve">  </w:t>
      </w:r>
      <w:r w:rsidR="00BB0C98">
        <w:rPr>
          <w:rFonts w:ascii="Times New Roman" w:hAnsi="Times New Roman" w:cs="Times New Roman"/>
          <w:sz w:val="24"/>
          <w:szCs w:val="24"/>
        </w:rPr>
        <w:t>T</w:t>
      </w:r>
      <w:r w:rsidR="002B710A" w:rsidRPr="00B966E9">
        <w:rPr>
          <w:rFonts w:ascii="Times New Roman" w:hAnsi="Times New Roman" w:cs="Times New Roman"/>
          <w:sz w:val="24"/>
          <w:szCs w:val="24"/>
        </w:rPr>
        <w:t>hat is an unhelpful, circular argument because it presupposes the accuracy of the Company’s temperature normalization adjustment.  Staff can agree that if the Company improves the accuracy of its study, the load forecast will improve, also.</w:t>
      </w:r>
    </w:p>
    <w:p w:rsidR="002B710A" w:rsidRPr="00B966E9" w:rsidRDefault="00B966E9"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2B710A" w:rsidRPr="00B966E9">
        <w:rPr>
          <w:rFonts w:ascii="Times New Roman" w:hAnsi="Times New Roman" w:cs="Times New Roman"/>
          <w:sz w:val="24"/>
          <w:szCs w:val="24"/>
        </w:rPr>
        <w:t>Citing a statistics book, PacifiCorp goes on to argue the Commission should accept the Company’s adjustment unless it produces “erroneous results or was calculated in a manner inconsistent with Commission practice.”</w:t>
      </w:r>
      <w:r w:rsidR="002B710A" w:rsidRPr="002B710A">
        <w:rPr>
          <w:vertAlign w:val="superscript"/>
        </w:rPr>
        <w:footnoteReference w:id="18"/>
      </w:r>
      <w:r w:rsidR="002B710A" w:rsidRPr="00B966E9">
        <w:rPr>
          <w:rFonts w:ascii="Times New Roman" w:hAnsi="Times New Roman" w:cs="Times New Roman"/>
          <w:sz w:val="24"/>
          <w:szCs w:val="24"/>
        </w:rPr>
        <w:t xml:space="preserve">  However, the Company conceded </w:t>
      </w:r>
      <w:r w:rsidR="00CE56B0" w:rsidRPr="00B966E9">
        <w:rPr>
          <w:rFonts w:ascii="Times New Roman" w:hAnsi="Times New Roman" w:cs="Times New Roman"/>
          <w:sz w:val="24"/>
          <w:szCs w:val="24"/>
        </w:rPr>
        <w:t>th</w:t>
      </w:r>
      <w:r w:rsidR="00CE56B0">
        <w:rPr>
          <w:rFonts w:ascii="Times New Roman" w:hAnsi="Times New Roman" w:cs="Times New Roman"/>
          <w:sz w:val="24"/>
          <w:szCs w:val="24"/>
        </w:rPr>
        <w:t>at</w:t>
      </w:r>
      <w:r w:rsidR="00CE56B0" w:rsidRPr="00B966E9">
        <w:rPr>
          <w:rFonts w:ascii="Times New Roman" w:hAnsi="Times New Roman" w:cs="Times New Roman"/>
          <w:sz w:val="24"/>
          <w:szCs w:val="24"/>
        </w:rPr>
        <w:t xml:space="preserve"> </w:t>
      </w:r>
      <w:r w:rsidR="002B710A" w:rsidRPr="00B966E9">
        <w:rPr>
          <w:rFonts w:ascii="Times New Roman" w:hAnsi="Times New Roman" w:cs="Times New Roman"/>
          <w:sz w:val="24"/>
          <w:szCs w:val="24"/>
        </w:rPr>
        <w:t xml:space="preserve">book had </w:t>
      </w:r>
      <w:r w:rsidR="002B710A" w:rsidRPr="00B966E9">
        <w:rPr>
          <w:rFonts w:ascii="Times New Roman" w:hAnsi="Times New Roman" w:cs="Times New Roman"/>
          <w:sz w:val="24"/>
          <w:szCs w:val="24"/>
        </w:rPr>
        <w:lastRenderedPageBreak/>
        <w:t>nothing to do with burden of proof in a rate case.</w:t>
      </w:r>
      <w:r w:rsidR="002B710A" w:rsidRPr="002B710A">
        <w:rPr>
          <w:vertAlign w:val="superscript"/>
        </w:rPr>
        <w:footnoteReference w:id="19"/>
      </w:r>
      <w:r w:rsidR="002B710A" w:rsidRPr="00B966E9">
        <w:rPr>
          <w:rFonts w:ascii="Times New Roman" w:hAnsi="Times New Roman" w:cs="Times New Roman"/>
          <w:sz w:val="24"/>
          <w:szCs w:val="24"/>
        </w:rPr>
        <w:t xml:space="preserve">  </w:t>
      </w:r>
      <w:r w:rsidR="00257CF2">
        <w:rPr>
          <w:rFonts w:ascii="Times New Roman" w:hAnsi="Times New Roman" w:cs="Times New Roman"/>
          <w:sz w:val="24"/>
          <w:szCs w:val="24"/>
        </w:rPr>
        <w:t>T</w:t>
      </w:r>
      <w:r w:rsidR="002B710A" w:rsidRPr="00B966E9">
        <w:rPr>
          <w:rFonts w:ascii="Times New Roman" w:hAnsi="Times New Roman" w:cs="Times New Roman"/>
          <w:sz w:val="24"/>
          <w:szCs w:val="24"/>
        </w:rPr>
        <w:t xml:space="preserve">he Company’s proposed standard improperly allocates the burden of proof to Staff and other non-Company parties.  </w:t>
      </w:r>
    </w:p>
    <w:p w:rsidR="002B710A" w:rsidRPr="00B966E9" w:rsidRDefault="00B966E9"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2B710A" w:rsidRPr="00B966E9">
        <w:rPr>
          <w:rFonts w:ascii="Times New Roman" w:hAnsi="Times New Roman" w:cs="Times New Roman"/>
          <w:sz w:val="24"/>
          <w:szCs w:val="24"/>
        </w:rPr>
        <w:t>But, even under the Company’s proposed standard, the Commission should accept Staff’s adjustment, because the R-squared for PacifiCorp’s Commercial schedules (0.644) is inconsistent with the R-squared developed by Avista for its Commercial schedules (over 0.8</w:t>
      </w:r>
      <w:r w:rsidR="002B710A" w:rsidRPr="002B710A">
        <w:rPr>
          <w:vertAlign w:val="superscript"/>
        </w:rPr>
        <w:footnoteReference w:id="20"/>
      </w:r>
      <w:r w:rsidR="002B710A" w:rsidRPr="00B966E9">
        <w:rPr>
          <w:rFonts w:ascii="Times New Roman" w:hAnsi="Times New Roman" w:cs="Times New Roman"/>
          <w:sz w:val="24"/>
          <w:szCs w:val="24"/>
        </w:rPr>
        <w:t xml:space="preserve">).  </w:t>
      </w:r>
    </w:p>
    <w:p w:rsidR="002B710A" w:rsidRPr="00104B01" w:rsidRDefault="00B966E9" w:rsidP="00C16EA4">
      <w:pPr>
        <w:pStyle w:val="ListParagraph"/>
        <w:numPr>
          <w:ilvl w:val="0"/>
          <w:numId w:val="3"/>
        </w:numPr>
        <w:spacing w:after="0" w:line="480" w:lineRule="exact"/>
        <w:rPr>
          <w:rFonts w:ascii="Times New Roman" w:hAnsi="Times New Roman" w:cs="Times New Roman"/>
          <w:b/>
          <w:sz w:val="24"/>
          <w:szCs w:val="24"/>
        </w:rPr>
      </w:pPr>
      <w:r>
        <w:rPr>
          <w:rFonts w:ascii="Times New Roman" w:hAnsi="Times New Roman" w:cs="Times New Roman"/>
          <w:sz w:val="24"/>
          <w:szCs w:val="24"/>
        </w:rPr>
        <w:tab/>
      </w:r>
      <w:r w:rsidR="002B710A" w:rsidRPr="00B966E9">
        <w:rPr>
          <w:rFonts w:ascii="Times New Roman" w:hAnsi="Times New Roman" w:cs="Times New Roman"/>
          <w:sz w:val="24"/>
          <w:szCs w:val="24"/>
        </w:rPr>
        <w:t>Staff constructively suggests PacifiCorp should use other methods for evaluating the data, including evaluating subgroups within the class.</w:t>
      </w:r>
      <w:r w:rsidR="002B710A" w:rsidRPr="002B710A">
        <w:rPr>
          <w:vertAlign w:val="superscript"/>
        </w:rPr>
        <w:footnoteReference w:id="21"/>
      </w:r>
      <w:r w:rsidR="002B710A" w:rsidRPr="00B966E9">
        <w:rPr>
          <w:rFonts w:ascii="Times New Roman" w:hAnsi="Times New Roman" w:cs="Times New Roman"/>
          <w:sz w:val="24"/>
          <w:szCs w:val="24"/>
        </w:rPr>
        <w:t xml:space="preserve">  The Company is amenable to working on the issue.</w:t>
      </w:r>
      <w:r w:rsidR="002B710A" w:rsidRPr="002B710A">
        <w:rPr>
          <w:vertAlign w:val="superscript"/>
        </w:rPr>
        <w:footnoteReference w:id="22"/>
      </w:r>
      <w:r w:rsidR="002B710A" w:rsidRPr="00B966E9">
        <w:rPr>
          <w:rFonts w:ascii="Times New Roman" w:hAnsi="Times New Roman" w:cs="Times New Roman"/>
          <w:sz w:val="24"/>
          <w:szCs w:val="24"/>
        </w:rPr>
        <w:t xml:space="preserve">  In the meantime, the Commission should reject the Company’s temperature adjustment to the extent it applies to the Commercial class. </w:t>
      </w:r>
    </w:p>
    <w:p w:rsidR="00B65199" w:rsidRPr="00930ACB" w:rsidRDefault="00B65199" w:rsidP="00B65199">
      <w:pPr>
        <w:pStyle w:val="ListParagraph"/>
        <w:spacing w:after="0" w:line="240" w:lineRule="exact"/>
        <w:ind w:left="0"/>
        <w:rPr>
          <w:rFonts w:ascii="Times New Roman" w:hAnsi="Times New Roman" w:cs="Times New Roman"/>
          <w:b/>
          <w:sz w:val="24"/>
          <w:szCs w:val="24"/>
        </w:rPr>
      </w:pPr>
    </w:p>
    <w:p w:rsidR="002B710A" w:rsidRPr="00ED7BAA" w:rsidRDefault="005C1FA9" w:rsidP="005C1FA9">
      <w:pPr>
        <w:pStyle w:val="FootnoteText"/>
        <w:spacing w:line="240" w:lineRule="exact"/>
        <w:ind w:left="1440" w:hanging="720"/>
        <w:rPr>
          <w:rFonts w:cs="Times New Roman"/>
          <w:sz w:val="24"/>
          <w:szCs w:val="24"/>
        </w:rPr>
      </w:pPr>
      <w:r>
        <w:rPr>
          <w:rFonts w:cs="Times New Roman"/>
          <w:b/>
          <w:sz w:val="24"/>
          <w:szCs w:val="24"/>
        </w:rPr>
        <w:t>2.</w:t>
      </w:r>
      <w:r>
        <w:rPr>
          <w:rFonts w:cs="Times New Roman"/>
          <w:b/>
          <w:sz w:val="24"/>
          <w:szCs w:val="24"/>
        </w:rPr>
        <w:tab/>
      </w:r>
      <w:r w:rsidR="002B710A" w:rsidRPr="00930ACB">
        <w:rPr>
          <w:rFonts w:cs="Times New Roman"/>
          <w:b/>
          <w:sz w:val="24"/>
          <w:szCs w:val="24"/>
        </w:rPr>
        <w:t>The Commission Should Reject ICNU/Public Counsel’s Residential Revenues Adjustment Because it is Based on Unadjusted Data.  Properly Adju</w:t>
      </w:r>
      <w:r w:rsidR="002B710A" w:rsidRPr="00ED7BAA">
        <w:rPr>
          <w:rFonts w:cs="Times New Roman"/>
          <w:b/>
          <w:sz w:val="24"/>
          <w:szCs w:val="24"/>
        </w:rPr>
        <w:t xml:space="preserve">sted, the Data Provide No Basis for Adding More Revenue to the Test Year </w:t>
      </w:r>
    </w:p>
    <w:p w:rsidR="002B710A" w:rsidRPr="002B710A" w:rsidRDefault="00B966E9" w:rsidP="00C16EA4">
      <w:pPr>
        <w:pStyle w:val="FootnoteText"/>
        <w:numPr>
          <w:ilvl w:val="0"/>
          <w:numId w:val="3"/>
        </w:numPr>
        <w:spacing w:line="480" w:lineRule="exact"/>
        <w:rPr>
          <w:rFonts w:cs="Times New Roman"/>
          <w:sz w:val="24"/>
          <w:szCs w:val="24"/>
        </w:rPr>
      </w:pPr>
      <w:r>
        <w:rPr>
          <w:rFonts w:cs="Times New Roman"/>
          <w:sz w:val="24"/>
          <w:szCs w:val="24"/>
        </w:rPr>
        <w:tab/>
      </w:r>
      <w:r w:rsidR="002B710A" w:rsidRPr="002B710A">
        <w:rPr>
          <w:rFonts w:cs="Times New Roman"/>
          <w:sz w:val="24"/>
          <w:szCs w:val="24"/>
        </w:rPr>
        <w:t xml:space="preserve">Apart from cost of capital, the largest ICNU adjustment (also sponsored by Public Counsel) </w:t>
      </w:r>
      <w:r w:rsidR="00257CF2">
        <w:rPr>
          <w:rFonts w:cs="Times New Roman"/>
          <w:sz w:val="24"/>
          <w:szCs w:val="24"/>
        </w:rPr>
        <w:t xml:space="preserve">purports </w:t>
      </w:r>
      <w:r w:rsidR="002B710A" w:rsidRPr="002B710A">
        <w:rPr>
          <w:rFonts w:cs="Times New Roman"/>
          <w:sz w:val="24"/>
          <w:szCs w:val="24"/>
        </w:rPr>
        <w:t>to “normalize” PacifiCorp’s residential revenues bas</w:t>
      </w:r>
      <w:r w:rsidR="00257CF2">
        <w:rPr>
          <w:rFonts w:cs="Times New Roman"/>
          <w:sz w:val="24"/>
          <w:szCs w:val="24"/>
        </w:rPr>
        <w:t>ed on the suggestion</w:t>
      </w:r>
      <w:r w:rsidR="002B710A" w:rsidRPr="002B710A">
        <w:rPr>
          <w:rFonts w:cs="Times New Roman"/>
          <w:sz w:val="24"/>
          <w:szCs w:val="24"/>
        </w:rPr>
        <w:t xml:space="preserve"> that PacifiCorp’s residential customers’ actual consumption is significantly higher than their temperature normalized consumption.</w:t>
      </w:r>
      <w:r w:rsidR="002B710A" w:rsidRPr="002B710A">
        <w:rPr>
          <w:rFonts w:cs="Times New Roman"/>
          <w:sz w:val="24"/>
          <w:szCs w:val="24"/>
          <w:vertAlign w:val="superscript"/>
        </w:rPr>
        <w:footnoteReference w:id="23"/>
      </w:r>
      <w:r w:rsidR="002B710A" w:rsidRPr="002B710A">
        <w:rPr>
          <w:rFonts w:cs="Times New Roman"/>
          <w:sz w:val="24"/>
          <w:szCs w:val="24"/>
        </w:rPr>
        <w:t xml:space="preserve">  </w:t>
      </w:r>
    </w:p>
    <w:p w:rsidR="002B710A" w:rsidRPr="002B710A" w:rsidRDefault="00B966E9" w:rsidP="00C16EA4">
      <w:pPr>
        <w:pStyle w:val="FootnoteText"/>
        <w:numPr>
          <w:ilvl w:val="0"/>
          <w:numId w:val="3"/>
        </w:numPr>
        <w:spacing w:line="480" w:lineRule="exact"/>
        <w:rPr>
          <w:rFonts w:cs="Times New Roman"/>
          <w:sz w:val="24"/>
          <w:szCs w:val="24"/>
        </w:rPr>
      </w:pPr>
      <w:r>
        <w:rPr>
          <w:rFonts w:cs="Times New Roman"/>
          <w:sz w:val="24"/>
          <w:szCs w:val="24"/>
        </w:rPr>
        <w:tab/>
      </w:r>
      <w:r w:rsidR="002B710A" w:rsidRPr="002B710A">
        <w:rPr>
          <w:rFonts w:cs="Times New Roman"/>
          <w:sz w:val="24"/>
          <w:szCs w:val="24"/>
        </w:rPr>
        <w:t xml:space="preserve">This </w:t>
      </w:r>
      <w:r w:rsidR="00257CF2">
        <w:rPr>
          <w:rFonts w:cs="Times New Roman"/>
          <w:sz w:val="24"/>
          <w:szCs w:val="24"/>
        </w:rPr>
        <w:t xml:space="preserve">unwarranted </w:t>
      </w:r>
      <w:r w:rsidR="002B710A" w:rsidRPr="002B710A">
        <w:rPr>
          <w:rFonts w:cs="Times New Roman"/>
          <w:sz w:val="24"/>
          <w:szCs w:val="24"/>
        </w:rPr>
        <w:t>collateral attack on the temperature normalization analysis is based on a snapshot of actual Residential usage over the last five years.</w:t>
      </w:r>
      <w:r w:rsidR="002B710A" w:rsidRPr="002B710A">
        <w:rPr>
          <w:rFonts w:cs="Times New Roman"/>
          <w:sz w:val="24"/>
          <w:szCs w:val="24"/>
          <w:vertAlign w:val="superscript"/>
        </w:rPr>
        <w:footnoteReference w:id="24"/>
      </w:r>
      <w:r w:rsidR="002B710A" w:rsidRPr="002B710A">
        <w:rPr>
          <w:rFonts w:cs="Times New Roman"/>
          <w:sz w:val="24"/>
          <w:szCs w:val="24"/>
        </w:rPr>
        <w:t xml:space="preserve">  The numbers show higher actual usage each year from 2005 to 2007, a decrease in 2008, followed by an increase in 2009.  Remarkably, Mr. Meyer testified this information “just raised a concern”</w:t>
      </w:r>
      <w:r w:rsidR="002B710A" w:rsidRPr="002B710A">
        <w:rPr>
          <w:rStyle w:val="FootnoteReference"/>
          <w:rFonts w:cs="Times New Roman"/>
          <w:sz w:val="24"/>
          <w:szCs w:val="24"/>
        </w:rPr>
        <w:footnoteReference w:id="25"/>
      </w:r>
      <w:r w:rsidR="002B710A" w:rsidRPr="002B710A">
        <w:rPr>
          <w:rFonts w:cs="Times New Roman"/>
          <w:sz w:val="24"/>
          <w:szCs w:val="24"/>
        </w:rPr>
        <w:t xml:space="preserve"> for him, </w:t>
      </w:r>
      <w:r w:rsidR="00257CF2">
        <w:rPr>
          <w:rFonts w:cs="Times New Roman"/>
          <w:sz w:val="24"/>
          <w:szCs w:val="24"/>
        </w:rPr>
        <w:t xml:space="preserve">yet </w:t>
      </w:r>
      <w:r w:rsidR="002B710A" w:rsidRPr="002B710A">
        <w:rPr>
          <w:rFonts w:cs="Times New Roman"/>
          <w:sz w:val="24"/>
          <w:szCs w:val="24"/>
        </w:rPr>
        <w:t xml:space="preserve">he converted this concern into an adjustment that imputes an additional $2,238,744 </w:t>
      </w:r>
      <w:r w:rsidR="00CE56B0">
        <w:rPr>
          <w:rFonts w:cs="Times New Roman"/>
          <w:sz w:val="24"/>
          <w:szCs w:val="24"/>
        </w:rPr>
        <w:t xml:space="preserve">of revenues </w:t>
      </w:r>
      <w:r w:rsidR="002B710A" w:rsidRPr="002B710A">
        <w:rPr>
          <w:rFonts w:cs="Times New Roman"/>
          <w:sz w:val="24"/>
          <w:szCs w:val="24"/>
        </w:rPr>
        <w:t>into the test year.</w:t>
      </w:r>
      <w:r w:rsidR="002B710A" w:rsidRPr="002B710A">
        <w:rPr>
          <w:rFonts w:cs="Times New Roman"/>
          <w:sz w:val="24"/>
          <w:szCs w:val="24"/>
          <w:vertAlign w:val="superscript"/>
        </w:rPr>
        <w:footnoteReference w:id="26"/>
      </w:r>
      <w:r w:rsidR="002B710A" w:rsidRPr="002B710A">
        <w:rPr>
          <w:rFonts w:cs="Times New Roman"/>
          <w:sz w:val="24"/>
          <w:szCs w:val="24"/>
        </w:rPr>
        <w:t xml:space="preserve">  Perhaps even more remarkable is the fact that Mr. Meyer told the Commission </w:t>
      </w:r>
      <w:r w:rsidR="002B710A" w:rsidRPr="002B710A">
        <w:rPr>
          <w:rFonts w:cs="Times New Roman"/>
          <w:sz w:val="24"/>
          <w:szCs w:val="24"/>
        </w:rPr>
        <w:lastRenderedPageBreak/>
        <w:t>“you have to look at the reasons why the usage is where it is in comparison to the weather”,</w:t>
      </w:r>
      <w:r w:rsidR="002B710A" w:rsidRPr="002B710A">
        <w:rPr>
          <w:rStyle w:val="FootnoteReference"/>
          <w:rFonts w:cs="Times New Roman"/>
          <w:sz w:val="24"/>
          <w:szCs w:val="24"/>
        </w:rPr>
        <w:footnoteReference w:id="27"/>
      </w:r>
      <w:r w:rsidR="002B710A" w:rsidRPr="002B710A">
        <w:rPr>
          <w:rFonts w:cs="Times New Roman"/>
          <w:sz w:val="24"/>
          <w:szCs w:val="24"/>
        </w:rPr>
        <w:t xml:space="preserve"> yet he failed to do that analysis.  </w:t>
      </w:r>
    </w:p>
    <w:p w:rsidR="002B710A" w:rsidRPr="002B710A" w:rsidRDefault="00B966E9" w:rsidP="00C16EA4">
      <w:pPr>
        <w:pStyle w:val="FootnoteText"/>
        <w:numPr>
          <w:ilvl w:val="0"/>
          <w:numId w:val="3"/>
        </w:numPr>
        <w:spacing w:line="480" w:lineRule="exact"/>
        <w:rPr>
          <w:rFonts w:cs="Times New Roman"/>
          <w:sz w:val="24"/>
          <w:szCs w:val="24"/>
        </w:rPr>
      </w:pPr>
      <w:r>
        <w:rPr>
          <w:rFonts w:cs="Times New Roman"/>
          <w:sz w:val="24"/>
          <w:szCs w:val="24"/>
        </w:rPr>
        <w:tab/>
      </w:r>
      <w:r w:rsidR="002B710A" w:rsidRPr="002B710A">
        <w:rPr>
          <w:rFonts w:cs="Times New Roman"/>
          <w:sz w:val="24"/>
          <w:szCs w:val="24"/>
        </w:rPr>
        <w:t xml:space="preserve">Staff did that analysis. </w:t>
      </w:r>
      <w:r w:rsidR="0086607A">
        <w:rPr>
          <w:rFonts w:cs="Times New Roman"/>
          <w:sz w:val="24"/>
          <w:szCs w:val="24"/>
        </w:rPr>
        <w:t xml:space="preserve"> </w:t>
      </w:r>
      <w:r w:rsidR="002B710A" w:rsidRPr="002B710A">
        <w:rPr>
          <w:rFonts w:cs="Times New Roman"/>
          <w:sz w:val="24"/>
          <w:szCs w:val="24"/>
        </w:rPr>
        <w:t>Mr. Schooley compared the 12-month period ending December 31, 2009, which is the period with the largest actual consumption on Mr. Meyer’s chart, with the 12-month period ending June 2008.  Like ICNU/Public Counsel, Staff also found a sizeable (two percent) increase in actual residential customer usage between these periods.  However, on a temperature normalized basis, there was “virtually no change in usage,” and when the increase in customers between the periods is taken into account, “usage actually declined slightly.”</w:t>
      </w:r>
      <w:r w:rsidR="002B710A" w:rsidRPr="002B710A">
        <w:rPr>
          <w:rFonts w:cs="Times New Roman"/>
          <w:sz w:val="24"/>
          <w:szCs w:val="24"/>
          <w:vertAlign w:val="superscript"/>
        </w:rPr>
        <w:footnoteReference w:id="28"/>
      </w:r>
      <w:r w:rsidR="002B710A" w:rsidRPr="002B710A">
        <w:rPr>
          <w:rFonts w:cs="Times New Roman"/>
          <w:sz w:val="24"/>
          <w:szCs w:val="24"/>
        </w:rPr>
        <w:t xml:space="preserve">  </w:t>
      </w:r>
    </w:p>
    <w:p w:rsidR="002B710A" w:rsidRPr="002B710A" w:rsidRDefault="00B966E9" w:rsidP="00C16EA4">
      <w:pPr>
        <w:pStyle w:val="FootnoteText"/>
        <w:numPr>
          <w:ilvl w:val="0"/>
          <w:numId w:val="3"/>
        </w:numPr>
        <w:spacing w:line="480" w:lineRule="exact"/>
        <w:rPr>
          <w:rFonts w:cs="Times New Roman"/>
          <w:sz w:val="24"/>
          <w:szCs w:val="24"/>
        </w:rPr>
      </w:pPr>
      <w:r>
        <w:rPr>
          <w:rFonts w:cs="Times New Roman"/>
          <w:sz w:val="24"/>
          <w:szCs w:val="24"/>
        </w:rPr>
        <w:tab/>
      </w:r>
      <w:r w:rsidR="002B710A" w:rsidRPr="002B710A">
        <w:rPr>
          <w:rFonts w:cs="Times New Roman"/>
          <w:sz w:val="24"/>
          <w:szCs w:val="24"/>
        </w:rPr>
        <w:t>As Mr. Schooley concisely summarized:  “In other words, all of the increase in actual usage over these two recent periods can be explained by temperature differences alone.  Public Counsel and ICNU ignore this fact.</w:t>
      </w:r>
      <w:r w:rsidR="0086607A">
        <w:rPr>
          <w:rFonts w:cs="Times New Roman"/>
          <w:sz w:val="24"/>
          <w:szCs w:val="24"/>
        </w:rPr>
        <w:t>”</w:t>
      </w:r>
      <w:r w:rsidR="002B710A" w:rsidRPr="002B710A">
        <w:rPr>
          <w:rFonts w:cs="Times New Roman"/>
          <w:sz w:val="24"/>
          <w:szCs w:val="24"/>
          <w:vertAlign w:val="superscript"/>
        </w:rPr>
        <w:footnoteReference w:id="29"/>
      </w:r>
    </w:p>
    <w:p w:rsidR="002B710A" w:rsidRPr="002B710A" w:rsidRDefault="00B966E9" w:rsidP="00C16EA4">
      <w:pPr>
        <w:pStyle w:val="FootnoteText"/>
        <w:numPr>
          <w:ilvl w:val="0"/>
          <w:numId w:val="3"/>
        </w:numPr>
        <w:spacing w:line="480" w:lineRule="exact"/>
        <w:rPr>
          <w:rFonts w:cs="Times New Roman"/>
          <w:sz w:val="24"/>
          <w:szCs w:val="24"/>
        </w:rPr>
      </w:pPr>
      <w:r>
        <w:rPr>
          <w:rFonts w:cs="Times New Roman"/>
          <w:sz w:val="24"/>
          <w:szCs w:val="24"/>
        </w:rPr>
        <w:tab/>
      </w:r>
      <w:r w:rsidR="002B710A" w:rsidRPr="002B710A">
        <w:rPr>
          <w:rFonts w:cs="Times New Roman"/>
          <w:sz w:val="24"/>
          <w:szCs w:val="24"/>
        </w:rPr>
        <w:t>It is also noteworthy that ICNU/Public Counsel failed to directly challenge any of the equations, models or other features of the Company’s temperature normalization adjustment for the Residential class.</w:t>
      </w:r>
      <w:r w:rsidR="002B710A" w:rsidRPr="002B710A">
        <w:rPr>
          <w:rStyle w:val="FootnoteReference"/>
          <w:rFonts w:cs="Times New Roman"/>
          <w:sz w:val="24"/>
          <w:szCs w:val="24"/>
        </w:rPr>
        <w:footnoteReference w:id="30"/>
      </w:r>
      <w:r w:rsidR="002B710A" w:rsidRPr="002B710A">
        <w:rPr>
          <w:rFonts w:cs="Times New Roman"/>
          <w:sz w:val="24"/>
          <w:szCs w:val="24"/>
        </w:rPr>
        <w:t xml:space="preserve">  By contrast, Staff carefully reviewed </w:t>
      </w:r>
      <w:r w:rsidR="0086607A">
        <w:rPr>
          <w:rFonts w:cs="Times New Roman"/>
          <w:sz w:val="24"/>
          <w:szCs w:val="24"/>
        </w:rPr>
        <w:t xml:space="preserve">all </w:t>
      </w:r>
      <w:r w:rsidR="002B710A" w:rsidRPr="002B710A">
        <w:rPr>
          <w:rFonts w:cs="Times New Roman"/>
          <w:sz w:val="24"/>
          <w:szCs w:val="24"/>
        </w:rPr>
        <w:t>Company</w:t>
      </w:r>
      <w:r w:rsidR="0086607A">
        <w:rPr>
          <w:rFonts w:cs="Times New Roman"/>
          <w:sz w:val="24"/>
          <w:szCs w:val="24"/>
        </w:rPr>
        <w:t xml:space="preserve"> equations, models and other features, and</w:t>
      </w:r>
      <w:r w:rsidR="002B710A" w:rsidRPr="002B710A">
        <w:rPr>
          <w:rFonts w:cs="Times New Roman"/>
          <w:sz w:val="24"/>
          <w:szCs w:val="24"/>
        </w:rPr>
        <w:t xml:space="preserve"> found them to be appropriate for purposes of Residential class temperature normalization.</w:t>
      </w:r>
      <w:r w:rsidR="002B710A" w:rsidRPr="002B710A">
        <w:rPr>
          <w:rFonts w:cs="Times New Roman"/>
          <w:sz w:val="24"/>
          <w:szCs w:val="24"/>
          <w:vertAlign w:val="superscript"/>
        </w:rPr>
        <w:footnoteReference w:id="31"/>
      </w:r>
      <w:r w:rsidR="002B710A" w:rsidRPr="002B710A">
        <w:rPr>
          <w:rFonts w:cs="Times New Roman"/>
          <w:sz w:val="24"/>
          <w:szCs w:val="24"/>
        </w:rPr>
        <w:t xml:space="preserve">  In particular, the </w:t>
      </w:r>
      <w:r w:rsidR="0086607A">
        <w:rPr>
          <w:rFonts w:cs="Times New Roman"/>
          <w:sz w:val="24"/>
          <w:szCs w:val="24"/>
        </w:rPr>
        <w:t xml:space="preserve">Company’s </w:t>
      </w:r>
      <w:r w:rsidR="002B710A" w:rsidRPr="002B710A">
        <w:rPr>
          <w:rFonts w:cs="Times New Roman"/>
          <w:sz w:val="24"/>
          <w:szCs w:val="24"/>
        </w:rPr>
        <w:t xml:space="preserve">statistical analysis supporting the Residential class temperature normalization adjustment produced an R-squared value of .976.  This proves PacifiCorp has demonstrated </w:t>
      </w:r>
      <w:r w:rsidR="00CE56B0">
        <w:rPr>
          <w:rFonts w:cs="Times New Roman"/>
          <w:sz w:val="24"/>
          <w:szCs w:val="24"/>
        </w:rPr>
        <w:t>an excellent</w:t>
      </w:r>
      <w:r w:rsidR="002B710A" w:rsidRPr="002B710A">
        <w:rPr>
          <w:rFonts w:cs="Times New Roman"/>
          <w:sz w:val="24"/>
          <w:szCs w:val="24"/>
        </w:rPr>
        <w:t xml:space="preserve"> correlation between temperature fluctuations and </w:t>
      </w:r>
      <w:r w:rsidR="0086607A">
        <w:rPr>
          <w:rFonts w:cs="Times New Roman"/>
          <w:sz w:val="24"/>
          <w:szCs w:val="24"/>
        </w:rPr>
        <w:t>R</w:t>
      </w:r>
      <w:r w:rsidR="002B710A" w:rsidRPr="002B710A">
        <w:rPr>
          <w:rFonts w:cs="Times New Roman"/>
          <w:sz w:val="24"/>
          <w:szCs w:val="24"/>
        </w:rPr>
        <w:t>esidential electrical consumption.</w:t>
      </w:r>
      <w:r w:rsidR="002B710A" w:rsidRPr="002B710A">
        <w:rPr>
          <w:rFonts w:cs="Times New Roman"/>
          <w:sz w:val="24"/>
          <w:szCs w:val="24"/>
          <w:vertAlign w:val="superscript"/>
        </w:rPr>
        <w:footnoteReference w:id="32"/>
      </w:r>
      <w:r w:rsidR="002B710A" w:rsidRPr="002B710A">
        <w:rPr>
          <w:rFonts w:cs="Times New Roman"/>
          <w:sz w:val="24"/>
          <w:szCs w:val="24"/>
        </w:rPr>
        <w:t xml:space="preserve">  </w:t>
      </w:r>
    </w:p>
    <w:p w:rsidR="002B710A" w:rsidRPr="002B710A" w:rsidRDefault="00B966E9" w:rsidP="00C16EA4">
      <w:pPr>
        <w:pStyle w:val="FootnoteText"/>
        <w:numPr>
          <w:ilvl w:val="0"/>
          <w:numId w:val="3"/>
        </w:numPr>
        <w:spacing w:line="480" w:lineRule="exact"/>
        <w:rPr>
          <w:rFonts w:cs="Times New Roman"/>
          <w:sz w:val="24"/>
          <w:szCs w:val="24"/>
        </w:rPr>
      </w:pPr>
      <w:r>
        <w:rPr>
          <w:rFonts w:cs="Times New Roman"/>
          <w:sz w:val="24"/>
          <w:szCs w:val="24"/>
        </w:rPr>
        <w:tab/>
      </w:r>
      <w:r w:rsidR="0086607A">
        <w:rPr>
          <w:rFonts w:cs="Times New Roman"/>
          <w:sz w:val="24"/>
          <w:szCs w:val="24"/>
        </w:rPr>
        <w:t>Notably</w:t>
      </w:r>
      <w:r w:rsidR="002B710A" w:rsidRPr="002B710A">
        <w:rPr>
          <w:rFonts w:cs="Times New Roman"/>
          <w:sz w:val="24"/>
          <w:szCs w:val="24"/>
        </w:rPr>
        <w:t>, ICNU/Public Counsel’s witness elected to not respond to Staff’s detailed review of the temperature normalization analysis, and failed to directly address any of these material facts.</w:t>
      </w:r>
    </w:p>
    <w:p w:rsidR="002B710A" w:rsidRDefault="00B966E9" w:rsidP="00C16EA4">
      <w:pPr>
        <w:pStyle w:val="FootnoteText"/>
        <w:numPr>
          <w:ilvl w:val="0"/>
          <w:numId w:val="3"/>
        </w:numPr>
        <w:spacing w:line="480" w:lineRule="exact"/>
        <w:rPr>
          <w:rFonts w:cs="Times New Roman"/>
          <w:sz w:val="24"/>
          <w:szCs w:val="24"/>
        </w:rPr>
      </w:pPr>
      <w:r>
        <w:rPr>
          <w:rFonts w:cs="Times New Roman"/>
          <w:sz w:val="24"/>
          <w:szCs w:val="24"/>
        </w:rPr>
        <w:lastRenderedPageBreak/>
        <w:tab/>
      </w:r>
      <w:r w:rsidR="002B710A" w:rsidRPr="002B710A">
        <w:rPr>
          <w:rFonts w:cs="Times New Roman"/>
          <w:sz w:val="24"/>
          <w:szCs w:val="24"/>
        </w:rPr>
        <w:t>The choice is clear:  The Commission should reject ICNU/Public Counsel’s adjustment because it is founded on speculation, not explanation.</w:t>
      </w:r>
      <w:r w:rsidR="002B710A" w:rsidRPr="002B710A">
        <w:rPr>
          <w:rFonts w:cs="Times New Roman"/>
          <w:sz w:val="24"/>
          <w:szCs w:val="24"/>
          <w:vertAlign w:val="superscript"/>
        </w:rPr>
        <w:footnoteReference w:id="33"/>
      </w:r>
      <w:r w:rsidR="002B710A" w:rsidRPr="002B710A">
        <w:rPr>
          <w:rFonts w:cs="Times New Roman"/>
          <w:sz w:val="24"/>
          <w:szCs w:val="24"/>
        </w:rPr>
        <w:t xml:space="preserve">  The Commission should accept Staff’s well-founded analysis of Residential consumption that uses unchallenged facts to rationally explain the recent</w:t>
      </w:r>
      <w:r>
        <w:rPr>
          <w:rFonts w:cs="Times New Roman"/>
          <w:sz w:val="24"/>
          <w:szCs w:val="24"/>
        </w:rPr>
        <w:t xml:space="preserve"> variations in actual usage.  </w:t>
      </w:r>
    </w:p>
    <w:p w:rsidR="00B65199" w:rsidRPr="002B710A" w:rsidRDefault="00B65199" w:rsidP="00B65199">
      <w:pPr>
        <w:pStyle w:val="FootnoteText"/>
        <w:spacing w:line="240" w:lineRule="exact"/>
        <w:rPr>
          <w:rFonts w:cs="Times New Roman"/>
          <w:sz w:val="24"/>
          <w:szCs w:val="24"/>
        </w:rPr>
      </w:pPr>
    </w:p>
    <w:p w:rsidR="002B710A" w:rsidRPr="002B710A" w:rsidRDefault="00B966E9" w:rsidP="00ED7BAA">
      <w:pPr>
        <w:pStyle w:val="FootnoteText"/>
        <w:spacing w:line="240" w:lineRule="exact"/>
        <w:ind w:left="720" w:hanging="720"/>
        <w:rPr>
          <w:rFonts w:cs="Times New Roman"/>
          <w:sz w:val="24"/>
          <w:szCs w:val="24"/>
        </w:rPr>
      </w:pPr>
      <w:r>
        <w:rPr>
          <w:rFonts w:cs="Times New Roman"/>
          <w:b/>
          <w:sz w:val="24"/>
          <w:szCs w:val="24"/>
        </w:rPr>
        <w:t>B.</w:t>
      </w:r>
      <w:r>
        <w:rPr>
          <w:rFonts w:cs="Times New Roman"/>
          <w:b/>
          <w:sz w:val="24"/>
          <w:szCs w:val="24"/>
        </w:rPr>
        <w:tab/>
      </w:r>
      <w:r w:rsidR="002B710A" w:rsidRPr="002B710A">
        <w:rPr>
          <w:rFonts w:cs="Times New Roman"/>
          <w:b/>
          <w:sz w:val="24"/>
          <w:szCs w:val="24"/>
        </w:rPr>
        <w:t xml:space="preserve">The Commission Should Return </w:t>
      </w:r>
      <w:r w:rsidR="00915B6F">
        <w:rPr>
          <w:rFonts w:cs="Times New Roman"/>
          <w:b/>
          <w:sz w:val="24"/>
          <w:szCs w:val="24"/>
        </w:rPr>
        <w:t xml:space="preserve">Revenues From </w:t>
      </w:r>
      <w:r w:rsidR="002B710A" w:rsidRPr="002B710A">
        <w:rPr>
          <w:rFonts w:cs="Times New Roman"/>
          <w:b/>
          <w:sz w:val="24"/>
          <w:szCs w:val="24"/>
        </w:rPr>
        <w:t>Renewable Energy Credits</w:t>
      </w:r>
      <w:r w:rsidR="002B710A" w:rsidRPr="002B710A">
        <w:rPr>
          <w:rStyle w:val="FootnoteReference"/>
          <w:rFonts w:cs="Times New Roman"/>
          <w:b/>
          <w:sz w:val="24"/>
          <w:szCs w:val="24"/>
        </w:rPr>
        <w:footnoteReference w:id="34"/>
      </w:r>
      <w:r w:rsidR="002B710A" w:rsidRPr="002B710A">
        <w:rPr>
          <w:rFonts w:cs="Times New Roman"/>
          <w:b/>
          <w:sz w:val="24"/>
          <w:szCs w:val="24"/>
        </w:rPr>
        <w:t xml:space="preserve"> (RECs) to the Ratepayers, and Require PacifiCorp to Create a Regulatory Liability Account to </w:t>
      </w:r>
      <w:r w:rsidR="00915B6F">
        <w:rPr>
          <w:rFonts w:cs="Times New Roman"/>
          <w:b/>
          <w:sz w:val="24"/>
          <w:szCs w:val="24"/>
        </w:rPr>
        <w:t>C</w:t>
      </w:r>
      <w:r w:rsidR="002B710A" w:rsidRPr="002B710A">
        <w:rPr>
          <w:rFonts w:cs="Times New Roman"/>
          <w:b/>
          <w:sz w:val="24"/>
          <w:szCs w:val="24"/>
        </w:rPr>
        <w:t xml:space="preserve">apture REC </w:t>
      </w:r>
      <w:r w:rsidR="00915B6F">
        <w:rPr>
          <w:rFonts w:cs="Times New Roman"/>
          <w:b/>
          <w:sz w:val="24"/>
          <w:szCs w:val="24"/>
        </w:rPr>
        <w:t>R</w:t>
      </w:r>
      <w:r w:rsidR="002B710A" w:rsidRPr="002B710A">
        <w:rPr>
          <w:rFonts w:cs="Times New Roman"/>
          <w:b/>
          <w:sz w:val="24"/>
          <w:szCs w:val="24"/>
        </w:rPr>
        <w:t xml:space="preserve">evenues </w:t>
      </w:r>
      <w:r w:rsidR="00915B6F">
        <w:rPr>
          <w:rFonts w:cs="Times New Roman"/>
          <w:b/>
          <w:sz w:val="24"/>
          <w:szCs w:val="24"/>
        </w:rPr>
        <w:t>F</w:t>
      </w:r>
      <w:r w:rsidR="002B710A" w:rsidRPr="002B710A">
        <w:rPr>
          <w:rFonts w:cs="Times New Roman"/>
          <w:b/>
          <w:sz w:val="24"/>
          <w:szCs w:val="24"/>
        </w:rPr>
        <w:t>rom January 1, 2010</w:t>
      </w:r>
      <w:r w:rsidR="00B276E4">
        <w:rPr>
          <w:rFonts w:cs="Times New Roman"/>
          <w:b/>
          <w:sz w:val="24"/>
          <w:szCs w:val="24"/>
        </w:rPr>
        <w:t>,</w:t>
      </w:r>
      <w:r w:rsidR="002B710A" w:rsidRPr="002B710A">
        <w:rPr>
          <w:rFonts w:cs="Times New Roman"/>
          <w:b/>
          <w:sz w:val="24"/>
          <w:szCs w:val="24"/>
        </w:rPr>
        <w:t xml:space="preserve"> Forward</w:t>
      </w:r>
    </w:p>
    <w:p w:rsidR="002B710A" w:rsidRPr="002B710A" w:rsidRDefault="00B966E9" w:rsidP="00C16EA4">
      <w:pPr>
        <w:pStyle w:val="FootnoteText"/>
        <w:numPr>
          <w:ilvl w:val="0"/>
          <w:numId w:val="3"/>
        </w:numPr>
        <w:spacing w:line="480" w:lineRule="exact"/>
        <w:rPr>
          <w:rFonts w:cs="Times New Roman"/>
          <w:sz w:val="24"/>
          <w:szCs w:val="24"/>
        </w:rPr>
      </w:pPr>
      <w:r>
        <w:rPr>
          <w:rFonts w:cs="Times New Roman"/>
          <w:sz w:val="24"/>
          <w:szCs w:val="24"/>
        </w:rPr>
        <w:tab/>
      </w:r>
      <w:r w:rsidR="002B710A" w:rsidRPr="002B710A">
        <w:rPr>
          <w:rFonts w:cs="Times New Roman"/>
          <w:sz w:val="24"/>
          <w:szCs w:val="24"/>
        </w:rPr>
        <w:t>In its recent order in Docket UE-070725,</w:t>
      </w:r>
      <w:r w:rsidR="002B710A" w:rsidRPr="002B710A">
        <w:rPr>
          <w:rFonts w:cs="Times New Roman"/>
          <w:sz w:val="24"/>
          <w:szCs w:val="24"/>
          <w:vertAlign w:val="superscript"/>
        </w:rPr>
        <w:footnoteReference w:id="35"/>
      </w:r>
      <w:r w:rsidR="002B710A" w:rsidRPr="002B710A">
        <w:rPr>
          <w:rFonts w:cs="Times New Roman"/>
          <w:sz w:val="24"/>
          <w:szCs w:val="24"/>
        </w:rPr>
        <w:t xml:space="preserve"> the Commission held that “PSE’s retail customers should share the proceeds from the sales of the RECs … on the same basis as the Commission allocates the costs of these resources in the ratemaking process.”</w:t>
      </w:r>
      <w:r w:rsidR="002B710A" w:rsidRPr="002B710A">
        <w:rPr>
          <w:rFonts w:cs="Times New Roman"/>
          <w:sz w:val="24"/>
          <w:szCs w:val="24"/>
          <w:vertAlign w:val="superscript"/>
        </w:rPr>
        <w:footnoteReference w:id="36"/>
      </w:r>
      <w:r w:rsidR="002B710A" w:rsidRPr="002B710A">
        <w:rPr>
          <w:rFonts w:cs="Times New Roman"/>
          <w:sz w:val="24"/>
          <w:szCs w:val="24"/>
        </w:rPr>
        <w:t xml:space="preserve">  Consistent with this policy determination, Staff Adjustment 3.5 returns $4,211,639 in revenues PacifiCorp generated from the sale of RECs.</w:t>
      </w:r>
      <w:r w:rsidR="002B710A" w:rsidRPr="002B710A">
        <w:rPr>
          <w:rFonts w:cs="Times New Roman"/>
          <w:sz w:val="24"/>
          <w:szCs w:val="24"/>
          <w:vertAlign w:val="superscript"/>
        </w:rPr>
        <w:footnoteReference w:id="37"/>
      </w:r>
      <w:r w:rsidR="002B710A" w:rsidRPr="002B710A">
        <w:rPr>
          <w:rFonts w:cs="Times New Roman"/>
          <w:sz w:val="24"/>
          <w:szCs w:val="24"/>
        </w:rPr>
        <w:t xml:space="preserve">  </w:t>
      </w:r>
    </w:p>
    <w:p w:rsidR="002B710A" w:rsidRPr="002B710A" w:rsidRDefault="00B966E9" w:rsidP="00C16EA4">
      <w:pPr>
        <w:pStyle w:val="FootnoteText"/>
        <w:numPr>
          <w:ilvl w:val="0"/>
          <w:numId w:val="3"/>
        </w:numPr>
        <w:spacing w:line="480" w:lineRule="exact"/>
        <w:rPr>
          <w:rFonts w:cs="Times New Roman"/>
          <w:sz w:val="24"/>
          <w:szCs w:val="24"/>
        </w:rPr>
      </w:pPr>
      <w:r>
        <w:rPr>
          <w:rFonts w:cs="Times New Roman"/>
          <w:sz w:val="24"/>
          <w:szCs w:val="24"/>
        </w:rPr>
        <w:tab/>
      </w:r>
      <w:r w:rsidR="002B710A" w:rsidRPr="002B710A">
        <w:rPr>
          <w:rFonts w:cs="Times New Roman"/>
          <w:sz w:val="24"/>
          <w:szCs w:val="24"/>
        </w:rPr>
        <w:t>PacifiCorp concurs,</w:t>
      </w:r>
      <w:r w:rsidR="002B710A" w:rsidRPr="002B710A">
        <w:rPr>
          <w:rFonts w:cs="Times New Roman"/>
          <w:sz w:val="24"/>
          <w:szCs w:val="24"/>
          <w:vertAlign w:val="superscript"/>
        </w:rPr>
        <w:footnoteReference w:id="38"/>
      </w:r>
      <w:r w:rsidR="002B710A" w:rsidRPr="002B710A">
        <w:rPr>
          <w:rFonts w:cs="Times New Roman"/>
          <w:sz w:val="24"/>
          <w:szCs w:val="24"/>
        </w:rPr>
        <w:t xml:space="preserve"> but supports a revised figure of $4.8 million in test year revenues.</w:t>
      </w:r>
      <w:r w:rsidR="002B710A" w:rsidRPr="002B710A">
        <w:rPr>
          <w:rFonts w:cs="Times New Roman"/>
          <w:sz w:val="24"/>
          <w:szCs w:val="24"/>
          <w:vertAlign w:val="superscript"/>
        </w:rPr>
        <w:footnoteReference w:id="39"/>
      </w:r>
      <w:r w:rsidR="002B710A" w:rsidRPr="002B710A">
        <w:rPr>
          <w:rFonts w:cs="Times New Roman"/>
          <w:sz w:val="24"/>
          <w:szCs w:val="24"/>
        </w:rPr>
        <w:t xml:space="preserve">  The Company’s $4.8 million figure is the accurate level of REC revenues for the test year ending December 31, 2009.  Consequently, Staff agrees the Commission should use that figure for the test year level of RECs.</w:t>
      </w:r>
    </w:p>
    <w:p w:rsidR="002B710A" w:rsidRPr="002B710A" w:rsidRDefault="00B966E9" w:rsidP="00C16EA4">
      <w:pPr>
        <w:pStyle w:val="FootnoteText"/>
        <w:numPr>
          <w:ilvl w:val="0"/>
          <w:numId w:val="3"/>
        </w:numPr>
        <w:spacing w:line="480" w:lineRule="exact"/>
        <w:rPr>
          <w:rFonts w:cs="Times New Roman"/>
          <w:sz w:val="24"/>
          <w:szCs w:val="24"/>
        </w:rPr>
      </w:pPr>
      <w:r>
        <w:rPr>
          <w:rFonts w:cs="Times New Roman"/>
          <w:sz w:val="24"/>
          <w:szCs w:val="24"/>
        </w:rPr>
        <w:tab/>
      </w:r>
      <w:r w:rsidR="002B710A" w:rsidRPr="002B710A">
        <w:rPr>
          <w:rFonts w:cs="Times New Roman"/>
          <w:sz w:val="24"/>
          <w:szCs w:val="24"/>
        </w:rPr>
        <w:t>The dispute centers around Staff’s recommendation that the Commission order PacifiCorp to establish a regulatory liability account, and book to that account all REC revenues the Company accrues from January 1, 2010 forward, for later disposition by the Commission.  This will insure REC revenues are returned to the ratepayers, dollar for dollar, consistent with the Commission’s order in Docket UE-070725.</w:t>
      </w:r>
      <w:r w:rsidR="002B710A" w:rsidRPr="002B710A">
        <w:rPr>
          <w:rFonts w:cs="Times New Roman"/>
          <w:sz w:val="24"/>
          <w:szCs w:val="24"/>
          <w:vertAlign w:val="superscript"/>
        </w:rPr>
        <w:footnoteReference w:id="40"/>
      </w:r>
      <w:r w:rsidR="002B710A" w:rsidRPr="002B710A">
        <w:rPr>
          <w:rFonts w:cs="Times New Roman"/>
          <w:sz w:val="24"/>
          <w:szCs w:val="24"/>
        </w:rPr>
        <w:t xml:space="preserve">  </w:t>
      </w:r>
    </w:p>
    <w:p w:rsidR="002B710A" w:rsidRPr="002B710A" w:rsidRDefault="00B966E9" w:rsidP="00C16EA4">
      <w:pPr>
        <w:pStyle w:val="FootnoteText"/>
        <w:numPr>
          <w:ilvl w:val="0"/>
          <w:numId w:val="3"/>
        </w:numPr>
        <w:spacing w:line="480" w:lineRule="exact"/>
        <w:rPr>
          <w:rFonts w:cs="Times New Roman"/>
          <w:sz w:val="24"/>
          <w:szCs w:val="24"/>
        </w:rPr>
      </w:pPr>
      <w:r>
        <w:rPr>
          <w:rFonts w:cs="Times New Roman"/>
          <w:sz w:val="24"/>
          <w:szCs w:val="24"/>
        </w:rPr>
        <w:lastRenderedPageBreak/>
        <w:tab/>
      </w:r>
      <w:r w:rsidR="002B710A" w:rsidRPr="002B710A">
        <w:rPr>
          <w:rFonts w:cs="Times New Roman"/>
          <w:sz w:val="24"/>
          <w:szCs w:val="24"/>
        </w:rPr>
        <w:t xml:space="preserve">The Company objects to Staff’s recommendation on three grounds, none of which hold water.  </w:t>
      </w:r>
      <w:r w:rsidR="002B710A" w:rsidRPr="002B710A">
        <w:rPr>
          <w:rFonts w:cs="Times New Roman"/>
          <w:sz w:val="24"/>
          <w:szCs w:val="24"/>
        </w:rPr>
        <w:tab/>
        <w:t>First, the Company claims that using both a test year REC amount and an amount in a regulatory liability account is a “double</w:t>
      </w:r>
      <w:r w:rsidR="005309A8">
        <w:rPr>
          <w:rFonts w:cs="Times New Roman"/>
          <w:sz w:val="24"/>
          <w:szCs w:val="24"/>
        </w:rPr>
        <w:t>-</w:t>
      </w:r>
      <w:r w:rsidR="002B710A" w:rsidRPr="002B710A">
        <w:rPr>
          <w:rFonts w:cs="Times New Roman"/>
          <w:sz w:val="24"/>
          <w:szCs w:val="24"/>
        </w:rPr>
        <w:t>count” of REC revenues.</w:t>
      </w:r>
      <w:r w:rsidR="002B710A" w:rsidRPr="002B710A">
        <w:rPr>
          <w:rFonts w:cs="Times New Roman"/>
          <w:sz w:val="24"/>
          <w:szCs w:val="24"/>
          <w:vertAlign w:val="superscript"/>
        </w:rPr>
        <w:footnoteReference w:id="41"/>
      </w:r>
      <w:r w:rsidR="002B710A" w:rsidRPr="002B710A">
        <w:rPr>
          <w:rFonts w:cs="Times New Roman"/>
          <w:sz w:val="24"/>
          <w:szCs w:val="24"/>
        </w:rPr>
        <w:t xml:space="preserve">  However, this claim is </w:t>
      </w:r>
      <w:r w:rsidR="0086607A">
        <w:rPr>
          <w:rFonts w:cs="Times New Roman"/>
          <w:sz w:val="24"/>
          <w:szCs w:val="24"/>
        </w:rPr>
        <w:t>premature</w:t>
      </w:r>
      <w:r w:rsidR="002B710A" w:rsidRPr="002B710A">
        <w:rPr>
          <w:rFonts w:cs="Times New Roman"/>
          <w:sz w:val="24"/>
          <w:szCs w:val="24"/>
        </w:rPr>
        <w:t>.  If a double counting issue is actually presented when and if the Commission actually disposes of funds from the regulatory liability account, PacifiCorp can raise the “double</w:t>
      </w:r>
      <w:r w:rsidR="005309A8">
        <w:rPr>
          <w:rFonts w:cs="Times New Roman"/>
          <w:sz w:val="24"/>
          <w:szCs w:val="24"/>
        </w:rPr>
        <w:t>-</w:t>
      </w:r>
      <w:r w:rsidR="002B710A" w:rsidRPr="002B710A">
        <w:rPr>
          <w:rFonts w:cs="Times New Roman"/>
          <w:sz w:val="24"/>
          <w:szCs w:val="24"/>
        </w:rPr>
        <w:t>counting” issue at that time.</w:t>
      </w:r>
      <w:r w:rsidR="005309A8">
        <w:rPr>
          <w:rStyle w:val="FootnoteReference"/>
          <w:rFonts w:cs="Times New Roman"/>
          <w:sz w:val="24"/>
          <w:szCs w:val="24"/>
        </w:rPr>
        <w:footnoteReference w:id="42"/>
      </w:r>
    </w:p>
    <w:p w:rsidR="002B710A" w:rsidRPr="002B710A" w:rsidRDefault="00B966E9" w:rsidP="00C16EA4">
      <w:pPr>
        <w:pStyle w:val="FootnoteText"/>
        <w:numPr>
          <w:ilvl w:val="0"/>
          <w:numId w:val="3"/>
        </w:numPr>
        <w:spacing w:line="480" w:lineRule="exact"/>
        <w:rPr>
          <w:rFonts w:cs="Times New Roman"/>
          <w:sz w:val="24"/>
          <w:szCs w:val="24"/>
        </w:rPr>
      </w:pPr>
      <w:r>
        <w:rPr>
          <w:rFonts w:cs="Times New Roman"/>
          <w:sz w:val="24"/>
          <w:szCs w:val="24"/>
        </w:rPr>
        <w:tab/>
      </w:r>
      <w:r w:rsidR="002B710A" w:rsidRPr="002B710A">
        <w:rPr>
          <w:rFonts w:cs="Times New Roman"/>
          <w:sz w:val="24"/>
          <w:szCs w:val="24"/>
        </w:rPr>
        <w:t>Next, the Company complains it cannot track RECs and associated costs unless the Commission amends its view on the “pseudo-actual” issue that was raised in regard to PacifiCorp’s proposed PCAM a few years’ back.</w:t>
      </w:r>
      <w:r w:rsidR="002B710A" w:rsidRPr="002B710A">
        <w:rPr>
          <w:rFonts w:cs="Times New Roman"/>
          <w:sz w:val="24"/>
          <w:szCs w:val="24"/>
          <w:vertAlign w:val="superscript"/>
        </w:rPr>
        <w:footnoteReference w:id="43"/>
      </w:r>
      <w:r w:rsidR="002B710A" w:rsidRPr="002B710A">
        <w:rPr>
          <w:rFonts w:cs="Times New Roman"/>
          <w:sz w:val="24"/>
          <w:szCs w:val="24"/>
        </w:rPr>
        <w:t xml:space="preserve">  The Company offers Exhibit No. GND-6C in an effort to demonstrate that because it is regulated under two inter-jurisdictional allocation methods (W</w:t>
      </w:r>
      <w:r w:rsidR="0086607A">
        <w:rPr>
          <w:rFonts w:cs="Times New Roman"/>
          <w:sz w:val="24"/>
          <w:szCs w:val="24"/>
        </w:rPr>
        <w:t xml:space="preserve">est Control Area </w:t>
      </w:r>
      <w:r w:rsidR="002B710A" w:rsidRPr="002B710A">
        <w:rPr>
          <w:rFonts w:cs="Times New Roman"/>
          <w:sz w:val="24"/>
          <w:szCs w:val="24"/>
        </w:rPr>
        <w:t>in Washington and Revised Protocol in the remainder of the states), it is possible for the Company to allocate to ratepayers more RECs than it has.</w:t>
      </w:r>
      <w:r w:rsidR="002B710A" w:rsidRPr="002B710A">
        <w:rPr>
          <w:rFonts w:cs="Times New Roman"/>
          <w:sz w:val="24"/>
          <w:szCs w:val="24"/>
          <w:vertAlign w:val="superscript"/>
        </w:rPr>
        <w:footnoteReference w:id="44"/>
      </w:r>
      <w:r w:rsidR="002B710A" w:rsidRPr="002B710A">
        <w:rPr>
          <w:rFonts w:cs="Times New Roman"/>
          <w:sz w:val="24"/>
          <w:szCs w:val="24"/>
        </w:rPr>
        <w:t xml:space="preserve">  </w:t>
      </w:r>
    </w:p>
    <w:p w:rsidR="002B710A" w:rsidRPr="002B710A" w:rsidRDefault="00B966E9" w:rsidP="00C16EA4">
      <w:pPr>
        <w:pStyle w:val="FootnoteText"/>
        <w:numPr>
          <w:ilvl w:val="0"/>
          <w:numId w:val="3"/>
        </w:numPr>
        <w:spacing w:line="480" w:lineRule="exact"/>
        <w:rPr>
          <w:rFonts w:cs="Times New Roman"/>
          <w:sz w:val="24"/>
          <w:szCs w:val="24"/>
        </w:rPr>
      </w:pPr>
      <w:r>
        <w:rPr>
          <w:rFonts w:cs="Times New Roman"/>
          <w:sz w:val="24"/>
          <w:szCs w:val="24"/>
        </w:rPr>
        <w:tab/>
      </w:r>
      <w:r w:rsidR="002B710A" w:rsidRPr="002B710A">
        <w:rPr>
          <w:rFonts w:cs="Times New Roman"/>
          <w:sz w:val="24"/>
          <w:szCs w:val="24"/>
        </w:rPr>
        <w:t>The Company is not being evenhanded in its use of this argument, because it raised no such objection when it deferred (and now is collecting from ratepayers) the costs of the Chehalis Plant, which is also allocated differently to Washington than the other states.</w:t>
      </w:r>
      <w:r w:rsidR="002B710A" w:rsidRPr="002B710A">
        <w:rPr>
          <w:rFonts w:cs="Times New Roman"/>
          <w:sz w:val="24"/>
          <w:szCs w:val="24"/>
          <w:vertAlign w:val="superscript"/>
        </w:rPr>
        <w:footnoteReference w:id="45"/>
      </w:r>
      <w:r w:rsidR="002B710A" w:rsidRPr="002B710A">
        <w:rPr>
          <w:rFonts w:cs="Times New Roman"/>
          <w:sz w:val="24"/>
          <w:szCs w:val="24"/>
        </w:rPr>
        <w:t xml:space="preserve">  More generally, PacifiCorp is identifying a problem inherent in the fact that the states in which it operates do not use the same allocation method.  If the Commission accepts PacifiCorp’s argument, that would negate each state’s right (if not its duty), to regulate its fair share of PacifiCorp’s utility operations.  </w:t>
      </w:r>
    </w:p>
    <w:p w:rsidR="002B710A" w:rsidRPr="002B710A" w:rsidRDefault="00B966E9" w:rsidP="00C16EA4">
      <w:pPr>
        <w:pStyle w:val="FootnoteText"/>
        <w:numPr>
          <w:ilvl w:val="0"/>
          <w:numId w:val="3"/>
        </w:numPr>
        <w:spacing w:line="480" w:lineRule="exact"/>
        <w:rPr>
          <w:rFonts w:cs="Times New Roman"/>
          <w:sz w:val="24"/>
          <w:szCs w:val="24"/>
        </w:rPr>
      </w:pPr>
      <w:r>
        <w:rPr>
          <w:rFonts w:cs="Times New Roman"/>
          <w:sz w:val="24"/>
          <w:szCs w:val="24"/>
        </w:rPr>
        <w:tab/>
      </w:r>
      <w:r w:rsidR="002B710A" w:rsidRPr="002B710A">
        <w:rPr>
          <w:rFonts w:cs="Times New Roman"/>
          <w:sz w:val="24"/>
          <w:szCs w:val="24"/>
        </w:rPr>
        <w:t xml:space="preserve">PacifiCorp’s failure to have a uniform allocation methodology in all of its states is not the fault of the Commission or the ratepayers.  If the result in Exhibit No. GND-6C is a consequence of PacifiCorp’s failed attempt at achieving a uniform allocation methodology in each jurisdiction it serves, so be it.  There is no legal or policy reason for the Commission to resolve PacifiCorp’s </w:t>
      </w:r>
      <w:r w:rsidR="002B710A" w:rsidRPr="002B710A">
        <w:rPr>
          <w:rFonts w:cs="Times New Roman"/>
          <w:sz w:val="24"/>
          <w:szCs w:val="24"/>
        </w:rPr>
        <w:lastRenderedPageBreak/>
        <w:t xml:space="preserve">jurisdictional allocation problems by </w:t>
      </w:r>
      <w:r w:rsidR="00930ACB">
        <w:rPr>
          <w:rFonts w:cs="Times New Roman"/>
          <w:sz w:val="24"/>
          <w:szCs w:val="24"/>
        </w:rPr>
        <w:t xml:space="preserve">depriving </w:t>
      </w:r>
      <w:r w:rsidR="002B710A" w:rsidRPr="002B710A">
        <w:rPr>
          <w:rFonts w:cs="Times New Roman"/>
          <w:sz w:val="24"/>
          <w:szCs w:val="24"/>
        </w:rPr>
        <w:t>Washington ratepayers their fair share of RECs.</w:t>
      </w:r>
      <w:r w:rsidR="00BB0C98">
        <w:rPr>
          <w:rFonts w:cs="Times New Roman"/>
          <w:sz w:val="24"/>
          <w:szCs w:val="24"/>
        </w:rPr>
        <w:t xml:space="preserve">  Staff’s recommendation allocates REC revenues consistent with the resources that generate the RECs.</w:t>
      </w:r>
    </w:p>
    <w:p w:rsidR="002B710A" w:rsidRPr="002B710A" w:rsidRDefault="00B966E9" w:rsidP="00C16EA4">
      <w:pPr>
        <w:pStyle w:val="FootnoteText"/>
        <w:numPr>
          <w:ilvl w:val="0"/>
          <w:numId w:val="3"/>
        </w:numPr>
        <w:spacing w:line="480" w:lineRule="exact"/>
        <w:rPr>
          <w:rFonts w:cs="Times New Roman"/>
          <w:sz w:val="24"/>
          <w:szCs w:val="24"/>
        </w:rPr>
      </w:pPr>
      <w:r>
        <w:rPr>
          <w:rFonts w:cs="Times New Roman"/>
          <w:sz w:val="24"/>
          <w:szCs w:val="24"/>
        </w:rPr>
        <w:tab/>
      </w:r>
      <w:r w:rsidR="002B710A" w:rsidRPr="002B710A">
        <w:rPr>
          <w:rFonts w:cs="Times New Roman"/>
          <w:sz w:val="24"/>
          <w:szCs w:val="24"/>
        </w:rPr>
        <w:t>Finally, PacifiCorp suggests Staff’s regulatory liability account proposal is retroactive ratemaking.</w:t>
      </w:r>
      <w:r w:rsidR="002B710A" w:rsidRPr="002B710A">
        <w:rPr>
          <w:rFonts w:cs="Times New Roman"/>
          <w:sz w:val="24"/>
          <w:szCs w:val="24"/>
          <w:vertAlign w:val="superscript"/>
        </w:rPr>
        <w:footnoteReference w:id="46"/>
      </w:r>
      <w:r w:rsidR="002B710A" w:rsidRPr="002B710A">
        <w:rPr>
          <w:rFonts w:cs="Times New Roman"/>
          <w:sz w:val="24"/>
          <w:szCs w:val="24"/>
        </w:rPr>
        <w:t xml:space="preserve">  The Company apparently believes that because no party has sought an accounting order for RECs, “it is retroactive ratemaking to defer amounts prior to the filing of a petition for a regulatory accounting order.”</w:t>
      </w:r>
      <w:r w:rsidR="002B710A" w:rsidRPr="002B710A">
        <w:rPr>
          <w:rFonts w:cs="Times New Roman"/>
          <w:sz w:val="24"/>
          <w:szCs w:val="24"/>
          <w:vertAlign w:val="superscript"/>
        </w:rPr>
        <w:footnoteReference w:id="47"/>
      </w:r>
    </w:p>
    <w:p w:rsidR="002B710A" w:rsidRPr="002B710A" w:rsidRDefault="00B966E9" w:rsidP="00C16EA4">
      <w:pPr>
        <w:pStyle w:val="FootnoteText"/>
        <w:numPr>
          <w:ilvl w:val="0"/>
          <w:numId w:val="3"/>
        </w:numPr>
        <w:spacing w:line="480" w:lineRule="exact"/>
        <w:rPr>
          <w:rFonts w:cs="Times New Roman"/>
          <w:sz w:val="24"/>
          <w:szCs w:val="24"/>
        </w:rPr>
      </w:pPr>
      <w:r>
        <w:rPr>
          <w:rFonts w:cs="Times New Roman"/>
          <w:sz w:val="24"/>
          <w:szCs w:val="24"/>
        </w:rPr>
        <w:tab/>
      </w:r>
      <w:r w:rsidR="002B710A" w:rsidRPr="002B710A">
        <w:rPr>
          <w:rFonts w:cs="Times New Roman"/>
          <w:sz w:val="24"/>
          <w:szCs w:val="24"/>
        </w:rPr>
        <w:t>PacifiCorp ignores the fact that the Commission has before it a rate case, where the Company has put into issue its revenues, expenses and rate base amounts.  No party is required to file an accounting petition outside a rate case when the issue is presented in the rate case itself.  In other words, a rate case is a proper forum to resolve issues involving appropriate rate making treatment of issues such as REC revenues.</w:t>
      </w:r>
    </w:p>
    <w:p w:rsidR="002B710A" w:rsidRPr="002B710A" w:rsidRDefault="00963D4F" w:rsidP="00C16EA4">
      <w:pPr>
        <w:pStyle w:val="FootnoteText"/>
        <w:numPr>
          <w:ilvl w:val="0"/>
          <w:numId w:val="3"/>
        </w:numPr>
        <w:spacing w:line="480" w:lineRule="exact"/>
        <w:rPr>
          <w:rFonts w:cs="Times New Roman"/>
          <w:sz w:val="24"/>
          <w:szCs w:val="24"/>
        </w:rPr>
      </w:pPr>
      <w:r>
        <w:rPr>
          <w:rFonts w:cs="Times New Roman"/>
          <w:sz w:val="24"/>
          <w:szCs w:val="24"/>
        </w:rPr>
        <w:tab/>
      </w:r>
      <w:r w:rsidR="002B710A" w:rsidRPr="002B710A">
        <w:rPr>
          <w:rFonts w:cs="Times New Roman"/>
          <w:sz w:val="24"/>
          <w:szCs w:val="24"/>
        </w:rPr>
        <w:t>In this particular rate case, the Commission has before it a test year ended December 31, 2009, with a 2011-2012 rate year.  Events and costs that materialized in 2010 are also before the Commission, and Sta</w:t>
      </w:r>
      <w:r>
        <w:rPr>
          <w:rFonts w:cs="Times New Roman"/>
          <w:sz w:val="24"/>
          <w:szCs w:val="24"/>
        </w:rPr>
        <w:t>ff’s proposing nothing more than</w:t>
      </w:r>
      <w:r w:rsidR="002B710A" w:rsidRPr="002B710A">
        <w:rPr>
          <w:rFonts w:cs="Times New Roman"/>
          <w:sz w:val="24"/>
          <w:szCs w:val="24"/>
        </w:rPr>
        <w:t xml:space="preserve"> to require PacifiCorp to defer revenues associated with the period January 1, 2010, forward.  This is not a case where a party seeks regulatory treatment of costs incurred prior to a test period.  </w:t>
      </w:r>
    </w:p>
    <w:p w:rsidR="002B710A" w:rsidRPr="002B710A" w:rsidRDefault="00B966E9" w:rsidP="00C16EA4">
      <w:pPr>
        <w:pStyle w:val="FootnoteText"/>
        <w:numPr>
          <w:ilvl w:val="0"/>
          <w:numId w:val="3"/>
        </w:numPr>
        <w:spacing w:line="480" w:lineRule="exact"/>
        <w:rPr>
          <w:rFonts w:cs="Times New Roman"/>
          <w:sz w:val="24"/>
          <w:szCs w:val="24"/>
        </w:rPr>
      </w:pPr>
      <w:r>
        <w:rPr>
          <w:rFonts w:cs="Times New Roman"/>
          <w:sz w:val="24"/>
          <w:szCs w:val="24"/>
        </w:rPr>
        <w:tab/>
      </w:r>
      <w:r w:rsidR="002B710A" w:rsidRPr="002B710A">
        <w:rPr>
          <w:rFonts w:cs="Times New Roman"/>
          <w:sz w:val="24"/>
          <w:szCs w:val="24"/>
        </w:rPr>
        <w:t xml:space="preserve">It is common and appropriate to establish regulatory treatment of items that occur during a test year and up to and including the rate year.  The Commission restates, normalizes, pro forms or eliminates expenses in the rate setting process.  The Commission also permits amortization of certain costs as well.  </w:t>
      </w:r>
    </w:p>
    <w:p w:rsidR="002B710A" w:rsidRPr="002B710A" w:rsidRDefault="00B966E9" w:rsidP="00C16EA4">
      <w:pPr>
        <w:pStyle w:val="FootnoteText"/>
        <w:numPr>
          <w:ilvl w:val="0"/>
          <w:numId w:val="3"/>
        </w:numPr>
        <w:spacing w:line="480" w:lineRule="exact"/>
        <w:rPr>
          <w:rFonts w:cs="Times New Roman"/>
          <w:sz w:val="24"/>
          <w:szCs w:val="24"/>
        </w:rPr>
      </w:pPr>
      <w:r>
        <w:rPr>
          <w:rFonts w:cs="Times New Roman"/>
          <w:sz w:val="24"/>
          <w:szCs w:val="24"/>
        </w:rPr>
        <w:tab/>
      </w:r>
      <w:r w:rsidR="002B710A" w:rsidRPr="002B710A">
        <w:rPr>
          <w:rFonts w:cs="Times New Roman"/>
          <w:sz w:val="24"/>
          <w:szCs w:val="24"/>
        </w:rPr>
        <w:t xml:space="preserve">For example, no party </w:t>
      </w:r>
      <w:r w:rsidR="0080703B">
        <w:rPr>
          <w:rFonts w:cs="Times New Roman"/>
          <w:sz w:val="24"/>
          <w:szCs w:val="24"/>
        </w:rPr>
        <w:t xml:space="preserve">to this case is </w:t>
      </w:r>
      <w:r w:rsidR="002B710A" w:rsidRPr="002B710A">
        <w:rPr>
          <w:rFonts w:cs="Times New Roman"/>
          <w:sz w:val="24"/>
          <w:szCs w:val="24"/>
        </w:rPr>
        <w:t xml:space="preserve">required to file an accounting petition if </w:t>
      </w:r>
      <w:r w:rsidR="0080703B">
        <w:rPr>
          <w:rFonts w:cs="Times New Roman"/>
          <w:sz w:val="24"/>
          <w:szCs w:val="24"/>
        </w:rPr>
        <w:t>it</w:t>
      </w:r>
      <w:r w:rsidR="002B710A" w:rsidRPr="002B710A">
        <w:rPr>
          <w:rFonts w:cs="Times New Roman"/>
          <w:sz w:val="24"/>
          <w:szCs w:val="24"/>
        </w:rPr>
        <w:t xml:space="preserve"> f</w:t>
      </w:r>
      <w:r w:rsidR="0080703B">
        <w:rPr>
          <w:rFonts w:cs="Times New Roman"/>
          <w:sz w:val="24"/>
          <w:szCs w:val="24"/>
        </w:rPr>
        <w:t>inds</w:t>
      </w:r>
      <w:r w:rsidR="002B710A" w:rsidRPr="002B710A">
        <w:rPr>
          <w:rFonts w:cs="Times New Roman"/>
          <w:sz w:val="24"/>
          <w:szCs w:val="24"/>
        </w:rPr>
        <w:t xml:space="preserve"> an extraordinary item on PacifiCorp’s books, and ask</w:t>
      </w:r>
      <w:r w:rsidR="0080703B">
        <w:rPr>
          <w:rFonts w:cs="Times New Roman"/>
          <w:sz w:val="24"/>
          <w:szCs w:val="24"/>
        </w:rPr>
        <w:t>s</w:t>
      </w:r>
      <w:r w:rsidR="002B710A" w:rsidRPr="002B710A">
        <w:rPr>
          <w:rFonts w:cs="Times New Roman"/>
          <w:sz w:val="24"/>
          <w:szCs w:val="24"/>
        </w:rPr>
        <w:t xml:space="preserve"> the Commission to require the Company to defer and amortize that cost over five years.  In fact, in this case, the parties agree to shorten the amortization period for SO</w:t>
      </w:r>
      <w:r w:rsidR="002B710A" w:rsidRPr="002B710A">
        <w:rPr>
          <w:rFonts w:cs="Times New Roman"/>
          <w:sz w:val="24"/>
          <w:szCs w:val="24"/>
          <w:vertAlign w:val="subscript"/>
        </w:rPr>
        <w:t>2</w:t>
      </w:r>
      <w:r w:rsidR="002B710A" w:rsidRPr="002B710A">
        <w:rPr>
          <w:rFonts w:cs="Times New Roman"/>
          <w:sz w:val="24"/>
          <w:szCs w:val="24"/>
        </w:rPr>
        <w:t xml:space="preserve"> allowances,</w:t>
      </w:r>
      <w:r w:rsidR="002B710A" w:rsidRPr="002B710A">
        <w:rPr>
          <w:rStyle w:val="FootnoteReference"/>
          <w:rFonts w:cs="Times New Roman"/>
          <w:sz w:val="24"/>
          <w:szCs w:val="24"/>
        </w:rPr>
        <w:footnoteReference w:id="48"/>
      </w:r>
      <w:r w:rsidR="002B710A" w:rsidRPr="002B710A" w:rsidDel="00CB7BB8">
        <w:rPr>
          <w:rFonts w:cs="Times New Roman"/>
          <w:sz w:val="24"/>
          <w:szCs w:val="24"/>
        </w:rPr>
        <w:t xml:space="preserve"> </w:t>
      </w:r>
      <w:r w:rsidR="002B710A" w:rsidRPr="002B710A">
        <w:rPr>
          <w:rFonts w:cs="Times New Roman"/>
          <w:sz w:val="24"/>
          <w:szCs w:val="24"/>
        </w:rPr>
        <w:t xml:space="preserve">without </w:t>
      </w:r>
      <w:r w:rsidR="0080703B">
        <w:rPr>
          <w:rFonts w:cs="Times New Roman"/>
          <w:sz w:val="24"/>
          <w:szCs w:val="24"/>
        </w:rPr>
        <w:t xml:space="preserve">the necessity of filing an accounting petition </w:t>
      </w:r>
      <w:r w:rsidR="0080703B">
        <w:rPr>
          <w:rFonts w:cs="Times New Roman"/>
          <w:sz w:val="24"/>
          <w:szCs w:val="24"/>
        </w:rPr>
        <w:lastRenderedPageBreak/>
        <w:t xml:space="preserve">or even petitioning to </w:t>
      </w:r>
      <w:r w:rsidR="002B710A" w:rsidRPr="002B710A">
        <w:rPr>
          <w:rFonts w:cs="Times New Roman"/>
          <w:sz w:val="24"/>
          <w:szCs w:val="24"/>
        </w:rPr>
        <w:t>reopen the docket</w:t>
      </w:r>
      <w:r w:rsidR="0080703B" w:rsidRPr="0080703B">
        <w:rPr>
          <w:rFonts w:cs="Times New Roman"/>
          <w:sz w:val="24"/>
          <w:szCs w:val="24"/>
          <w:vertAlign w:val="superscript"/>
        </w:rPr>
        <w:footnoteReference w:id="49"/>
      </w:r>
      <w:r w:rsidR="002B710A" w:rsidRPr="002B710A">
        <w:rPr>
          <w:rFonts w:cs="Times New Roman"/>
          <w:sz w:val="24"/>
          <w:szCs w:val="24"/>
        </w:rPr>
        <w:t xml:space="preserve"> in which the Commission first approved that amortization</w:t>
      </w:r>
      <w:r w:rsidR="0080703B">
        <w:rPr>
          <w:rFonts w:cs="Times New Roman"/>
          <w:sz w:val="24"/>
          <w:szCs w:val="24"/>
        </w:rPr>
        <w:t>.</w:t>
      </w:r>
      <w:r w:rsidR="002B710A" w:rsidRPr="002B710A">
        <w:rPr>
          <w:rFonts w:cs="Times New Roman"/>
          <w:sz w:val="24"/>
          <w:szCs w:val="24"/>
        </w:rPr>
        <w:t xml:space="preserve"> </w:t>
      </w:r>
    </w:p>
    <w:p w:rsidR="002B710A" w:rsidRPr="002B710A" w:rsidRDefault="00B966E9" w:rsidP="00C16EA4">
      <w:pPr>
        <w:pStyle w:val="FootnoteText"/>
        <w:numPr>
          <w:ilvl w:val="0"/>
          <w:numId w:val="3"/>
        </w:numPr>
        <w:spacing w:line="480" w:lineRule="exact"/>
        <w:rPr>
          <w:rFonts w:cs="Times New Roman"/>
          <w:sz w:val="24"/>
          <w:szCs w:val="24"/>
        </w:rPr>
      </w:pPr>
      <w:r>
        <w:rPr>
          <w:rFonts w:cs="Times New Roman"/>
          <w:sz w:val="24"/>
          <w:szCs w:val="24"/>
        </w:rPr>
        <w:tab/>
      </w:r>
      <w:r w:rsidR="002B710A" w:rsidRPr="002B710A">
        <w:rPr>
          <w:rFonts w:cs="Times New Roman"/>
          <w:sz w:val="24"/>
          <w:szCs w:val="24"/>
        </w:rPr>
        <w:t>Another example is the 1999 Avista rate case, which was based on a 1998 test year.</w:t>
      </w:r>
      <w:r w:rsidR="002B710A" w:rsidRPr="002B710A">
        <w:rPr>
          <w:rStyle w:val="FootnoteReference"/>
          <w:rFonts w:cs="Times New Roman"/>
          <w:sz w:val="24"/>
          <w:szCs w:val="24"/>
        </w:rPr>
        <w:footnoteReference w:id="50"/>
      </w:r>
      <w:r w:rsidR="002B710A" w:rsidRPr="002B710A">
        <w:rPr>
          <w:rFonts w:cs="Times New Roman"/>
          <w:sz w:val="24"/>
          <w:szCs w:val="24"/>
        </w:rPr>
        <w:t xml:space="preserve">  An issue in that case was an adjustment called the “PGE Contract Buy Down</w:t>
      </w:r>
      <w:r w:rsidR="0086607A">
        <w:rPr>
          <w:rFonts w:cs="Times New Roman"/>
          <w:sz w:val="24"/>
          <w:szCs w:val="24"/>
        </w:rPr>
        <w:t>”</w:t>
      </w:r>
      <w:r w:rsidR="002B710A" w:rsidRPr="002B710A">
        <w:rPr>
          <w:rFonts w:cs="Times New Roman"/>
          <w:sz w:val="24"/>
          <w:szCs w:val="24"/>
        </w:rPr>
        <w:t>, in which Avista decided to assign to a</w:t>
      </w:r>
      <w:r w:rsidR="00E13C79">
        <w:rPr>
          <w:rFonts w:cs="Times New Roman"/>
          <w:sz w:val="24"/>
          <w:szCs w:val="24"/>
        </w:rPr>
        <w:t xml:space="preserve"> subsidiary</w:t>
      </w:r>
      <w:r w:rsidR="002B710A" w:rsidRPr="002B710A">
        <w:rPr>
          <w:rFonts w:cs="Times New Roman"/>
          <w:sz w:val="24"/>
          <w:szCs w:val="24"/>
        </w:rPr>
        <w:t xml:space="preserve"> a contract obligation Avista had to PGE, in return for $143.4 million. </w:t>
      </w:r>
      <w:r w:rsidR="00BB0C98">
        <w:rPr>
          <w:rFonts w:cs="Times New Roman"/>
          <w:sz w:val="24"/>
          <w:szCs w:val="24"/>
        </w:rPr>
        <w:t xml:space="preserve"> </w:t>
      </w:r>
      <w:r w:rsidR="002B710A" w:rsidRPr="002B710A">
        <w:rPr>
          <w:rFonts w:cs="Times New Roman"/>
          <w:sz w:val="24"/>
          <w:szCs w:val="24"/>
        </w:rPr>
        <w:t>While Avista received the $143.4 million (system), it amortized that amount on its books, such that during the test year, Avista was receiving annual revenues of $1.8 million.</w:t>
      </w:r>
      <w:r w:rsidR="002B710A" w:rsidRPr="002B710A">
        <w:rPr>
          <w:rStyle w:val="FootnoteReference"/>
          <w:rFonts w:cs="Times New Roman"/>
          <w:sz w:val="24"/>
          <w:szCs w:val="24"/>
        </w:rPr>
        <w:footnoteReference w:id="51"/>
      </w:r>
      <w:r w:rsidR="002B710A" w:rsidRPr="002B710A">
        <w:rPr>
          <w:rFonts w:cs="Times New Roman"/>
          <w:sz w:val="24"/>
          <w:szCs w:val="24"/>
        </w:rPr>
        <w:t xml:space="preserve"> </w:t>
      </w:r>
    </w:p>
    <w:p w:rsidR="002B710A" w:rsidRPr="002B710A" w:rsidRDefault="00B966E9" w:rsidP="00C16EA4">
      <w:pPr>
        <w:pStyle w:val="FootnoteText"/>
        <w:numPr>
          <w:ilvl w:val="0"/>
          <w:numId w:val="3"/>
        </w:numPr>
        <w:spacing w:line="480" w:lineRule="exact"/>
        <w:rPr>
          <w:rFonts w:cs="Times New Roman"/>
          <w:sz w:val="24"/>
          <w:szCs w:val="24"/>
        </w:rPr>
      </w:pPr>
      <w:r>
        <w:rPr>
          <w:rFonts w:cs="Times New Roman"/>
          <w:sz w:val="24"/>
          <w:szCs w:val="24"/>
        </w:rPr>
        <w:tab/>
      </w:r>
      <w:r w:rsidR="001C21B5">
        <w:rPr>
          <w:rFonts w:cs="Times New Roman"/>
          <w:sz w:val="24"/>
          <w:szCs w:val="24"/>
        </w:rPr>
        <w:t>To address the transaction, t</w:t>
      </w:r>
      <w:r w:rsidR="002B710A" w:rsidRPr="002B710A">
        <w:rPr>
          <w:rFonts w:cs="Times New Roman"/>
          <w:sz w:val="24"/>
          <w:szCs w:val="24"/>
        </w:rPr>
        <w:t xml:space="preserve">he Commission determined that </w:t>
      </w:r>
      <w:r w:rsidR="001C21B5">
        <w:rPr>
          <w:rFonts w:cs="Times New Roman"/>
          <w:sz w:val="24"/>
          <w:szCs w:val="24"/>
        </w:rPr>
        <w:t>Avista’s power supply costs should be increased by $18 million per year,</w:t>
      </w:r>
      <w:r w:rsidR="002B710A" w:rsidRPr="002B710A">
        <w:rPr>
          <w:rStyle w:val="FootnoteReference"/>
          <w:rFonts w:cs="Times New Roman"/>
          <w:sz w:val="24"/>
          <w:szCs w:val="24"/>
        </w:rPr>
        <w:footnoteReference w:id="52"/>
      </w:r>
      <w:r w:rsidR="001C21B5">
        <w:rPr>
          <w:rFonts w:cs="Times New Roman"/>
          <w:sz w:val="24"/>
          <w:szCs w:val="24"/>
        </w:rPr>
        <w:t xml:space="preserve"> but ordered Avista to reflect </w:t>
      </w:r>
      <w:r w:rsidR="002B710A" w:rsidRPr="002B710A">
        <w:rPr>
          <w:rFonts w:cs="Times New Roman"/>
          <w:sz w:val="24"/>
          <w:szCs w:val="24"/>
        </w:rPr>
        <w:t xml:space="preserve">the time value of </w:t>
      </w:r>
      <w:r w:rsidR="001C21B5">
        <w:rPr>
          <w:rFonts w:cs="Times New Roman"/>
          <w:sz w:val="24"/>
          <w:szCs w:val="24"/>
        </w:rPr>
        <w:t xml:space="preserve">Washington’s share of </w:t>
      </w:r>
      <w:r w:rsidR="002B710A" w:rsidRPr="002B710A">
        <w:rPr>
          <w:rFonts w:cs="Times New Roman"/>
          <w:sz w:val="24"/>
          <w:szCs w:val="24"/>
        </w:rPr>
        <w:t xml:space="preserve">the </w:t>
      </w:r>
      <w:r w:rsidR="001C21B5">
        <w:rPr>
          <w:rFonts w:cs="Times New Roman"/>
          <w:sz w:val="24"/>
          <w:szCs w:val="24"/>
        </w:rPr>
        <w:t xml:space="preserve">$143.4 million </w:t>
      </w:r>
      <w:r w:rsidR="002B710A" w:rsidRPr="002B710A">
        <w:rPr>
          <w:rFonts w:cs="Times New Roman"/>
          <w:sz w:val="24"/>
          <w:szCs w:val="24"/>
        </w:rPr>
        <w:t>lump sum payment Avista received in 1998 “in the balance of funds available on October 1, 2000”, i.e., the 21 month period after the end of the test period.</w:t>
      </w:r>
      <w:r w:rsidR="002B710A" w:rsidRPr="002B710A">
        <w:rPr>
          <w:rStyle w:val="FootnoteReference"/>
          <w:rFonts w:cs="Times New Roman"/>
          <w:sz w:val="24"/>
          <w:szCs w:val="24"/>
        </w:rPr>
        <w:footnoteReference w:id="53"/>
      </w:r>
      <w:r w:rsidR="002B710A" w:rsidRPr="002B710A">
        <w:rPr>
          <w:rFonts w:cs="Times New Roman"/>
          <w:sz w:val="24"/>
          <w:szCs w:val="24"/>
        </w:rPr>
        <w:t xml:space="preserve">  In other words, the Commission did what PacifiCorp is saying the Commission cannot do; go outside the test year and address items related to that later period.</w:t>
      </w:r>
    </w:p>
    <w:p w:rsidR="002B710A" w:rsidRDefault="00B966E9" w:rsidP="00C16EA4">
      <w:pPr>
        <w:pStyle w:val="FootnoteText"/>
        <w:numPr>
          <w:ilvl w:val="0"/>
          <w:numId w:val="3"/>
        </w:numPr>
        <w:spacing w:line="480" w:lineRule="exact"/>
        <w:rPr>
          <w:rFonts w:cs="Times New Roman"/>
          <w:sz w:val="24"/>
          <w:szCs w:val="24"/>
        </w:rPr>
      </w:pPr>
      <w:r>
        <w:rPr>
          <w:rFonts w:cs="Times New Roman"/>
          <w:sz w:val="24"/>
          <w:szCs w:val="24"/>
        </w:rPr>
        <w:tab/>
      </w:r>
      <w:r w:rsidR="002B710A" w:rsidRPr="002B710A">
        <w:rPr>
          <w:rFonts w:cs="Times New Roman"/>
          <w:sz w:val="24"/>
          <w:szCs w:val="24"/>
        </w:rPr>
        <w:t>It is also instructive t</w:t>
      </w:r>
      <w:r w:rsidR="005D791A">
        <w:rPr>
          <w:rFonts w:cs="Times New Roman"/>
          <w:sz w:val="24"/>
          <w:szCs w:val="24"/>
        </w:rPr>
        <w:t>hat in PacifiCorp Docket UE-020714</w:t>
      </w:r>
      <w:r w:rsidR="002B710A" w:rsidRPr="002B710A">
        <w:rPr>
          <w:rFonts w:cs="Times New Roman"/>
          <w:sz w:val="24"/>
          <w:szCs w:val="24"/>
        </w:rPr>
        <w:t>, the Commission recognized that the retroactive ratemaking concept is “not so rigid as sometimes viewed.”  The Commission went on to explain:</w:t>
      </w:r>
    </w:p>
    <w:p w:rsidR="00B65199" w:rsidRDefault="00B65199" w:rsidP="00B65199">
      <w:pPr>
        <w:pStyle w:val="FootnoteText"/>
        <w:spacing w:line="240" w:lineRule="exact"/>
        <w:rPr>
          <w:rFonts w:cs="Times New Roman"/>
          <w:sz w:val="24"/>
          <w:szCs w:val="24"/>
        </w:rPr>
      </w:pPr>
    </w:p>
    <w:p w:rsidR="002B710A" w:rsidRPr="002B710A" w:rsidRDefault="002B710A" w:rsidP="000073C0">
      <w:pPr>
        <w:pStyle w:val="FootnoteText"/>
        <w:spacing w:line="240" w:lineRule="exact"/>
        <w:ind w:left="720"/>
        <w:rPr>
          <w:rFonts w:cs="Times New Roman"/>
          <w:sz w:val="24"/>
          <w:szCs w:val="24"/>
        </w:rPr>
      </w:pPr>
      <w:r w:rsidRPr="002B710A">
        <w:rPr>
          <w:rFonts w:cs="Times New Roman"/>
          <w:sz w:val="24"/>
          <w:szCs w:val="24"/>
        </w:rPr>
        <w:t>There are equally well-established exceptions [to the retroactive ratemaking concept].  The use of deferred accounting to track costs incurred by a regulated utility during one period, with the possibility for inclusion in rates in a future period, while not ratemaking per se, sets up the possibility of such an exception.  When the regulatory authority allows some, or all of the prior deferred expenses in rates, this is not considered a violation of the prohibition against retroactive ratemaking, but instead is recognized as a shift in the timing of the collection of the expense. As Goodman elaborates, “the agency may lawfully allow the utility to make-up for prior deferred costs as an exception to the ‘matching principle,’ that is, the matching of ratepayer costs and benefits.”</w:t>
      </w:r>
      <w:r w:rsidRPr="002B710A">
        <w:rPr>
          <w:rFonts w:cs="Times New Roman"/>
          <w:sz w:val="24"/>
          <w:szCs w:val="24"/>
          <w:vertAlign w:val="superscript"/>
        </w:rPr>
        <w:footnoteReference w:id="54"/>
      </w:r>
      <w:r w:rsidRPr="002B710A">
        <w:rPr>
          <w:rFonts w:cs="Times New Roman"/>
          <w:sz w:val="24"/>
          <w:szCs w:val="24"/>
        </w:rPr>
        <w:t xml:space="preserve"> </w:t>
      </w:r>
    </w:p>
    <w:p w:rsidR="002B710A" w:rsidRPr="002B710A" w:rsidRDefault="00B966E9" w:rsidP="00C16EA4">
      <w:pPr>
        <w:pStyle w:val="FootnoteText"/>
        <w:numPr>
          <w:ilvl w:val="0"/>
          <w:numId w:val="3"/>
        </w:numPr>
        <w:spacing w:line="480" w:lineRule="exact"/>
        <w:rPr>
          <w:rFonts w:cs="Times New Roman"/>
          <w:sz w:val="24"/>
          <w:szCs w:val="24"/>
        </w:rPr>
      </w:pPr>
      <w:r>
        <w:rPr>
          <w:rFonts w:cs="Times New Roman"/>
          <w:sz w:val="24"/>
          <w:szCs w:val="24"/>
        </w:rPr>
        <w:lastRenderedPageBreak/>
        <w:tab/>
      </w:r>
      <w:r w:rsidR="002B710A" w:rsidRPr="002B710A">
        <w:rPr>
          <w:rFonts w:cs="Times New Roman"/>
          <w:sz w:val="24"/>
          <w:szCs w:val="24"/>
        </w:rPr>
        <w:t>Staff understands the courts have analyzed retroactive ratemaking in a wide variety of ways, some of which even might find a PCAM of questionable legal validity.</w:t>
      </w:r>
      <w:r w:rsidR="002B710A" w:rsidRPr="002B710A">
        <w:rPr>
          <w:rFonts w:cs="Times New Roman"/>
          <w:sz w:val="24"/>
          <w:szCs w:val="24"/>
          <w:vertAlign w:val="superscript"/>
        </w:rPr>
        <w:footnoteReference w:id="55"/>
      </w:r>
      <w:r w:rsidR="002B710A" w:rsidRPr="002B710A">
        <w:rPr>
          <w:rFonts w:cs="Times New Roman"/>
          <w:sz w:val="24"/>
          <w:szCs w:val="24"/>
        </w:rPr>
        <w:t xml:space="preserve">  However, there is no judicial precedent on the issue in this state, and Staff believes the Staff’s recommendation in this case is appropriate</w:t>
      </w:r>
      <w:r w:rsidR="0080703B">
        <w:rPr>
          <w:rFonts w:cs="Times New Roman"/>
          <w:sz w:val="24"/>
          <w:szCs w:val="24"/>
        </w:rPr>
        <w:t xml:space="preserve"> and reasonable</w:t>
      </w:r>
      <w:r w:rsidR="002B710A" w:rsidRPr="002B710A">
        <w:rPr>
          <w:rFonts w:cs="Times New Roman"/>
          <w:sz w:val="24"/>
          <w:szCs w:val="24"/>
        </w:rPr>
        <w:t>.</w:t>
      </w:r>
    </w:p>
    <w:p w:rsidR="00741D70" w:rsidRDefault="00B966E9"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2B710A" w:rsidRPr="002B710A">
        <w:rPr>
          <w:rFonts w:ascii="Times New Roman" w:hAnsi="Times New Roman" w:cs="Times New Roman"/>
          <w:sz w:val="24"/>
          <w:szCs w:val="24"/>
        </w:rPr>
        <w:t>In sum, we see no impediment to Staff’s recommend</w:t>
      </w:r>
      <w:r w:rsidR="0080703B">
        <w:rPr>
          <w:rFonts w:ascii="Times New Roman" w:hAnsi="Times New Roman" w:cs="Times New Roman"/>
          <w:sz w:val="24"/>
          <w:szCs w:val="24"/>
        </w:rPr>
        <w:t>ed</w:t>
      </w:r>
      <w:r w:rsidR="002B710A" w:rsidRPr="002B710A">
        <w:rPr>
          <w:rFonts w:ascii="Times New Roman" w:hAnsi="Times New Roman" w:cs="Times New Roman"/>
          <w:sz w:val="24"/>
          <w:szCs w:val="24"/>
        </w:rPr>
        <w:t xml:space="preserve"> deferral of REC revenues to properly apply the Commission’s policy that such revenues belong to ratepayers.  The Commission should adopt Staff’s recommendation and order the Company to defer REC revenues from January 1, 2010</w:t>
      </w:r>
      <w:r w:rsidR="00B276E4">
        <w:rPr>
          <w:rFonts w:ascii="Times New Roman" w:hAnsi="Times New Roman" w:cs="Times New Roman"/>
          <w:sz w:val="24"/>
          <w:szCs w:val="24"/>
        </w:rPr>
        <w:t>,</w:t>
      </w:r>
      <w:r w:rsidR="002B710A" w:rsidRPr="002B710A">
        <w:rPr>
          <w:rFonts w:ascii="Times New Roman" w:hAnsi="Times New Roman" w:cs="Times New Roman"/>
          <w:sz w:val="24"/>
          <w:szCs w:val="24"/>
        </w:rPr>
        <w:t xml:space="preserve"> forward, for future Commission consideration, and include </w:t>
      </w:r>
      <w:r w:rsidR="002B710A">
        <w:rPr>
          <w:rFonts w:ascii="Times New Roman" w:hAnsi="Times New Roman" w:cs="Times New Roman"/>
          <w:sz w:val="24"/>
          <w:szCs w:val="24"/>
        </w:rPr>
        <w:t xml:space="preserve">$4.8 </w:t>
      </w:r>
      <w:r w:rsidR="002B710A" w:rsidRPr="002B710A">
        <w:rPr>
          <w:rFonts w:ascii="Times New Roman" w:hAnsi="Times New Roman" w:cs="Times New Roman"/>
          <w:sz w:val="24"/>
          <w:szCs w:val="24"/>
        </w:rPr>
        <w:t>million of REC revenues in base rates</w:t>
      </w:r>
      <w:r w:rsidR="002B710A">
        <w:rPr>
          <w:rFonts w:ascii="Times New Roman" w:hAnsi="Times New Roman" w:cs="Times New Roman"/>
          <w:sz w:val="24"/>
          <w:szCs w:val="24"/>
        </w:rPr>
        <w:t xml:space="preserve">.  </w:t>
      </w:r>
    </w:p>
    <w:p w:rsidR="004F685E" w:rsidRDefault="003C14CB" w:rsidP="00B65199">
      <w:pPr>
        <w:pStyle w:val="FootnoteText"/>
        <w:spacing w:line="480" w:lineRule="exact"/>
        <w:jc w:val="center"/>
        <w:rPr>
          <w:b/>
          <w:sz w:val="24"/>
          <w:szCs w:val="24"/>
        </w:rPr>
      </w:pPr>
      <w:r>
        <w:rPr>
          <w:b/>
          <w:sz w:val="24"/>
          <w:szCs w:val="24"/>
        </w:rPr>
        <w:t>I</w:t>
      </w:r>
      <w:r w:rsidR="0080703B">
        <w:rPr>
          <w:b/>
          <w:sz w:val="24"/>
          <w:szCs w:val="24"/>
        </w:rPr>
        <w:t>I</w:t>
      </w:r>
      <w:r w:rsidR="00031881">
        <w:rPr>
          <w:b/>
          <w:sz w:val="24"/>
          <w:szCs w:val="24"/>
        </w:rPr>
        <w:t>I.</w:t>
      </w:r>
      <w:r w:rsidR="00031881">
        <w:rPr>
          <w:b/>
          <w:sz w:val="24"/>
          <w:szCs w:val="24"/>
        </w:rPr>
        <w:tab/>
      </w:r>
      <w:r w:rsidR="004F685E" w:rsidRPr="003628FD">
        <w:rPr>
          <w:b/>
          <w:sz w:val="24"/>
          <w:szCs w:val="24"/>
        </w:rPr>
        <w:t>EXPENSES</w:t>
      </w:r>
    </w:p>
    <w:p w:rsidR="004F685E" w:rsidRPr="00141B7B" w:rsidRDefault="00141B7B" w:rsidP="00B65199">
      <w:pPr>
        <w:spacing w:after="0" w:line="480" w:lineRule="exact"/>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4F685E" w:rsidRPr="00141B7B">
        <w:rPr>
          <w:rFonts w:ascii="Times New Roman" w:hAnsi="Times New Roman" w:cs="Times New Roman"/>
          <w:b/>
          <w:sz w:val="24"/>
          <w:szCs w:val="24"/>
        </w:rPr>
        <w:t xml:space="preserve">Wage and Salary Adjustments </w:t>
      </w:r>
    </w:p>
    <w:p w:rsidR="004F685E" w:rsidRPr="00141B7B" w:rsidRDefault="00141B7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4F685E" w:rsidRPr="00141B7B">
        <w:rPr>
          <w:rFonts w:ascii="Times New Roman" w:hAnsi="Times New Roman" w:cs="Times New Roman"/>
          <w:sz w:val="24"/>
          <w:szCs w:val="24"/>
        </w:rPr>
        <w:t>There are three contested wage and salary adjustments</w:t>
      </w:r>
      <w:r w:rsidR="0086607A">
        <w:rPr>
          <w:rFonts w:ascii="Times New Roman" w:hAnsi="Times New Roman" w:cs="Times New Roman"/>
          <w:sz w:val="24"/>
          <w:szCs w:val="24"/>
        </w:rPr>
        <w:t>.</w:t>
      </w:r>
      <w:r w:rsidR="004F685E" w:rsidRPr="00141B7B">
        <w:rPr>
          <w:rFonts w:ascii="Times New Roman" w:hAnsi="Times New Roman" w:cs="Times New Roman"/>
          <w:sz w:val="24"/>
          <w:szCs w:val="24"/>
        </w:rPr>
        <w:t xml:space="preserve">  Adjustment 4.2, General Wage Increase Annualization, is a restating adjustment, and Adjustment 4.3, General Wage Increase Pro Forma, as the name implies, is a pro forma adjustment.  Also at issue is ICNU/Public Counsel’s proposal to eliminate one-half of the payments under the Company’s Annual Incentive Program (AIP).</w:t>
      </w:r>
    </w:p>
    <w:p w:rsidR="004F685E" w:rsidRPr="00141B7B" w:rsidRDefault="00141B7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86607A">
        <w:rPr>
          <w:rFonts w:ascii="Times New Roman" w:hAnsi="Times New Roman" w:cs="Times New Roman"/>
          <w:sz w:val="24"/>
          <w:szCs w:val="24"/>
        </w:rPr>
        <w:t xml:space="preserve">As we explain below, </w:t>
      </w:r>
      <w:r w:rsidR="004F685E" w:rsidRPr="00141B7B">
        <w:rPr>
          <w:rFonts w:ascii="Times New Roman" w:hAnsi="Times New Roman" w:cs="Times New Roman"/>
          <w:sz w:val="24"/>
          <w:szCs w:val="24"/>
        </w:rPr>
        <w:t xml:space="preserve">Staff evaluated each of these adjustments, and found no basis for contesting the Company’s restating and pro forma adjustments.  However, Staff found ICNU/Public Counsel’s adjustment to be inconsistent with past Commission rulings on these types of adjustments.  </w:t>
      </w:r>
    </w:p>
    <w:p w:rsidR="004F685E" w:rsidRDefault="00141B7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4F685E" w:rsidRPr="00141B7B">
        <w:rPr>
          <w:rFonts w:ascii="Times New Roman" w:hAnsi="Times New Roman" w:cs="Times New Roman"/>
          <w:sz w:val="24"/>
          <w:szCs w:val="24"/>
        </w:rPr>
        <w:t xml:space="preserve">Staff is not thrilled </w:t>
      </w:r>
      <w:r w:rsidR="0086607A">
        <w:rPr>
          <w:rFonts w:ascii="Times New Roman" w:hAnsi="Times New Roman" w:cs="Times New Roman"/>
          <w:sz w:val="24"/>
          <w:szCs w:val="24"/>
        </w:rPr>
        <w:t xml:space="preserve">to </w:t>
      </w:r>
      <w:r w:rsidR="004F685E" w:rsidRPr="00141B7B">
        <w:rPr>
          <w:rFonts w:ascii="Times New Roman" w:hAnsi="Times New Roman" w:cs="Times New Roman"/>
          <w:sz w:val="24"/>
          <w:szCs w:val="24"/>
        </w:rPr>
        <w:t>support the Company’s wage and salary adjustments in the tough economic climate facing the ratepayers in Washington.  However, Staff could not find a defensible basis for rejecting PacifiCorp’s adjustments, or accepting the adjustment of ICNU/Public Counsel.</w:t>
      </w:r>
    </w:p>
    <w:p w:rsidR="00B65199" w:rsidRPr="00141B7B" w:rsidRDefault="00B65199" w:rsidP="00B65199">
      <w:pPr>
        <w:pStyle w:val="ListParagraph"/>
        <w:spacing w:after="0" w:line="240" w:lineRule="exact"/>
        <w:ind w:left="0"/>
        <w:rPr>
          <w:rFonts w:ascii="Times New Roman" w:hAnsi="Times New Roman" w:cs="Times New Roman"/>
          <w:sz w:val="24"/>
          <w:szCs w:val="24"/>
        </w:rPr>
      </w:pPr>
    </w:p>
    <w:p w:rsidR="004F685E" w:rsidRPr="00ED7BAA" w:rsidRDefault="004F685E" w:rsidP="00B65199">
      <w:pPr>
        <w:pStyle w:val="ListParagraph"/>
        <w:numPr>
          <w:ilvl w:val="0"/>
          <w:numId w:val="5"/>
        </w:numPr>
        <w:spacing w:after="0" w:line="240" w:lineRule="exact"/>
        <w:ind w:left="1440" w:hanging="720"/>
        <w:rPr>
          <w:rFonts w:ascii="Times New Roman" w:hAnsi="Times New Roman" w:cs="Times New Roman"/>
          <w:sz w:val="24"/>
          <w:szCs w:val="24"/>
        </w:rPr>
      </w:pPr>
      <w:r w:rsidRPr="00ED7BAA">
        <w:rPr>
          <w:rFonts w:ascii="Times New Roman" w:hAnsi="Times New Roman" w:cs="Times New Roman"/>
          <w:b/>
          <w:sz w:val="24"/>
          <w:szCs w:val="24"/>
        </w:rPr>
        <w:lastRenderedPageBreak/>
        <w:t>The Commission Should Accept the Company</w:t>
      </w:r>
      <w:r w:rsidR="00915B6F">
        <w:rPr>
          <w:rFonts w:ascii="Times New Roman" w:hAnsi="Times New Roman" w:cs="Times New Roman"/>
          <w:b/>
          <w:sz w:val="24"/>
          <w:szCs w:val="24"/>
        </w:rPr>
        <w:t>’s</w:t>
      </w:r>
      <w:r w:rsidRPr="00ED7BAA">
        <w:rPr>
          <w:rFonts w:ascii="Times New Roman" w:hAnsi="Times New Roman" w:cs="Times New Roman"/>
          <w:b/>
          <w:sz w:val="24"/>
          <w:szCs w:val="24"/>
        </w:rPr>
        <w:t xml:space="preserve"> General Wage Increase </w:t>
      </w:r>
      <w:r w:rsidR="00915B6F">
        <w:rPr>
          <w:rFonts w:ascii="Times New Roman" w:hAnsi="Times New Roman" w:cs="Times New Roman"/>
          <w:b/>
          <w:sz w:val="24"/>
          <w:szCs w:val="24"/>
        </w:rPr>
        <w:t xml:space="preserve">Annualization Adjustment </w:t>
      </w:r>
      <w:r w:rsidRPr="00ED7BAA">
        <w:rPr>
          <w:rFonts w:ascii="Times New Roman" w:hAnsi="Times New Roman" w:cs="Times New Roman"/>
          <w:b/>
          <w:sz w:val="24"/>
          <w:szCs w:val="24"/>
        </w:rPr>
        <w:t xml:space="preserve">Because it Properly Restates Test Year Wages.  ICNU/Public Counsel’s Objections Are Ill-Supported </w:t>
      </w:r>
    </w:p>
    <w:p w:rsidR="004F685E" w:rsidRPr="00141B7B" w:rsidRDefault="00141B7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4F685E" w:rsidRPr="00141B7B">
        <w:rPr>
          <w:rFonts w:ascii="Times New Roman" w:hAnsi="Times New Roman" w:cs="Times New Roman"/>
          <w:sz w:val="24"/>
          <w:szCs w:val="24"/>
        </w:rPr>
        <w:t>PacifiCorp included a restating adjustment to restate labor expenses to reflect the salary increases for all employees that occurred during the test year.</w:t>
      </w:r>
      <w:r w:rsidR="004F685E">
        <w:rPr>
          <w:rStyle w:val="FootnoteReference"/>
          <w:rFonts w:ascii="Times New Roman" w:hAnsi="Times New Roman" w:cs="Times New Roman"/>
          <w:sz w:val="24"/>
          <w:szCs w:val="24"/>
        </w:rPr>
        <w:footnoteReference w:id="56"/>
      </w:r>
      <w:r w:rsidR="004F685E" w:rsidRPr="00141B7B">
        <w:rPr>
          <w:rFonts w:ascii="Times New Roman" w:hAnsi="Times New Roman" w:cs="Times New Roman"/>
          <w:sz w:val="24"/>
          <w:szCs w:val="24"/>
        </w:rPr>
        <w:t xml:space="preserve">  The adjustment increases revenue requirements by $30,329.  Staff reviewed the adjustment and does not contest it.</w:t>
      </w:r>
    </w:p>
    <w:p w:rsidR="00141B7B" w:rsidRDefault="00141B7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4F685E" w:rsidRPr="00141B7B">
        <w:rPr>
          <w:rFonts w:ascii="Times New Roman" w:hAnsi="Times New Roman" w:cs="Times New Roman"/>
          <w:sz w:val="24"/>
          <w:szCs w:val="24"/>
        </w:rPr>
        <w:t>ICNU/Public Counsel oppose the adjustment, and want the Commission to eliminate the adjustment</w:t>
      </w:r>
      <w:r w:rsidR="0086607A">
        <w:rPr>
          <w:rFonts w:ascii="Times New Roman" w:hAnsi="Times New Roman" w:cs="Times New Roman"/>
          <w:sz w:val="24"/>
          <w:szCs w:val="24"/>
        </w:rPr>
        <w:t xml:space="preserve"> and </w:t>
      </w:r>
      <w:r w:rsidR="004F685E" w:rsidRPr="00141B7B">
        <w:rPr>
          <w:rFonts w:ascii="Times New Roman" w:hAnsi="Times New Roman" w:cs="Times New Roman"/>
          <w:sz w:val="24"/>
          <w:szCs w:val="24"/>
        </w:rPr>
        <w:t xml:space="preserve">reduce test year wages by </w:t>
      </w:r>
      <w:r w:rsidR="0080703B">
        <w:rPr>
          <w:rFonts w:ascii="Times New Roman" w:hAnsi="Times New Roman" w:cs="Times New Roman"/>
          <w:sz w:val="24"/>
          <w:szCs w:val="24"/>
        </w:rPr>
        <w:t xml:space="preserve">another </w:t>
      </w:r>
      <w:r w:rsidR="004F685E" w:rsidRPr="00141B7B">
        <w:rPr>
          <w:rFonts w:ascii="Times New Roman" w:hAnsi="Times New Roman" w:cs="Times New Roman"/>
          <w:sz w:val="24"/>
          <w:szCs w:val="24"/>
        </w:rPr>
        <w:t xml:space="preserve">$128,366, </w:t>
      </w:r>
      <w:r w:rsidR="0086607A">
        <w:rPr>
          <w:rFonts w:ascii="Times New Roman" w:hAnsi="Times New Roman" w:cs="Times New Roman"/>
          <w:sz w:val="24"/>
          <w:szCs w:val="24"/>
        </w:rPr>
        <w:t xml:space="preserve">by </w:t>
      </w:r>
      <w:r w:rsidR="004F685E" w:rsidRPr="00141B7B">
        <w:rPr>
          <w:rFonts w:ascii="Times New Roman" w:hAnsi="Times New Roman" w:cs="Times New Roman"/>
          <w:sz w:val="24"/>
          <w:szCs w:val="24"/>
        </w:rPr>
        <w:t>reducing the salar</w:t>
      </w:r>
      <w:r w:rsidR="0086607A">
        <w:rPr>
          <w:rFonts w:ascii="Times New Roman" w:hAnsi="Times New Roman" w:cs="Times New Roman"/>
          <w:sz w:val="24"/>
          <w:szCs w:val="24"/>
        </w:rPr>
        <w:t xml:space="preserve">y increases for </w:t>
      </w:r>
      <w:r w:rsidR="004F685E" w:rsidRPr="00141B7B">
        <w:rPr>
          <w:rFonts w:ascii="Times New Roman" w:hAnsi="Times New Roman" w:cs="Times New Roman"/>
          <w:sz w:val="24"/>
          <w:szCs w:val="24"/>
        </w:rPr>
        <w:t>the Officer/Exempt Labor Group to 2.07 per cent.</w:t>
      </w:r>
      <w:r w:rsidR="004F685E">
        <w:rPr>
          <w:rStyle w:val="FootnoteReference"/>
          <w:rFonts w:ascii="Times New Roman" w:hAnsi="Times New Roman" w:cs="Times New Roman"/>
          <w:sz w:val="24"/>
          <w:szCs w:val="24"/>
        </w:rPr>
        <w:footnoteReference w:id="57"/>
      </w:r>
      <w:r w:rsidR="004F685E" w:rsidRPr="00141B7B">
        <w:rPr>
          <w:rFonts w:ascii="Times New Roman" w:hAnsi="Times New Roman" w:cs="Times New Roman"/>
          <w:sz w:val="24"/>
          <w:szCs w:val="24"/>
        </w:rPr>
        <w:t xml:space="preserve">  In effect, Mr. Meyer gives the executives the same wage increase as the average increase paid to all other employee groups.</w:t>
      </w:r>
      <w:r w:rsidR="004F685E">
        <w:rPr>
          <w:rStyle w:val="FootnoteReference"/>
          <w:rFonts w:ascii="Times New Roman" w:hAnsi="Times New Roman" w:cs="Times New Roman"/>
          <w:sz w:val="24"/>
          <w:szCs w:val="24"/>
        </w:rPr>
        <w:footnoteReference w:id="58"/>
      </w:r>
      <w:r w:rsidR="004F685E" w:rsidRPr="00141B7B">
        <w:rPr>
          <w:rFonts w:ascii="Times New Roman" w:hAnsi="Times New Roman" w:cs="Times New Roman"/>
          <w:sz w:val="24"/>
          <w:szCs w:val="24"/>
        </w:rPr>
        <w:t xml:space="preserve"> </w:t>
      </w:r>
    </w:p>
    <w:p w:rsidR="004F685E" w:rsidRPr="00141B7B" w:rsidRDefault="004F685E" w:rsidP="00C16EA4">
      <w:pPr>
        <w:pStyle w:val="ListParagraph"/>
        <w:numPr>
          <w:ilvl w:val="0"/>
          <w:numId w:val="3"/>
        </w:numPr>
        <w:spacing w:after="0" w:line="480" w:lineRule="exact"/>
        <w:rPr>
          <w:rFonts w:ascii="Times New Roman" w:hAnsi="Times New Roman" w:cs="Times New Roman"/>
          <w:sz w:val="24"/>
          <w:szCs w:val="24"/>
        </w:rPr>
      </w:pPr>
      <w:r w:rsidRPr="00141B7B">
        <w:rPr>
          <w:rFonts w:ascii="Times New Roman" w:hAnsi="Times New Roman" w:cs="Times New Roman"/>
          <w:sz w:val="24"/>
          <w:szCs w:val="24"/>
        </w:rPr>
        <w:tab/>
        <w:t xml:space="preserve">ICNU/Public Counsel argue the Company has not adequately supported the increases, and they cite PSE, which had lower executive wage increases (less than one percent) and </w:t>
      </w:r>
      <w:r w:rsidR="0086607A">
        <w:rPr>
          <w:rFonts w:ascii="Times New Roman" w:hAnsi="Times New Roman" w:cs="Times New Roman"/>
          <w:sz w:val="24"/>
          <w:szCs w:val="24"/>
        </w:rPr>
        <w:t xml:space="preserve">another utility which </w:t>
      </w:r>
      <w:r w:rsidRPr="00141B7B">
        <w:rPr>
          <w:rFonts w:ascii="Times New Roman" w:hAnsi="Times New Roman" w:cs="Times New Roman"/>
          <w:sz w:val="24"/>
          <w:szCs w:val="24"/>
        </w:rPr>
        <w:t>elected not to seek recovery of $2.9 million in certain management salary increases in its last rate case.</w:t>
      </w:r>
      <w:r>
        <w:rPr>
          <w:rStyle w:val="FootnoteReference"/>
          <w:rFonts w:ascii="Times New Roman" w:hAnsi="Times New Roman" w:cs="Times New Roman"/>
          <w:sz w:val="24"/>
          <w:szCs w:val="24"/>
        </w:rPr>
        <w:footnoteReference w:id="59"/>
      </w:r>
    </w:p>
    <w:p w:rsidR="004F685E" w:rsidRPr="0086607A" w:rsidRDefault="00141B7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4F685E" w:rsidRPr="00141B7B">
        <w:rPr>
          <w:rFonts w:ascii="Times New Roman" w:hAnsi="Times New Roman" w:cs="Times New Roman"/>
          <w:sz w:val="24"/>
          <w:szCs w:val="24"/>
        </w:rPr>
        <w:t xml:space="preserve">Obviously, evidence of a utility voluntarily removing a cost is not helpful to the Commission in a case like this one, where the utility has not done so.  </w:t>
      </w:r>
      <w:r w:rsidR="0086607A">
        <w:rPr>
          <w:rFonts w:ascii="Times New Roman" w:hAnsi="Times New Roman" w:cs="Times New Roman"/>
          <w:sz w:val="24"/>
          <w:szCs w:val="24"/>
        </w:rPr>
        <w:t>T</w:t>
      </w:r>
      <w:r w:rsidR="004F685E" w:rsidRPr="0086607A">
        <w:rPr>
          <w:rFonts w:ascii="Times New Roman" w:hAnsi="Times New Roman" w:cs="Times New Roman"/>
          <w:sz w:val="24"/>
          <w:szCs w:val="24"/>
        </w:rPr>
        <w:t xml:space="preserve">he PSE example </w:t>
      </w:r>
      <w:r w:rsidR="0086607A">
        <w:rPr>
          <w:rFonts w:ascii="Times New Roman" w:hAnsi="Times New Roman" w:cs="Times New Roman"/>
          <w:sz w:val="24"/>
          <w:szCs w:val="24"/>
        </w:rPr>
        <w:t>is also unhelpful</w:t>
      </w:r>
      <w:r w:rsidR="004F685E" w:rsidRPr="0086607A">
        <w:rPr>
          <w:rFonts w:ascii="Times New Roman" w:hAnsi="Times New Roman" w:cs="Times New Roman"/>
          <w:sz w:val="24"/>
          <w:szCs w:val="24"/>
        </w:rPr>
        <w:t xml:space="preserve"> because </w:t>
      </w:r>
      <w:r w:rsidR="0086607A">
        <w:rPr>
          <w:rFonts w:ascii="Times New Roman" w:hAnsi="Times New Roman" w:cs="Times New Roman"/>
          <w:sz w:val="24"/>
          <w:szCs w:val="24"/>
        </w:rPr>
        <w:t xml:space="preserve">it </w:t>
      </w:r>
      <w:r w:rsidR="004F685E" w:rsidRPr="0086607A">
        <w:rPr>
          <w:rFonts w:ascii="Times New Roman" w:hAnsi="Times New Roman" w:cs="Times New Roman"/>
          <w:sz w:val="24"/>
          <w:szCs w:val="24"/>
        </w:rPr>
        <w:t>address</w:t>
      </w:r>
      <w:r w:rsidR="0086607A">
        <w:rPr>
          <w:rFonts w:ascii="Times New Roman" w:hAnsi="Times New Roman" w:cs="Times New Roman"/>
          <w:sz w:val="24"/>
          <w:szCs w:val="24"/>
        </w:rPr>
        <w:t>es</w:t>
      </w:r>
      <w:r w:rsidR="004F685E" w:rsidRPr="0086607A">
        <w:rPr>
          <w:rFonts w:ascii="Times New Roman" w:hAnsi="Times New Roman" w:cs="Times New Roman"/>
          <w:sz w:val="24"/>
          <w:szCs w:val="24"/>
        </w:rPr>
        <w:t xml:space="preserve"> different types of employees.  As PacifiCorp noted, the majority of the employees at issue in ICNU/Public Counsel’s adjustment </w:t>
      </w:r>
      <w:r w:rsidR="0086607A">
        <w:rPr>
          <w:rFonts w:ascii="Times New Roman" w:hAnsi="Times New Roman" w:cs="Times New Roman"/>
          <w:sz w:val="24"/>
          <w:szCs w:val="24"/>
        </w:rPr>
        <w:t xml:space="preserve">are </w:t>
      </w:r>
      <w:r w:rsidR="004F685E" w:rsidRPr="0086607A">
        <w:rPr>
          <w:rFonts w:ascii="Times New Roman" w:hAnsi="Times New Roman" w:cs="Times New Roman"/>
          <w:sz w:val="24"/>
          <w:szCs w:val="24"/>
        </w:rPr>
        <w:t>professional, technical, support and middle management employees, not executives.</w:t>
      </w:r>
      <w:r w:rsidR="004F685E" w:rsidRPr="0086607A">
        <w:rPr>
          <w:rStyle w:val="FootnoteReference"/>
          <w:rFonts w:ascii="Times New Roman" w:hAnsi="Times New Roman" w:cs="Times New Roman"/>
          <w:sz w:val="24"/>
          <w:szCs w:val="24"/>
        </w:rPr>
        <w:footnoteReference w:id="60"/>
      </w:r>
      <w:r w:rsidRPr="0086607A">
        <w:rPr>
          <w:rFonts w:ascii="Times New Roman" w:hAnsi="Times New Roman" w:cs="Times New Roman"/>
          <w:sz w:val="24"/>
          <w:szCs w:val="24"/>
        </w:rPr>
        <w:t xml:space="preserve">  </w:t>
      </w:r>
    </w:p>
    <w:p w:rsidR="004F685E" w:rsidRDefault="00141B7B" w:rsidP="00C16EA4">
      <w:pPr>
        <w:pStyle w:val="ListParagraph"/>
        <w:numPr>
          <w:ilvl w:val="0"/>
          <w:numId w:val="3"/>
        </w:numPr>
        <w:spacing w:after="0" w:line="480" w:lineRule="exact"/>
        <w:rPr>
          <w:rFonts w:ascii="Times New Roman" w:hAnsi="Times New Roman" w:cs="Times New Roman"/>
          <w:sz w:val="24"/>
          <w:szCs w:val="24"/>
        </w:rPr>
      </w:pPr>
      <w:r w:rsidRPr="0086607A">
        <w:rPr>
          <w:rFonts w:ascii="Times New Roman" w:hAnsi="Times New Roman" w:cs="Times New Roman"/>
          <w:sz w:val="24"/>
          <w:szCs w:val="24"/>
        </w:rPr>
        <w:tab/>
      </w:r>
      <w:r w:rsidR="004F685E" w:rsidRPr="0086607A">
        <w:rPr>
          <w:rFonts w:ascii="Times New Roman" w:hAnsi="Times New Roman" w:cs="Times New Roman"/>
          <w:sz w:val="24"/>
          <w:szCs w:val="24"/>
        </w:rPr>
        <w:t>Finally, even if ICNU/Public Counsel’s adjustment was based on defensible comparisons of the various employees of the various companies, their calculation of the</w:t>
      </w:r>
      <w:r w:rsidR="004F685E" w:rsidRPr="00141B7B">
        <w:rPr>
          <w:rFonts w:ascii="Times New Roman" w:hAnsi="Times New Roman" w:cs="Times New Roman"/>
          <w:sz w:val="24"/>
          <w:szCs w:val="24"/>
        </w:rPr>
        <w:t xml:space="preserve"> </w:t>
      </w:r>
      <w:r w:rsidR="004F685E" w:rsidRPr="0086607A">
        <w:rPr>
          <w:rFonts w:ascii="Times New Roman" w:hAnsi="Times New Roman" w:cs="Times New Roman"/>
          <w:sz w:val="24"/>
          <w:szCs w:val="24"/>
        </w:rPr>
        <w:t>adj</w:t>
      </w:r>
      <w:r w:rsidR="004F685E" w:rsidRPr="00141B7B">
        <w:rPr>
          <w:rFonts w:ascii="Times New Roman" w:hAnsi="Times New Roman" w:cs="Times New Roman"/>
          <w:sz w:val="24"/>
          <w:szCs w:val="24"/>
        </w:rPr>
        <w:t>ustment assumes the comparability of the wage and benefits of the various employee classifications.  As PacifiCorp showed, there is no comparability.</w:t>
      </w:r>
      <w:r w:rsidR="004F685E">
        <w:rPr>
          <w:rStyle w:val="FootnoteReference"/>
          <w:rFonts w:ascii="Times New Roman" w:hAnsi="Times New Roman" w:cs="Times New Roman"/>
          <w:sz w:val="24"/>
          <w:szCs w:val="24"/>
        </w:rPr>
        <w:footnoteReference w:id="61"/>
      </w:r>
      <w:r w:rsidR="004F685E" w:rsidRPr="00141B7B">
        <w:rPr>
          <w:rFonts w:ascii="Times New Roman" w:hAnsi="Times New Roman" w:cs="Times New Roman"/>
          <w:sz w:val="24"/>
          <w:szCs w:val="24"/>
        </w:rPr>
        <w:t xml:space="preserve"> </w:t>
      </w:r>
      <w:r w:rsidR="00FA626F">
        <w:rPr>
          <w:rFonts w:ascii="Times New Roman" w:hAnsi="Times New Roman" w:cs="Times New Roman"/>
          <w:sz w:val="24"/>
          <w:szCs w:val="24"/>
        </w:rPr>
        <w:t xml:space="preserve"> </w:t>
      </w:r>
      <w:r w:rsidR="004F685E" w:rsidRPr="00141B7B">
        <w:rPr>
          <w:rFonts w:ascii="Times New Roman" w:hAnsi="Times New Roman" w:cs="Times New Roman"/>
          <w:sz w:val="24"/>
          <w:szCs w:val="24"/>
        </w:rPr>
        <w:t>In other words, ICNU/Public Counsel is mixing “apples and oranges” because the compensation packages of its Officer/Exempt employees and union employees are not consistent with each other.</w:t>
      </w:r>
    </w:p>
    <w:p w:rsidR="004F685E" w:rsidRPr="00B67875" w:rsidRDefault="004F685E" w:rsidP="00B65199">
      <w:pPr>
        <w:pStyle w:val="ListParagraph"/>
        <w:numPr>
          <w:ilvl w:val="0"/>
          <w:numId w:val="5"/>
        </w:numPr>
        <w:spacing w:after="0" w:line="240" w:lineRule="exact"/>
        <w:ind w:left="1440" w:hanging="720"/>
        <w:rPr>
          <w:rFonts w:ascii="Times New Roman" w:hAnsi="Times New Roman" w:cs="Times New Roman"/>
          <w:b/>
          <w:sz w:val="24"/>
          <w:szCs w:val="24"/>
        </w:rPr>
      </w:pPr>
      <w:r w:rsidRPr="00B67875">
        <w:rPr>
          <w:rFonts w:ascii="Times New Roman" w:hAnsi="Times New Roman" w:cs="Times New Roman"/>
          <w:b/>
          <w:sz w:val="24"/>
          <w:szCs w:val="24"/>
        </w:rPr>
        <w:lastRenderedPageBreak/>
        <w:t>The Company Correctly Calculated its Pro forma General Wage Increase Adjustment; ICNU/Public Counsel’s “Matching” Argument Falls Short</w:t>
      </w:r>
    </w:p>
    <w:p w:rsidR="004F685E" w:rsidRPr="00C16B1D" w:rsidRDefault="00C16B1D"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4F685E" w:rsidRPr="00C16B1D">
        <w:rPr>
          <w:rFonts w:ascii="Times New Roman" w:hAnsi="Times New Roman" w:cs="Times New Roman"/>
          <w:sz w:val="24"/>
          <w:szCs w:val="24"/>
        </w:rPr>
        <w:t xml:space="preserve">PacifiCorp proposes a $392,082 adjustment that gives pro forma treatment to known and measureable </w:t>
      </w:r>
      <w:r w:rsidR="0086607A">
        <w:rPr>
          <w:rFonts w:ascii="Times New Roman" w:hAnsi="Times New Roman" w:cs="Times New Roman"/>
          <w:sz w:val="24"/>
          <w:szCs w:val="24"/>
        </w:rPr>
        <w:t xml:space="preserve">union contract-based </w:t>
      </w:r>
      <w:r w:rsidR="004F685E" w:rsidRPr="00C16B1D">
        <w:rPr>
          <w:rFonts w:ascii="Times New Roman" w:hAnsi="Times New Roman" w:cs="Times New Roman"/>
          <w:sz w:val="24"/>
          <w:szCs w:val="24"/>
        </w:rPr>
        <w:t>wage increases effective as of December 2010.</w:t>
      </w:r>
      <w:r w:rsidR="004F685E" w:rsidRPr="00CD340F">
        <w:rPr>
          <w:vertAlign w:val="superscript"/>
        </w:rPr>
        <w:footnoteReference w:id="62"/>
      </w:r>
      <w:r w:rsidR="004F685E" w:rsidRPr="00C16B1D">
        <w:rPr>
          <w:rFonts w:ascii="Times New Roman" w:hAnsi="Times New Roman" w:cs="Times New Roman"/>
          <w:sz w:val="24"/>
          <w:szCs w:val="24"/>
        </w:rPr>
        <w:t xml:space="preserve">  There is no dispute that these wage increases are known and measureable; they are real, contractual, and have taken effect.</w:t>
      </w:r>
      <w:r w:rsidR="004F685E" w:rsidRPr="00CD340F">
        <w:rPr>
          <w:vertAlign w:val="superscript"/>
        </w:rPr>
        <w:footnoteReference w:id="63"/>
      </w:r>
      <w:r w:rsidR="004F685E" w:rsidRPr="00C16B1D">
        <w:rPr>
          <w:rFonts w:ascii="Times New Roman" w:hAnsi="Times New Roman" w:cs="Times New Roman"/>
          <w:sz w:val="24"/>
          <w:szCs w:val="24"/>
        </w:rPr>
        <w:t xml:space="preserve">  Staff does not contest the Company adjustment.</w:t>
      </w:r>
    </w:p>
    <w:p w:rsidR="004F685E" w:rsidRPr="00C16B1D" w:rsidRDefault="00C16B1D"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4F685E" w:rsidRPr="00C16B1D">
        <w:rPr>
          <w:rFonts w:ascii="Times New Roman" w:hAnsi="Times New Roman" w:cs="Times New Roman"/>
          <w:sz w:val="24"/>
          <w:szCs w:val="24"/>
        </w:rPr>
        <w:t>ICNU/Public Counsel want</w:t>
      </w:r>
      <w:r w:rsidR="00FA626F">
        <w:rPr>
          <w:rFonts w:ascii="Times New Roman" w:hAnsi="Times New Roman" w:cs="Times New Roman"/>
          <w:sz w:val="24"/>
          <w:szCs w:val="24"/>
        </w:rPr>
        <w:t>s</w:t>
      </w:r>
      <w:r w:rsidR="004F685E" w:rsidRPr="00C16B1D">
        <w:rPr>
          <w:rFonts w:ascii="Times New Roman" w:hAnsi="Times New Roman" w:cs="Times New Roman"/>
          <w:sz w:val="24"/>
          <w:szCs w:val="24"/>
        </w:rPr>
        <w:t xml:space="preserve"> the Commission to disallow this adjustment.  Relying on </w:t>
      </w:r>
      <w:r w:rsidR="0086607A">
        <w:rPr>
          <w:rFonts w:ascii="Times New Roman" w:hAnsi="Times New Roman" w:cs="Times New Roman"/>
          <w:sz w:val="24"/>
          <w:szCs w:val="24"/>
        </w:rPr>
        <w:t>a Commission order in Dockets UE-090704 and UG-090705</w:t>
      </w:r>
      <w:r w:rsidR="00A3673A">
        <w:rPr>
          <w:rFonts w:ascii="Times New Roman" w:hAnsi="Times New Roman" w:cs="Times New Roman"/>
          <w:sz w:val="24"/>
          <w:szCs w:val="24"/>
        </w:rPr>
        <w:t>,</w:t>
      </w:r>
      <w:r w:rsidR="00A3673A" w:rsidRPr="00A3673A">
        <w:rPr>
          <w:rFonts w:ascii="Times New Roman" w:hAnsi="Times New Roman" w:cs="Times New Roman"/>
          <w:sz w:val="24"/>
          <w:szCs w:val="24"/>
          <w:vertAlign w:val="superscript"/>
        </w:rPr>
        <w:footnoteReference w:id="64"/>
      </w:r>
      <w:r w:rsidR="0086607A">
        <w:rPr>
          <w:rFonts w:ascii="Times New Roman" w:hAnsi="Times New Roman" w:cs="Times New Roman"/>
          <w:sz w:val="24"/>
          <w:szCs w:val="24"/>
        </w:rPr>
        <w:t xml:space="preserve"> discussin</w:t>
      </w:r>
      <w:r w:rsidR="00A3673A">
        <w:rPr>
          <w:rFonts w:ascii="Times New Roman" w:hAnsi="Times New Roman" w:cs="Times New Roman"/>
          <w:sz w:val="24"/>
          <w:szCs w:val="24"/>
        </w:rPr>
        <w:t>g</w:t>
      </w:r>
      <w:r w:rsidR="0086607A">
        <w:rPr>
          <w:rFonts w:ascii="Times New Roman" w:hAnsi="Times New Roman" w:cs="Times New Roman"/>
          <w:sz w:val="24"/>
          <w:szCs w:val="24"/>
        </w:rPr>
        <w:t xml:space="preserve"> </w:t>
      </w:r>
      <w:r w:rsidR="004F685E" w:rsidRPr="00C16B1D">
        <w:rPr>
          <w:rFonts w:ascii="Times New Roman" w:hAnsi="Times New Roman" w:cs="Times New Roman"/>
          <w:sz w:val="24"/>
          <w:szCs w:val="24"/>
        </w:rPr>
        <w:t xml:space="preserve">the “matching principle”, they claim that the Commission should </w:t>
      </w:r>
      <w:r w:rsidR="00A3673A">
        <w:rPr>
          <w:rFonts w:ascii="Times New Roman" w:hAnsi="Times New Roman" w:cs="Times New Roman"/>
          <w:sz w:val="24"/>
          <w:szCs w:val="24"/>
        </w:rPr>
        <w:t xml:space="preserve">offset these wage increases with </w:t>
      </w:r>
      <w:r w:rsidR="004F685E" w:rsidRPr="00C16B1D">
        <w:rPr>
          <w:rFonts w:ascii="Times New Roman" w:hAnsi="Times New Roman" w:cs="Times New Roman"/>
          <w:sz w:val="24"/>
          <w:szCs w:val="24"/>
        </w:rPr>
        <w:t>additional SO</w:t>
      </w:r>
      <w:r w:rsidR="004F685E" w:rsidRPr="00C16B1D">
        <w:rPr>
          <w:rFonts w:ascii="Times New Roman" w:hAnsi="Times New Roman" w:cs="Times New Roman"/>
          <w:sz w:val="24"/>
          <w:szCs w:val="24"/>
          <w:vertAlign w:val="subscript"/>
        </w:rPr>
        <w:t xml:space="preserve">2 </w:t>
      </w:r>
      <w:r w:rsidR="004F685E" w:rsidRPr="00C16B1D">
        <w:rPr>
          <w:rFonts w:ascii="Times New Roman" w:hAnsi="Times New Roman" w:cs="Times New Roman"/>
          <w:sz w:val="24"/>
          <w:szCs w:val="24"/>
        </w:rPr>
        <w:t>revenues or the benefits of certain expiring amortizations of regulatory assets.</w:t>
      </w:r>
      <w:r w:rsidR="004F685E" w:rsidRPr="00CD340F">
        <w:rPr>
          <w:vertAlign w:val="superscript"/>
        </w:rPr>
        <w:footnoteReference w:id="65"/>
      </w:r>
      <w:r w:rsidR="004F685E" w:rsidRPr="00C16B1D">
        <w:rPr>
          <w:rFonts w:ascii="Times New Roman" w:hAnsi="Times New Roman" w:cs="Times New Roman"/>
          <w:sz w:val="24"/>
          <w:szCs w:val="24"/>
        </w:rPr>
        <w:t xml:space="preserve">  </w:t>
      </w:r>
    </w:p>
    <w:p w:rsidR="004F685E" w:rsidRPr="00C16B1D" w:rsidRDefault="00C16B1D"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4F685E" w:rsidRPr="00C16B1D">
        <w:rPr>
          <w:rFonts w:ascii="Times New Roman" w:hAnsi="Times New Roman" w:cs="Times New Roman"/>
          <w:sz w:val="24"/>
          <w:szCs w:val="24"/>
        </w:rPr>
        <w:t>Staff believes that ICNU/Public Counsel have over-read the language in th</w:t>
      </w:r>
      <w:r w:rsidR="00A3673A">
        <w:rPr>
          <w:rFonts w:ascii="Times New Roman" w:hAnsi="Times New Roman" w:cs="Times New Roman"/>
          <w:sz w:val="24"/>
          <w:szCs w:val="24"/>
        </w:rPr>
        <w:t xml:space="preserve">at prior order, </w:t>
      </w:r>
      <w:r w:rsidR="004F685E" w:rsidRPr="00C16B1D">
        <w:rPr>
          <w:rFonts w:ascii="Times New Roman" w:hAnsi="Times New Roman" w:cs="Times New Roman"/>
          <w:sz w:val="24"/>
          <w:szCs w:val="24"/>
        </w:rPr>
        <w:t>, where the Commission noted two categories of offsetting factors:  First, whether the expense increase “directly produces any offsetting benefits”, and second, whether “contemporaneous changes in revenues or expenses that are not directly related to the proposed pro forma adjustment, but which offset its financial impacts.”</w:t>
      </w:r>
      <w:r w:rsidR="00A3673A">
        <w:rPr>
          <w:rStyle w:val="FootnoteReference"/>
          <w:rFonts w:ascii="Times New Roman" w:hAnsi="Times New Roman" w:cs="Times New Roman"/>
          <w:sz w:val="24"/>
          <w:szCs w:val="24"/>
        </w:rPr>
        <w:footnoteReference w:id="66"/>
      </w:r>
      <w:r w:rsidR="004F685E" w:rsidRPr="00C16B1D">
        <w:rPr>
          <w:rFonts w:ascii="Times New Roman" w:hAnsi="Times New Roman" w:cs="Times New Roman"/>
          <w:sz w:val="24"/>
          <w:szCs w:val="24"/>
        </w:rPr>
        <w:t xml:space="preserve">  </w:t>
      </w:r>
    </w:p>
    <w:p w:rsidR="004F685E" w:rsidRPr="00C16B1D" w:rsidRDefault="00C16B1D"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A3673A">
        <w:rPr>
          <w:rFonts w:ascii="Times New Roman" w:hAnsi="Times New Roman" w:cs="Times New Roman"/>
          <w:sz w:val="24"/>
          <w:szCs w:val="24"/>
        </w:rPr>
        <w:t>T</w:t>
      </w:r>
      <w:r w:rsidR="004F685E" w:rsidRPr="00C16B1D">
        <w:rPr>
          <w:rFonts w:ascii="Times New Roman" w:hAnsi="Times New Roman" w:cs="Times New Roman"/>
          <w:sz w:val="24"/>
          <w:szCs w:val="24"/>
        </w:rPr>
        <w:t xml:space="preserve">he </w:t>
      </w:r>
      <w:r w:rsidR="00A3673A">
        <w:rPr>
          <w:rFonts w:ascii="Times New Roman" w:hAnsi="Times New Roman" w:cs="Times New Roman"/>
          <w:sz w:val="24"/>
          <w:szCs w:val="24"/>
        </w:rPr>
        <w:t>first category describes traditional analysis used by the Commission to evaluate adjustments.  For the second</w:t>
      </w:r>
      <w:r w:rsidR="004F685E" w:rsidRPr="00C16B1D">
        <w:rPr>
          <w:rFonts w:ascii="Times New Roman" w:hAnsi="Times New Roman" w:cs="Times New Roman"/>
          <w:sz w:val="24"/>
          <w:szCs w:val="24"/>
        </w:rPr>
        <w:t xml:space="preserve"> category, </w:t>
      </w:r>
      <w:r w:rsidR="00A3673A">
        <w:rPr>
          <w:rFonts w:ascii="Times New Roman" w:hAnsi="Times New Roman" w:cs="Times New Roman"/>
          <w:sz w:val="24"/>
          <w:szCs w:val="24"/>
        </w:rPr>
        <w:t xml:space="preserve">however, </w:t>
      </w:r>
      <w:r w:rsidR="004F685E" w:rsidRPr="00C16B1D">
        <w:rPr>
          <w:rFonts w:ascii="Times New Roman" w:hAnsi="Times New Roman" w:cs="Times New Roman"/>
          <w:sz w:val="24"/>
          <w:szCs w:val="24"/>
        </w:rPr>
        <w:t xml:space="preserve">fairness would require a party to </w:t>
      </w:r>
      <w:r w:rsidR="00A3673A">
        <w:rPr>
          <w:rFonts w:ascii="Times New Roman" w:hAnsi="Times New Roman" w:cs="Times New Roman"/>
          <w:sz w:val="24"/>
          <w:szCs w:val="24"/>
        </w:rPr>
        <w:t>net</w:t>
      </w:r>
      <w:r w:rsidR="004F685E" w:rsidRPr="00C16B1D">
        <w:rPr>
          <w:rFonts w:ascii="Times New Roman" w:hAnsi="Times New Roman" w:cs="Times New Roman"/>
          <w:sz w:val="24"/>
          <w:szCs w:val="24"/>
        </w:rPr>
        <w:t xml:space="preserve"> all changes in revenues and expenses utility-wide to determine whether a particular adjustment is offset.  </w:t>
      </w:r>
    </w:p>
    <w:p w:rsidR="004F685E" w:rsidRPr="00A3673A" w:rsidRDefault="00C16B1D"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4F685E" w:rsidRPr="00C16B1D">
        <w:rPr>
          <w:rFonts w:ascii="Times New Roman" w:hAnsi="Times New Roman" w:cs="Times New Roman"/>
          <w:sz w:val="24"/>
          <w:szCs w:val="24"/>
        </w:rPr>
        <w:t>For example, as we noted above, ICNU/Public Counsel want the Commission to offset the pro forma wage increase by recognizing that an amortization of a regulatory asset may be soon expiring.  However, assuming such an offset may exist, there may also be many cost increases that “offset the offset”.  In other words, while this second category of offsetting factors has support in theory, it is very complex to apply in practice.  Suffice it to say, ICNU/Public Counsel fail to address that complexity in this case.</w:t>
      </w:r>
      <w:r w:rsidR="00A3673A">
        <w:rPr>
          <w:rFonts w:ascii="Times New Roman" w:hAnsi="Times New Roman" w:cs="Times New Roman"/>
          <w:sz w:val="24"/>
          <w:szCs w:val="24"/>
        </w:rPr>
        <w:t xml:space="preserve">  Alternatively,</w:t>
      </w:r>
      <w:r w:rsidR="004F685E" w:rsidRPr="00A3673A">
        <w:rPr>
          <w:rFonts w:ascii="Times New Roman" w:hAnsi="Times New Roman" w:cs="Times New Roman"/>
          <w:sz w:val="24"/>
          <w:szCs w:val="24"/>
        </w:rPr>
        <w:t xml:space="preserve"> </w:t>
      </w:r>
      <w:r w:rsidR="0080703B">
        <w:rPr>
          <w:rFonts w:ascii="Times New Roman" w:hAnsi="Times New Roman" w:cs="Times New Roman"/>
          <w:sz w:val="24"/>
          <w:szCs w:val="24"/>
        </w:rPr>
        <w:t>i</w:t>
      </w:r>
      <w:r w:rsidR="00653C37" w:rsidRPr="00A3673A">
        <w:rPr>
          <w:rFonts w:ascii="Times New Roman" w:hAnsi="Times New Roman" w:cs="Times New Roman"/>
          <w:sz w:val="24"/>
          <w:szCs w:val="24"/>
        </w:rPr>
        <w:t>f</w:t>
      </w:r>
      <w:r w:rsidR="004F685E" w:rsidRPr="00A3673A">
        <w:rPr>
          <w:rFonts w:ascii="Times New Roman" w:hAnsi="Times New Roman" w:cs="Times New Roman"/>
          <w:sz w:val="24"/>
          <w:szCs w:val="24"/>
        </w:rPr>
        <w:t xml:space="preserve"> ICNU/Public Counsel </w:t>
      </w:r>
      <w:r w:rsidR="004F685E" w:rsidRPr="00A3673A">
        <w:rPr>
          <w:rFonts w:ascii="Times New Roman" w:hAnsi="Times New Roman" w:cs="Times New Roman"/>
          <w:sz w:val="24"/>
          <w:szCs w:val="24"/>
        </w:rPr>
        <w:lastRenderedPageBreak/>
        <w:t>believes the Commission should make an additional adjustment for SO</w:t>
      </w:r>
      <w:r w:rsidR="004F685E" w:rsidRPr="00A3673A">
        <w:rPr>
          <w:rFonts w:ascii="Times New Roman" w:hAnsi="Times New Roman" w:cs="Times New Roman"/>
          <w:sz w:val="24"/>
          <w:szCs w:val="24"/>
          <w:vertAlign w:val="subscript"/>
        </w:rPr>
        <w:t xml:space="preserve">2 </w:t>
      </w:r>
      <w:r w:rsidR="004F685E" w:rsidRPr="00A3673A">
        <w:rPr>
          <w:rFonts w:ascii="Times New Roman" w:hAnsi="Times New Roman" w:cs="Times New Roman"/>
          <w:sz w:val="24"/>
          <w:szCs w:val="24"/>
        </w:rPr>
        <w:t>revenues or should adjust an amortization of a specific regulatory asset, they should have proposed those adjustments and supported them.</w:t>
      </w:r>
    </w:p>
    <w:p w:rsidR="004F685E" w:rsidRPr="00A3673A" w:rsidRDefault="00C16B1D" w:rsidP="00C16EA4">
      <w:pPr>
        <w:pStyle w:val="ListParagraph"/>
        <w:numPr>
          <w:ilvl w:val="0"/>
          <w:numId w:val="3"/>
        </w:numPr>
        <w:spacing w:after="0" w:line="480" w:lineRule="exact"/>
        <w:rPr>
          <w:rFonts w:ascii="Times New Roman" w:hAnsi="Times New Roman" w:cs="Times New Roman"/>
          <w:sz w:val="24"/>
          <w:szCs w:val="24"/>
        </w:rPr>
      </w:pPr>
      <w:r w:rsidRPr="00A3673A">
        <w:rPr>
          <w:rFonts w:ascii="Times New Roman" w:hAnsi="Times New Roman" w:cs="Times New Roman"/>
          <w:sz w:val="24"/>
          <w:szCs w:val="24"/>
        </w:rPr>
        <w:tab/>
      </w:r>
      <w:r w:rsidR="004F685E" w:rsidRPr="00A3673A">
        <w:rPr>
          <w:rFonts w:ascii="Times New Roman" w:hAnsi="Times New Roman" w:cs="Times New Roman"/>
          <w:sz w:val="24"/>
          <w:szCs w:val="24"/>
        </w:rPr>
        <w:t xml:space="preserve">ICNU/Public Counsel </w:t>
      </w:r>
      <w:r w:rsidR="00FA626F" w:rsidRPr="00A3673A">
        <w:rPr>
          <w:rFonts w:ascii="Times New Roman" w:hAnsi="Times New Roman" w:cs="Times New Roman"/>
          <w:sz w:val="24"/>
          <w:szCs w:val="24"/>
        </w:rPr>
        <w:t>goes</w:t>
      </w:r>
      <w:r w:rsidR="004F685E" w:rsidRPr="00A3673A">
        <w:rPr>
          <w:rFonts w:ascii="Times New Roman" w:hAnsi="Times New Roman" w:cs="Times New Roman"/>
          <w:sz w:val="24"/>
          <w:szCs w:val="24"/>
        </w:rPr>
        <w:t xml:space="preserve"> on to allege that the Company’s adjustment is inaccurate because it does not reflect work force reductions.</w:t>
      </w:r>
      <w:r w:rsidR="00576F98" w:rsidRPr="00104B01">
        <w:rPr>
          <w:rFonts w:ascii="Times New Roman" w:hAnsi="Times New Roman" w:cs="Times New Roman"/>
          <w:sz w:val="24"/>
          <w:szCs w:val="24"/>
          <w:vertAlign w:val="superscript"/>
        </w:rPr>
        <w:footnoteReference w:id="67"/>
      </w:r>
      <w:r w:rsidR="004F685E" w:rsidRPr="00A3673A">
        <w:rPr>
          <w:rFonts w:ascii="Times New Roman" w:hAnsi="Times New Roman" w:cs="Times New Roman"/>
          <w:sz w:val="24"/>
          <w:szCs w:val="24"/>
        </w:rPr>
        <w:t xml:space="preserve">  However, th</w:t>
      </w:r>
      <w:r w:rsidR="00A3673A">
        <w:rPr>
          <w:rFonts w:ascii="Times New Roman" w:hAnsi="Times New Roman" w:cs="Times New Roman"/>
          <w:sz w:val="24"/>
          <w:szCs w:val="24"/>
        </w:rPr>
        <w:t xml:space="preserve">e reductions </w:t>
      </w:r>
      <w:r w:rsidR="004F685E" w:rsidRPr="00A3673A">
        <w:rPr>
          <w:rFonts w:ascii="Times New Roman" w:hAnsi="Times New Roman" w:cs="Times New Roman"/>
          <w:sz w:val="24"/>
          <w:szCs w:val="24"/>
        </w:rPr>
        <w:t>appear</w:t>
      </w:r>
      <w:r w:rsidR="00A3673A">
        <w:rPr>
          <w:rFonts w:ascii="Times New Roman" w:hAnsi="Times New Roman" w:cs="Times New Roman"/>
          <w:sz w:val="24"/>
          <w:szCs w:val="24"/>
        </w:rPr>
        <w:t xml:space="preserve"> to be</w:t>
      </w:r>
      <w:r w:rsidR="004F685E" w:rsidRPr="00A3673A">
        <w:rPr>
          <w:rFonts w:ascii="Times New Roman" w:hAnsi="Times New Roman" w:cs="Times New Roman"/>
          <w:sz w:val="24"/>
          <w:szCs w:val="24"/>
        </w:rPr>
        <w:t xml:space="preserve"> due to a hiring lag, not a permanent work force reduction.</w:t>
      </w:r>
      <w:r w:rsidR="00576F98" w:rsidRPr="00104B01">
        <w:rPr>
          <w:rFonts w:ascii="Times New Roman" w:hAnsi="Times New Roman" w:cs="Times New Roman"/>
          <w:sz w:val="24"/>
          <w:szCs w:val="24"/>
          <w:vertAlign w:val="superscript"/>
        </w:rPr>
        <w:footnoteReference w:id="68"/>
      </w:r>
      <w:r w:rsidR="004F685E" w:rsidRPr="00A3673A">
        <w:rPr>
          <w:rFonts w:ascii="Times New Roman" w:hAnsi="Times New Roman" w:cs="Times New Roman"/>
          <w:sz w:val="24"/>
          <w:szCs w:val="24"/>
        </w:rPr>
        <w:t xml:space="preserve">  Consequently, because these positions are available and expected to be filled, there is no reason to adjust for a workforce reduction.</w:t>
      </w:r>
    </w:p>
    <w:p w:rsidR="004F685E" w:rsidRPr="00A3673A" w:rsidRDefault="00C16B1D" w:rsidP="00C16EA4">
      <w:pPr>
        <w:pStyle w:val="ListParagraph"/>
        <w:numPr>
          <w:ilvl w:val="0"/>
          <w:numId w:val="3"/>
        </w:numPr>
        <w:spacing w:after="0" w:line="480" w:lineRule="exact"/>
        <w:rPr>
          <w:rFonts w:ascii="Times New Roman" w:hAnsi="Times New Roman" w:cs="Times New Roman"/>
          <w:sz w:val="24"/>
          <w:szCs w:val="24"/>
        </w:rPr>
      </w:pPr>
      <w:r w:rsidRPr="00A3673A">
        <w:rPr>
          <w:rFonts w:ascii="Times New Roman" w:hAnsi="Times New Roman" w:cs="Times New Roman"/>
          <w:sz w:val="24"/>
          <w:szCs w:val="24"/>
        </w:rPr>
        <w:tab/>
      </w:r>
      <w:r w:rsidR="004F685E" w:rsidRPr="00A3673A">
        <w:rPr>
          <w:rFonts w:ascii="Times New Roman" w:hAnsi="Times New Roman" w:cs="Times New Roman"/>
          <w:sz w:val="24"/>
          <w:szCs w:val="24"/>
        </w:rPr>
        <w:t>In sum, the Commission should reject IC</w:t>
      </w:r>
      <w:r w:rsidR="004B3E82" w:rsidRPr="00653C37">
        <w:rPr>
          <w:rFonts w:ascii="Times New Roman" w:hAnsi="Times New Roman" w:cs="Times New Roman"/>
          <w:sz w:val="24"/>
          <w:szCs w:val="24"/>
        </w:rPr>
        <w:t>NU</w:t>
      </w:r>
      <w:r w:rsidR="004F685E" w:rsidRPr="00A3673A">
        <w:rPr>
          <w:rFonts w:ascii="Times New Roman" w:hAnsi="Times New Roman" w:cs="Times New Roman"/>
          <w:sz w:val="24"/>
          <w:szCs w:val="24"/>
        </w:rPr>
        <w:t>/Public Counsel’s adjustments to pro forma wages.</w:t>
      </w:r>
      <w:r w:rsidR="00B65199" w:rsidRPr="00A3673A">
        <w:rPr>
          <w:rFonts w:ascii="Times New Roman" w:hAnsi="Times New Roman" w:cs="Times New Roman"/>
          <w:sz w:val="24"/>
          <w:szCs w:val="24"/>
        </w:rPr>
        <w:t xml:space="preserve">  </w:t>
      </w:r>
    </w:p>
    <w:p w:rsidR="00B65199" w:rsidRPr="00A3673A" w:rsidRDefault="00B65199" w:rsidP="00B65199">
      <w:pPr>
        <w:pStyle w:val="ListParagraph"/>
        <w:spacing w:after="0" w:line="240" w:lineRule="exact"/>
        <w:ind w:left="0"/>
        <w:rPr>
          <w:rFonts w:ascii="Times New Roman" w:hAnsi="Times New Roman" w:cs="Times New Roman"/>
          <w:sz w:val="24"/>
          <w:szCs w:val="24"/>
        </w:rPr>
      </w:pPr>
    </w:p>
    <w:p w:rsidR="004F685E" w:rsidRDefault="004F685E" w:rsidP="00B67875">
      <w:pPr>
        <w:spacing w:after="0" w:line="240" w:lineRule="exact"/>
        <w:ind w:left="1440" w:hanging="720"/>
        <w:rPr>
          <w:rFonts w:ascii="Times New Roman" w:hAnsi="Times New Roman" w:cs="Times New Roman"/>
          <w:sz w:val="24"/>
          <w:szCs w:val="24"/>
        </w:rPr>
      </w:pPr>
      <w:r w:rsidRPr="00A3673A">
        <w:rPr>
          <w:rFonts w:ascii="Times New Roman" w:hAnsi="Times New Roman" w:cs="Times New Roman"/>
          <w:b/>
          <w:sz w:val="24"/>
          <w:szCs w:val="24"/>
        </w:rPr>
        <w:t>3.</w:t>
      </w:r>
      <w:r w:rsidRPr="00A3673A">
        <w:rPr>
          <w:rFonts w:ascii="Times New Roman" w:hAnsi="Times New Roman" w:cs="Times New Roman"/>
          <w:b/>
          <w:sz w:val="24"/>
          <w:szCs w:val="24"/>
        </w:rPr>
        <w:tab/>
        <w:t>ICNU/Public Counsel’s Adjustments to Annual Incentive Plan (AIP) Expenses are Micr</w:t>
      </w:r>
      <w:r>
        <w:rPr>
          <w:rFonts w:ascii="Times New Roman" w:hAnsi="Times New Roman" w:cs="Times New Roman"/>
          <w:b/>
          <w:sz w:val="24"/>
          <w:szCs w:val="24"/>
        </w:rPr>
        <w:t>o-Managing Corporate Wage Policies</w:t>
      </w:r>
      <w:r w:rsidRPr="004E09DA">
        <w:rPr>
          <w:rFonts w:ascii="Times New Roman" w:hAnsi="Times New Roman" w:cs="Times New Roman"/>
          <w:b/>
          <w:sz w:val="24"/>
          <w:szCs w:val="24"/>
        </w:rPr>
        <w:t xml:space="preserve"> </w:t>
      </w:r>
    </w:p>
    <w:p w:rsidR="004F685E" w:rsidRPr="00C16B1D" w:rsidRDefault="00C16B1D"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4F685E" w:rsidRPr="00C16B1D">
        <w:rPr>
          <w:rFonts w:ascii="Times New Roman" w:hAnsi="Times New Roman" w:cs="Times New Roman"/>
          <w:sz w:val="24"/>
          <w:szCs w:val="24"/>
        </w:rPr>
        <w:t xml:space="preserve">PacifiCorp pays its employees at what </w:t>
      </w:r>
      <w:r w:rsidR="00A3673A">
        <w:rPr>
          <w:rFonts w:ascii="Times New Roman" w:hAnsi="Times New Roman" w:cs="Times New Roman"/>
          <w:sz w:val="24"/>
          <w:szCs w:val="24"/>
        </w:rPr>
        <w:t xml:space="preserve">the Company </w:t>
      </w:r>
      <w:r w:rsidR="004F685E" w:rsidRPr="00C16B1D">
        <w:rPr>
          <w:rFonts w:ascii="Times New Roman" w:hAnsi="Times New Roman" w:cs="Times New Roman"/>
          <w:sz w:val="24"/>
          <w:szCs w:val="24"/>
        </w:rPr>
        <w:t>asserts is a market average rate.</w:t>
      </w:r>
      <w:r w:rsidR="004F685E" w:rsidRPr="004E09DA">
        <w:rPr>
          <w:vertAlign w:val="superscript"/>
        </w:rPr>
        <w:footnoteReference w:id="69"/>
      </w:r>
      <w:r w:rsidR="004F685E" w:rsidRPr="00C16B1D">
        <w:rPr>
          <w:rFonts w:ascii="Times New Roman" w:hAnsi="Times New Roman" w:cs="Times New Roman"/>
          <w:sz w:val="24"/>
          <w:szCs w:val="24"/>
        </w:rPr>
        <w:t xml:space="preserve">  However, many employees do </w:t>
      </w:r>
      <w:r w:rsidR="00A3673A">
        <w:rPr>
          <w:rFonts w:ascii="Times New Roman" w:hAnsi="Times New Roman" w:cs="Times New Roman"/>
          <w:sz w:val="24"/>
          <w:szCs w:val="24"/>
        </w:rPr>
        <w:t xml:space="preserve">not </w:t>
      </w:r>
      <w:r w:rsidR="004F685E" w:rsidRPr="00C16B1D">
        <w:rPr>
          <w:rFonts w:ascii="Times New Roman" w:hAnsi="Times New Roman" w:cs="Times New Roman"/>
          <w:sz w:val="24"/>
          <w:szCs w:val="24"/>
        </w:rPr>
        <w:t>receive a portion of the</w:t>
      </w:r>
      <w:r w:rsidR="00A3673A">
        <w:rPr>
          <w:rFonts w:ascii="Times New Roman" w:hAnsi="Times New Roman" w:cs="Times New Roman"/>
          <w:sz w:val="24"/>
          <w:szCs w:val="24"/>
        </w:rPr>
        <w:t>ir</w:t>
      </w:r>
      <w:r w:rsidR="004F685E" w:rsidRPr="00C16B1D">
        <w:rPr>
          <w:rFonts w:ascii="Times New Roman" w:hAnsi="Times New Roman" w:cs="Times New Roman"/>
          <w:sz w:val="24"/>
          <w:szCs w:val="24"/>
        </w:rPr>
        <w:t xml:space="preserve"> full </w:t>
      </w:r>
      <w:r w:rsidR="00A3673A">
        <w:rPr>
          <w:rFonts w:ascii="Times New Roman" w:hAnsi="Times New Roman" w:cs="Times New Roman"/>
          <w:sz w:val="24"/>
          <w:szCs w:val="24"/>
        </w:rPr>
        <w:t>salary</w:t>
      </w:r>
      <w:r w:rsidR="004F685E" w:rsidRPr="00C16B1D">
        <w:rPr>
          <w:rFonts w:ascii="Times New Roman" w:hAnsi="Times New Roman" w:cs="Times New Roman"/>
          <w:sz w:val="24"/>
          <w:szCs w:val="24"/>
        </w:rPr>
        <w:t xml:space="preserve"> unless they meet or exceed several express goals or standards.  The Company calls this portion “at risk” pay.</w:t>
      </w:r>
      <w:r w:rsidR="004F685E">
        <w:rPr>
          <w:rStyle w:val="FootnoteReference"/>
          <w:rFonts w:ascii="Times New Roman" w:hAnsi="Times New Roman" w:cs="Times New Roman"/>
          <w:sz w:val="24"/>
          <w:szCs w:val="24"/>
        </w:rPr>
        <w:footnoteReference w:id="70"/>
      </w:r>
      <w:r w:rsidR="004F685E" w:rsidRPr="00C16B1D">
        <w:rPr>
          <w:rFonts w:ascii="Times New Roman" w:hAnsi="Times New Roman" w:cs="Times New Roman"/>
          <w:sz w:val="24"/>
          <w:szCs w:val="24"/>
        </w:rPr>
        <w:t xml:space="preserve">  Th</w:t>
      </w:r>
      <w:r w:rsidR="00A3673A">
        <w:rPr>
          <w:rFonts w:ascii="Times New Roman" w:hAnsi="Times New Roman" w:cs="Times New Roman"/>
          <w:sz w:val="24"/>
          <w:szCs w:val="24"/>
        </w:rPr>
        <w:t>e Company awards the</w:t>
      </w:r>
      <w:r w:rsidR="004F685E" w:rsidRPr="00C16B1D">
        <w:rPr>
          <w:rFonts w:ascii="Times New Roman" w:hAnsi="Times New Roman" w:cs="Times New Roman"/>
          <w:sz w:val="24"/>
          <w:szCs w:val="24"/>
        </w:rPr>
        <w:t xml:space="preserve"> “at risk” amount pursuant to the “Annual Incentive Plan”, or AIP. </w:t>
      </w:r>
    </w:p>
    <w:p w:rsidR="004F685E" w:rsidRPr="00C16B1D" w:rsidRDefault="00C16B1D"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4F685E" w:rsidRPr="00C16B1D">
        <w:rPr>
          <w:rFonts w:ascii="Times New Roman" w:hAnsi="Times New Roman" w:cs="Times New Roman"/>
          <w:sz w:val="24"/>
          <w:szCs w:val="24"/>
        </w:rPr>
        <w:t>ICNU’s consultant Mr. Meyer hopes the Commission will deny $700,000 of the $1.4 million in AIP test year expenses,</w:t>
      </w:r>
      <w:r w:rsidR="004F685E" w:rsidRPr="004E09DA">
        <w:rPr>
          <w:vertAlign w:val="superscript"/>
        </w:rPr>
        <w:footnoteReference w:id="71"/>
      </w:r>
      <w:r w:rsidR="004F685E" w:rsidRPr="00C16B1D">
        <w:rPr>
          <w:rFonts w:ascii="Times New Roman" w:hAnsi="Times New Roman" w:cs="Times New Roman"/>
          <w:sz w:val="24"/>
          <w:szCs w:val="24"/>
        </w:rPr>
        <w:t xml:space="preserve"> because some of the Company’s performance goals which form the basis for AIP payments are subjective or otherwise not quantifiable.  In his view, because </w:t>
      </w:r>
      <w:r w:rsidR="00BA05A6">
        <w:rPr>
          <w:rFonts w:ascii="Times New Roman" w:hAnsi="Times New Roman" w:cs="Times New Roman"/>
          <w:sz w:val="24"/>
          <w:szCs w:val="24"/>
        </w:rPr>
        <w:t xml:space="preserve">PacifiCorp does not require each </w:t>
      </w:r>
      <w:r w:rsidR="004F685E" w:rsidRPr="00C16B1D">
        <w:rPr>
          <w:rFonts w:ascii="Times New Roman" w:hAnsi="Times New Roman" w:cs="Times New Roman"/>
          <w:sz w:val="24"/>
          <w:szCs w:val="24"/>
        </w:rPr>
        <w:t xml:space="preserve">employee to meet </w:t>
      </w:r>
      <w:r w:rsidR="00BA05A6">
        <w:rPr>
          <w:rFonts w:ascii="Times New Roman" w:hAnsi="Times New Roman" w:cs="Times New Roman"/>
          <w:sz w:val="24"/>
          <w:szCs w:val="24"/>
        </w:rPr>
        <w:t xml:space="preserve">only </w:t>
      </w:r>
      <w:r w:rsidR="004F685E" w:rsidRPr="00C16B1D">
        <w:rPr>
          <w:rFonts w:ascii="Times New Roman" w:hAnsi="Times New Roman" w:cs="Times New Roman"/>
          <w:sz w:val="24"/>
          <w:szCs w:val="24"/>
        </w:rPr>
        <w:t>measurable and quantifiable levels of performance to qualify for AIP payments, th</w:t>
      </w:r>
      <w:r w:rsidR="00BA05A6">
        <w:rPr>
          <w:rFonts w:ascii="Times New Roman" w:hAnsi="Times New Roman" w:cs="Times New Roman"/>
          <w:sz w:val="24"/>
          <w:szCs w:val="24"/>
        </w:rPr>
        <w:t>os</w:t>
      </w:r>
      <w:r w:rsidR="004F685E" w:rsidRPr="00C16B1D">
        <w:rPr>
          <w:rFonts w:ascii="Times New Roman" w:hAnsi="Times New Roman" w:cs="Times New Roman"/>
          <w:sz w:val="24"/>
          <w:szCs w:val="24"/>
        </w:rPr>
        <w:t>e payments should be cut in half for ratemaking purposes.</w:t>
      </w:r>
      <w:r w:rsidR="004F685E" w:rsidRPr="004E09DA">
        <w:rPr>
          <w:vertAlign w:val="superscript"/>
        </w:rPr>
        <w:footnoteReference w:id="72"/>
      </w:r>
      <w:r w:rsidR="004F685E" w:rsidRPr="00C16B1D">
        <w:rPr>
          <w:rFonts w:ascii="Times New Roman" w:hAnsi="Times New Roman" w:cs="Times New Roman"/>
          <w:sz w:val="24"/>
          <w:szCs w:val="24"/>
        </w:rPr>
        <w:t xml:space="preserve">  </w:t>
      </w:r>
    </w:p>
    <w:p w:rsidR="004F685E" w:rsidRPr="00C16B1D" w:rsidRDefault="00C16B1D"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BA05A6">
        <w:rPr>
          <w:rFonts w:ascii="Times New Roman" w:hAnsi="Times New Roman" w:cs="Times New Roman"/>
          <w:sz w:val="24"/>
          <w:szCs w:val="24"/>
        </w:rPr>
        <w:t xml:space="preserve">Mr. Meyer is correct that </w:t>
      </w:r>
      <w:r w:rsidR="004F685E" w:rsidRPr="00C16B1D">
        <w:rPr>
          <w:rFonts w:ascii="Times New Roman" w:hAnsi="Times New Roman" w:cs="Times New Roman"/>
          <w:sz w:val="24"/>
          <w:szCs w:val="24"/>
        </w:rPr>
        <w:t xml:space="preserve">certain AIP performance goals are not quantifiable.  It is also true that only rarely does PacifiCorp fail to pay an employee some or all of the “at risk” amount. </w:t>
      </w:r>
      <w:r w:rsidR="004F685E" w:rsidRPr="00C16B1D">
        <w:rPr>
          <w:rFonts w:ascii="Times New Roman" w:hAnsi="Times New Roman" w:cs="Times New Roman"/>
          <w:sz w:val="24"/>
          <w:szCs w:val="24"/>
        </w:rPr>
        <w:lastRenderedPageBreak/>
        <w:t>However, as the Commission has ruled, the ultimate issue is whether the total compensation is reasonable, not the piece parts:  “The ultimate issue is whether total compensation is reasonable and provides benefits to ratepayers …”</w:t>
      </w:r>
      <w:r w:rsidR="004F685E" w:rsidRPr="004E09DA">
        <w:rPr>
          <w:vertAlign w:val="superscript"/>
        </w:rPr>
        <w:footnoteReference w:id="73"/>
      </w:r>
      <w:r w:rsidR="004F685E" w:rsidRPr="00C16B1D">
        <w:rPr>
          <w:rFonts w:ascii="Times New Roman" w:hAnsi="Times New Roman" w:cs="Times New Roman"/>
          <w:sz w:val="24"/>
          <w:szCs w:val="24"/>
        </w:rPr>
        <w:t xml:space="preserve">  </w:t>
      </w:r>
    </w:p>
    <w:p w:rsidR="004F685E" w:rsidRDefault="00C16B1D"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4F685E" w:rsidRPr="00C16B1D">
        <w:rPr>
          <w:rFonts w:ascii="Times New Roman" w:hAnsi="Times New Roman" w:cs="Times New Roman"/>
          <w:sz w:val="24"/>
          <w:szCs w:val="24"/>
        </w:rPr>
        <w:t>In this instance, so long as the employee’s overall pay does not exceed market, it is not particularly relevant whether a piece-part of that pay raises questions.  This point was illustrated by the example Chairman Goltz offered of two accountants, working at different companies, each with the same pay level, but one having part of her pay “at risk”.</w:t>
      </w:r>
      <w:r w:rsidR="004F685E">
        <w:rPr>
          <w:rStyle w:val="FootnoteReference"/>
          <w:rFonts w:ascii="Times New Roman" w:hAnsi="Times New Roman" w:cs="Times New Roman"/>
          <w:sz w:val="24"/>
          <w:szCs w:val="24"/>
        </w:rPr>
        <w:footnoteReference w:id="74"/>
      </w:r>
      <w:r w:rsidR="004F685E" w:rsidRPr="00C16B1D">
        <w:rPr>
          <w:rFonts w:ascii="Times New Roman" w:hAnsi="Times New Roman" w:cs="Times New Roman"/>
          <w:sz w:val="24"/>
          <w:szCs w:val="24"/>
        </w:rPr>
        <w:t xml:space="preserve">  For ratemaking purposes, if the overall pay level is reasonable</w:t>
      </w:r>
      <w:r w:rsidR="00653C37">
        <w:rPr>
          <w:rFonts w:ascii="Times New Roman" w:hAnsi="Times New Roman" w:cs="Times New Roman"/>
          <w:sz w:val="24"/>
          <w:szCs w:val="24"/>
        </w:rPr>
        <w:t>;</w:t>
      </w:r>
      <w:r w:rsidR="00653C37" w:rsidRPr="00C16B1D">
        <w:rPr>
          <w:rFonts w:ascii="Times New Roman" w:hAnsi="Times New Roman" w:cs="Times New Roman"/>
          <w:sz w:val="24"/>
          <w:szCs w:val="24"/>
        </w:rPr>
        <w:t xml:space="preserve"> </w:t>
      </w:r>
      <w:r w:rsidR="004F685E" w:rsidRPr="00C16B1D">
        <w:rPr>
          <w:rFonts w:ascii="Times New Roman" w:hAnsi="Times New Roman" w:cs="Times New Roman"/>
          <w:sz w:val="24"/>
          <w:szCs w:val="24"/>
        </w:rPr>
        <w:t xml:space="preserve">the “at risk” part should not be a reason to reduce an otherwise reasonable pay level.  Because there has been no concrete, defensible challenge to the overall pay levels, the Commission </w:t>
      </w:r>
      <w:r w:rsidR="00BA05A6">
        <w:rPr>
          <w:rFonts w:ascii="Times New Roman" w:hAnsi="Times New Roman" w:cs="Times New Roman"/>
          <w:sz w:val="24"/>
          <w:szCs w:val="24"/>
        </w:rPr>
        <w:t xml:space="preserve">should </w:t>
      </w:r>
      <w:r w:rsidR="004F685E" w:rsidRPr="00C16B1D">
        <w:rPr>
          <w:rFonts w:ascii="Times New Roman" w:hAnsi="Times New Roman" w:cs="Times New Roman"/>
          <w:sz w:val="24"/>
          <w:szCs w:val="24"/>
        </w:rPr>
        <w:t xml:space="preserve">reject this ICNU/Public Counsel adjustment.  </w:t>
      </w:r>
    </w:p>
    <w:p w:rsidR="00B65199" w:rsidRPr="00C16B1D" w:rsidRDefault="00B65199" w:rsidP="00B65199">
      <w:pPr>
        <w:pStyle w:val="ListParagraph"/>
        <w:spacing w:after="0" w:line="240" w:lineRule="exact"/>
        <w:ind w:left="0"/>
        <w:rPr>
          <w:rFonts w:ascii="Times New Roman" w:hAnsi="Times New Roman" w:cs="Times New Roman"/>
          <w:sz w:val="24"/>
          <w:szCs w:val="24"/>
        </w:rPr>
      </w:pPr>
    </w:p>
    <w:p w:rsidR="004F685E" w:rsidRPr="00AB2D5C" w:rsidRDefault="00C16B1D" w:rsidP="00B67875">
      <w:pPr>
        <w:spacing w:after="0" w:line="240" w:lineRule="exact"/>
        <w:ind w:left="720" w:hanging="720"/>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004F685E" w:rsidRPr="00C16B1D">
        <w:rPr>
          <w:rFonts w:ascii="Times New Roman" w:hAnsi="Times New Roman" w:cs="Times New Roman"/>
          <w:b/>
          <w:sz w:val="24"/>
          <w:szCs w:val="24"/>
        </w:rPr>
        <w:t>The Commission Should Accept the Company’s Affiliate Management Fee Adjustment Because it Fairly Implements the Stipulation in the MEHC Acquisition Docket</w:t>
      </w:r>
      <w:r w:rsidR="00536229">
        <w:rPr>
          <w:rFonts w:ascii="Times New Roman" w:hAnsi="Times New Roman" w:cs="Times New Roman"/>
          <w:b/>
          <w:sz w:val="24"/>
          <w:szCs w:val="24"/>
        </w:rPr>
        <w:t xml:space="preserve">  </w:t>
      </w:r>
    </w:p>
    <w:p w:rsidR="004F685E" w:rsidRPr="00C16B1D" w:rsidRDefault="00C16B1D"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4F685E" w:rsidRPr="00C16B1D">
        <w:rPr>
          <w:rFonts w:ascii="Times New Roman" w:hAnsi="Times New Roman" w:cs="Times New Roman"/>
          <w:sz w:val="24"/>
          <w:szCs w:val="24"/>
        </w:rPr>
        <w:t xml:space="preserve">Under Commitment WA 4(b) </w:t>
      </w:r>
      <w:r w:rsidR="00BA05A6">
        <w:rPr>
          <w:rFonts w:ascii="Times New Roman" w:hAnsi="Times New Roman" w:cs="Times New Roman"/>
          <w:sz w:val="24"/>
          <w:szCs w:val="24"/>
        </w:rPr>
        <w:t xml:space="preserve">of the Commission-approved Stipulation </w:t>
      </w:r>
      <w:r w:rsidR="004F685E" w:rsidRPr="00C16B1D">
        <w:rPr>
          <w:rFonts w:ascii="Times New Roman" w:hAnsi="Times New Roman" w:cs="Times New Roman"/>
          <w:sz w:val="24"/>
          <w:szCs w:val="24"/>
        </w:rPr>
        <w:t xml:space="preserve">in the MEHC acquisition docket, PacifiCorp agreed that the “Corporate allocations from MEHC to PacifiCorp included in PacifiCorp’s rates </w:t>
      </w:r>
      <w:r w:rsidR="00BA05A6">
        <w:rPr>
          <w:rFonts w:ascii="Times New Roman" w:hAnsi="Times New Roman" w:cs="Times New Roman"/>
          <w:sz w:val="24"/>
          <w:szCs w:val="24"/>
        </w:rPr>
        <w:t xml:space="preserve">[will be] </w:t>
      </w:r>
      <w:r w:rsidR="004F685E" w:rsidRPr="00C16B1D">
        <w:rPr>
          <w:rFonts w:ascii="Times New Roman" w:hAnsi="Times New Roman" w:cs="Times New Roman"/>
          <w:sz w:val="24"/>
          <w:szCs w:val="24"/>
        </w:rPr>
        <w:t>less than $7.3 million.”</w:t>
      </w:r>
      <w:r w:rsidR="004F685E" w:rsidRPr="003628FD">
        <w:rPr>
          <w:vertAlign w:val="superscript"/>
        </w:rPr>
        <w:footnoteReference w:id="75"/>
      </w:r>
      <w:r w:rsidR="004F685E" w:rsidRPr="00C16B1D">
        <w:rPr>
          <w:rFonts w:ascii="Times New Roman" w:hAnsi="Times New Roman" w:cs="Times New Roman"/>
          <w:sz w:val="24"/>
          <w:szCs w:val="24"/>
        </w:rPr>
        <w:t xml:space="preserve">  This $7.3 million “cap” expires December 31, 2010.</w:t>
      </w:r>
      <w:r w:rsidR="004F685E" w:rsidRPr="003628FD">
        <w:rPr>
          <w:vertAlign w:val="superscript"/>
        </w:rPr>
        <w:footnoteReference w:id="76"/>
      </w:r>
      <w:r w:rsidR="004F685E" w:rsidRPr="00C16B1D">
        <w:rPr>
          <w:rFonts w:ascii="Times New Roman" w:hAnsi="Times New Roman" w:cs="Times New Roman"/>
          <w:sz w:val="24"/>
          <w:szCs w:val="24"/>
        </w:rPr>
        <w:t xml:space="preserve"> </w:t>
      </w:r>
    </w:p>
    <w:p w:rsidR="004F685E" w:rsidRPr="00C16B1D" w:rsidRDefault="00C16B1D"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4F685E" w:rsidRPr="00C16B1D">
        <w:rPr>
          <w:rFonts w:ascii="Times New Roman" w:hAnsi="Times New Roman" w:cs="Times New Roman"/>
          <w:sz w:val="24"/>
          <w:szCs w:val="24"/>
        </w:rPr>
        <w:t xml:space="preserve">The dispute in implementing this language centers primarily on whether the $7.3 million cap is the starting point for making adjustments to remove certain items (the ICNU method), or whether the actual amount of the fee should be adjusted first, and then determine whether the cap is exceeded or not (the Company’s method).  </w:t>
      </w:r>
    </w:p>
    <w:p w:rsidR="004F685E" w:rsidRPr="00C16B1D" w:rsidRDefault="00C16B1D"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4F685E" w:rsidRPr="00C16B1D">
        <w:rPr>
          <w:rFonts w:ascii="Times New Roman" w:hAnsi="Times New Roman" w:cs="Times New Roman"/>
          <w:sz w:val="24"/>
          <w:szCs w:val="24"/>
        </w:rPr>
        <w:t>The Commission should use the Company’s method.  The purpose of the Commitment is to assure that MEH</w:t>
      </w:r>
      <w:r w:rsidR="00536229">
        <w:rPr>
          <w:rFonts w:ascii="Times New Roman" w:hAnsi="Times New Roman" w:cs="Times New Roman"/>
          <w:sz w:val="24"/>
          <w:szCs w:val="24"/>
        </w:rPr>
        <w:t>C</w:t>
      </w:r>
      <w:r w:rsidR="004F685E" w:rsidRPr="00C16B1D">
        <w:rPr>
          <w:rFonts w:ascii="Times New Roman" w:hAnsi="Times New Roman" w:cs="Times New Roman"/>
          <w:sz w:val="24"/>
          <w:szCs w:val="24"/>
        </w:rPr>
        <w:t xml:space="preserve"> will not extract excessive fees from PacifiCorp, and up until the end of 2010, the parties effectively agreed that any amount over $7.3 million would be considered </w:t>
      </w:r>
      <w:r w:rsidR="004F685E" w:rsidRPr="00C16B1D">
        <w:rPr>
          <w:rFonts w:ascii="Times New Roman" w:hAnsi="Times New Roman" w:cs="Times New Roman"/>
          <w:sz w:val="24"/>
          <w:szCs w:val="24"/>
        </w:rPr>
        <w:lastRenderedPageBreak/>
        <w:t xml:space="preserve">excessive.  Consequently, it is fair for PacifiCorp to start at the actual amount paid and adjust from there, to see if the cap is exceeded, or not.  </w:t>
      </w:r>
    </w:p>
    <w:p w:rsidR="004F685E" w:rsidRPr="00C16B1D" w:rsidRDefault="00C16B1D"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4F685E" w:rsidRPr="00C16B1D">
        <w:rPr>
          <w:rFonts w:ascii="Times New Roman" w:hAnsi="Times New Roman" w:cs="Times New Roman"/>
          <w:sz w:val="24"/>
          <w:szCs w:val="24"/>
        </w:rPr>
        <w:t>In fact, the adjustments accepted by PacifiCorp take the fee level below the cap, to $7.1 million,</w:t>
      </w:r>
      <w:r w:rsidR="004F685E" w:rsidRPr="003628FD">
        <w:rPr>
          <w:vertAlign w:val="superscript"/>
        </w:rPr>
        <w:footnoteReference w:id="77"/>
      </w:r>
      <w:r w:rsidR="004F685E" w:rsidRPr="00C16B1D">
        <w:rPr>
          <w:rFonts w:ascii="Times New Roman" w:hAnsi="Times New Roman" w:cs="Times New Roman"/>
          <w:sz w:val="24"/>
          <w:szCs w:val="24"/>
        </w:rPr>
        <w:t xml:space="preserve"> which is the figure the Commission should accept.  By contrast, the ICNU/Public Counsel method is not fair because start</w:t>
      </w:r>
      <w:r w:rsidR="00BA05A6">
        <w:rPr>
          <w:rFonts w:ascii="Times New Roman" w:hAnsi="Times New Roman" w:cs="Times New Roman"/>
          <w:sz w:val="24"/>
          <w:szCs w:val="24"/>
        </w:rPr>
        <w:t xml:space="preserve">ing </w:t>
      </w:r>
      <w:r w:rsidR="004F685E" w:rsidRPr="00C16B1D">
        <w:rPr>
          <w:rFonts w:ascii="Times New Roman" w:hAnsi="Times New Roman" w:cs="Times New Roman"/>
          <w:sz w:val="24"/>
          <w:szCs w:val="24"/>
        </w:rPr>
        <w:t xml:space="preserve">at </w:t>
      </w:r>
      <w:r w:rsidR="00BA05A6">
        <w:rPr>
          <w:rFonts w:ascii="Times New Roman" w:hAnsi="Times New Roman" w:cs="Times New Roman"/>
          <w:sz w:val="24"/>
          <w:szCs w:val="24"/>
        </w:rPr>
        <w:t xml:space="preserve">the </w:t>
      </w:r>
      <w:r w:rsidR="004F685E" w:rsidRPr="00C16B1D">
        <w:rPr>
          <w:rFonts w:ascii="Times New Roman" w:hAnsi="Times New Roman" w:cs="Times New Roman"/>
          <w:sz w:val="24"/>
          <w:szCs w:val="24"/>
        </w:rPr>
        <w:t xml:space="preserve">$7.3 million </w:t>
      </w:r>
      <w:r w:rsidR="00BA05A6">
        <w:rPr>
          <w:rFonts w:ascii="Times New Roman" w:hAnsi="Times New Roman" w:cs="Times New Roman"/>
          <w:sz w:val="24"/>
          <w:szCs w:val="24"/>
        </w:rPr>
        <w:t xml:space="preserve">cap </w:t>
      </w:r>
      <w:r w:rsidR="004F685E" w:rsidRPr="00C16B1D">
        <w:rPr>
          <w:rFonts w:ascii="Times New Roman" w:hAnsi="Times New Roman" w:cs="Times New Roman"/>
          <w:sz w:val="24"/>
          <w:szCs w:val="24"/>
        </w:rPr>
        <w:t>and adjust</w:t>
      </w:r>
      <w:r w:rsidR="00BA05A6">
        <w:rPr>
          <w:rFonts w:ascii="Times New Roman" w:hAnsi="Times New Roman" w:cs="Times New Roman"/>
          <w:sz w:val="24"/>
          <w:szCs w:val="24"/>
        </w:rPr>
        <w:t>ing</w:t>
      </w:r>
      <w:r w:rsidR="004F685E" w:rsidRPr="00C16B1D">
        <w:rPr>
          <w:rFonts w:ascii="Times New Roman" w:hAnsi="Times New Roman" w:cs="Times New Roman"/>
          <w:sz w:val="24"/>
          <w:szCs w:val="24"/>
        </w:rPr>
        <w:t xml:space="preserve"> from there</w:t>
      </w:r>
      <w:r w:rsidR="00BA05A6">
        <w:rPr>
          <w:rFonts w:ascii="Times New Roman" w:hAnsi="Times New Roman" w:cs="Times New Roman"/>
          <w:sz w:val="24"/>
          <w:szCs w:val="24"/>
        </w:rPr>
        <w:t xml:space="preserve"> </w:t>
      </w:r>
      <w:r w:rsidR="004F685E" w:rsidRPr="00C16B1D">
        <w:rPr>
          <w:rFonts w:ascii="Times New Roman" w:hAnsi="Times New Roman" w:cs="Times New Roman"/>
          <w:sz w:val="24"/>
          <w:szCs w:val="24"/>
        </w:rPr>
        <w:t>has the effect of</w:t>
      </w:r>
      <w:r w:rsidR="00BA05A6">
        <w:rPr>
          <w:rFonts w:ascii="Times New Roman" w:hAnsi="Times New Roman" w:cs="Times New Roman"/>
          <w:sz w:val="24"/>
          <w:szCs w:val="24"/>
        </w:rPr>
        <w:t xml:space="preserve"> </w:t>
      </w:r>
      <w:r w:rsidR="004F685E" w:rsidRPr="00C16B1D">
        <w:rPr>
          <w:rFonts w:ascii="Times New Roman" w:hAnsi="Times New Roman" w:cs="Times New Roman"/>
          <w:sz w:val="24"/>
          <w:szCs w:val="24"/>
        </w:rPr>
        <w:t xml:space="preserve">automatically excluding portions of the payment </w:t>
      </w:r>
      <w:r w:rsidR="00BA05A6">
        <w:rPr>
          <w:rFonts w:ascii="Times New Roman" w:hAnsi="Times New Roman" w:cs="Times New Roman"/>
          <w:sz w:val="24"/>
          <w:szCs w:val="24"/>
        </w:rPr>
        <w:t>that</w:t>
      </w:r>
      <w:r w:rsidR="004F685E" w:rsidRPr="00C16B1D">
        <w:rPr>
          <w:rFonts w:ascii="Times New Roman" w:hAnsi="Times New Roman" w:cs="Times New Roman"/>
          <w:sz w:val="24"/>
          <w:szCs w:val="24"/>
        </w:rPr>
        <w:t xml:space="preserve"> may be reasonable.  </w:t>
      </w:r>
    </w:p>
    <w:p w:rsidR="004F685E" w:rsidRDefault="00C16B1D"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4F685E" w:rsidRPr="00C16B1D">
        <w:rPr>
          <w:rFonts w:ascii="Times New Roman" w:hAnsi="Times New Roman" w:cs="Times New Roman"/>
          <w:sz w:val="24"/>
          <w:szCs w:val="24"/>
        </w:rPr>
        <w:t>In sum, PacifiCorp’s $7.1 million level of affiliate management fee is a reasonable outcome, it is consistent with the Stipulation, and the Commission should accept it.</w:t>
      </w:r>
      <w:r w:rsidR="00B03A03">
        <w:rPr>
          <w:rFonts w:ascii="Times New Roman" w:hAnsi="Times New Roman" w:cs="Times New Roman"/>
          <w:sz w:val="24"/>
          <w:szCs w:val="24"/>
        </w:rPr>
        <w:t xml:space="preserve">  </w:t>
      </w:r>
    </w:p>
    <w:p w:rsidR="008678EA" w:rsidRPr="008678EA" w:rsidRDefault="00692951" w:rsidP="00692951">
      <w:pPr>
        <w:spacing w:after="0" w:line="480" w:lineRule="exact"/>
        <w:rPr>
          <w:rFonts w:ascii="Times New Roman" w:hAnsi="Times New Roman" w:cs="Times New Roman"/>
          <w:b/>
          <w:sz w:val="24"/>
          <w:szCs w:val="24"/>
        </w:rPr>
      </w:pPr>
      <w:r>
        <w:rPr>
          <w:rFonts w:ascii="Times New Roman" w:hAnsi="Times New Roman" w:cs="Times New Roman"/>
          <w:b/>
          <w:sz w:val="24"/>
          <w:szCs w:val="24"/>
        </w:rPr>
        <w:t>C</w:t>
      </w:r>
      <w:r w:rsidR="008678EA" w:rsidRPr="008678EA">
        <w:rPr>
          <w:rFonts w:ascii="Times New Roman" w:hAnsi="Times New Roman" w:cs="Times New Roman"/>
          <w:b/>
          <w:sz w:val="24"/>
          <w:szCs w:val="24"/>
        </w:rPr>
        <w:t>.</w:t>
      </w:r>
      <w:r w:rsidR="008678EA" w:rsidRPr="008678EA">
        <w:rPr>
          <w:rFonts w:ascii="Times New Roman" w:hAnsi="Times New Roman" w:cs="Times New Roman"/>
          <w:b/>
          <w:sz w:val="24"/>
          <w:szCs w:val="24"/>
        </w:rPr>
        <w:tab/>
        <w:t>Net Power Supply Costs</w:t>
      </w:r>
      <w:r w:rsidR="00DF2CF4">
        <w:rPr>
          <w:rStyle w:val="FootnoteReference"/>
          <w:rFonts w:ascii="Times New Roman" w:hAnsi="Times New Roman" w:cs="Times New Roman"/>
          <w:b/>
          <w:sz w:val="24"/>
          <w:szCs w:val="24"/>
        </w:rPr>
        <w:footnoteReference w:id="78"/>
      </w:r>
    </w:p>
    <w:p w:rsidR="008678EA" w:rsidRPr="008678EA" w:rsidRDefault="008678EA"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8678EA">
        <w:rPr>
          <w:rFonts w:ascii="Times New Roman" w:hAnsi="Times New Roman" w:cs="Times New Roman"/>
          <w:sz w:val="24"/>
          <w:szCs w:val="24"/>
        </w:rPr>
        <w:t xml:space="preserve">This case presents several </w:t>
      </w:r>
      <w:r w:rsidR="00A31975">
        <w:rPr>
          <w:rFonts w:ascii="Times New Roman" w:hAnsi="Times New Roman" w:cs="Times New Roman"/>
          <w:sz w:val="24"/>
          <w:szCs w:val="24"/>
        </w:rPr>
        <w:t xml:space="preserve">Net Power Cost </w:t>
      </w:r>
      <w:r w:rsidRPr="008678EA">
        <w:rPr>
          <w:rFonts w:ascii="Times New Roman" w:hAnsi="Times New Roman" w:cs="Times New Roman"/>
          <w:sz w:val="24"/>
          <w:szCs w:val="24"/>
        </w:rPr>
        <w:t xml:space="preserve">adjustments that closely examine the relationship between the transmission and generation costs allocated to Washington under the West Control Area (WCA) allocation model and the benefits corresponding to those costs.  This is an appropriate application of the matching principle that </w:t>
      </w:r>
      <w:r>
        <w:rPr>
          <w:rFonts w:ascii="Times New Roman" w:hAnsi="Times New Roman" w:cs="Times New Roman"/>
          <w:sz w:val="24"/>
          <w:szCs w:val="24"/>
        </w:rPr>
        <w:t xml:space="preserve">underlies much of ratemaking.  </w:t>
      </w:r>
    </w:p>
    <w:p w:rsidR="00D54A24" w:rsidRDefault="008678EA" w:rsidP="00C16EA4">
      <w:pPr>
        <w:pStyle w:val="ListParagraph"/>
        <w:numPr>
          <w:ilvl w:val="0"/>
          <w:numId w:val="3"/>
        </w:numPr>
        <w:spacing w:after="0" w:line="480" w:lineRule="exact"/>
        <w:rPr>
          <w:rFonts w:ascii="Times New Roman" w:hAnsi="Times New Roman" w:cs="Times New Roman"/>
          <w:sz w:val="24"/>
          <w:szCs w:val="24"/>
        </w:rPr>
        <w:sectPr w:rsidR="00D54A24" w:rsidSect="00B966E9">
          <w:footerReference w:type="default" r:id="rId10"/>
          <w:pgSz w:w="12240" w:h="15840"/>
          <w:pgMar w:top="1440" w:right="1440" w:bottom="1440" w:left="1440" w:header="720" w:footer="720" w:gutter="0"/>
          <w:pgNumType w:start="1"/>
          <w:cols w:space="720"/>
          <w:docGrid w:linePitch="360"/>
        </w:sectPr>
      </w:pPr>
      <w:r>
        <w:rPr>
          <w:rFonts w:ascii="Times New Roman" w:hAnsi="Times New Roman" w:cs="Times New Roman"/>
          <w:sz w:val="24"/>
          <w:szCs w:val="24"/>
        </w:rPr>
        <w:tab/>
      </w:r>
      <w:r w:rsidRPr="008678EA">
        <w:rPr>
          <w:rFonts w:ascii="Times New Roman" w:hAnsi="Times New Roman" w:cs="Times New Roman"/>
          <w:sz w:val="24"/>
          <w:szCs w:val="24"/>
        </w:rPr>
        <w:t>Therefore, Staff sponsors certain power supply adjustments that add benefits to match the costs ratepayers are expected to pay.  Examples include adjustments for Arbitrage Sales Margin, the DC Intertie and the Idaho P</w:t>
      </w:r>
      <w:r w:rsidR="00923978">
        <w:rPr>
          <w:rFonts w:ascii="Times New Roman" w:hAnsi="Times New Roman" w:cs="Times New Roman"/>
          <w:sz w:val="24"/>
          <w:szCs w:val="24"/>
        </w:rPr>
        <w:t>oint to Point Contract</w:t>
      </w:r>
      <w:r w:rsidRPr="008678EA">
        <w:rPr>
          <w:rFonts w:ascii="Times New Roman" w:hAnsi="Times New Roman" w:cs="Times New Roman"/>
          <w:sz w:val="24"/>
          <w:szCs w:val="24"/>
        </w:rPr>
        <w:t xml:space="preserve">.  Similarly, Staff objects to certain </w:t>
      </w:r>
    </w:p>
    <w:p w:rsidR="008678EA" w:rsidRPr="008678EA" w:rsidRDefault="008678EA" w:rsidP="00D54A24">
      <w:pPr>
        <w:pStyle w:val="ListParagraph"/>
        <w:spacing w:after="0" w:line="480" w:lineRule="exact"/>
        <w:ind w:left="0"/>
        <w:rPr>
          <w:rFonts w:ascii="Times New Roman" w:hAnsi="Times New Roman" w:cs="Times New Roman"/>
          <w:sz w:val="24"/>
          <w:szCs w:val="24"/>
        </w:rPr>
      </w:pPr>
      <w:r w:rsidRPr="008678EA">
        <w:rPr>
          <w:rFonts w:ascii="Times New Roman" w:hAnsi="Times New Roman" w:cs="Times New Roman"/>
          <w:sz w:val="24"/>
          <w:szCs w:val="24"/>
        </w:rPr>
        <w:lastRenderedPageBreak/>
        <w:t>Company adjustments on the basis that the costs the Company includes provide no commensurate benefits, such as wind integration costs for non-owned wind projects.</w:t>
      </w:r>
    </w:p>
    <w:p w:rsidR="008678EA" w:rsidRPr="008678EA" w:rsidRDefault="008678EA"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8678EA">
        <w:rPr>
          <w:rFonts w:ascii="Times New Roman" w:hAnsi="Times New Roman" w:cs="Times New Roman"/>
          <w:sz w:val="24"/>
          <w:szCs w:val="24"/>
        </w:rPr>
        <w:t>Staff correctly applies the matching principle in both types of examples.  While the Company urges that some of these adjustments are improper attempts to change the WCA model</w:t>
      </w:r>
      <w:r w:rsidR="0080703B">
        <w:rPr>
          <w:rFonts w:ascii="Times New Roman" w:hAnsi="Times New Roman" w:cs="Times New Roman"/>
          <w:sz w:val="24"/>
          <w:szCs w:val="24"/>
        </w:rPr>
        <w:t>, t</w:t>
      </w:r>
      <w:r w:rsidR="00E24BBF" w:rsidRPr="008678EA">
        <w:rPr>
          <w:rFonts w:ascii="Times New Roman" w:hAnsi="Times New Roman" w:cs="Times New Roman"/>
          <w:sz w:val="24"/>
          <w:szCs w:val="24"/>
        </w:rPr>
        <w:t xml:space="preserve">hat </w:t>
      </w:r>
      <w:r w:rsidRPr="008678EA">
        <w:rPr>
          <w:rFonts w:ascii="Times New Roman" w:hAnsi="Times New Roman" w:cs="Times New Roman"/>
          <w:sz w:val="24"/>
          <w:szCs w:val="24"/>
        </w:rPr>
        <w:t>is simply not the case</w:t>
      </w:r>
      <w:r w:rsidR="00E24BBF">
        <w:rPr>
          <w:rFonts w:ascii="Times New Roman" w:hAnsi="Times New Roman" w:cs="Times New Roman"/>
          <w:sz w:val="24"/>
          <w:szCs w:val="24"/>
        </w:rPr>
        <w:t>.</w:t>
      </w:r>
      <w:r w:rsidRPr="008678EA">
        <w:rPr>
          <w:rFonts w:ascii="Times New Roman" w:hAnsi="Times New Roman" w:cs="Times New Roman"/>
          <w:sz w:val="24"/>
          <w:szCs w:val="24"/>
        </w:rPr>
        <w:t xml:space="preserve"> </w:t>
      </w:r>
      <w:r w:rsidR="00923978">
        <w:rPr>
          <w:rFonts w:ascii="Times New Roman" w:hAnsi="Times New Roman" w:cs="Times New Roman"/>
          <w:sz w:val="24"/>
          <w:szCs w:val="24"/>
        </w:rPr>
        <w:t xml:space="preserve"> </w:t>
      </w:r>
      <w:r w:rsidR="00E24BBF">
        <w:rPr>
          <w:rFonts w:ascii="Times New Roman" w:hAnsi="Times New Roman" w:cs="Times New Roman"/>
          <w:sz w:val="24"/>
          <w:szCs w:val="24"/>
        </w:rPr>
        <w:t>T</w:t>
      </w:r>
      <w:r w:rsidRPr="008678EA">
        <w:rPr>
          <w:rFonts w:ascii="Times New Roman" w:hAnsi="Times New Roman" w:cs="Times New Roman"/>
          <w:sz w:val="24"/>
          <w:szCs w:val="24"/>
        </w:rPr>
        <w:t xml:space="preserve">he Company must demonstrate </w:t>
      </w:r>
      <w:r w:rsidR="00E24BBF">
        <w:rPr>
          <w:rFonts w:ascii="Times New Roman" w:hAnsi="Times New Roman" w:cs="Times New Roman"/>
          <w:sz w:val="24"/>
          <w:szCs w:val="24"/>
        </w:rPr>
        <w:t xml:space="preserve">that </w:t>
      </w:r>
      <w:r w:rsidRPr="008678EA">
        <w:rPr>
          <w:rFonts w:ascii="Times New Roman" w:hAnsi="Times New Roman" w:cs="Times New Roman"/>
          <w:sz w:val="24"/>
          <w:szCs w:val="24"/>
        </w:rPr>
        <w:t>each operating expense and investment it seeks to include in rates provides commensurate benefits to ratepayers.  The WCA model is not a shield against proper ratemaking.</w:t>
      </w:r>
    </w:p>
    <w:p w:rsidR="0096310C" w:rsidRDefault="0096310C" w:rsidP="0022264C">
      <w:pPr>
        <w:pStyle w:val="ListParagraph"/>
        <w:spacing w:line="240" w:lineRule="auto"/>
        <w:rPr>
          <w:rFonts w:ascii="Times New Roman" w:hAnsi="Times New Roman" w:cs="Times New Roman"/>
          <w:sz w:val="24"/>
          <w:szCs w:val="24"/>
        </w:rPr>
      </w:pPr>
    </w:p>
    <w:p w:rsidR="0096310C" w:rsidRDefault="0080703B" w:rsidP="0022264C">
      <w:pPr>
        <w:pStyle w:val="ListParagraph"/>
        <w:rPr>
          <w:rFonts w:ascii="Times New Roman" w:hAnsi="Times New Roman" w:cs="Times New Roman"/>
          <w:b/>
          <w:sz w:val="24"/>
          <w:szCs w:val="24"/>
        </w:rPr>
      </w:pPr>
      <w:r w:rsidRPr="00193CAD">
        <w:rPr>
          <w:rFonts w:ascii="Times New Roman" w:hAnsi="Times New Roman" w:cs="Times New Roman"/>
          <w:b/>
          <w:sz w:val="24"/>
          <w:szCs w:val="24"/>
        </w:rPr>
        <w:t>1</w:t>
      </w:r>
      <w:r w:rsidR="008678EA" w:rsidRPr="00193CAD">
        <w:rPr>
          <w:rFonts w:ascii="Times New Roman" w:hAnsi="Times New Roman" w:cs="Times New Roman"/>
          <w:b/>
          <w:sz w:val="24"/>
          <w:szCs w:val="24"/>
        </w:rPr>
        <w:t>.</w:t>
      </w:r>
      <w:r w:rsidR="008678EA" w:rsidRPr="00193CAD">
        <w:rPr>
          <w:rFonts w:ascii="Times New Roman" w:hAnsi="Times New Roman" w:cs="Times New Roman"/>
          <w:sz w:val="24"/>
          <w:szCs w:val="24"/>
        </w:rPr>
        <w:tab/>
      </w:r>
      <w:r w:rsidR="008678EA" w:rsidRPr="00193CAD">
        <w:rPr>
          <w:rFonts w:ascii="Times New Roman" w:hAnsi="Times New Roman" w:cs="Times New Roman"/>
          <w:b/>
          <w:sz w:val="24"/>
          <w:szCs w:val="24"/>
        </w:rPr>
        <w:t xml:space="preserve">Arbitrage Sales Margins </w:t>
      </w:r>
    </w:p>
    <w:p w:rsidR="008678EA" w:rsidRPr="00887781" w:rsidRDefault="00887781" w:rsidP="00C16EA4">
      <w:pPr>
        <w:pStyle w:val="ListParagraph"/>
        <w:numPr>
          <w:ilvl w:val="0"/>
          <w:numId w:val="3"/>
        </w:numPr>
        <w:spacing w:after="0" w:line="480" w:lineRule="exact"/>
        <w:rPr>
          <w:rFonts w:ascii="Times New Roman" w:hAnsi="Times New Roman" w:cs="Times New Roman"/>
          <w:sz w:val="24"/>
          <w:szCs w:val="24"/>
        </w:rPr>
      </w:pPr>
      <w:r w:rsidRPr="00193CAD">
        <w:rPr>
          <w:rFonts w:ascii="Times New Roman" w:hAnsi="Times New Roman" w:cs="Times New Roman"/>
          <w:sz w:val="24"/>
          <w:szCs w:val="24"/>
        </w:rPr>
        <w:tab/>
      </w:r>
      <w:r w:rsidR="008678EA" w:rsidRPr="00193CAD">
        <w:rPr>
          <w:rFonts w:ascii="Times New Roman" w:hAnsi="Times New Roman" w:cs="Times New Roman"/>
          <w:sz w:val="24"/>
          <w:szCs w:val="24"/>
        </w:rPr>
        <w:t>PacifiCorp uses its transmission system to take advantage of</w:t>
      </w:r>
      <w:r w:rsidR="008678EA" w:rsidRPr="00887781">
        <w:rPr>
          <w:rFonts w:ascii="Times New Roman" w:hAnsi="Times New Roman" w:cs="Times New Roman"/>
          <w:sz w:val="24"/>
          <w:szCs w:val="24"/>
        </w:rPr>
        <w:t xml:space="preserve"> “arbitrage” transactions, which are short-term, low, or no risk, transactions buying energy at one delivery point and selling at another.</w:t>
      </w:r>
      <w:r w:rsidR="008678EA" w:rsidRPr="008678EA">
        <w:rPr>
          <w:vertAlign w:val="superscript"/>
        </w:rPr>
        <w:footnoteReference w:id="79"/>
      </w:r>
      <w:r w:rsidR="008678EA" w:rsidRPr="00887781">
        <w:rPr>
          <w:rFonts w:ascii="Times New Roman" w:hAnsi="Times New Roman" w:cs="Times New Roman"/>
          <w:sz w:val="24"/>
          <w:szCs w:val="24"/>
        </w:rPr>
        <w:t xml:space="preserve">  Though the per-transaction profits may be small, the transactions number in the thousands, and thus generate substantial revenues.  The facts show that over the four year period 2006-2009, PacifiCorp made </w:t>
      </w:r>
      <w:proofErr w:type="spellStart"/>
      <w:r w:rsidR="001557EE" w:rsidRPr="001557EE">
        <w:rPr>
          <w:rFonts w:ascii="Times New Roman" w:hAnsi="Times New Roman" w:cs="Times New Roman"/>
          <w:sz w:val="24"/>
          <w:szCs w:val="24"/>
          <w:highlight w:val="black"/>
        </w:rPr>
        <w:t>XXXX</w:t>
      </w:r>
      <w:proofErr w:type="spellEnd"/>
      <w:r w:rsidR="008678EA" w:rsidRPr="00887781">
        <w:rPr>
          <w:rFonts w:ascii="Times New Roman" w:hAnsi="Times New Roman" w:cs="Times New Roman"/>
          <w:sz w:val="24"/>
          <w:szCs w:val="24"/>
        </w:rPr>
        <w:t xml:space="preserve"> of these transactions and enjoyed an average of over </w:t>
      </w:r>
      <w:proofErr w:type="spellStart"/>
      <w:r w:rsidR="001557EE" w:rsidRPr="001557EE">
        <w:rPr>
          <w:rFonts w:ascii="Times New Roman" w:hAnsi="Times New Roman" w:cs="Times New Roman"/>
          <w:sz w:val="24"/>
          <w:szCs w:val="24"/>
          <w:highlight w:val="black"/>
        </w:rPr>
        <w:t>XXXXXXX</w:t>
      </w:r>
      <w:proofErr w:type="spellEnd"/>
      <w:r w:rsidR="008678EA" w:rsidRPr="00887781">
        <w:rPr>
          <w:rFonts w:ascii="Times New Roman" w:hAnsi="Times New Roman" w:cs="Times New Roman"/>
          <w:sz w:val="24"/>
          <w:szCs w:val="24"/>
        </w:rPr>
        <w:t xml:space="preserve"> per year (WCA level).</w:t>
      </w:r>
      <w:r w:rsidR="008678EA" w:rsidRPr="008678EA">
        <w:rPr>
          <w:vertAlign w:val="superscript"/>
        </w:rPr>
        <w:footnoteReference w:id="80"/>
      </w:r>
      <w:r w:rsidR="008678EA" w:rsidRPr="00887781">
        <w:rPr>
          <w:rFonts w:ascii="Times New Roman" w:hAnsi="Times New Roman" w:cs="Times New Roman"/>
          <w:sz w:val="24"/>
          <w:szCs w:val="24"/>
        </w:rPr>
        <w:t xml:space="preserve">  </w:t>
      </w:r>
    </w:p>
    <w:p w:rsidR="008678EA" w:rsidRPr="00887781" w:rsidRDefault="00887781"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8678EA" w:rsidRPr="00887781">
        <w:rPr>
          <w:rFonts w:ascii="Times New Roman" w:hAnsi="Times New Roman" w:cs="Times New Roman"/>
          <w:sz w:val="24"/>
          <w:szCs w:val="24"/>
        </w:rPr>
        <w:t>Staff’s adjustment provides ratepayers most of these benefits, based on 90 percent of this normalized, four-year average level of these transactions.  Staff provides the Company a 10 percent incentive to maximize the use of its transmission system.</w:t>
      </w:r>
      <w:r w:rsidR="008678EA" w:rsidRPr="008678EA">
        <w:rPr>
          <w:vertAlign w:val="superscript"/>
        </w:rPr>
        <w:footnoteReference w:id="81"/>
      </w:r>
      <w:r w:rsidR="008678EA" w:rsidRPr="00887781">
        <w:rPr>
          <w:rFonts w:ascii="Times New Roman" w:hAnsi="Times New Roman" w:cs="Times New Roman"/>
          <w:sz w:val="24"/>
          <w:szCs w:val="24"/>
        </w:rPr>
        <w:t xml:space="preserve">  </w:t>
      </w:r>
      <w:r w:rsidR="00A31975">
        <w:rPr>
          <w:rFonts w:ascii="Times New Roman" w:hAnsi="Times New Roman" w:cs="Times New Roman"/>
          <w:sz w:val="24"/>
          <w:szCs w:val="24"/>
        </w:rPr>
        <w:t xml:space="preserve">Staff’s inclusion of a reasonable level of revenues from arbitrage transactions reduces </w:t>
      </w:r>
      <w:r w:rsidR="008678EA" w:rsidRPr="00887781">
        <w:rPr>
          <w:rFonts w:ascii="Times New Roman" w:hAnsi="Times New Roman" w:cs="Times New Roman"/>
          <w:sz w:val="24"/>
          <w:szCs w:val="24"/>
        </w:rPr>
        <w:t xml:space="preserve">Washington </w:t>
      </w:r>
      <w:r w:rsidR="00A31975">
        <w:rPr>
          <w:rFonts w:ascii="Times New Roman" w:hAnsi="Times New Roman" w:cs="Times New Roman"/>
          <w:sz w:val="24"/>
          <w:szCs w:val="24"/>
        </w:rPr>
        <w:t xml:space="preserve">allocated Net Power Costs by </w:t>
      </w:r>
      <w:r w:rsidR="008678EA" w:rsidRPr="00887781">
        <w:rPr>
          <w:rFonts w:ascii="Times New Roman" w:hAnsi="Times New Roman" w:cs="Times New Roman"/>
          <w:sz w:val="24"/>
          <w:szCs w:val="24"/>
        </w:rPr>
        <w:t>$529,467.</w:t>
      </w:r>
      <w:r w:rsidR="008678EA" w:rsidRPr="008678EA">
        <w:rPr>
          <w:vertAlign w:val="superscript"/>
        </w:rPr>
        <w:footnoteReference w:id="82"/>
      </w:r>
      <w:r w:rsidR="008678EA" w:rsidRPr="00887781">
        <w:rPr>
          <w:rFonts w:ascii="Times New Roman" w:hAnsi="Times New Roman" w:cs="Times New Roman"/>
          <w:sz w:val="24"/>
          <w:szCs w:val="24"/>
        </w:rPr>
        <w:t xml:space="preserve">  ICNU offers the same adjustment, without the 10 percent incentive.</w:t>
      </w:r>
      <w:r w:rsidR="008678EA" w:rsidRPr="008678EA">
        <w:rPr>
          <w:rStyle w:val="FootnoteReference"/>
          <w:rFonts w:ascii="Times New Roman" w:hAnsi="Times New Roman" w:cs="Times New Roman"/>
          <w:sz w:val="24"/>
          <w:szCs w:val="24"/>
        </w:rPr>
        <w:footnoteReference w:id="83"/>
      </w:r>
      <w:r w:rsidR="008678EA" w:rsidRPr="00887781">
        <w:rPr>
          <w:rFonts w:ascii="Times New Roman" w:hAnsi="Times New Roman" w:cs="Times New Roman"/>
          <w:sz w:val="24"/>
          <w:szCs w:val="24"/>
        </w:rPr>
        <w:t xml:space="preserve">  Staff supports the incentive as better policy.</w:t>
      </w:r>
      <w:r w:rsidR="008678EA" w:rsidRPr="008678EA">
        <w:rPr>
          <w:rStyle w:val="FootnoteReference"/>
          <w:rFonts w:ascii="Times New Roman" w:hAnsi="Times New Roman" w:cs="Times New Roman"/>
          <w:sz w:val="24"/>
          <w:szCs w:val="24"/>
        </w:rPr>
        <w:footnoteReference w:id="84"/>
      </w:r>
    </w:p>
    <w:p w:rsidR="00D54A24" w:rsidRDefault="00887781" w:rsidP="00C16EA4">
      <w:pPr>
        <w:pStyle w:val="ListParagraph"/>
        <w:numPr>
          <w:ilvl w:val="0"/>
          <w:numId w:val="3"/>
        </w:numPr>
        <w:spacing w:after="0" w:line="480" w:lineRule="exact"/>
        <w:rPr>
          <w:rFonts w:ascii="Times New Roman" w:hAnsi="Times New Roman" w:cs="Times New Roman"/>
          <w:sz w:val="24"/>
          <w:szCs w:val="24"/>
        </w:rPr>
        <w:sectPr w:rsidR="00D54A24" w:rsidSect="00D54A24">
          <w:footerReference w:type="default" r:id="rId11"/>
          <w:pgSz w:w="12240" w:h="15840"/>
          <w:pgMar w:top="1440" w:right="1440" w:bottom="1440" w:left="1440" w:header="720" w:footer="720" w:gutter="0"/>
          <w:cols w:space="720"/>
          <w:docGrid w:linePitch="360"/>
        </w:sectPr>
      </w:pPr>
      <w:r>
        <w:rPr>
          <w:rFonts w:ascii="Times New Roman" w:hAnsi="Times New Roman" w:cs="Times New Roman"/>
          <w:sz w:val="24"/>
          <w:szCs w:val="24"/>
        </w:rPr>
        <w:tab/>
      </w:r>
      <w:r w:rsidR="0080703B">
        <w:rPr>
          <w:rFonts w:ascii="Times New Roman" w:hAnsi="Times New Roman" w:cs="Times New Roman"/>
          <w:sz w:val="24"/>
          <w:szCs w:val="24"/>
        </w:rPr>
        <w:t>On the other hand, PacifiCorp</w:t>
      </w:r>
      <w:r w:rsidR="008678EA" w:rsidRPr="00887781">
        <w:rPr>
          <w:rFonts w:ascii="Times New Roman" w:hAnsi="Times New Roman" w:cs="Times New Roman"/>
          <w:sz w:val="24"/>
          <w:szCs w:val="24"/>
        </w:rPr>
        <w:t xml:space="preserve"> wants ratepayers to get no benefits from these transactions.  The Company suggests GRID fully utilizes the transmission system by making what it calls </w:t>
      </w:r>
    </w:p>
    <w:p w:rsidR="008678EA" w:rsidRPr="00887781" w:rsidRDefault="008678EA" w:rsidP="00D54A24">
      <w:pPr>
        <w:pStyle w:val="ListParagraph"/>
        <w:spacing w:after="0" w:line="480" w:lineRule="exact"/>
        <w:ind w:left="0"/>
        <w:rPr>
          <w:rFonts w:ascii="Times New Roman" w:hAnsi="Times New Roman" w:cs="Times New Roman"/>
          <w:sz w:val="24"/>
          <w:szCs w:val="24"/>
        </w:rPr>
      </w:pPr>
      <w:r w:rsidRPr="00887781">
        <w:rPr>
          <w:rFonts w:ascii="Times New Roman" w:hAnsi="Times New Roman" w:cs="Times New Roman"/>
          <w:sz w:val="24"/>
          <w:szCs w:val="24"/>
        </w:rPr>
        <w:lastRenderedPageBreak/>
        <w:t>arbitrage transactions through system balancing sales and purchases.</w:t>
      </w:r>
      <w:r w:rsidRPr="008678EA">
        <w:rPr>
          <w:vertAlign w:val="superscript"/>
        </w:rPr>
        <w:footnoteReference w:id="85"/>
      </w:r>
      <w:r w:rsidRPr="00887781">
        <w:rPr>
          <w:rFonts w:ascii="Times New Roman" w:hAnsi="Times New Roman" w:cs="Times New Roman"/>
          <w:sz w:val="24"/>
          <w:szCs w:val="24"/>
        </w:rPr>
        <w:t xml:space="preserve">  However, while GRID includes some transactions related to balancing the company’s loads and resources, the Company has not demonstrated these are the same transactions summarized in Staff’s confidential table in Exhibit </w:t>
      </w:r>
      <w:r w:rsidR="00BA05A6">
        <w:rPr>
          <w:rFonts w:ascii="Times New Roman" w:hAnsi="Times New Roman" w:cs="Times New Roman"/>
          <w:sz w:val="24"/>
          <w:szCs w:val="24"/>
        </w:rPr>
        <w:t xml:space="preserve">No. </w:t>
      </w:r>
      <w:r w:rsidRPr="00887781">
        <w:rPr>
          <w:rFonts w:ascii="Times New Roman" w:hAnsi="Times New Roman" w:cs="Times New Roman"/>
          <w:sz w:val="24"/>
          <w:szCs w:val="24"/>
        </w:rPr>
        <w:t>APB-1</w:t>
      </w:r>
      <w:r w:rsidR="00A7552B">
        <w:rPr>
          <w:rFonts w:ascii="Times New Roman" w:hAnsi="Times New Roman" w:cs="Times New Roman"/>
          <w:sz w:val="24"/>
          <w:szCs w:val="24"/>
        </w:rPr>
        <w:t>CT</w:t>
      </w:r>
      <w:r w:rsidRPr="00887781">
        <w:rPr>
          <w:rFonts w:ascii="Times New Roman" w:hAnsi="Times New Roman" w:cs="Times New Roman"/>
          <w:sz w:val="24"/>
          <w:szCs w:val="24"/>
        </w:rPr>
        <w:t xml:space="preserve"> at 7:18-22.  In fact, when PacifiCorp was offered the opportunity to defend its position by quantifying the level of arbitrage margins in GRID, it declined</w:t>
      </w:r>
      <w:r w:rsidR="0080703B">
        <w:rPr>
          <w:rFonts w:ascii="Times New Roman" w:hAnsi="Times New Roman" w:cs="Times New Roman"/>
          <w:sz w:val="24"/>
          <w:szCs w:val="24"/>
        </w:rPr>
        <w:t>.</w:t>
      </w:r>
      <w:r w:rsidRPr="008678EA">
        <w:rPr>
          <w:rStyle w:val="FootnoteReference"/>
          <w:rFonts w:ascii="Times New Roman" w:hAnsi="Times New Roman" w:cs="Times New Roman"/>
          <w:sz w:val="24"/>
          <w:szCs w:val="24"/>
        </w:rPr>
        <w:footnoteReference w:id="86"/>
      </w:r>
      <w:r w:rsidRPr="00887781">
        <w:rPr>
          <w:rFonts w:ascii="Times New Roman" w:hAnsi="Times New Roman" w:cs="Times New Roman"/>
          <w:sz w:val="24"/>
          <w:szCs w:val="24"/>
        </w:rPr>
        <w:t xml:space="preserve">  </w:t>
      </w:r>
    </w:p>
    <w:p w:rsidR="0096310C" w:rsidRDefault="00887781" w:rsidP="0022264C">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8678EA" w:rsidRPr="00887781">
        <w:rPr>
          <w:rFonts w:ascii="Times New Roman" w:hAnsi="Times New Roman" w:cs="Times New Roman"/>
          <w:sz w:val="24"/>
          <w:szCs w:val="24"/>
        </w:rPr>
        <w:t>PacifiCorp misses the point when it suggests this adjustment represents “selective and inconsistent departure from normalized NPC modeling”</w:t>
      </w:r>
      <w:r w:rsidR="00BA05A6">
        <w:rPr>
          <w:rFonts w:ascii="Times New Roman" w:hAnsi="Times New Roman" w:cs="Times New Roman"/>
          <w:sz w:val="24"/>
          <w:szCs w:val="24"/>
        </w:rPr>
        <w:t>.</w:t>
      </w:r>
      <w:r w:rsidR="008678EA" w:rsidRPr="008678EA">
        <w:rPr>
          <w:rStyle w:val="FootnoteReference"/>
          <w:rFonts w:ascii="Times New Roman" w:hAnsi="Times New Roman" w:cs="Times New Roman"/>
          <w:sz w:val="24"/>
          <w:szCs w:val="24"/>
        </w:rPr>
        <w:footnoteReference w:id="87"/>
      </w:r>
      <w:r w:rsidR="008678EA" w:rsidRPr="00887781">
        <w:rPr>
          <w:rFonts w:ascii="Times New Roman" w:hAnsi="Times New Roman" w:cs="Times New Roman"/>
          <w:sz w:val="24"/>
          <w:szCs w:val="24"/>
        </w:rPr>
        <w:t xml:space="preserve">  The point is the ratepayers are paying the cost of the transmission system, and that cost should be matched with the benefits.  When the benefits are not modeled, they should be normalized, which is what Staff’s adjustment accomplishes.  </w:t>
      </w:r>
      <w:r w:rsidR="008678EA" w:rsidRPr="0080703B">
        <w:rPr>
          <w:rFonts w:ascii="Times New Roman" w:hAnsi="Times New Roman" w:cs="Times New Roman"/>
          <w:sz w:val="24"/>
          <w:szCs w:val="24"/>
        </w:rPr>
        <w:t xml:space="preserve">These transactions are of sufficient magnitude every year to warrant normalization, and Staff’s four-year average </w:t>
      </w:r>
      <w:r w:rsidR="00BA05A6" w:rsidRPr="0080703B">
        <w:rPr>
          <w:rFonts w:ascii="Times New Roman" w:hAnsi="Times New Roman" w:cs="Times New Roman"/>
          <w:sz w:val="24"/>
          <w:szCs w:val="24"/>
        </w:rPr>
        <w:t>(</w:t>
      </w:r>
      <w:r w:rsidR="008678EA" w:rsidRPr="0080703B">
        <w:rPr>
          <w:rFonts w:ascii="Times New Roman" w:hAnsi="Times New Roman" w:cs="Times New Roman"/>
          <w:sz w:val="24"/>
          <w:szCs w:val="24"/>
        </w:rPr>
        <w:t xml:space="preserve">less </w:t>
      </w:r>
      <w:r w:rsidR="00BA05A6" w:rsidRPr="0080703B">
        <w:rPr>
          <w:rFonts w:ascii="Times New Roman" w:hAnsi="Times New Roman" w:cs="Times New Roman"/>
          <w:sz w:val="24"/>
          <w:szCs w:val="24"/>
        </w:rPr>
        <w:t xml:space="preserve">the </w:t>
      </w:r>
      <w:r w:rsidR="008678EA" w:rsidRPr="0080703B">
        <w:rPr>
          <w:rFonts w:ascii="Times New Roman" w:hAnsi="Times New Roman" w:cs="Times New Roman"/>
          <w:sz w:val="24"/>
          <w:szCs w:val="24"/>
        </w:rPr>
        <w:t>10 percent incentive</w:t>
      </w:r>
      <w:r w:rsidR="00BA05A6" w:rsidRPr="0080703B">
        <w:rPr>
          <w:rFonts w:ascii="Times New Roman" w:hAnsi="Times New Roman" w:cs="Times New Roman"/>
          <w:sz w:val="24"/>
          <w:szCs w:val="24"/>
        </w:rPr>
        <w:t>)</w:t>
      </w:r>
      <w:r w:rsidR="008678EA" w:rsidRPr="00887781">
        <w:rPr>
          <w:rFonts w:ascii="Times New Roman" w:hAnsi="Times New Roman" w:cs="Times New Roman"/>
          <w:sz w:val="24"/>
          <w:szCs w:val="24"/>
        </w:rPr>
        <w:t xml:space="preserve"> </w:t>
      </w:r>
      <w:r w:rsidR="008678EA" w:rsidRPr="0080703B">
        <w:rPr>
          <w:rFonts w:ascii="Times New Roman" w:hAnsi="Times New Roman" w:cs="Times New Roman"/>
          <w:sz w:val="24"/>
          <w:szCs w:val="24"/>
        </w:rPr>
        <w:t xml:space="preserve">is </w:t>
      </w:r>
      <w:r w:rsidR="00BA05A6" w:rsidRPr="0080703B">
        <w:rPr>
          <w:rFonts w:ascii="Times New Roman" w:hAnsi="Times New Roman" w:cs="Times New Roman"/>
          <w:sz w:val="24"/>
          <w:szCs w:val="24"/>
        </w:rPr>
        <w:t>plainly</w:t>
      </w:r>
      <w:r w:rsidR="008678EA" w:rsidRPr="0080703B">
        <w:rPr>
          <w:rFonts w:ascii="Times New Roman" w:hAnsi="Times New Roman" w:cs="Times New Roman"/>
          <w:sz w:val="24"/>
          <w:szCs w:val="24"/>
        </w:rPr>
        <w:t xml:space="preserve"> fair.  Zero is plainly unfair.</w:t>
      </w:r>
    </w:p>
    <w:p w:rsidR="0096310C" w:rsidRDefault="00AE72F6" w:rsidP="0022264C">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80703B" w:rsidRPr="00AE72F6">
        <w:rPr>
          <w:rFonts w:ascii="Times New Roman" w:hAnsi="Times New Roman" w:cs="Times New Roman"/>
          <w:sz w:val="24"/>
          <w:szCs w:val="24"/>
        </w:rPr>
        <w:t>For these reasons, t</w:t>
      </w:r>
      <w:r w:rsidR="008678EA" w:rsidRPr="00AE72F6">
        <w:rPr>
          <w:rFonts w:ascii="Times New Roman" w:hAnsi="Times New Roman" w:cs="Times New Roman"/>
          <w:sz w:val="24"/>
          <w:szCs w:val="24"/>
        </w:rPr>
        <w:t>he Commission should accept Staff’s Arbitrage Sales margin adjustment.</w:t>
      </w:r>
    </w:p>
    <w:p w:rsidR="008678EA" w:rsidRPr="00AE72F6" w:rsidRDefault="008678EA" w:rsidP="008678EA">
      <w:pPr>
        <w:spacing w:after="0" w:line="480" w:lineRule="exact"/>
        <w:rPr>
          <w:rFonts w:ascii="Times New Roman" w:hAnsi="Times New Roman" w:cs="Times New Roman"/>
          <w:b/>
          <w:sz w:val="24"/>
          <w:szCs w:val="24"/>
        </w:rPr>
      </w:pPr>
      <w:r w:rsidRPr="00AE72F6">
        <w:rPr>
          <w:rFonts w:ascii="Times New Roman" w:hAnsi="Times New Roman" w:cs="Times New Roman"/>
          <w:b/>
          <w:sz w:val="24"/>
          <w:szCs w:val="24"/>
        </w:rPr>
        <w:tab/>
      </w:r>
      <w:r w:rsidR="0080703B" w:rsidRPr="00AE72F6">
        <w:rPr>
          <w:rFonts w:ascii="Times New Roman" w:hAnsi="Times New Roman" w:cs="Times New Roman"/>
          <w:b/>
          <w:sz w:val="24"/>
          <w:szCs w:val="24"/>
        </w:rPr>
        <w:t>2</w:t>
      </w:r>
      <w:r w:rsidRPr="00AE72F6">
        <w:rPr>
          <w:rFonts w:ascii="Times New Roman" w:hAnsi="Times New Roman" w:cs="Times New Roman"/>
          <w:b/>
          <w:sz w:val="24"/>
          <w:szCs w:val="24"/>
        </w:rPr>
        <w:t>.</w:t>
      </w:r>
      <w:r w:rsidRPr="00AE72F6">
        <w:rPr>
          <w:rFonts w:ascii="Times New Roman" w:hAnsi="Times New Roman" w:cs="Times New Roman"/>
          <w:b/>
          <w:sz w:val="24"/>
          <w:szCs w:val="24"/>
        </w:rPr>
        <w:tab/>
        <w:t>SMUD Contract Shaping</w:t>
      </w:r>
    </w:p>
    <w:p w:rsidR="008678EA" w:rsidRPr="00887781" w:rsidRDefault="00887781" w:rsidP="00C16EA4">
      <w:pPr>
        <w:pStyle w:val="ListParagraph"/>
        <w:numPr>
          <w:ilvl w:val="0"/>
          <w:numId w:val="3"/>
        </w:numPr>
        <w:spacing w:after="0" w:line="480" w:lineRule="exact"/>
        <w:rPr>
          <w:rFonts w:ascii="Times New Roman" w:hAnsi="Times New Roman" w:cs="Times New Roman"/>
          <w:bCs/>
          <w:sz w:val="24"/>
          <w:szCs w:val="24"/>
        </w:rPr>
      </w:pPr>
      <w:r w:rsidRPr="00AE72F6">
        <w:rPr>
          <w:rFonts w:ascii="Times New Roman" w:hAnsi="Times New Roman" w:cs="Times New Roman"/>
          <w:sz w:val="24"/>
          <w:szCs w:val="24"/>
        </w:rPr>
        <w:tab/>
      </w:r>
      <w:r w:rsidR="008678EA" w:rsidRPr="00AE72F6">
        <w:rPr>
          <w:rFonts w:ascii="Times New Roman" w:hAnsi="Times New Roman" w:cs="Times New Roman"/>
          <w:sz w:val="24"/>
          <w:szCs w:val="24"/>
        </w:rPr>
        <w:t>PacifiCorp has a sale for resale contract with the Sacramento Municipal Utility District (SMUD).  PacifiCorp models the SMUD contract in GRID assuming the hi</w:t>
      </w:r>
      <w:r w:rsidR="008678EA" w:rsidRPr="0080703B">
        <w:rPr>
          <w:rFonts w:ascii="Times New Roman" w:hAnsi="Times New Roman" w:cs="Times New Roman"/>
          <w:sz w:val="24"/>
          <w:szCs w:val="24"/>
        </w:rPr>
        <w:t>g</w:t>
      </w:r>
      <w:r w:rsidR="008678EA" w:rsidRPr="00AE72F6">
        <w:rPr>
          <w:rFonts w:ascii="Times New Roman" w:hAnsi="Times New Roman" w:cs="Times New Roman"/>
          <w:sz w:val="24"/>
          <w:szCs w:val="24"/>
        </w:rPr>
        <w:t>he</w:t>
      </w:r>
      <w:r w:rsidR="008678EA" w:rsidRPr="0080703B">
        <w:rPr>
          <w:rFonts w:ascii="Times New Roman" w:hAnsi="Times New Roman" w:cs="Times New Roman"/>
          <w:sz w:val="24"/>
          <w:szCs w:val="24"/>
        </w:rPr>
        <w:t xml:space="preserve">st cost to PacifiCorp, resulting in PacifiCorp making </w:t>
      </w:r>
      <w:r w:rsidR="008678EA" w:rsidRPr="0080703B">
        <w:rPr>
          <w:rFonts w:ascii="Times New Roman" w:hAnsi="Times New Roman" w:cs="Times New Roman"/>
          <w:bCs/>
          <w:sz w:val="24"/>
          <w:szCs w:val="24"/>
        </w:rPr>
        <w:t>no deliveries to SMUD in the months of April through June; the tradition</w:t>
      </w:r>
      <w:r w:rsidR="008678EA" w:rsidRPr="00887781">
        <w:rPr>
          <w:rFonts w:ascii="Times New Roman" w:hAnsi="Times New Roman" w:cs="Times New Roman"/>
          <w:bCs/>
          <w:sz w:val="24"/>
          <w:szCs w:val="24"/>
        </w:rPr>
        <w:t>al “low-cost” months for regional utilities.</w:t>
      </w:r>
      <w:r w:rsidR="008678EA" w:rsidRPr="008678EA">
        <w:rPr>
          <w:bCs/>
          <w:vertAlign w:val="superscript"/>
        </w:rPr>
        <w:footnoteReference w:id="88"/>
      </w:r>
      <w:r w:rsidR="008678EA" w:rsidRPr="00887781">
        <w:rPr>
          <w:rFonts w:ascii="Times New Roman" w:hAnsi="Times New Roman" w:cs="Times New Roman"/>
          <w:bCs/>
          <w:sz w:val="24"/>
          <w:szCs w:val="24"/>
        </w:rPr>
        <w:t xml:space="preserve">  If SMUD were to actually take energy during these months under the contract, the cost to PacifiCorp would be less</w:t>
      </w:r>
      <w:r w:rsidR="0080703B">
        <w:rPr>
          <w:rFonts w:ascii="Times New Roman" w:hAnsi="Times New Roman" w:cs="Times New Roman"/>
          <w:bCs/>
          <w:sz w:val="24"/>
          <w:szCs w:val="24"/>
        </w:rPr>
        <w:t>,</w:t>
      </w:r>
      <w:r w:rsidR="008678EA" w:rsidRPr="00887781">
        <w:rPr>
          <w:rFonts w:ascii="Times New Roman" w:hAnsi="Times New Roman" w:cs="Times New Roman"/>
          <w:bCs/>
          <w:sz w:val="24"/>
          <w:szCs w:val="24"/>
        </w:rPr>
        <w:t xml:space="preserve"> and the Company’s normalized net power costs would be reduced.</w:t>
      </w:r>
      <w:r w:rsidR="008678EA" w:rsidRPr="008678EA">
        <w:rPr>
          <w:bCs/>
          <w:vertAlign w:val="superscript"/>
        </w:rPr>
        <w:footnoteReference w:id="89"/>
      </w:r>
      <w:r w:rsidR="008678EA" w:rsidRPr="00887781">
        <w:rPr>
          <w:rFonts w:ascii="Times New Roman" w:hAnsi="Times New Roman" w:cs="Times New Roman"/>
          <w:bCs/>
          <w:sz w:val="24"/>
          <w:szCs w:val="24"/>
        </w:rPr>
        <w:t xml:space="preserve">  </w:t>
      </w:r>
    </w:p>
    <w:p w:rsidR="008678EA" w:rsidRPr="00887781" w:rsidRDefault="00887781"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bCs/>
          <w:sz w:val="24"/>
          <w:szCs w:val="24"/>
        </w:rPr>
        <w:tab/>
      </w:r>
      <w:r w:rsidR="008678EA" w:rsidRPr="00887781">
        <w:rPr>
          <w:rFonts w:ascii="Times New Roman" w:hAnsi="Times New Roman" w:cs="Times New Roman"/>
          <w:bCs/>
          <w:sz w:val="24"/>
          <w:szCs w:val="24"/>
        </w:rPr>
        <w:t xml:space="preserve">In fact, the historical data show significant deliveries by PacifiCorp to SMUD </w:t>
      </w:r>
      <w:r w:rsidR="008678EA" w:rsidRPr="00887781">
        <w:rPr>
          <w:rFonts w:ascii="Times New Roman" w:hAnsi="Times New Roman" w:cs="Times New Roman"/>
          <w:sz w:val="24"/>
          <w:szCs w:val="24"/>
        </w:rPr>
        <w:t>in the lower cost months of April through June</w:t>
      </w:r>
      <w:r w:rsidR="00BA05A6">
        <w:rPr>
          <w:rFonts w:ascii="Times New Roman" w:hAnsi="Times New Roman" w:cs="Times New Roman"/>
          <w:sz w:val="24"/>
          <w:szCs w:val="24"/>
        </w:rPr>
        <w:t xml:space="preserve"> each year</w:t>
      </w:r>
      <w:r w:rsidR="008678EA" w:rsidRPr="00887781">
        <w:rPr>
          <w:rFonts w:ascii="Times New Roman" w:hAnsi="Times New Roman" w:cs="Times New Roman"/>
          <w:sz w:val="24"/>
          <w:szCs w:val="24"/>
        </w:rPr>
        <w:t>.</w:t>
      </w:r>
      <w:r w:rsidR="008678EA" w:rsidRPr="008678EA">
        <w:rPr>
          <w:vertAlign w:val="superscript"/>
        </w:rPr>
        <w:footnoteReference w:id="90"/>
      </w:r>
      <w:r w:rsidR="008678EA" w:rsidRPr="00887781">
        <w:rPr>
          <w:rFonts w:ascii="Times New Roman" w:hAnsi="Times New Roman" w:cs="Times New Roman"/>
          <w:sz w:val="24"/>
          <w:szCs w:val="24"/>
        </w:rPr>
        <w:t xml:space="preserve">  Consequently, </w:t>
      </w:r>
      <w:r w:rsidR="00A31975">
        <w:rPr>
          <w:rFonts w:ascii="Times New Roman" w:hAnsi="Times New Roman" w:cs="Times New Roman"/>
          <w:sz w:val="24"/>
          <w:szCs w:val="24"/>
        </w:rPr>
        <w:t xml:space="preserve">Staff reduced Net Power </w:t>
      </w:r>
      <w:r w:rsidR="00A31975">
        <w:rPr>
          <w:rFonts w:ascii="Times New Roman" w:hAnsi="Times New Roman" w:cs="Times New Roman"/>
          <w:sz w:val="24"/>
          <w:szCs w:val="24"/>
        </w:rPr>
        <w:lastRenderedPageBreak/>
        <w:t xml:space="preserve">Costs by an estimated </w:t>
      </w:r>
      <w:r w:rsidR="008678EA" w:rsidRPr="00887781">
        <w:rPr>
          <w:rFonts w:ascii="Times New Roman" w:hAnsi="Times New Roman" w:cs="Times New Roman"/>
          <w:sz w:val="24"/>
          <w:szCs w:val="24"/>
        </w:rPr>
        <w:t>$2,499,818 for the total West Control Area, or $</w:t>
      </w:r>
      <w:r w:rsidR="008B0FB1">
        <w:rPr>
          <w:rFonts w:ascii="Times New Roman" w:hAnsi="Times New Roman" w:cs="Times New Roman"/>
          <w:sz w:val="24"/>
          <w:szCs w:val="24"/>
        </w:rPr>
        <w:t>552,137</w:t>
      </w:r>
      <w:r w:rsidR="008678EA" w:rsidRPr="00887781">
        <w:rPr>
          <w:rFonts w:ascii="Times New Roman" w:hAnsi="Times New Roman" w:cs="Times New Roman"/>
          <w:sz w:val="24"/>
          <w:szCs w:val="24"/>
        </w:rPr>
        <w:t xml:space="preserve"> for Washington.</w:t>
      </w:r>
      <w:r w:rsidR="008678EA" w:rsidRPr="008678EA">
        <w:rPr>
          <w:vertAlign w:val="superscript"/>
        </w:rPr>
        <w:footnoteReference w:id="91"/>
      </w:r>
      <w:r w:rsidR="008678EA" w:rsidRPr="00887781">
        <w:rPr>
          <w:rFonts w:ascii="Times New Roman" w:hAnsi="Times New Roman" w:cs="Times New Roman"/>
          <w:sz w:val="24"/>
          <w:szCs w:val="24"/>
        </w:rPr>
        <w:t xml:space="preserve">  ICNU makes the same adjustment,</w:t>
      </w:r>
      <w:r w:rsidR="008678EA" w:rsidRPr="008678EA">
        <w:rPr>
          <w:vertAlign w:val="superscript"/>
        </w:rPr>
        <w:footnoteReference w:id="92"/>
      </w:r>
      <w:r w:rsidR="008678EA" w:rsidRPr="00887781">
        <w:rPr>
          <w:rFonts w:ascii="Times New Roman" w:hAnsi="Times New Roman" w:cs="Times New Roman"/>
          <w:sz w:val="24"/>
          <w:szCs w:val="24"/>
        </w:rPr>
        <w:t xml:space="preserve"> though the amounts differ because ICNU used GRID to calculate the amount, while Staff did not.</w:t>
      </w:r>
    </w:p>
    <w:p w:rsidR="008678EA" w:rsidRPr="00887781" w:rsidRDefault="00887781"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8678EA" w:rsidRPr="00887781">
        <w:rPr>
          <w:rFonts w:ascii="Times New Roman" w:hAnsi="Times New Roman" w:cs="Times New Roman"/>
          <w:sz w:val="24"/>
          <w:szCs w:val="24"/>
        </w:rPr>
        <w:t xml:space="preserve">PacifiCorp contests the adjustment, apparently on the basis that modeling should trump </w:t>
      </w:r>
      <w:r w:rsidR="00BA05A6">
        <w:rPr>
          <w:rFonts w:ascii="Times New Roman" w:hAnsi="Times New Roman" w:cs="Times New Roman"/>
          <w:sz w:val="24"/>
          <w:szCs w:val="24"/>
        </w:rPr>
        <w:t>experience</w:t>
      </w:r>
      <w:r w:rsidR="008678EA" w:rsidRPr="00887781">
        <w:rPr>
          <w:rFonts w:ascii="Times New Roman" w:hAnsi="Times New Roman" w:cs="Times New Roman"/>
          <w:sz w:val="24"/>
          <w:szCs w:val="24"/>
        </w:rPr>
        <w:t>.  The Company says Staff and ICNU violate “reasonable principles of consistency and fairness”, alleging we optimize flexible contracts only when it lowers net power costs.</w:t>
      </w:r>
      <w:r w:rsidR="008678EA" w:rsidRPr="008678EA">
        <w:rPr>
          <w:vertAlign w:val="superscript"/>
        </w:rPr>
        <w:footnoteReference w:id="93"/>
      </w:r>
    </w:p>
    <w:p w:rsidR="008678EA" w:rsidRPr="00887781" w:rsidRDefault="00887781"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8678EA" w:rsidRPr="00887781">
        <w:rPr>
          <w:rFonts w:ascii="Times New Roman" w:hAnsi="Times New Roman" w:cs="Times New Roman"/>
          <w:sz w:val="24"/>
          <w:szCs w:val="24"/>
        </w:rPr>
        <w:t xml:space="preserve">We suggest it is the Company’s concern that is not fair.  The Company should use all available information to carry out modeling.  GRID inputs should best represent how the resources and contracts are </w:t>
      </w:r>
      <w:r w:rsidR="007C68F8">
        <w:rPr>
          <w:rFonts w:ascii="Times New Roman" w:hAnsi="Times New Roman" w:cs="Times New Roman"/>
          <w:sz w:val="24"/>
          <w:szCs w:val="24"/>
        </w:rPr>
        <w:t xml:space="preserve">operated or </w:t>
      </w:r>
      <w:r w:rsidR="008678EA" w:rsidRPr="00887781">
        <w:rPr>
          <w:rFonts w:ascii="Times New Roman" w:hAnsi="Times New Roman" w:cs="Times New Roman"/>
          <w:sz w:val="24"/>
          <w:szCs w:val="24"/>
        </w:rPr>
        <w:t xml:space="preserve">used.  If a particular contract has a definable shape, such as the SMUD contract, that information should be used.  Allowing GRID to optimize the contract without considering the history of actual operations is </w:t>
      </w:r>
      <w:r w:rsidR="00BA05A6">
        <w:rPr>
          <w:rFonts w:ascii="Times New Roman" w:hAnsi="Times New Roman" w:cs="Times New Roman"/>
          <w:sz w:val="24"/>
          <w:szCs w:val="24"/>
        </w:rPr>
        <w:t>not</w:t>
      </w:r>
      <w:r w:rsidR="008678EA" w:rsidRPr="00887781">
        <w:rPr>
          <w:rFonts w:ascii="Times New Roman" w:hAnsi="Times New Roman" w:cs="Times New Roman"/>
          <w:sz w:val="24"/>
          <w:szCs w:val="24"/>
        </w:rPr>
        <w:t xml:space="preserve"> reasonable, consistent, or fair.  </w:t>
      </w:r>
    </w:p>
    <w:p w:rsidR="008678EA" w:rsidRPr="00887781" w:rsidRDefault="00887781"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8678EA" w:rsidRPr="00887781">
        <w:rPr>
          <w:rFonts w:ascii="Times New Roman" w:hAnsi="Times New Roman" w:cs="Times New Roman"/>
          <w:sz w:val="24"/>
          <w:szCs w:val="24"/>
        </w:rPr>
        <w:t xml:space="preserve">In fact, historical operations are used to determine many power supply expenses, such as planned outages, resource availability, wind patterns, and so on.  While it is true not all power contracts have a recognizable historical shape to their deliveries, when they do, that information should be modeled.  </w:t>
      </w:r>
    </w:p>
    <w:p w:rsidR="008678EA" w:rsidRPr="00887781" w:rsidRDefault="00887781"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8678EA" w:rsidRPr="00887781">
        <w:rPr>
          <w:rFonts w:ascii="Times New Roman" w:hAnsi="Times New Roman" w:cs="Times New Roman"/>
          <w:sz w:val="24"/>
          <w:szCs w:val="24"/>
        </w:rPr>
        <w:t>PacifiCorp goes on to suggest the Commission must treat the SMUD contract the same as a BPA purchase contract.</w:t>
      </w:r>
      <w:r w:rsidR="008678EA" w:rsidRPr="008678EA">
        <w:rPr>
          <w:vertAlign w:val="superscript"/>
        </w:rPr>
        <w:footnoteReference w:id="94"/>
      </w:r>
      <w:r w:rsidR="008678EA" w:rsidRPr="00887781">
        <w:rPr>
          <w:rFonts w:ascii="Times New Roman" w:hAnsi="Times New Roman" w:cs="Times New Roman"/>
          <w:sz w:val="24"/>
          <w:szCs w:val="24"/>
        </w:rPr>
        <w:t xml:space="preserve">  Staff’s point is simply that, if there real and recognizable difference between contracts, they </w:t>
      </w:r>
      <w:r w:rsidR="0080703B">
        <w:rPr>
          <w:rFonts w:ascii="Times New Roman" w:hAnsi="Times New Roman" w:cs="Times New Roman"/>
          <w:sz w:val="24"/>
          <w:szCs w:val="24"/>
        </w:rPr>
        <w:t>need</w:t>
      </w:r>
      <w:r w:rsidR="008678EA" w:rsidRPr="00887781">
        <w:rPr>
          <w:rFonts w:ascii="Times New Roman" w:hAnsi="Times New Roman" w:cs="Times New Roman"/>
          <w:sz w:val="24"/>
          <w:szCs w:val="24"/>
        </w:rPr>
        <w:t xml:space="preserve"> not be treated the same.  </w:t>
      </w:r>
      <w:r w:rsidR="00BA05A6">
        <w:rPr>
          <w:rFonts w:ascii="Times New Roman" w:hAnsi="Times New Roman" w:cs="Times New Roman"/>
          <w:sz w:val="24"/>
          <w:szCs w:val="24"/>
        </w:rPr>
        <w:t>That is the case here.</w:t>
      </w:r>
    </w:p>
    <w:p w:rsidR="008678EA" w:rsidRPr="00887781" w:rsidRDefault="00887781"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8678EA" w:rsidRPr="00887781">
        <w:rPr>
          <w:rFonts w:ascii="Times New Roman" w:hAnsi="Times New Roman" w:cs="Times New Roman"/>
          <w:sz w:val="24"/>
          <w:szCs w:val="24"/>
        </w:rPr>
        <w:t>Finally, the Company points to part of the SMUD contract called the “provisional” clause, under which energy provided to SMUD is returned to PacifiCorp, and attempt to use Exhibit No. GND-9 to suggest there may be an offsetting sale to PacifiCorp from SMUD.</w:t>
      </w:r>
      <w:r w:rsidR="008678EA" w:rsidRPr="008678EA">
        <w:rPr>
          <w:vertAlign w:val="superscript"/>
        </w:rPr>
        <w:footnoteReference w:id="95"/>
      </w:r>
      <w:r w:rsidR="008678EA" w:rsidRPr="00887781">
        <w:rPr>
          <w:rFonts w:ascii="Times New Roman" w:hAnsi="Times New Roman" w:cs="Times New Roman"/>
          <w:sz w:val="24"/>
          <w:szCs w:val="24"/>
        </w:rPr>
        <w:t xml:space="preserve">  In fact, this exhibit confirms seasonality of the SMUD contract and why it should be modeled as such.</w:t>
      </w:r>
    </w:p>
    <w:p w:rsidR="00D54A24" w:rsidRDefault="00D54A24">
      <w:pPr>
        <w:rPr>
          <w:rFonts w:ascii="Times New Roman" w:hAnsi="Times New Roman" w:cs="Times New Roman"/>
          <w:b/>
          <w:sz w:val="24"/>
          <w:szCs w:val="24"/>
        </w:rPr>
        <w:sectPr w:rsidR="00D54A24" w:rsidSect="00D54A24">
          <w:footerReference w:type="default" r:id="rId12"/>
          <w:pgSz w:w="12240" w:h="15840"/>
          <w:pgMar w:top="1440" w:right="1440" w:bottom="1440" w:left="1440" w:header="720" w:footer="720" w:gutter="0"/>
          <w:cols w:space="720"/>
          <w:docGrid w:linePitch="360"/>
        </w:sectPr>
      </w:pPr>
    </w:p>
    <w:p w:rsidR="0096310C" w:rsidRPr="0022264C" w:rsidRDefault="00AE72F6" w:rsidP="0022264C">
      <w:pPr>
        <w:spacing w:after="0" w:line="480" w:lineRule="exact"/>
        <w:ind w:firstLine="720"/>
        <w:rPr>
          <w:rFonts w:ascii="Times New Roman" w:hAnsi="Times New Roman" w:cs="Times New Roman"/>
          <w:b/>
          <w:sz w:val="24"/>
          <w:szCs w:val="24"/>
        </w:rPr>
      </w:pPr>
      <w:r>
        <w:rPr>
          <w:rFonts w:ascii="Times New Roman" w:hAnsi="Times New Roman" w:cs="Times New Roman"/>
          <w:b/>
          <w:sz w:val="24"/>
          <w:szCs w:val="24"/>
        </w:rPr>
        <w:lastRenderedPageBreak/>
        <w:t>3</w:t>
      </w:r>
      <w:r w:rsidR="005F7905" w:rsidRPr="0022264C">
        <w:rPr>
          <w:rFonts w:ascii="Times New Roman" w:hAnsi="Times New Roman" w:cs="Times New Roman"/>
          <w:b/>
          <w:sz w:val="24"/>
          <w:szCs w:val="24"/>
        </w:rPr>
        <w:t>.</w:t>
      </w:r>
      <w:r w:rsidR="005F7905" w:rsidRPr="0022264C">
        <w:rPr>
          <w:rFonts w:ascii="Times New Roman" w:hAnsi="Times New Roman" w:cs="Times New Roman"/>
          <w:b/>
          <w:sz w:val="24"/>
          <w:szCs w:val="24"/>
        </w:rPr>
        <w:tab/>
        <w:t>Colstrip Outage Adjustment</w:t>
      </w:r>
    </w:p>
    <w:p w:rsidR="008678EA" w:rsidRPr="00887781" w:rsidRDefault="00887781"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8678EA" w:rsidRPr="00887781">
        <w:rPr>
          <w:rFonts w:ascii="Times New Roman" w:hAnsi="Times New Roman" w:cs="Times New Roman"/>
          <w:sz w:val="24"/>
          <w:szCs w:val="24"/>
        </w:rPr>
        <w:t xml:space="preserve">PacifiCorp is part owner of the Colstrip 4 coal plant.  </w:t>
      </w:r>
      <w:r w:rsidR="00BA05A6">
        <w:rPr>
          <w:rFonts w:ascii="Times New Roman" w:hAnsi="Times New Roman" w:cs="Times New Roman"/>
          <w:sz w:val="24"/>
          <w:szCs w:val="24"/>
        </w:rPr>
        <w:t>An unprecedented outage occurred at the plant d</w:t>
      </w:r>
      <w:r w:rsidR="008678EA" w:rsidRPr="00887781">
        <w:rPr>
          <w:rFonts w:ascii="Times New Roman" w:hAnsi="Times New Roman" w:cs="Times New Roman"/>
          <w:sz w:val="24"/>
          <w:szCs w:val="24"/>
        </w:rPr>
        <w:t xml:space="preserve">uring the test year 2009, </w:t>
      </w:r>
      <w:r w:rsidR="00BA05A6">
        <w:rPr>
          <w:rFonts w:ascii="Times New Roman" w:hAnsi="Times New Roman" w:cs="Times New Roman"/>
          <w:sz w:val="24"/>
          <w:szCs w:val="24"/>
        </w:rPr>
        <w:t xml:space="preserve">extending </w:t>
      </w:r>
      <w:r w:rsidR="00F2441E">
        <w:rPr>
          <w:rFonts w:ascii="Times New Roman" w:hAnsi="Times New Roman" w:cs="Times New Roman"/>
          <w:sz w:val="24"/>
          <w:szCs w:val="24"/>
        </w:rPr>
        <w:t>from</w:t>
      </w:r>
      <w:r w:rsidR="008678EA" w:rsidRPr="00887781">
        <w:rPr>
          <w:rFonts w:ascii="Times New Roman" w:hAnsi="Times New Roman" w:cs="Times New Roman"/>
          <w:sz w:val="24"/>
          <w:szCs w:val="24"/>
        </w:rPr>
        <w:t xml:space="preserve"> late March to almost the end of October.</w:t>
      </w:r>
      <w:r w:rsidR="008678EA" w:rsidRPr="008678EA">
        <w:rPr>
          <w:rStyle w:val="FootnoteReference"/>
          <w:rFonts w:ascii="Times New Roman" w:hAnsi="Times New Roman" w:cs="Times New Roman"/>
          <w:sz w:val="24"/>
          <w:szCs w:val="24"/>
        </w:rPr>
        <w:footnoteReference w:id="96"/>
      </w:r>
      <w:r w:rsidR="008678EA" w:rsidRPr="00887781">
        <w:rPr>
          <w:rFonts w:ascii="Times New Roman" w:hAnsi="Times New Roman" w:cs="Times New Roman"/>
          <w:sz w:val="24"/>
          <w:szCs w:val="24"/>
        </w:rPr>
        <w:t xml:space="preserve">  Exhibit No. APB-17C shows this unplanned outage was longer than any other outage at Unit 4, </w:t>
      </w:r>
      <w:r w:rsidR="00BA05A6">
        <w:rPr>
          <w:rFonts w:ascii="Times New Roman" w:hAnsi="Times New Roman" w:cs="Times New Roman"/>
          <w:sz w:val="24"/>
          <w:szCs w:val="24"/>
        </w:rPr>
        <w:t xml:space="preserve">or </w:t>
      </w:r>
      <w:r w:rsidR="008678EA" w:rsidRPr="00887781">
        <w:rPr>
          <w:rFonts w:ascii="Times New Roman" w:hAnsi="Times New Roman" w:cs="Times New Roman"/>
          <w:sz w:val="24"/>
          <w:szCs w:val="24"/>
        </w:rPr>
        <w:t xml:space="preserve">Unit 3, </w:t>
      </w:r>
      <w:r w:rsidR="00BA05A6">
        <w:rPr>
          <w:rFonts w:ascii="Times New Roman" w:hAnsi="Times New Roman" w:cs="Times New Roman"/>
          <w:sz w:val="24"/>
          <w:szCs w:val="24"/>
        </w:rPr>
        <w:t>for that matter</w:t>
      </w:r>
      <w:r w:rsidR="008678EA" w:rsidRPr="00887781">
        <w:rPr>
          <w:rFonts w:ascii="Times New Roman" w:hAnsi="Times New Roman" w:cs="Times New Roman"/>
          <w:sz w:val="24"/>
          <w:szCs w:val="24"/>
        </w:rPr>
        <w:t>.</w:t>
      </w:r>
    </w:p>
    <w:p w:rsidR="008678EA" w:rsidRPr="00887781" w:rsidRDefault="00887781"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8678EA" w:rsidRPr="00887781">
        <w:rPr>
          <w:rFonts w:ascii="Times New Roman" w:hAnsi="Times New Roman" w:cs="Times New Roman"/>
          <w:sz w:val="24"/>
          <w:szCs w:val="24"/>
        </w:rPr>
        <w:t xml:space="preserve">The issue is how to treat this anomalous event for ratemaking purposes.  Staff proposes the Commission use an outage rate of eight percent, which is generous because it is much higher than the </w:t>
      </w:r>
      <w:r w:rsidR="00BA05A6">
        <w:rPr>
          <w:rFonts w:ascii="Times New Roman" w:hAnsi="Times New Roman" w:cs="Times New Roman"/>
          <w:sz w:val="24"/>
          <w:szCs w:val="24"/>
        </w:rPr>
        <w:t xml:space="preserve">actual </w:t>
      </w:r>
      <w:r w:rsidR="008678EA" w:rsidRPr="00887781">
        <w:rPr>
          <w:rFonts w:ascii="Times New Roman" w:hAnsi="Times New Roman" w:cs="Times New Roman"/>
          <w:sz w:val="24"/>
          <w:szCs w:val="24"/>
        </w:rPr>
        <w:t>outage rates for the last several years at Colstrip 4 (excluding the 2009 anomaly).</w:t>
      </w:r>
      <w:r w:rsidR="008678EA" w:rsidRPr="008678EA">
        <w:rPr>
          <w:rStyle w:val="FootnoteReference"/>
          <w:rFonts w:ascii="Times New Roman" w:hAnsi="Times New Roman" w:cs="Times New Roman"/>
          <w:sz w:val="24"/>
          <w:szCs w:val="24"/>
        </w:rPr>
        <w:footnoteReference w:id="97"/>
      </w:r>
      <w:r w:rsidR="008678EA" w:rsidRPr="00887781">
        <w:rPr>
          <w:rFonts w:ascii="Times New Roman" w:hAnsi="Times New Roman" w:cs="Times New Roman"/>
          <w:sz w:val="24"/>
          <w:szCs w:val="24"/>
        </w:rPr>
        <w:t xml:space="preserve">  </w:t>
      </w:r>
    </w:p>
    <w:p w:rsidR="008678EA" w:rsidRPr="00887781" w:rsidRDefault="00887781"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8678EA" w:rsidRPr="00887781">
        <w:rPr>
          <w:rFonts w:ascii="Times New Roman" w:hAnsi="Times New Roman" w:cs="Times New Roman"/>
          <w:sz w:val="24"/>
          <w:szCs w:val="24"/>
        </w:rPr>
        <w:t>By contrast, and based on the observation that extraordinary events “do happen”,</w:t>
      </w:r>
      <w:r w:rsidR="008678EA" w:rsidRPr="008678EA">
        <w:rPr>
          <w:rStyle w:val="FootnoteReference"/>
          <w:rFonts w:ascii="Times New Roman" w:hAnsi="Times New Roman" w:cs="Times New Roman"/>
          <w:sz w:val="24"/>
          <w:szCs w:val="24"/>
        </w:rPr>
        <w:footnoteReference w:id="98"/>
      </w:r>
      <w:r w:rsidR="008678EA" w:rsidRPr="00887781">
        <w:rPr>
          <w:rFonts w:ascii="Times New Roman" w:hAnsi="Times New Roman" w:cs="Times New Roman"/>
          <w:sz w:val="24"/>
          <w:szCs w:val="24"/>
        </w:rPr>
        <w:t xml:space="preserve"> PacifiCorp wants to base Colstrip costs </w:t>
      </w:r>
      <w:r w:rsidR="00BA05A6">
        <w:rPr>
          <w:rFonts w:ascii="Times New Roman" w:hAnsi="Times New Roman" w:cs="Times New Roman"/>
          <w:sz w:val="24"/>
          <w:szCs w:val="24"/>
        </w:rPr>
        <w:t xml:space="preserve">using an average of the last </w:t>
      </w:r>
      <w:r w:rsidR="008678EA" w:rsidRPr="00887781">
        <w:rPr>
          <w:rFonts w:ascii="Times New Roman" w:hAnsi="Times New Roman" w:cs="Times New Roman"/>
          <w:sz w:val="24"/>
          <w:szCs w:val="24"/>
        </w:rPr>
        <w:t>four</w:t>
      </w:r>
      <w:r w:rsidR="00BA05A6">
        <w:rPr>
          <w:rFonts w:ascii="Times New Roman" w:hAnsi="Times New Roman" w:cs="Times New Roman"/>
          <w:sz w:val="24"/>
          <w:szCs w:val="24"/>
        </w:rPr>
        <w:t xml:space="preserve"> </w:t>
      </w:r>
      <w:r w:rsidR="008678EA" w:rsidRPr="00887781">
        <w:rPr>
          <w:rFonts w:ascii="Times New Roman" w:hAnsi="Times New Roman" w:cs="Times New Roman"/>
          <w:sz w:val="24"/>
          <w:szCs w:val="24"/>
        </w:rPr>
        <w:t>year</w:t>
      </w:r>
      <w:r w:rsidR="00BA05A6">
        <w:rPr>
          <w:rFonts w:ascii="Times New Roman" w:hAnsi="Times New Roman" w:cs="Times New Roman"/>
          <w:sz w:val="24"/>
          <w:szCs w:val="24"/>
        </w:rPr>
        <w:t>s of</w:t>
      </w:r>
      <w:r w:rsidR="008678EA" w:rsidRPr="00887781">
        <w:rPr>
          <w:rFonts w:ascii="Times New Roman" w:hAnsi="Times New Roman" w:cs="Times New Roman"/>
          <w:sz w:val="24"/>
          <w:szCs w:val="24"/>
        </w:rPr>
        <w:t xml:space="preserve"> outage</w:t>
      </w:r>
      <w:r w:rsidR="00FC39A4">
        <w:rPr>
          <w:rFonts w:ascii="Times New Roman" w:hAnsi="Times New Roman" w:cs="Times New Roman"/>
          <w:sz w:val="24"/>
          <w:szCs w:val="24"/>
        </w:rPr>
        <w:t xml:space="preserve"> rates,</w:t>
      </w:r>
      <w:r w:rsidR="008678EA" w:rsidRPr="008678EA">
        <w:rPr>
          <w:rStyle w:val="FootnoteReference"/>
          <w:rFonts w:ascii="Times New Roman" w:hAnsi="Times New Roman" w:cs="Times New Roman"/>
          <w:sz w:val="24"/>
          <w:szCs w:val="24"/>
        </w:rPr>
        <w:footnoteReference w:id="99"/>
      </w:r>
      <w:r w:rsidR="008678EA" w:rsidRPr="00887781">
        <w:rPr>
          <w:rFonts w:ascii="Times New Roman" w:hAnsi="Times New Roman" w:cs="Times New Roman"/>
          <w:sz w:val="24"/>
          <w:szCs w:val="24"/>
        </w:rPr>
        <w:t xml:space="preserve"> thus giving a 25 percent weighting to 2009’s extended outage.  The result is an average outage rate of </w:t>
      </w:r>
      <w:proofErr w:type="spellStart"/>
      <w:r w:rsidR="001557EE" w:rsidRPr="001557EE">
        <w:rPr>
          <w:rFonts w:ascii="Times New Roman" w:hAnsi="Times New Roman" w:cs="Times New Roman"/>
          <w:sz w:val="24"/>
          <w:szCs w:val="24"/>
          <w:highlight w:val="black"/>
        </w:rPr>
        <w:t>XXXX</w:t>
      </w:r>
      <w:proofErr w:type="spellEnd"/>
      <w:r w:rsidR="008678EA" w:rsidRPr="00887781">
        <w:rPr>
          <w:rFonts w:ascii="Times New Roman" w:hAnsi="Times New Roman" w:cs="Times New Roman"/>
          <w:sz w:val="24"/>
          <w:szCs w:val="24"/>
        </w:rPr>
        <w:t xml:space="preserve"> percent,</w:t>
      </w:r>
      <w:r w:rsidR="008678EA" w:rsidRPr="008678EA">
        <w:rPr>
          <w:rStyle w:val="FootnoteReference"/>
          <w:rFonts w:ascii="Times New Roman" w:hAnsi="Times New Roman" w:cs="Times New Roman"/>
          <w:sz w:val="24"/>
          <w:szCs w:val="24"/>
        </w:rPr>
        <w:footnoteReference w:id="100"/>
      </w:r>
      <w:r w:rsidR="008678EA" w:rsidRPr="00887781">
        <w:rPr>
          <w:rFonts w:ascii="Times New Roman" w:hAnsi="Times New Roman" w:cs="Times New Roman"/>
          <w:sz w:val="24"/>
          <w:szCs w:val="24"/>
        </w:rPr>
        <w:t xml:space="preserve"> well above what any common sense review of the data in Exhibit No. APB-17C could justify. </w:t>
      </w:r>
    </w:p>
    <w:p w:rsidR="008678EA" w:rsidRPr="008678EA" w:rsidRDefault="008678EA" w:rsidP="008678EA">
      <w:pPr>
        <w:spacing w:after="0" w:line="480" w:lineRule="exact"/>
        <w:rPr>
          <w:rFonts w:ascii="Times New Roman" w:hAnsi="Times New Roman" w:cs="Times New Roman"/>
          <w:sz w:val="24"/>
          <w:szCs w:val="24"/>
        </w:rPr>
      </w:pPr>
      <w:r w:rsidRPr="008678EA">
        <w:rPr>
          <w:rFonts w:ascii="Times New Roman" w:hAnsi="Times New Roman" w:cs="Times New Roman"/>
          <w:sz w:val="24"/>
          <w:szCs w:val="24"/>
        </w:rPr>
        <w:tab/>
        <w:t>The Company claims it is unfair to remove large outages</w:t>
      </w:r>
      <w:r w:rsidR="00FC39A4">
        <w:rPr>
          <w:rFonts w:ascii="Times New Roman" w:hAnsi="Times New Roman" w:cs="Times New Roman"/>
          <w:sz w:val="24"/>
          <w:szCs w:val="24"/>
        </w:rPr>
        <w:t>,</w:t>
      </w:r>
      <w:r w:rsidRPr="008678EA">
        <w:rPr>
          <w:rFonts w:ascii="Times New Roman" w:hAnsi="Times New Roman" w:cs="Times New Roman"/>
          <w:sz w:val="24"/>
          <w:szCs w:val="24"/>
        </w:rPr>
        <w:t xml:space="preserve"> but maintain anomalously low outage rates.</w:t>
      </w:r>
      <w:r w:rsidRPr="008678EA">
        <w:rPr>
          <w:rStyle w:val="FootnoteReference"/>
          <w:rFonts w:ascii="Times New Roman" w:hAnsi="Times New Roman" w:cs="Times New Roman"/>
          <w:sz w:val="24"/>
          <w:szCs w:val="24"/>
        </w:rPr>
        <w:footnoteReference w:id="101"/>
      </w:r>
      <w:r w:rsidRPr="008678EA">
        <w:rPr>
          <w:rFonts w:ascii="Times New Roman" w:hAnsi="Times New Roman" w:cs="Times New Roman"/>
          <w:sz w:val="24"/>
          <w:szCs w:val="24"/>
        </w:rPr>
        <w:t xml:space="preserve">  Staff’s </w:t>
      </w:r>
      <w:r w:rsidR="00FC39A4">
        <w:rPr>
          <w:rFonts w:ascii="Times New Roman" w:hAnsi="Times New Roman" w:cs="Times New Roman"/>
          <w:sz w:val="24"/>
          <w:szCs w:val="24"/>
        </w:rPr>
        <w:t>agrees</w:t>
      </w:r>
      <w:r w:rsidRPr="008678EA">
        <w:rPr>
          <w:rFonts w:ascii="Times New Roman" w:hAnsi="Times New Roman" w:cs="Times New Roman"/>
          <w:sz w:val="24"/>
          <w:szCs w:val="24"/>
        </w:rPr>
        <w:t>.</w:t>
      </w:r>
      <w:r w:rsidRPr="008678EA">
        <w:rPr>
          <w:rStyle w:val="FootnoteReference"/>
          <w:rFonts w:ascii="Times New Roman" w:hAnsi="Times New Roman" w:cs="Times New Roman"/>
          <w:sz w:val="24"/>
          <w:szCs w:val="24"/>
        </w:rPr>
        <w:footnoteReference w:id="102"/>
      </w:r>
      <w:r w:rsidRPr="008678EA">
        <w:rPr>
          <w:rFonts w:ascii="Times New Roman" w:hAnsi="Times New Roman" w:cs="Times New Roman"/>
          <w:sz w:val="24"/>
          <w:szCs w:val="24"/>
        </w:rPr>
        <w:t xml:space="preserve">  In fact, Staff’s 8% outage figure is </w:t>
      </w:r>
      <w:r w:rsidR="00FC39A4">
        <w:rPr>
          <w:rFonts w:ascii="Times New Roman" w:hAnsi="Times New Roman" w:cs="Times New Roman"/>
          <w:sz w:val="24"/>
          <w:szCs w:val="24"/>
        </w:rPr>
        <w:t xml:space="preserve">not based on anomalously low outage rates.  Rather, it is based on </w:t>
      </w:r>
      <w:r w:rsidRPr="008678EA">
        <w:rPr>
          <w:rFonts w:ascii="Times New Roman" w:hAnsi="Times New Roman" w:cs="Times New Roman"/>
          <w:sz w:val="24"/>
          <w:szCs w:val="24"/>
        </w:rPr>
        <w:t>a qualitative review of the data, including Colstrip 3, even though the data justif</w:t>
      </w:r>
      <w:r w:rsidR="00FC39A4">
        <w:rPr>
          <w:rFonts w:ascii="Times New Roman" w:hAnsi="Times New Roman" w:cs="Times New Roman"/>
          <w:sz w:val="24"/>
          <w:szCs w:val="24"/>
        </w:rPr>
        <w:t>ies</w:t>
      </w:r>
      <w:r w:rsidRPr="008678EA">
        <w:rPr>
          <w:rFonts w:ascii="Times New Roman" w:hAnsi="Times New Roman" w:cs="Times New Roman"/>
          <w:sz w:val="24"/>
          <w:szCs w:val="24"/>
        </w:rPr>
        <w:t xml:space="preserve"> a reasonable outage rate lower that eight percent, if Colstrip 4 alone was evaluated using a more quantitative approach.</w:t>
      </w:r>
      <w:r w:rsidRPr="008678EA">
        <w:rPr>
          <w:rStyle w:val="FootnoteReference"/>
          <w:rFonts w:ascii="Times New Roman" w:hAnsi="Times New Roman" w:cs="Times New Roman"/>
          <w:sz w:val="24"/>
          <w:szCs w:val="24"/>
        </w:rPr>
        <w:footnoteReference w:id="103"/>
      </w:r>
    </w:p>
    <w:p w:rsidR="00D54A24" w:rsidRDefault="00887781" w:rsidP="00C16EA4">
      <w:pPr>
        <w:pStyle w:val="ListParagraph"/>
        <w:numPr>
          <w:ilvl w:val="0"/>
          <w:numId w:val="3"/>
        </w:numPr>
        <w:spacing w:after="0" w:line="480" w:lineRule="exact"/>
        <w:rPr>
          <w:rFonts w:ascii="Times New Roman" w:hAnsi="Times New Roman" w:cs="Times New Roman"/>
          <w:sz w:val="24"/>
          <w:szCs w:val="24"/>
        </w:rPr>
        <w:sectPr w:rsidR="00D54A24" w:rsidSect="00D54A24">
          <w:footerReference w:type="default" r:id="rId13"/>
          <w:pgSz w:w="12240" w:h="15840"/>
          <w:pgMar w:top="1440" w:right="1440" w:bottom="1440" w:left="1440" w:header="720" w:footer="720" w:gutter="0"/>
          <w:cols w:space="720"/>
          <w:docGrid w:linePitch="360"/>
        </w:sectPr>
      </w:pPr>
      <w:r>
        <w:rPr>
          <w:rFonts w:ascii="Times New Roman" w:hAnsi="Times New Roman" w:cs="Times New Roman"/>
          <w:sz w:val="24"/>
          <w:szCs w:val="24"/>
        </w:rPr>
        <w:tab/>
      </w:r>
      <w:r w:rsidR="008678EA" w:rsidRPr="00887781">
        <w:rPr>
          <w:rFonts w:ascii="Times New Roman" w:hAnsi="Times New Roman" w:cs="Times New Roman"/>
          <w:sz w:val="24"/>
          <w:szCs w:val="24"/>
        </w:rPr>
        <w:t xml:space="preserve">The principle underlying normalized power costs is to select an outage rate that best reflects normal, ongoing operations.  PacifiCorp violates this principle by advancing an outage that too heavily weights an extreme outage situation.  The Commission should accept Staff’s </w:t>
      </w:r>
    </w:p>
    <w:p w:rsidR="008678EA" w:rsidRPr="00887781" w:rsidRDefault="008678EA" w:rsidP="00D54A24">
      <w:pPr>
        <w:pStyle w:val="ListParagraph"/>
        <w:spacing w:after="0" w:line="480" w:lineRule="exact"/>
        <w:ind w:left="0"/>
        <w:rPr>
          <w:rFonts w:ascii="Times New Roman" w:hAnsi="Times New Roman" w:cs="Times New Roman"/>
          <w:sz w:val="24"/>
          <w:szCs w:val="24"/>
        </w:rPr>
      </w:pPr>
      <w:r w:rsidRPr="00887781">
        <w:rPr>
          <w:rFonts w:ascii="Times New Roman" w:hAnsi="Times New Roman" w:cs="Times New Roman"/>
          <w:sz w:val="24"/>
          <w:szCs w:val="24"/>
        </w:rPr>
        <w:lastRenderedPageBreak/>
        <w:t>more reasonable, eight percent figure</w:t>
      </w:r>
      <w:r w:rsidR="00A31975">
        <w:rPr>
          <w:rFonts w:ascii="Times New Roman" w:hAnsi="Times New Roman" w:cs="Times New Roman"/>
          <w:sz w:val="24"/>
          <w:szCs w:val="24"/>
        </w:rPr>
        <w:t>, which results in a reduction to</w:t>
      </w:r>
      <w:r w:rsidRPr="00887781">
        <w:rPr>
          <w:rFonts w:ascii="Times New Roman" w:hAnsi="Times New Roman" w:cs="Times New Roman"/>
          <w:sz w:val="24"/>
          <w:szCs w:val="24"/>
        </w:rPr>
        <w:t xml:space="preserve"> Washington </w:t>
      </w:r>
      <w:r w:rsidR="00A31975">
        <w:rPr>
          <w:rFonts w:ascii="Times New Roman" w:hAnsi="Times New Roman" w:cs="Times New Roman"/>
          <w:sz w:val="24"/>
          <w:szCs w:val="24"/>
        </w:rPr>
        <w:t xml:space="preserve">Net Power Costs of an estimated </w:t>
      </w:r>
      <w:r w:rsidRPr="00887781">
        <w:rPr>
          <w:rFonts w:ascii="Times New Roman" w:hAnsi="Times New Roman" w:cs="Times New Roman"/>
          <w:sz w:val="24"/>
          <w:szCs w:val="24"/>
        </w:rPr>
        <w:t>$3</w:t>
      </w:r>
      <w:r w:rsidR="008B0FB1">
        <w:rPr>
          <w:rFonts w:ascii="Times New Roman" w:hAnsi="Times New Roman" w:cs="Times New Roman"/>
          <w:sz w:val="24"/>
          <w:szCs w:val="24"/>
        </w:rPr>
        <w:t>41,453</w:t>
      </w:r>
      <w:r w:rsidRPr="00887781">
        <w:rPr>
          <w:rFonts w:ascii="Times New Roman" w:hAnsi="Times New Roman" w:cs="Times New Roman"/>
          <w:sz w:val="24"/>
          <w:szCs w:val="24"/>
        </w:rPr>
        <w:t>.</w:t>
      </w:r>
      <w:r w:rsidRPr="008678EA">
        <w:rPr>
          <w:rStyle w:val="FootnoteReference"/>
          <w:rFonts w:ascii="Times New Roman" w:hAnsi="Times New Roman" w:cs="Times New Roman"/>
          <w:sz w:val="24"/>
          <w:szCs w:val="24"/>
        </w:rPr>
        <w:footnoteReference w:id="104"/>
      </w:r>
    </w:p>
    <w:p w:rsidR="008678EA" w:rsidRPr="008678EA" w:rsidRDefault="00AE72F6" w:rsidP="008678EA">
      <w:pPr>
        <w:spacing w:after="0" w:line="480" w:lineRule="exact"/>
        <w:ind w:firstLine="720"/>
        <w:rPr>
          <w:rFonts w:ascii="Times New Roman" w:hAnsi="Times New Roman" w:cs="Times New Roman"/>
          <w:b/>
          <w:sz w:val="24"/>
          <w:szCs w:val="24"/>
        </w:rPr>
      </w:pPr>
      <w:r>
        <w:rPr>
          <w:rFonts w:ascii="Times New Roman" w:hAnsi="Times New Roman" w:cs="Times New Roman"/>
          <w:b/>
          <w:sz w:val="24"/>
          <w:szCs w:val="24"/>
        </w:rPr>
        <w:t>4</w:t>
      </w:r>
      <w:r w:rsidR="008678EA" w:rsidRPr="008678EA">
        <w:rPr>
          <w:rFonts w:ascii="Times New Roman" w:hAnsi="Times New Roman" w:cs="Times New Roman"/>
          <w:b/>
          <w:sz w:val="24"/>
          <w:szCs w:val="24"/>
        </w:rPr>
        <w:t>.</w:t>
      </w:r>
      <w:r w:rsidR="008678EA" w:rsidRPr="008678EA">
        <w:rPr>
          <w:rFonts w:ascii="Times New Roman" w:hAnsi="Times New Roman" w:cs="Times New Roman"/>
          <w:b/>
          <w:sz w:val="24"/>
          <w:szCs w:val="24"/>
        </w:rPr>
        <w:tab/>
        <w:t>Idaho Point to Point (PTP) Wheeling Contract</w:t>
      </w:r>
    </w:p>
    <w:p w:rsidR="008678EA" w:rsidRPr="00887781" w:rsidRDefault="00887781"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8678EA" w:rsidRPr="00887781">
        <w:rPr>
          <w:rFonts w:ascii="Times New Roman" w:hAnsi="Times New Roman" w:cs="Times New Roman"/>
          <w:sz w:val="24"/>
          <w:szCs w:val="24"/>
        </w:rPr>
        <w:t>PacifiCorp includes the cost associated with its point-to-point wheeling contract with the Idaho Power Company for service between Idaho Power and West Main.  This represents that portion of the Idaho Point to Point wheeling contract the Company allocates 100 percent to the Western Control Area.  However, because the Company also uses this portion of the contract to provide benefits to both its East and West control areas,</w:t>
      </w:r>
      <w:r w:rsidR="008678EA" w:rsidRPr="008678EA">
        <w:rPr>
          <w:vertAlign w:val="superscript"/>
        </w:rPr>
        <w:footnoteReference w:id="105"/>
      </w:r>
      <w:r w:rsidR="008678EA" w:rsidRPr="00887781">
        <w:rPr>
          <w:rFonts w:ascii="Times New Roman" w:hAnsi="Times New Roman" w:cs="Times New Roman"/>
          <w:sz w:val="24"/>
          <w:szCs w:val="24"/>
        </w:rPr>
        <w:t xml:space="preserve"> the Commission should further split the costs between the two control areas.</w:t>
      </w:r>
      <w:r w:rsidR="008678EA" w:rsidRPr="008678EA">
        <w:rPr>
          <w:vertAlign w:val="superscript"/>
        </w:rPr>
        <w:footnoteReference w:id="106"/>
      </w:r>
      <w:r w:rsidR="008678EA" w:rsidRPr="00887781">
        <w:rPr>
          <w:rFonts w:ascii="Times New Roman" w:hAnsi="Times New Roman" w:cs="Times New Roman"/>
          <w:sz w:val="24"/>
          <w:szCs w:val="24"/>
        </w:rPr>
        <w:t xml:space="preserve">   </w:t>
      </w:r>
    </w:p>
    <w:p w:rsidR="008678EA" w:rsidRPr="00887781" w:rsidRDefault="00887781"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8678EA" w:rsidRPr="00887781">
        <w:rPr>
          <w:rFonts w:ascii="Times New Roman" w:hAnsi="Times New Roman" w:cs="Times New Roman"/>
          <w:sz w:val="24"/>
          <w:szCs w:val="24"/>
        </w:rPr>
        <w:t xml:space="preserve">Because the Company has not offered any other quantification of the benefits this contract provides to the East, Staff recommends an even split, </w:t>
      </w:r>
      <w:r w:rsidR="00A31975">
        <w:rPr>
          <w:rFonts w:ascii="Times New Roman" w:hAnsi="Times New Roman" w:cs="Times New Roman"/>
          <w:sz w:val="24"/>
          <w:szCs w:val="24"/>
        </w:rPr>
        <w:t xml:space="preserve">which reduces Net Power Costs by </w:t>
      </w:r>
      <w:r w:rsidR="008678EA" w:rsidRPr="00887781">
        <w:rPr>
          <w:rFonts w:ascii="Times New Roman" w:hAnsi="Times New Roman" w:cs="Times New Roman"/>
          <w:sz w:val="24"/>
          <w:szCs w:val="24"/>
        </w:rPr>
        <w:t>$1,583,040 for the WCA, or $349,648 for Washington.</w:t>
      </w:r>
      <w:r w:rsidR="008678EA" w:rsidRPr="008678EA">
        <w:rPr>
          <w:vertAlign w:val="superscript"/>
        </w:rPr>
        <w:footnoteReference w:id="107"/>
      </w:r>
      <w:r w:rsidR="008678EA" w:rsidRPr="00887781">
        <w:rPr>
          <w:rFonts w:ascii="Times New Roman" w:hAnsi="Times New Roman" w:cs="Times New Roman"/>
          <w:sz w:val="24"/>
          <w:szCs w:val="24"/>
        </w:rPr>
        <w:t xml:space="preserve"> </w:t>
      </w:r>
    </w:p>
    <w:p w:rsidR="008678EA" w:rsidRPr="00887781" w:rsidRDefault="00887781"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FC39A4">
        <w:rPr>
          <w:rFonts w:ascii="Times New Roman" w:hAnsi="Times New Roman" w:cs="Times New Roman"/>
          <w:sz w:val="24"/>
          <w:szCs w:val="24"/>
        </w:rPr>
        <w:t>T</w:t>
      </w:r>
      <w:r w:rsidR="008678EA" w:rsidRPr="00887781">
        <w:rPr>
          <w:rFonts w:ascii="Times New Roman" w:hAnsi="Times New Roman" w:cs="Times New Roman"/>
          <w:sz w:val="24"/>
          <w:szCs w:val="24"/>
        </w:rPr>
        <w:t xml:space="preserve">he Company </w:t>
      </w:r>
      <w:r w:rsidR="00FC39A4">
        <w:rPr>
          <w:rFonts w:ascii="Times New Roman" w:hAnsi="Times New Roman" w:cs="Times New Roman"/>
          <w:sz w:val="24"/>
          <w:szCs w:val="24"/>
        </w:rPr>
        <w:t>says</w:t>
      </w:r>
      <w:r w:rsidR="008678EA" w:rsidRPr="00887781">
        <w:rPr>
          <w:rFonts w:ascii="Times New Roman" w:hAnsi="Times New Roman" w:cs="Times New Roman"/>
          <w:sz w:val="24"/>
          <w:szCs w:val="24"/>
        </w:rPr>
        <w:t xml:space="preserve"> this is an adjustment outside the approved WCA allocation method.</w:t>
      </w:r>
      <w:r w:rsidR="008678EA" w:rsidRPr="008678EA">
        <w:rPr>
          <w:vertAlign w:val="superscript"/>
        </w:rPr>
        <w:footnoteReference w:id="108"/>
      </w:r>
      <w:r w:rsidR="008678EA" w:rsidRPr="00887781">
        <w:rPr>
          <w:rFonts w:ascii="Times New Roman" w:hAnsi="Times New Roman" w:cs="Times New Roman"/>
          <w:sz w:val="24"/>
          <w:szCs w:val="24"/>
        </w:rPr>
        <w:t xml:space="preserve">  </w:t>
      </w:r>
      <w:r w:rsidR="00FC39A4">
        <w:rPr>
          <w:rFonts w:ascii="Times New Roman" w:hAnsi="Times New Roman" w:cs="Times New Roman"/>
          <w:sz w:val="24"/>
          <w:szCs w:val="24"/>
        </w:rPr>
        <w:t xml:space="preserve">However, </w:t>
      </w:r>
      <w:r w:rsidR="008678EA" w:rsidRPr="00887781">
        <w:rPr>
          <w:rFonts w:ascii="Times New Roman" w:hAnsi="Times New Roman" w:cs="Times New Roman"/>
          <w:sz w:val="24"/>
          <w:szCs w:val="24"/>
        </w:rPr>
        <w:t xml:space="preserve">that is NOT the issue.  </w:t>
      </w:r>
      <w:r w:rsidR="00FC39A4">
        <w:rPr>
          <w:rFonts w:ascii="Times New Roman" w:hAnsi="Times New Roman" w:cs="Times New Roman"/>
          <w:sz w:val="24"/>
          <w:szCs w:val="24"/>
        </w:rPr>
        <w:t>T</w:t>
      </w:r>
      <w:r w:rsidR="008678EA" w:rsidRPr="00887781">
        <w:rPr>
          <w:rFonts w:ascii="Times New Roman" w:hAnsi="Times New Roman" w:cs="Times New Roman"/>
          <w:sz w:val="24"/>
          <w:szCs w:val="24"/>
        </w:rPr>
        <w:t>he issue is matching costs with benefits</w:t>
      </w:r>
      <w:r w:rsidR="00FC39A4">
        <w:rPr>
          <w:rFonts w:ascii="Times New Roman" w:hAnsi="Times New Roman" w:cs="Times New Roman"/>
          <w:sz w:val="24"/>
          <w:szCs w:val="24"/>
        </w:rPr>
        <w:t>, and</w:t>
      </w:r>
      <w:r w:rsidR="008678EA" w:rsidRPr="00887781">
        <w:rPr>
          <w:rFonts w:ascii="Times New Roman" w:hAnsi="Times New Roman" w:cs="Times New Roman"/>
          <w:sz w:val="24"/>
          <w:szCs w:val="24"/>
        </w:rPr>
        <w:t xml:space="preserve"> removing half the allocated costs is simply one way to do that.  Alternatively, if the full contract amounts were allocated to the West, the adjustment would be to add normalized positive net revenues in an amount that offsets half those costs.  Staff’s adjustment is a simpler method, </w:t>
      </w:r>
      <w:r w:rsidR="0063672A">
        <w:rPr>
          <w:rFonts w:ascii="Times New Roman" w:hAnsi="Times New Roman" w:cs="Times New Roman"/>
          <w:sz w:val="24"/>
          <w:szCs w:val="24"/>
        </w:rPr>
        <w:t>and</w:t>
      </w:r>
      <w:r w:rsidR="0063672A" w:rsidRPr="00887781">
        <w:rPr>
          <w:rFonts w:ascii="Times New Roman" w:hAnsi="Times New Roman" w:cs="Times New Roman"/>
          <w:sz w:val="24"/>
          <w:szCs w:val="24"/>
        </w:rPr>
        <w:t xml:space="preserve"> </w:t>
      </w:r>
      <w:r w:rsidR="008678EA" w:rsidRPr="00887781">
        <w:rPr>
          <w:rFonts w:ascii="Times New Roman" w:hAnsi="Times New Roman" w:cs="Times New Roman"/>
          <w:sz w:val="24"/>
          <w:szCs w:val="24"/>
        </w:rPr>
        <w:t>this demonstrates the fallacy of PacifiCorp’s opposition.</w:t>
      </w:r>
    </w:p>
    <w:p w:rsidR="0096310C" w:rsidRDefault="00AE72F6" w:rsidP="0022264C">
      <w:pPr>
        <w:spacing w:after="0" w:line="480" w:lineRule="exact"/>
        <w:ind w:firstLine="720"/>
        <w:rPr>
          <w:rFonts w:ascii="Times New Roman" w:hAnsi="Times New Roman" w:cs="Times New Roman"/>
          <w:b/>
          <w:sz w:val="24"/>
          <w:szCs w:val="24"/>
        </w:rPr>
      </w:pPr>
      <w:r>
        <w:rPr>
          <w:rFonts w:ascii="Times New Roman" w:hAnsi="Times New Roman" w:cs="Times New Roman"/>
          <w:b/>
          <w:sz w:val="24"/>
          <w:szCs w:val="24"/>
        </w:rPr>
        <w:t>5</w:t>
      </w:r>
      <w:r w:rsidR="008678EA" w:rsidRPr="008678EA">
        <w:rPr>
          <w:rFonts w:ascii="Times New Roman" w:hAnsi="Times New Roman" w:cs="Times New Roman"/>
          <w:b/>
          <w:sz w:val="24"/>
          <w:szCs w:val="24"/>
        </w:rPr>
        <w:t>.</w:t>
      </w:r>
      <w:r w:rsidR="008678EA" w:rsidRPr="008678EA">
        <w:rPr>
          <w:rFonts w:ascii="Times New Roman" w:hAnsi="Times New Roman" w:cs="Times New Roman"/>
          <w:b/>
          <w:sz w:val="24"/>
          <w:szCs w:val="24"/>
        </w:rPr>
        <w:tab/>
        <w:t xml:space="preserve">DC Intertie Adjustment  </w:t>
      </w:r>
    </w:p>
    <w:p w:rsidR="008678EA" w:rsidRPr="00887781" w:rsidRDefault="00887781"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8678EA" w:rsidRPr="00887781">
        <w:rPr>
          <w:rFonts w:ascii="Times New Roman" w:hAnsi="Times New Roman" w:cs="Times New Roman"/>
          <w:sz w:val="24"/>
          <w:szCs w:val="24"/>
        </w:rPr>
        <w:t>Another adjustment for which it is necessary to match costs with benefits relates to the agreement between PacifiCorp and the Bonneville Power Administration called the DC Intertie and Network Transmission Agreement.  This agreement provides the wheeling service necessary for the Company to make purchases from the Nevada-Oregon Border (“NOB”).</w:t>
      </w:r>
      <w:r w:rsidR="008678EA" w:rsidRPr="008678EA">
        <w:rPr>
          <w:rStyle w:val="FootnoteReference"/>
          <w:rFonts w:ascii="Times New Roman" w:hAnsi="Times New Roman" w:cs="Times New Roman"/>
          <w:sz w:val="24"/>
          <w:szCs w:val="24"/>
        </w:rPr>
        <w:footnoteReference w:id="109"/>
      </w:r>
      <w:r w:rsidR="008678EA" w:rsidRPr="00887781">
        <w:rPr>
          <w:rFonts w:ascii="Times New Roman" w:hAnsi="Times New Roman" w:cs="Times New Roman"/>
          <w:sz w:val="24"/>
          <w:szCs w:val="24"/>
        </w:rPr>
        <w:t xml:space="preserve">   However, </w:t>
      </w:r>
      <w:r w:rsidR="008678EA" w:rsidRPr="00887781">
        <w:rPr>
          <w:rFonts w:ascii="Times New Roman" w:hAnsi="Times New Roman" w:cs="Times New Roman"/>
          <w:sz w:val="24"/>
          <w:szCs w:val="24"/>
        </w:rPr>
        <w:lastRenderedPageBreak/>
        <w:t>NOB prices are generally high, PacifiCorp rarely uses this contract, and as a result, in normaliz</w:t>
      </w:r>
      <w:r w:rsidR="00FC39A4">
        <w:rPr>
          <w:rFonts w:ascii="Times New Roman" w:hAnsi="Times New Roman" w:cs="Times New Roman"/>
          <w:sz w:val="24"/>
          <w:szCs w:val="24"/>
        </w:rPr>
        <w:t>ing</w:t>
      </w:r>
      <w:r w:rsidR="008678EA" w:rsidRPr="00887781">
        <w:rPr>
          <w:rFonts w:ascii="Times New Roman" w:hAnsi="Times New Roman" w:cs="Times New Roman"/>
          <w:sz w:val="24"/>
          <w:szCs w:val="24"/>
        </w:rPr>
        <w:t xml:space="preserve"> power costs, the Company includes only the costs of this contract and no demonstrated benefits.</w:t>
      </w:r>
      <w:r w:rsidR="008678EA" w:rsidRPr="008678EA">
        <w:rPr>
          <w:rStyle w:val="FootnoteReference"/>
          <w:rFonts w:ascii="Times New Roman" w:hAnsi="Times New Roman" w:cs="Times New Roman"/>
          <w:sz w:val="24"/>
          <w:szCs w:val="24"/>
        </w:rPr>
        <w:footnoteReference w:id="110"/>
      </w:r>
      <w:r w:rsidR="008678EA" w:rsidRPr="00887781">
        <w:rPr>
          <w:rFonts w:ascii="Times New Roman" w:hAnsi="Times New Roman" w:cs="Times New Roman"/>
          <w:sz w:val="24"/>
          <w:szCs w:val="24"/>
        </w:rPr>
        <w:t xml:space="preserve">   </w:t>
      </w:r>
    </w:p>
    <w:p w:rsidR="008678EA" w:rsidRPr="00887781" w:rsidRDefault="00887781"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8678EA" w:rsidRPr="00887781">
        <w:rPr>
          <w:rFonts w:ascii="Times New Roman" w:hAnsi="Times New Roman" w:cs="Times New Roman"/>
          <w:sz w:val="24"/>
          <w:szCs w:val="24"/>
        </w:rPr>
        <w:t xml:space="preserve">At a minimum, the Commission should reasonably expect normalized net power costs to achieve a benefit, in some manner, </w:t>
      </w:r>
      <w:r w:rsidR="00FC39A4">
        <w:rPr>
          <w:rFonts w:ascii="Times New Roman" w:hAnsi="Times New Roman" w:cs="Times New Roman"/>
          <w:sz w:val="24"/>
          <w:szCs w:val="24"/>
        </w:rPr>
        <w:t xml:space="preserve">at least </w:t>
      </w:r>
      <w:r w:rsidR="008678EA" w:rsidRPr="00887781">
        <w:rPr>
          <w:rFonts w:ascii="Times New Roman" w:hAnsi="Times New Roman" w:cs="Times New Roman"/>
          <w:sz w:val="24"/>
          <w:szCs w:val="24"/>
        </w:rPr>
        <w:t>equal to the annualized cost of the contract.  However, the lack of a single transaction tied to the DC Intertie over the full range of normalized power costs, belies this expectation.</w:t>
      </w:r>
    </w:p>
    <w:p w:rsidR="008678EA" w:rsidRPr="00887781" w:rsidRDefault="00887781"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8678EA" w:rsidRPr="00887781">
        <w:rPr>
          <w:rFonts w:ascii="Times New Roman" w:hAnsi="Times New Roman" w:cs="Times New Roman"/>
          <w:sz w:val="24"/>
          <w:szCs w:val="24"/>
        </w:rPr>
        <w:t>The Commission should simply remove the $4,766,400 (WCA level) annual cost amount related to this contract until PacifiCorp quantifies and includes the corresponding benefits.  Th</w:t>
      </w:r>
      <w:r w:rsidR="00A31975">
        <w:rPr>
          <w:rFonts w:ascii="Times New Roman" w:hAnsi="Times New Roman" w:cs="Times New Roman"/>
          <w:sz w:val="24"/>
          <w:szCs w:val="24"/>
        </w:rPr>
        <w:t xml:space="preserve">is </w:t>
      </w:r>
      <w:r w:rsidR="008678EA" w:rsidRPr="00887781">
        <w:rPr>
          <w:rFonts w:ascii="Times New Roman" w:hAnsi="Times New Roman" w:cs="Times New Roman"/>
          <w:sz w:val="24"/>
          <w:szCs w:val="24"/>
        </w:rPr>
        <w:t xml:space="preserve">adjustment </w:t>
      </w:r>
      <w:r w:rsidR="00A31975">
        <w:rPr>
          <w:rFonts w:ascii="Times New Roman" w:hAnsi="Times New Roman" w:cs="Times New Roman"/>
          <w:sz w:val="24"/>
          <w:szCs w:val="24"/>
        </w:rPr>
        <w:t>reduces Washington</w:t>
      </w:r>
      <w:r w:rsidR="0063672A">
        <w:rPr>
          <w:rFonts w:ascii="Times New Roman" w:hAnsi="Times New Roman" w:cs="Times New Roman"/>
          <w:sz w:val="24"/>
          <w:szCs w:val="24"/>
        </w:rPr>
        <w:t>’s</w:t>
      </w:r>
      <w:r w:rsidR="00A31975">
        <w:rPr>
          <w:rFonts w:ascii="Times New Roman" w:hAnsi="Times New Roman" w:cs="Times New Roman"/>
          <w:sz w:val="24"/>
          <w:szCs w:val="24"/>
        </w:rPr>
        <w:t xml:space="preserve"> Net Power Costs by </w:t>
      </w:r>
      <w:r w:rsidR="008678EA" w:rsidRPr="00887781">
        <w:rPr>
          <w:rFonts w:ascii="Times New Roman" w:hAnsi="Times New Roman" w:cs="Times New Roman"/>
          <w:sz w:val="24"/>
          <w:szCs w:val="24"/>
        </w:rPr>
        <w:t>$1,052,760.</w:t>
      </w:r>
      <w:r w:rsidR="008678EA" w:rsidRPr="008678EA">
        <w:rPr>
          <w:rStyle w:val="FootnoteReference"/>
          <w:rFonts w:ascii="Times New Roman" w:hAnsi="Times New Roman" w:cs="Times New Roman"/>
          <w:sz w:val="24"/>
          <w:szCs w:val="24"/>
        </w:rPr>
        <w:footnoteReference w:id="111"/>
      </w:r>
      <w:r w:rsidR="008678EA" w:rsidRPr="00887781">
        <w:rPr>
          <w:rFonts w:ascii="Times New Roman" w:hAnsi="Times New Roman" w:cs="Times New Roman"/>
          <w:sz w:val="24"/>
          <w:szCs w:val="24"/>
        </w:rPr>
        <w:t xml:space="preserve"> </w:t>
      </w:r>
    </w:p>
    <w:p w:rsidR="008678EA" w:rsidRPr="00887781" w:rsidRDefault="00887781"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8678EA" w:rsidRPr="00887781">
        <w:rPr>
          <w:rFonts w:ascii="Times New Roman" w:hAnsi="Times New Roman" w:cs="Times New Roman"/>
          <w:sz w:val="24"/>
          <w:szCs w:val="24"/>
        </w:rPr>
        <w:t>The Company objects to this adjustment on the basis the contract provides a valuable means of securing capacity and energy from California entities to meet retail loads, and alleges Staff and ICNU are improperly applying hindsight to second guess the prudence of this 16 year-old contract.</w:t>
      </w:r>
      <w:r w:rsidR="008678EA" w:rsidRPr="008678EA">
        <w:rPr>
          <w:rStyle w:val="FootnoteReference"/>
          <w:rFonts w:ascii="Times New Roman" w:hAnsi="Times New Roman" w:cs="Times New Roman"/>
          <w:sz w:val="24"/>
          <w:szCs w:val="24"/>
        </w:rPr>
        <w:footnoteReference w:id="112"/>
      </w:r>
      <w:r w:rsidR="008678EA" w:rsidRPr="00887781">
        <w:rPr>
          <w:rFonts w:ascii="Times New Roman" w:hAnsi="Times New Roman" w:cs="Times New Roman"/>
          <w:sz w:val="24"/>
          <w:szCs w:val="24"/>
        </w:rPr>
        <w:t xml:space="preserve">   However, it was the Company who more recently chose to extend 200MW of DC Intertie rights after the original underlying energy transaction expired.</w:t>
      </w:r>
      <w:r w:rsidR="008678EA" w:rsidRPr="008678EA">
        <w:rPr>
          <w:rStyle w:val="FootnoteReference"/>
          <w:rFonts w:ascii="Times New Roman" w:hAnsi="Times New Roman" w:cs="Times New Roman"/>
          <w:sz w:val="24"/>
          <w:szCs w:val="24"/>
        </w:rPr>
        <w:footnoteReference w:id="113"/>
      </w:r>
      <w:r w:rsidR="008678EA" w:rsidRPr="00887781">
        <w:rPr>
          <w:rFonts w:ascii="Times New Roman" w:hAnsi="Times New Roman" w:cs="Times New Roman"/>
          <w:sz w:val="24"/>
          <w:szCs w:val="24"/>
        </w:rPr>
        <w:t xml:space="preserve">  Th</w:t>
      </w:r>
      <w:r w:rsidR="00FC39A4">
        <w:rPr>
          <w:rFonts w:ascii="Times New Roman" w:hAnsi="Times New Roman" w:cs="Times New Roman"/>
          <w:sz w:val="24"/>
          <w:szCs w:val="24"/>
        </w:rPr>
        <w:t>e</w:t>
      </w:r>
      <w:r w:rsidR="008678EA" w:rsidRPr="00887781">
        <w:rPr>
          <w:rFonts w:ascii="Times New Roman" w:hAnsi="Times New Roman" w:cs="Times New Roman"/>
          <w:sz w:val="24"/>
          <w:szCs w:val="24"/>
        </w:rPr>
        <w:t xml:space="preserve"> cost of those rights is the issue in this proceeding.</w:t>
      </w:r>
    </w:p>
    <w:p w:rsidR="008678EA" w:rsidRPr="00887781" w:rsidRDefault="00887781"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8678EA" w:rsidRPr="00887781">
        <w:rPr>
          <w:rFonts w:ascii="Times New Roman" w:hAnsi="Times New Roman" w:cs="Times New Roman"/>
          <w:sz w:val="24"/>
          <w:szCs w:val="24"/>
        </w:rPr>
        <w:t>Of course, the Company was free to support its decision to acquire rights to the DC Intertie, but it failed to provide any.</w:t>
      </w:r>
      <w:r w:rsidR="008678EA" w:rsidRPr="008678EA">
        <w:rPr>
          <w:rStyle w:val="FootnoteReference"/>
          <w:rFonts w:ascii="Times New Roman" w:hAnsi="Times New Roman" w:cs="Times New Roman"/>
          <w:sz w:val="24"/>
          <w:szCs w:val="24"/>
        </w:rPr>
        <w:footnoteReference w:id="114"/>
      </w:r>
      <w:r w:rsidR="008678EA" w:rsidRPr="00887781">
        <w:rPr>
          <w:rFonts w:ascii="Times New Roman" w:hAnsi="Times New Roman" w:cs="Times New Roman"/>
          <w:sz w:val="24"/>
          <w:szCs w:val="24"/>
        </w:rPr>
        <w:t xml:space="preserve">  But the central issue is the fact that GRID treats this contract in such a way as to impose the costs of the contract on ratepayers, </w:t>
      </w:r>
      <w:r w:rsidR="00AE72F6">
        <w:rPr>
          <w:rFonts w:ascii="Times New Roman" w:hAnsi="Times New Roman" w:cs="Times New Roman"/>
          <w:sz w:val="24"/>
          <w:szCs w:val="24"/>
        </w:rPr>
        <w:t>yet</w:t>
      </w:r>
      <w:r w:rsidR="008678EA" w:rsidRPr="00887781">
        <w:rPr>
          <w:rFonts w:ascii="Times New Roman" w:hAnsi="Times New Roman" w:cs="Times New Roman"/>
          <w:sz w:val="24"/>
          <w:szCs w:val="24"/>
        </w:rPr>
        <w:t xml:space="preserve"> provide</w:t>
      </w:r>
      <w:r w:rsidR="00AE72F6">
        <w:rPr>
          <w:rFonts w:ascii="Times New Roman" w:hAnsi="Times New Roman" w:cs="Times New Roman"/>
          <w:sz w:val="24"/>
          <w:szCs w:val="24"/>
        </w:rPr>
        <w:t>s</w:t>
      </w:r>
      <w:r w:rsidR="008678EA" w:rsidRPr="00887781">
        <w:rPr>
          <w:rFonts w:ascii="Times New Roman" w:hAnsi="Times New Roman" w:cs="Times New Roman"/>
          <w:sz w:val="24"/>
          <w:szCs w:val="24"/>
        </w:rPr>
        <w:t xml:space="preserve"> them none of the value.  In other words, the issue here is the proper matching of costs and benefits, because under the Company’s case, no benefits are quantified.</w:t>
      </w:r>
    </w:p>
    <w:p w:rsidR="008678EA" w:rsidRPr="00887781" w:rsidRDefault="00887781"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lastRenderedPageBreak/>
        <w:tab/>
      </w:r>
      <w:r w:rsidR="008678EA" w:rsidRPr="00887781">
        <w:rPr>
          <w:rFonts w:ascii="Times New Roman" w:hAnsi="Times New Roman" w:cs="Times New Roman"/>
          <w:sz w:val="24"/>
          <w:szCs w:val="24"/>
        </w:rPr>
        <w:t>The Company appears to downplay the problems with its position by claiming the costs are modest compared to the Company’s overall transmission strategy or market hedges.</w:t>
      </w:r>
      <w:r w:rsidR="008678EA" w:rsidRPr="008678EA">
        <w:rPr>
          <w:rStyle w:val="FootnoteReference"/>
          <w:rFonts w:ascii="Times New Roman" w:hAnsi="Times New Roman" w:cs="Times New Roman"/>
          <w:sz w:val="24"/>
          <w:szCs w:val="24"/>
        </w:rPr>
        <w:footnoteReference w:id="115"/>
      </w:r>
      <w:r w:rsidR="008678EA" w:rsidRPr="00887781">
        <w:rPr>
          <w:rFonts w:ascii="Times New Roman" w:hAnsi="Times New Roman" w:cs="Times New Roman"/>
          <w:sz w:val="24"/>
          <w:szCs w:val="24"/>
        </w:rPr>
        <w:t xml:space="preserve">  However, when asked to support this comparison, the Company provided nothing.</w:t>
      </w:r>
      <w:r w:rsidR="008678EA" w:rsidRPr="008678EA">
        <w:rPr>
          <w:rStyle w:val="FootnoteReference"/>
          <w:rFonts w:ascii="Times New Roman" w:hAnsi="Times New Roman" w:cs="Times New Roman"/>
          <w:sz w:val="24"/>
          <w:szCs w:val="24"/>
        </w:rPr>
        <w:footnoteReference w:id="116"/>
      </w:r>
      <w:r w:rsidR="008678EA" w:rsidRPr="00887781">
        <w:rPr>
          <w:rFonts w:ascii="Times New Roman" w:hAnsi="Times New Roman" w:cs="Times New Roman"/>
          <w:sz w:val="24"/>
          <w:szCs w:val="24"/>
        </w:rPr>
        <w:t xml:space="preserve"> </w:t>
      </w:r>
    </w:p>
    <w:p w:rsidR="0096310C" w:rsidRDefault="00AE72F6" w:rsidP="0022264C">
      <w:pPr>
        <w:pStyle w:val="BodyTextIndent"/>
        <w:keepNext/>
        <w:spacing w:line="480" w:lineRule="exact"/>
        <w:ind w:firstLine="0"/>
        <w:rPr>
          <w:b/>
        </w:rPr>
      </w:pPr>
      <w:r>
        <w:rPr>
          <w:b/>
        </w:rPr>
        <w:t>6</w:t>
      </w:r>
      <w:r w:rsidR="008678EA" w:rsidRPr="008678EA">
        <w:rPr>
          <w:b/>
        </w:rPr>
        <w:t>.</w:t>
      </w:r>
      <w:r w:rsidR="008678EA" w:rsidRPr="008678EA">
        <w:rPr>
          <w:b/>
        </w:rPr>
        <w:tab/>
        <w:t>Wind Integration Costs</w:t>
      </w:r>
    </w:p>
    <w:p w:rsidR="00FC39A4" w:rsidRDefault="00887781" w:rsidP="00C16EA4">
      <w:pPr>
        <w:pStyle w:val="BodyTextIndent"/>
        <w:numPr>
          <w:ilvl w:val="0"/>
          <w:numId w:val="3"/>
        </w:numPr>
        <w:spacing w:line="480" w:lineRule="exact"/>
      </w:pPr>
      <w:r>
        <w:tab/>
      </w:r>
      <w:r w:rsidR="00FC39A4">
        <w:t>PacifiCorp</w:t>
      </w:r>
      <w:r w:rsidR="008678EA" w:rsidRPr="008678EA">
        <w:t xml:space="preserve"> incurs costs to integrate non-owned wind plants into its system.  In its rebuttal case, the Company has agreed to remove the proposed </w:t>
      </w:r>
      <w:r w:rsidR="00576F98" w:rsidRPr="00104B01">
        <w:rPr>
          <w:i/>
        </w:rPr>
        <w:t>inter</w:t>
      </w:r>
      <w:r w:rsidR="008678EA" w:rsidRPr="008678EA">
        <w:t>-hour wind integration costs related to non-owned wind projects</w:t>
      </w:r>
      <w:r w:rsidR="00FC39A4">
        <w:t>.  H</w:t>
      </w:r>
      <w:r w:rsidR="008678EA" w:rsidRPr="008678EA">
        <w:t xml:space="preserve">owever, </w:t>
      </w:r>
      <w:r w:rsidR="00FC39A4">
        <w:t xml:space="preserve">the Company </w:t>
      </w:r>
      <w:r w:rsidR="008678EA" w:rsidRPr="008678EA">
        <w:t xml:space="preserve">still </w:t>
      </w:r>
      <w:r w:rsidR="00FC39A4">
        <w:t>wants</w:t>
      </w:r>
      <w:r w:rsidR="008678EA" w:rsidRPr="008678EA">
        <w:t xml:space="preserve"> Washington retail ratepayers to pay the entire costs of </w:t>
      </w:r>
      <w:r w:rsidR="00576F98" w:rsidRPr="00104B01">
        <w:rPr>
          <w:i/>
        </w:rPr>
        <w:t>intra</w:t>
      </w:r>
      <w:r w:rsidR="008678EA" w:rsidRPr="008678EA">
        <w:t xml:space="preserve">-hour integration of these non-owned wind projects. </w:t>
      </w:r>
      <w:r w:rsidR="00FC39A4">
        <w:t xml:space="preserve"> </w:t>
      </w:r>
    </w:p>
    <w:p w:rsidR="008678EA" w:rsidRPr="008678EA" w:rsidRDefault="00FC39A4" w:rsidP="00C16EA4">
      <w:pPr>
        <w:pStyle w:val="BodyTextIndent"/>
        <w:numPr>
          <w:ilvl w:val="0"/>
          <w:numId w:val="3"/>
        </w:numPr>
        <w:spacing w:line="480" w:lineRule="exact"/>
      </w:pPr>
      <w:r>
        <w:tab/>
        <w:t xml:space="preserve">PacifiCorp is searching for someone to pay these costs, because, while </w:t>
      </w:r>
      <w:r w:rsidR="008678EA" w:rsidRPr="008678EA">
        <w:t>PacifiCorp charges third-party owners for access to the Company’s transmission system pursuant to the Company’s FERC tariff, called the “OATT”</w:t>
      </w:r>
      <w:r>
        <w:t>,</w:t>
      </w:r>
      <w:r w:rsidR="008678EA" w:rsidRPr="008678EA">
        <w:rPr>
          <w:rStyle w:val="FootnoteReference"/>
        </w:rPr>
        <w:footnoteReference w:id="117"/>
      </w:r>
      <w:r w:rsidR="008678EA" w:rsidRPr="008678EA">
        <w:t xml:space="preserve"> </w:t>
      </w:r>
      <w:r>
        <w:t xml:space="preserve">the </w:t>
      </w:r>
      <w:r w:rsidR="008678EA" w:rsidRPr="008678EA">
        <w:t xml:space="preserve">rates in that tariff do not </w:t>
      </w:r>
      <w:r>
        <w:t xml:space="preserve">recover </w:t>
      </w:r>
      <w:r w:rsidR="008678EA" w:rsidRPr="008678EA">
        <w:t>these wind integration costs caused by the third-party owners of these plants.</w:t>
      </w:r>
      <w:r w:rsidR="008678EA" w:rsidRPr="008678EA">
        <w:rPr>
          <w:rStyle w:val="FootnoteReference"/>
        </w:rPr>
        <w:footnoteReference w:id="118"/>
      </w:r>
      <w:r w:rsidR="008678EA" w:rsidRPr="008678EA">
        <w:t xml:space="preserve">  </w:t>
      </w:r>
    </w:p>
    <w:p w:rsidR="008678EA" w:rsidRPr="008678EA" w:rsidRDefault="00887781" w:rsidP="00C16EA4">
      <w:pPr>
        <w:pStyle w:val="BodyTextIndent"/>
        <w:numPr>
          <w:ilvl w:val="0"/>
          <w:numId w:val="3"/>
        </w:numPr>
        <w:spacing w:line="480" w:lineRule="exact"/>
      </w:pPr>
      <w:r>
        <w:tab/>
      </w:r>
      <w:r w:rsidR="008678EA" w:rsidRPr="008678EA">
        <w:t>It appears FERC’s policy on whether these third-party costs may be included in the OATT is in a state of flux, and PacifiCorp intends to raise this issue in a case before FERC later this year.</w:t>
      </w:r>
      <w:r w:rsidR="008678EA" w:rsidRPr="008678EA">
        <w:rPr>
          <w:rStyle w:val="FootnoteReference"/>
        </w:rPr>
        <w:footnoteReference w:id="119"/>
      </w:r>
      <w:r w:rsidR="008678EA" w:rsidRPr="008678EA">
        <w:t xml:space="preserve">  In the meantime, however, PacifiCorp expects Washington ratepayers to pay them.  The illogic of forcing Washington retail ratepayers to pay for costs caused by third-parties is self-evident.  </w:t>
      </w:r>
    </w:p>
    <w:p w:rsidR="008678EA" w:rsidRPr="008678EA" w:rsidRDefault="00887781" w:rsidP="00C16EA4">
      <w:pPr>
        <w:pStyle w:val="BodyTextIndent"/>
        <w:numPr>
          <w:ilvl w:val="0"/>
          <w:numId w:val="3"/>
        </w:numPr>
        <w:spacing w:line="480" w:lineRule="exact"/>
      </w:pPr>
      <w:r>
        <w:tab/>
      </w:r>
      <w:r w:rsidR="008678EA" w:rsidRPr="008678EA">
        <w:t xml:space="preserve">Moreover, should FERC decide to allow PacifiCorp to recover these third party costs through the OATT, then the Company will have double-recovered these costs, if the Commission also includes these costs in retail rates.  Or, should FERC decide not to allow PacifiCorp to recover these costs from the cost causer, that may provide PacifiCorp a strong basis for a legal challenge to the sufficiency of its interstate rates contained in its OATT.  However, neither scenario provides a basis for passing these costs on to Washington retail customers. </w:t>
      </w:r>
    </w:p>
    <w:p w:rsidR="008678EA" w:rsidRPr="008678EA" w:rsidRDefault="00887781" w:rsidP="00C16EA4">
      <w:pPr>
        <w:pStyle w:val="BodyTextIndent"/>
        <w:numPr>
          <w:ilvl w:val="0"/>
          <w:numId w:val="3"/>
        </w:numPr>
        <w:spacing w:line="480" w:lineRule="exact"/>
      </w:pPr>
      <w:r>
        <w:lastRenderedPageBreak/>
        <w:tab/>
      </w:r>
      <w:r w:rsidR="008678EA" w:rsidRPr="008678EA">
        <w:t xml:space="preserve">It is not enough for the Company to suggest </w:t>
      </w:r>
      <w:r w:rsidR="00FC39A4">
        <w:t xml:space="preserve">that </w:t>
      </w:r>
      <w:r w:rsidR="008678EA" w:rsidRPr="008678EA">
        <w:t>because Washington ratepayers get the benefits of the transmission system</w:t>
      </w:r>
      <w:r w:rsidR="00FC39A4">
        <w:t xml:space="preserve">, they must </w:t>
      </w:r>
      <w:r w:rsidR="008678EA" w:rsidRPr="008678EA">
        <w:t>pay these costs.</w:t>
      </w:r>
      <w:r w:rsidR="008678EA" w:rsidRPr="008678EA">
        <w:rPr>
          <w:rStyle w:val="FootnoteReference"/>
        </w:rPr>
        <w:footnoteReference w:id="120"/>
      </w:r>
      <w:r w:rsidR="008678EA" w:rsidRPr="008678EA">
        <w:t xml:space="preserve">  The issue here is cost responsibility.  It is crystal clear Washington ratepayers are not the ones who caused PacifiCorp to incur these costs, and the Commission should not make Washington ratepayers responsible for these costs. </w:t>
      </w:r>
    </w:p>
    <w:p w:rsidR="008678EA" w:rsidRDefault="00887781" w:rsidP="00C16EA4">
      <w:pPr>
        <w:pStyle w:val="BodyTextIndent"/>
        <w:numPr>
          <w:ilvl w:val="0"/>
          <w:numId w:val="3"/>
        </w:numPr>
        <w:spacing w:line="480" w:lineRule="exact"/>
      </w:pPr>
      <w:r>
        <w:tab/>
      </w:r>
      <w:r w:rsidR="008678EA" w:rsidRPr="008678EA">
        <w:t>Assuming PacifiCorp’s OATT problem does not resolve the issue, there are other reasons why the Commission should accept Staff’s wind integration adjustments.  The Company has continued to present a moving target in regard to wind integration costs.  For example, the overall wind integration costs in the Company’s direct case represent a six-fold increase from the estimates in the last general rate case, approximately one year ago.  The wind integration costs in the Company’s direct case were based on its 2008 IRP (for wind resources in the Company’s control area)</w:t>
      </w:r>
      <w:r w:rsidR="008678EA" w:rsidRPr="008678EA">
        <w:rPr>
          <w:vertAlign w:val="superscript"/>
        </w:rPr>
        <w:footnoteReference w:id="121"/>
      </w:r>
      <w:r w:rsidR="008678EA" w:rsidRPr="008678EA">
        <w:t xml:space="preserve"> and the results of BPA’s recent transmission rate case (for wind resources within BPA’s control area).</w:t>
      </w:r>
      <w:r w:rsidR="008678EA" w:rsidRPr="008678EA">
        <w:rPr>
          <w:vertAlign w:val="superscript"/>
        </w:rPr>
        <w:footnoteReference w:id="122"/>
      </w:r>
      <w:r w:rsidR="008678EA" w:rsidRPr="008678EA">
        <w:t xml:space="preserve"> However, the Company warned that it would update those costs based on a study to be completed in early August 2010,</w:t>
      </w:r>
      <w:r w:rsidR="008678EA" w:rsidRPr="008678EA">
        <w:rPr>
          <w:vertAlign w:val="superscript"/>
        </w:rPr>
        <w:footnoteReference w:id="123"/>
      </w:r>
      <w:r w:rsidR="008678EA" w:rsidRPr="008678EA">
        <w:t xml:space="preserve"> yet the update did not arrive until September 2010, leaving Staff little time for review.</w:t>
      </w:r>
      <w:r w:rsidR="008678EA" w:rsidRPr="008678EA">
        <w:rPr>
          <w:vertAlign w:val="superscript"/>
        </w:rPr>
        <w:footnoteReference w:id="124"/>
      </w:r>
      <w:r w:rsidR="008678EA" w:rsidRPr="008678EA">
        <w:t xml:space="preserve">  To add insult to injury, the Company later informed Staff it would seek an even higher wind integration cost level.</w:t>
      </w:r>
      <w:r w:rsidR="008678EA" w:rsidRPr="008678EA">
        <w:rPr>
          <w:vertAlign w:val="superscript"/>
        </w:rPr>
        <w:footnoteReference w:id="125"/>
      </w:r>
      <w:r w:rsidR="008678EA" w:rsidRPr="008678EA">
        <w:t xml:space="preserve">  As Mr. Buckley summarized:</w:t>
      </w:r>
    </w:p>
    <w:p w:rsidR="00887781" w:rsidRPr="008678EA" w:rsidRDefault="00887781" w:rsidP="00887781">
      <w:pPr>
        <w:pStyle w:val="BodyTextIndent"/>
        <w:spacing w:line="240" w:lineRule="exact"/>
        <w:ind w:left="0" w:firstLine="0"/>
      </w:pPr>
    </w:p>
    <w:p w:rsidR="008678EA" w:rsidRPr="008678EA" w:rsidRDefault="00BE32C9" w:rsidP="000073C0">
      <w:pPr>
        <w:pStyle w:val="BodyTextIndent"/>
        <w:spacing w:line="240" w:lineRule="auto"/>
        <w:ind w:firstLine="0"/>
      </w:pPr>
      <w:r>
        <w:t>Clearly, the range of costs presented in various studies in a matter of one year, leads one to question the accuracy and validity any proposed wind integration cost. Staff has had no opportunity to review and analyze the updated study, nor address any proposed changes in the Company’s proposed costs for ratemaking purposes.</w:t>
      </w:r>
      <w:r w:rsidR="008678EA" w:rsidRPr="008678EA">
        <w:rPr>
          <w:vertAlign w:val="superscript"/>
        </w:rPr>
        <w:footnoteReference w:id="126"/>
      </w:r>
      <w:r w:rsidR="008678EA" w:rsidRPr="008678EA">
        <w:t xml:space="preserve">  </w:t>
      </w:r>
    </w:p>
    <w:p w:rsidR="008678EA" w:rsidRPr="008678EA" w:rsidRDefault="008678EA" w:rsidP="008678EA">
      <w:pPr>
        <w:pStyle w:val="BodyTextIndent"/>
        <w:spacing w:line="480" w:lineRule="exact"/>
        <w:ind w:left="0" w:firstLine="0"/>
      </w:pPr>
      <w:r w:rsidRPr="008678EA">
        <w:t>In effect, the Company has thrown the “known and measureable” standard to the wind here.</w:t>
      </w:r>
    </w:p>
    <w:p w:rsidR="008678EA" w:rsidRDefault="00887781" w:rsidP="00840A46">
      <w:pPr>
        <w:pStyle w:val="BodyTextIndent"/>
        <w:numPr>
          <w:ilvl w:val="0"/>
          <w:numId w:val="3"/>
        </w:numPr>
        <w:spacing w:line="480" w:lineRule="exact"/>
      </w:pPr>
      <w:r>
        <w:tab/>
      </w:r>
      <w:r w:rsidR="008678EA" w:rsidRPr="008678EA">
        <w:t>If the Commission does not reject the wind integration cost increases PacifiCorp proposes on the basis of reliability of the data, the Commission should accept Staff’s adjustments related to those non-owned, intra-hour wind integration costs shown in Exhibit No. APB-6 for the non-</w:t>
      </w:r>
      <w:r w:rsidR="008678EA" w:rsidRPr="008678EA">
        <w:lastRenderedPageBreak/>
        <w:t>SCL Stateline, Cambell Wind Farm, and Oregon QF projects, on the grounds that ratepayers should not be burdened with these costs if they do not receive associated revenues, or the third-party wind resource serves another jurisdiction, or the contract is about to expire.</w:t>
      </w:r>
      <w:r w:rsidR="008678EA" w:rsidRPr="008678EA">
        <w:rPr>
          <w:vertAlign w:val="superscript"/>
        </w:rPr>
        <w:footnoteReference w:id="127"/>
      </w:r>
      <w:r w:rsidR="008678EA" w:rsidRPr="008678EA">
        <w:t xml:space="preserve">  These non-owned, intra-hour wind integration costs </w:t>
      </w:r>
      <w:r w:rsidR="00A31975">
        <w:t xml:space="preserve">that </w:t>
      </w:r>
      <w:r w:rsidR="008678EA" w:rsidRPr="008678EA">
        <w:t xml:space="preserve">remain at issue </w:t>
      </w:r>
      <w:r w:rsidR="00A31975">
        <w:t xml:space="preserve">reduces Net Power Costs by </w:t>
      </w:r>
      <w:r w:rsidR="008678EA" w:rsidRPr="008678EA">
        <w:t>$2,348,393 on a WCA basis, or approximately $518,692 for Washington.</w:t>
      </w:r>
      <w:r w:rsidR="008678EA" w:rsidRPr="008678EA">
        <w:rPr>
          <w:rStyle w:val="FootnoteReference"/>
        </w:rPr>
        <w:footnoteReference w:id="128"/>
      </w:r>
    </w:p>
    <w:p w:rsidR="00840A46" w:rsidRPr="00840A46" w:rsidRDefault="00840A46" w:rsidP="00840A46">
      <w:pPr>
        <w:spacing w:after="0" w:line="480" w:lineRule="exact"/>
        <w:rPr>
          <w:rFonts w:ascii="Times New Roman" w:hAnsi="Times New Roman" w:cs="Times New Roman"/>
          <w:b/>
          <w:sz w:val="24"/>
          <w:szCs w:val="24"/>
        </w:rPr>
      </w:pPr>
      <w:r>
        <w:rPr>
          <w:rFonts w:ascii="Times New Roman" w:hAnsi="Times New Roman" w:cs="Times New Roman"/>
          <w:b/>
          <w:sz w:val="24"/>
          <w:szCs w:val="24"/>
        </w:rPr>
        <w:tab/>
      </w:r>
      <w:r w:rsidR="00AE72F6">
        <w:rPr>
          <w:rFonts w:ascii="Times New Roman" w:hAnsi="Times New Roman" w:cs="Times New Roman"/>
          <w:b/>
          <w:sz w:val="24"/>
          <w:szCs w:val="24"/>
        </w:rPr>
        <w:t>7</w:t>
      </w:r>
      <w:r>
        <w:rPr>
          <w:rFonts w:ascii="Times New Roman" w:hAnsi="Times New Roman" w:cs="Times New Roman"/>
          <w:b/>
          <w:sz w:val="24"/>
          <w:szCs w:val="24"/>
        </w:rPr>
        <w:t>.</w:t>
      </w:r>
      <w:r>
        <w:rPr>
          <w:rFonts w:ascii="Times New Roman" w:hAnsi="Times New Roman" w:cs="Times New Roman"/>
          <w:b/>
          <w:sz w:val="24"/>
          <w:szCs w:val="24"/>
        </w:rPr>
        <w:tab/>
      </w:r>
      <w:r w:rsidRPr="00840A46">
        <w:rPr>
          <w:rFonts w:ascii="Times New Roman" w:hAnsi="Times New Roman" w:cs="Times New Roman"/>
          <w:b/>
          <w:sz w:val="24"/>
          <w:szCs w:val="24"/>
        </w:rPr>
        <w:t>Idaho Point to Point (PTP) Wheeling Contract Update</w:t>
      </w:r>
    </w:p>
    <w:p w:rsidR="00840A46" w:rsidRPr="00840A46" w:rsidRDefault="00840A46" w:rsidP="00840A46">
      <w:pPr>
        <w:pStyle w:val="ListParagraph"/>
        <w:numPr>
          <w:ilvl w:val="0"/>
          <w:numId w:val="3"/>
        </w:numPr>
        <w:tabs>
          <w:tab w:val="left" w:pos="720"/>
        </w:tabs>
        <w:spacing w:after="0" w:line="480" w:lineRule="exact"/>
        <w:rPr>
          <w:rFonts w:ascii="Times New Roman" w:hAnsi="Times New Roman" w:cs="Times New Roman"/>
          <w:sz w:val="24"/>
          <w:szCs w:val="24"/>
        </w:rPr>
      </w:pPr>
      <w:r w:rsidRPr="00840A46">
        <w:rPr>
          <w:rFonts w:ascii="Times New Roman" w:hAnsi="Times New Roman" w:cs="Times New Roman"/>
          <w:sz w:val="24"/>
          <w:szCs w:val="24"/>
        </w:rPr>
        <w:tab/>
        <w:t>This adjustment updates the Idaho PTP contract to reflect known cost changes.</w:t>
      </w:r>
      <w:r>
        <w:rPr>
          <w:rStyle w:val="FootnoteReference"/>
          <w:rFonts w:cs="Times New Roman"/>
          <w:sz w:val="24"/>
          <w:szCs w:val="24"/>
        </w:rPr>
        <w:footnoteReference w:id="129"/>
      </w:r>
      <w:r w:rsidRPr="00840A46">
        <w:rPr>
          <w:rFonts w:ascii="Times New Roman" w:hAnsi="Times New Roman" w:cs="Times New Roman"/>
          <w:sz w:val="24"/>
          <w:szCs w:val="24"/>
        </w:rPr>
        <w:t xml:space="preserve">  While Staff is not opposing the concept of updating the known contract costs, Staff recommends the Commission treat the same as the original Idaho PTP Wheeling Contract adjustment in </w:t>
      </w:r>
      <w:r w:rsidR="00BC5D08">
        <w:rPr>
          <w:rFonts w:ascii="Times New Roman" w:hAnsi="Times New Roman" w:cs="Times New Roman"/>
          <w:sz w:val="24"/>
          <w:szCs w:val="24"/>
        </w:rPr>
        <w:t xml:space="preserve">¶¶ </w:t>
      </w:r>
      <w:r w:rsidR="00AE72F6">
        <w:rPr>
          <w:rFonts w:ascii="Times New Roman" w:hAnsi="Times New Roman" w:cs="Times New Roman"/>
          <w:sz w:val="24"/>
          <w:szCs w:val="24"/>
        </w:rPr>
        <w:t>8</w:t>
      </w:r>
      <w:r w:rsidR="00BC5D08">
        <w:rPr>
          <w:rFonts w:ascii="Times New Roman" w:hAnsi="Times New Roman" w:cs="Times New Roman"/>
          <w:sz w:val="24"/>
          <w:szCs w:val="24"/>
        </w:rPr>
        <w:t>3</w:t>
      </w:r>
      <w:r w:rsidR="00AE72F6">
        <w:rPr>
          <w:rFonts w:ascii="Times New Roman" w:hAnsi="Times New Roman" w:cs="Times New Roman"/>
          <w:sz w:val="24"/>
          <w:szCs w:val="24"/>
        </w:rPr>
        <w:t>-</w:t>
      </w:r>
      <w:r w:rsidR="00BC5D08">
        <w:rPr>
          <w:rFonts w:ascii="Times New Roman" w:hAnsi="Times New Roman" w:cs="Times New Roman"/>
          <w:sz w:val="24"/>
          <w:szCs w:val="24"/>
        </w:rPr>
        <w:t>85</w:t>
      </w:r>
      <w:r w:rsidR="00AE72F6">
        <w:rPr>
          <w:rFonts w:ascii="Times New Roman" w:hAnsi="Times New Roman" w:cs="Times New Roman"/>
          <w:sz w:val="24"/>
          <w:szCs w:val="24"/>
        </w:rPr>
        <w:t xml:space="preserve"> </w:t>
      </w:r>
      <w:r w:rsidRPr="00840A46">
        <w:rPr>
          <w:rFonts w:ascii="Times New Roman" w:hAnsi="Times New Roman" w:cs="Times New Roman"/>
          <w:sz w:val="24"/>
          <w:szCs w:val="24"/>
        </w:rPr>
        <w:t>above, i.e., the Commission should accept Staff’s proposal to remove one-half of the updated amount for the same reasons we previously outlined.  This results in a reduction to WCA Net Power Costs of $376,920, and $83,251 for Washington.</w:t>
      </w:r>
    </w:p>
    <w:p w:rsidR="0096310C" w:rsidRDefault="00AE72F6" w:rsidP="0022264C">
      <w:pPr>
        <w:pStyle w:val="BodyTextIndent"/>
        <w:spacing w:line="480" w:lineRule="exact"/>
        <w:ind w:firstLine="0"/>
        <w:rPr>
          <w:b/>
        </w:rPr>
      </w:pPr>
      <w:r>
        <w:rPr>
          <w:b/>
        </w:rPr>
        <w:t>8</w:t>
      </w:r>
      <w:r w:rsidR="008678EA" w:rsidRPr="008678EA">
        <w:rPr>
          <w:b/>
        </w:rPr>
        <w:t>.</w:t>
      </w:r>
      <w:r w:rsidR="008678EA" w:rsidRPr="008678EA">
        <w:rPr>
          <w:b/>
        </w:rPr>
        <w:tab/>
        <w:t>ICNU</w:t>
      </w:r>
      <w:r w:rsidR="00FC39A4">
        <w:rPr>
          <w:b/>
        </w:rPr>
        <w:t>’s</w:t>
      </w:r>
      <w:r w:rsidR="008678EA" w:rsidRPr="008678EA">
        <w:rPr>
          <w:b/>
        </w:rPr>
        <w:t xml:space="preserve"> Non-Firm Transmission Adjustment</w:t>
      </w:r>
    </w:p>
    <w:p w:rsidR="008678EA" w:rsidRPr="00265AD1" w:rsidRDefault="00265AD1"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8678EA" w:rsidRPr="00265AD1">
        <w:rPr>
          <w:rFonts w:ascii="Times New Roman" w:hAnsi="Times New Roman" w:cs="Times New Roman"/>
          <w:sz w:val="24"/>
          <w:szCs w:val="24"/>
        </w:rPr>
        <w:t>ICNU offers Adjustment 10 - Non-Firm Transmission, which would include non-firm transmission transactions in GRID, and would reduce Net Power Costs on a WCA basis by $719,500.</w:t>
      </w:r>
      <w:r w:rsidR="008678EA" w:rsidRPr="008678EA">
        <w:rPr>
          <w:rStyle w:val="FootnoteReference"/>
          <w:rFonts w:ascii="Times New Roman" w:hAnsi="Times New Roman" w:cs="Times New Roman"/>
          <w:sz w:val="24"/>
          <w:szCs w:val="24"/>
        </w:rPr>
        <w:footnoteReference w:id="130"/>
      </w:r>
      <w:r w:rsidR="008678EA" w:rsidRPr="00265AD1">
        <w:rPr>
          <w:rFonts w:ascii="Times New Roman" w:hAnsi="Times New Roman" w:cs="Times New Roman"/>
          <w:sz w:val="24"/>
          <w:szCs w:val="24"/>
        </w:rPr>
        <w:t xml:space="preserve">  For the first time on rebuttal, the Company includes what it calls short-term firm transmission along with the non-firm transmission, making the net result an overall </w:t>
      </w:r>
      <w:r w:rsidR="005F7905" w:rsidRPr="0022264C">
        <w:rPr>
          <w:rFonts w:ascii="Times New Roman" w:hAnsi="Times New Roman" w:cs="Times New Roman"/>
          <w:i/>
          <w:sz w:val="24"/>
          <w:szCs w:val="24"/>
        </w:rPr>
        <w:t>increase</w:t>
      </w:r>
      <w:r w:rsidR="008678EA" w:rsidRPr="00265AD1">
        <w:rPr>
          <w:rFonts w:ascii="Times New Roman" w:hAnsi="Times New Roman" w:cs="Times New Roman"/>
          <w:sz w:val="24"/>
          <w:szCs w:val="24"/>
        </w:rPr>
        <w:t xml:space="preserve"> to Net Power Costs of $1,216,293.</w:t>
      </w:r>
      <w:r w:rsidR="008678EA" w:rsidRPr="008678EA">
        <w:rPr>
          <w:rStyle w:val="FootnoteReference"/>
          <w:rFonts w:ascii="Times New Roman" w:hAnsi="Times New Roman" w:cs="Times New Roman"/>
          <w:sz w:val="24"/>
          <w:szCs w:val="24"/>
        </w:rPr>
        <w:footnoteReference w:id="131"/>
      </w:r>
      <w:r w:rsidR="008678EA" w:rsidRPr="00265AD1">
        <w:rPr>
          <w:rFonts w:ascii="Times New Roman" w:hAnsi="Times New Roman" w:cs="Times New Roman"/>
          <w:sz w:val="24"/>
          <w:szCs w:val="24"/>
        </w:rPr>
        <w:t xml:space="preserve"> </w:t>
      </w:r>
    </w:p>
    <w:p w:rsidR="008678EA" w:rsidRPr="00265AD1" w:rsidRDefault="00265AD1"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8678EA" w:rsidRPr="00265AD1">
        <w:rPr>
          <w:rFonts w:ascii="Times New Roman" w:hAnsi="Times New Roman" w:cs="Times New Roman"/>
          <w:sz w:val="24"/>
          <w:szCs w:val="24"/>
        </w:rPr>
        <w:t xml:space="preserve">Staff recommends the Commission reject both adjustments because the record contains insufficient evidence to support them.  Staff is concerned that these types of transactions are essentially the result of third-party requests for service, and thus may not have a sufficiently dependable historical pattern for inclusion in GRID.  Or, as in the case of short-term firm </w:t>
      </w:r>
      <w:r w:rsidR="008678EA" w:rsidRPr="00265AD1">
        <w:rPr>
          <w:rFonts w:ascii="Times New Roman" w:hAnsi="Times New Roman" w:cs="Times New Roman"/>
          <w:sz w:val="24"/>
          <w:szCs w:val="24"/>
        </w:rPr>
        <w:lastRenderedPageBreak/>
        <w:t>transmission, these transactions may be required to support specific energy transactions to serve load outside the state of Washington and thus should not be paid by Washington ratepayers for that reason.  These issues require further investigation.</w:t>
      </w:r>
    </w:p>
    <w:p w:rsidR="008678EA" w:rsidRPr="00265AD1" w:rsidRDefault="00265AD1"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8678EA" w:rsidRPr="00265AD1">
        <w:rPr>
          <w:rFonts w:ascii="Times New Roman" w:hAnsi="Times New Roman" w:cs="Times New Roman"/>
          <w:sz w:val="24"/>
          <w:szCs w:val="24"/>
        </w:rPr>
        <w:t xml:space="preserve">Consequently, the Commission should reject ICNU’s adjustment, and remove the $1,216,293 adjustment proposed by the Company in its rebuttal case, and included in the </w:t>
      </w:r>
      <w:r w:rsidR="00FC39A4">
        <w:rPr>
          <w:rFonts w:ascii="Times New Roman" w:hAnsi="Times New Roman" w:cs="Times New Roman"/>
          <w:sz w:val="24"/>
          <w:szCs w:val="24"/>
        </w:rPr>
        <w:t>Exhibit No. 15C.</w:t>
      </w:r>
      <w:r w:rsidR="008678EA" w:rsidRPr="00265AD1">
        <w:rPr>
          <w:rFonts w:ascii="Times New Roman" w:hAnsi="Times New Roman" w:cs="Times New Roman"/>
          <w:sz w:val="24"/>
          <w:szCs w:val="24"/>
        </w:rPr>
        <w:t xml:space="preserve">  This </w:t>
      </w:r>
      <w:r w:rsidR="00A31975">
        <w:rPr>
          <w:rFonts w:ascii="Times New Roman" w:hAnsi="Times New Roman" w:cs="Times New Roman"/>
          <w:sz w:val="24"/>
          <w:szCs w:val="24"/>
        </w:rPr>
        <w:t xml:space="preserve">reduces Washington Net Power Costs by </w:t>
      </w:r>
      <w:r w:rsidR="008678EA" w:rsidRPr="00265AD1">
        <w:rPr>
          <w:rFonts w:ascii="Times New Roman" w:hAnsi="Times New Roman" w:cs="Times New Roman"/>
          <w:sz w:val="24"/>
          <w:szCs w:val="24"/>
        </w:rPr>
        <w:t>$268,644.</w:t>
      </w:r>
    </w:p>
    <w:p w:rsidR="00CC4653" w:rsidRPr="00CC4653" w:rsidRDefault="003B2148" w:rsidP="00CC4653">
      <w:pPr>
        <w:spacing w:after="0" w:line="480" w:lineRule="exact"/>
        <w:jc w:val="center"/>
        <w:rPr>
          <w:rFonts w:ascii="Times New Roman" w:hAnsi="Times New Roman" w:cs="Times New Roman"/>
          <w:b/>
          <w:sz w:val="24"/>
          <w:szCs w:val="24"/>
        </w:rPr>
      </w:pPr>
      <w:r>
        <w:rPr>
          <w:rFonts w:ascii="Times New Roman" w:hAnsi="Times New Roman" w:cs="Times New Roman"/>
          <w:b/>
          <w:sz w:val="24"/>
          <w:szCs w:val="24"/>
        </w:rPr>
        <w:t>IV</w:t>
      </w:r>
      <w:r w:rsidR="00CC4653" w:rsidRPr="00CC4653">
        <w:rPr>
          <w:rFonts w:ascii="Times New Roman" w:hAnsi="Times New Roman" w:cs="Times New Roman"/>
          <w:b/>
          <w:sz w:val="24"/>
          <w:szCs w:val="24"/>
        </w:rPr>
        <w:t>.</w:t>
      </w:r>
      <w:r w:rsidR="00CC4653" w:rsidRPr="00CC4653">
        <w:rPr>
          <w:rFonts w:ascii="Times New Roman" w:hAnsi="Times New Roman" w:cs="Times New Roman"/>
          <w:b/>
          <w:sz w:val="24"/>
          <w:szCs w:val="24"/>
        </w:rPr>
        <w:tab/>
        <w:t>RATE BASE</w:t>
      </w:r>
    </w:p>
    <w:p w:rsidR="00CC4653" w:rsidRPr="00CC4653" w:rsidRDefault="00CC4653"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CC4653">
        <w:rPr>
          <w:rFonts w:ascii="Times New Roman" w:hAnsi="Times New Roman" w:cs="Times New Roman"/>
          <w:sz w:val="24"/>
          <w:szCs w:val="24"/>
        </w:rPr>
        <w:t xml:space="preserve">Apart from the rate base impact of the tax issues, which </w:t>
      </w:r>
      <w:r w:rsidR="0073666B">
        <w:rPr>
          <w:rFonts w:ascii="Times New Roman" w:hAnsi="Times New Roman" w:cs="Times New Roman"/>
          <w:sz w:val="24"/>
          <w:szCs w:val="24"/>
        </w:rPr>
        <w:t>we address</w:t>
      </w:r>
      <w:r w:rsidRPr="00CC4653">
        <w:rPr>
          <w:rFonts w:ascii="Times New Roman" w:hAnsi="Times New Roman" w:cs="Times New Roman"/>
          <w:sz w:val="24"/>
          <w:szCs w:val="24"/>
        </w:rPr>
        <w:t xml:space="preserve"> in Section </w:t>
      </w:r>
      <w:r w:rsidR="00FC39A4">
        <w:rPr>
          <w:rFonts w:ascii="Times New Roman" w:hAnsi="Times New Roman" w:cs="Times New Roman"/>
          <w:sz w:val="24"/>
          <w:szCs w:val="24"/>
        </w:rPr>
        <w:t>V</w:t>
      </w:r>
      <w:r w:rsidRPr="00CC4653">
        <w:rPr>
          <w:rFonts w:ascii="Times New Roman" w:hAnsi="Times New Roman" w:cs="Times New Roman"/>
          <w:sz w:val="24"/>
          <w:szCs w:val="24"/>
        </w:rPr>
        <w:t xml:space="preserve"> of this brief, the sole contested rate base adjustment in this case relates to working capital.  There are two issues under the working capital banner: 1) selecting the appropriate method for determining working capital; and 2) determining the appropriate treatment of certain current asset accounts: fuel stock and plant materials and operating supplies (Materials &amp; Supplies).  </w:t>
      </w:r>
    </w:p>
    <w:p w:rsidR="00CC4653" w:rsidRPr="00CC4653" w:rsidRDefault="00CC4653"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CC4653">
        <w:rPr>
          <w:rFonts w:ascii="Times New Roman" w:hAnsi="Times New Roman" w:cs="Times New Roman"/>
          <w:sz w:val="24"/>
          <w:szCs w:val="24"/>
        </w:rPr>
        <w:t xml:space="preserve">There is no apparent issue as to the calculation of working capital.  In other words, while there is a dispute as to the proper method, if the Commission accepts the Staff’s method or the Company’s method, no party has challenged the resulting adjustment amount.  </w:t>
      </w:r>
    </w:p>
    <w:p w:rsidR="00CC4653" w:rsidRPr="00AE72F6" w:rsidRDefault="00CC4653"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AE72F6">
        <w:rPr>
          <w:rFonts w:ascii="Times New Roman" w:hAnsi="Times New Roman" w:cs="Times New Roman"/>
          <w:sz w:val="24"/>
          <w:szCs w:val="24"/>
        </w:rPr>
        <w:t>The problem of selecting an appropriate working capital calculation method has loomed since the Commission rejected the Revised Protocol inter-jurisdictional allocation methodology in Docket UE-050684.  In that case, the Commission also rejected both the Company’s lead/lag method and the Staff’s investor-supplied working capital method, because there was no accepted inter-jurisdictional allocation method.</w:t>
      </w:r>
      <w:r w:rsidR="005F7905" w:rsidRPr="0022264C">
        <w:rPr>
          <w:rFonts w:ascii="Times New Roman" w:hAnsi="Times New Roman" w:cs="Times New Roman"/>
          <w:sz w:val="24"/>
          <w:szCs w:val="24"/>
          <w:vertAlign w:val="superscript"/>
        </w:rPr>
        <w:footnoteReference w:id="132"/>
      </w:r>
      <w:r w:rsidRPr="00AE72F6">
        <w:rPr>
          <w:rFonts w:ascii="Times New Roman" w:hAnsi="Times New Roman" w:cs="Times New Roman"/>
          <w:sz w:val="24"/>
          <w:szCs w:val="24"/>
        </w:rPr>
        <w:t xml:space="preserve">  </w:t>
      </w:r>
    </w:p>
    <w:p w:rsidR="00CC4653" w:rsidRPr="00AE72F6" w:rsidRDefault="00CC4653"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AE72F6">
        <w:rPr>
          <w:rFonts w:ascii="Times New Roman" w:hAnsi="Times New Roman" w:cs="Times New Roman"/>
          <w:sz w:val="24"/>
          <w:szCs w:val="24"/>
        </w:rPr>
        <w:t>In the ensuing rate case, the Commission revisited the issue, and rejected the Company’s adjustment because it was based on an allocation methodology the Commission had rejected.</w:t>
      </w:r>
      <w:r w:rsidR="005F7905" w:rsidRPr="0022264C">
        <w:rPr>
          <w:rFonts w:ascii="Times New Roman" w:hAnsi="Times New Roman" w:cs="Times New Roman"/>
          <w:sz w:val="24"/>
          <w:szCs w:val="24"/>
          <w:vertAlign w:val="superscript"/>
        </w:rPr>
        <w:footnoteReference w:id="133"/>
      </w:r>
      <w:r w:rsidRPr="00AE72F6">
        <w:rPr>
          <w:rFonts w:ascii="Times New Roman" w:hAnsi="Times New Roman" w:cs="Times New Roman"/>
          <w:sz w:val="24"/>
          <w:szCs w:val="24"/>
        </w:rPr>
        <w:t xml:space="preserve">  The Commission also rejected Staff’s adjustment because it was not calculated “in a manner consistent with the WCA allocation methodology.”</w:t>
      </w:r>
      <w:r w:rsidR="005F7905" w:rsidRPr="0022264C">
        <w:rPr>
          <w:rFonts w:ascii="Times New Roman" w:hAnsi="Times New Roman" w:cs="Times New Roman"/>
          <w:sz w:val="24"/>
          <w:szCs w:val="24"/>
          <w:vertAlign w:val="superscript"/>
        </w:rPr>
        <w:footnoteReference w:id="134"/>
      </w:r>
      <w:r w:rsidRPr="00AE72F6">
        <w:rPr>
          <w:rFonts w:ascii="Times New Roman" w:hAnsi="Times New Roman" w:cs="Times New Roman"/>
          <w:sz w:val="24"/>
          <w:szCs w:val="24"/>
        </w:rPr>
        <w:t xml:space="preserve">  </w:t>
      </w:r>
    </w:p>
    <w:p w:rsidR="00CC4653" w:rsidRPr="00CC4653" w:rsidRDefault="00CC4653" w:rsidP="00C16EA4">
      <w:pPr>
        <w:pStyle w:val="ListParagraph"/>
        <w:numPr>
          <w:ilvl w:val="0"/>
          <w:numId w:val="3"/>
        </w:numPr>
        <w:spacing w:after="0" w:line="480" w:lineRule="exact"/>
        <w:rPr>
          <w:rFonts w:ascii="Times New Roman" w:hAnsi="Times New Roman" w:cs="Times New Roman"/>
          <w:sz w:val="24"/>
          <w:szCs w:val="24"/>
        </w:rPr>
      </w:pPr>
      <w:r w:rsidRPr="00AE72F6">
        <w:rPr>
          <w:rFonts w:ascii="Times New Roman" w:hAnsi="Times New Roman" w:cs="Times New Roman"/>
          <w:sz w:val="24"/>
          <w:szCs w:val="24"/>
        </w:rPr>
        <w:lastRenderedPageBreak/>
        <w:tab/>
        <w:t>In that case, Staff used a total company balance sheet and allocated the resulting wor</w:t>
      </w:r>
      <w:r w:rsidRPr="00CC4653">
        <w:rPr>
          <w:rFonts w:ascii="Times New Roman" w:hAnsi="Times New Roman" w:cs="Times New Roman"/>
          <w:sz w:val="24"/>
          <w:szCs w:val="24"/>
        </w:rPr>
        <w:t>k</w:t>
      </w:r>
      <w:r w:rsidRPr="00AE72F6">
        <w:rPr>
          <w:rFonts w:ascii="Times New Roman" w:hAnsi="Times New Roman" w:cs="Times New Roman"/>
          <w:sz w:val="24"/>
          <w:szCs w:val="24"/>
        </w:rPr>
        <w:t>ing</w:t>
      </w:r>
      <w:r w:rsidRPr="00CC4653">
        <w:rPr>
          <w:rFonts w:ascii="Times New Roman" w:hAnsi="Times New Roman" w:cs="Times New Roman"/>
          <w:sz w:val="24"/>
          <w:szCs w:val="24"/>
        </w:rPr>
        <w:t xml:space="preserve"> capital amount using the SO factor, which allocates plant to Washington based on Washington’s share of the total system plant.</w:t>
      </w:r>
      <w:r w:rsidRPr="00CC4653">
        <w:rPr>
          <w:vertAlign w:val="superscript"/>
        </w:rPr>
        <w:footnoteReference w:id="135"/>
      </w:r>
      <w:r w:rsidRPr="00CC4653">
        <w:rPr>
          <w:rFonts w:ascii="Times New Roman" w:hAnsi="Times New Roman" w:cs="Times New Roman"/>
          <w:sz w:val="24"/>
          <w:szCs w:val="24"/>
        </w:rPr>
        <w:t xml:space="preserve">  The Commission noted Staff was only able to testify that its adjustment captured the impact on Washington “to a certain degree.”</w:t>
      </w:r>
      <w:r w:rsidRPr="00CC4653">
        <w:rPr>
          <w:vertAlign w:val="superscript"/>
        </w:rPr>
        <w:footnoteReference w:id="136"/>
      </w:r>
      <w:r w:rsidRPr="00CC4653">
        <w:rPr>
          <w:rFonts w:ascii="Times New Roman" w:hAnsi="Times New Roman" w:cs="Times New Roman"/>
          <w:sz w:val="24"/>
          <w:szCs w:val="24"/>
        </w:rPr>
        <w:t xml:space="preserve">  </w:t>
      </w:r>
    </w:p>
    <w:p w:rsidR="00CC4653" w:rsidRDefault="00CC4653"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CC4653">
        <w:rPr>
          <w:rFonts w:ascii="Times New Roman" w:hAnsi="Times New Roman" w:cs="Times New Roman"/>
          <w:sz w:val="24"/>
          <w:szCs w:val="24"/>
        </w:rPr>
        <w:t xml:space="preserve">The issue </w:t>
      </w:r>
      <w:r w:rsidR="00AE72F6">
        <w:rPr>
          <w:rFonts w:ascii="Times New Roman" w:hAnsi="Times New Roman" w:cs="Times New Roman"/>
          <w:sz w:val="24"/>
          <w:szCs w:val="24"/>
        </w:rPr>
        <w:t xml:space="preserve">back </w:t>
      </w:r>
      <w:r w:rsidRPr="00CC4653">
        <w:rPr>
          <w:rFonts w:ascii="Times New Roman" w:hAnsi="Times New Roman" w:cs="Times New Roman"/>
          <w:sz w:val="24"/>
          <w:szCs w:val="24"/>
        </w:rPr>
        <w:t>again for Commission consideration.  Staff continues to support the investor-supplied working capital method as an appropriate method, with a refined allocation methodology consistent with the WCA.</w:t>
      </w:r>
      <w:r w:rsidRPr="00CC4653">
        <w:rPr>
          <w:vertAlign w:val="superscript"/>
        </w:rPr>
        <w:footnoteReference w:id="137"/>
      </w:r>
      <w:r w:rsidRPr="00CC4653">
        <w:rPr>
          <w:rFonts w:ascii="Times New Roman" w:hAnsi="Times New Roman" w:cs="Times New Roman"/>
          <w:sz w:val="24"/>
          <w:szCs w:val="24"/>
        </w:rPr>
        <w:t xml:space="preserve">  PacifiCorp, which uses the lead-lag method in its other jurisdictions, proposes the 1/8</w:t>
      </w:r>
      <w:r w:rsidRPr="00CC4653">
        <w:rPr>
          <w:rFonts w:ascii="Times New Roman" w:hAnsi="Times New Roman" w:cs="Times New Roman"/>
          <w:sz w:val="24"/>
          <w:szCs w:val="24"/>
          <w:vertAlign w:val="superscript"/>
        </w:rPr>
        <w:t>th</w:t>
      </w:r>
      <w:r w:rsidRPr="00CC4653">
        <w:rPr>
          <w:rFonts w:ascii="Times New Roman" w:hAnsi="Times New Roman" w:cs="Times New Roman"/>
          <w:sz w:val="24"/>
          <w:szCs w:val="24"/>
        </w:rPr>
        <w:t xml:space="preserve"> method for use in this state.</w:t>
      </w:r>
      <w:r w:rsidRPr="00CC4653">
        <w:rPr>
          <w:vertAlign w:val="superscript"/>
        </w:rPr>
        <w:footnoteReference w:id="138"/>
      </w:r>
      <w:r w:rsidRPr="00CC4653">
        <w:rPr>
          <w:rFonts w:ascii="Times New Roman" w:hAnsi="Times New Roman" w:cs="Times New Roman"/>
          <w:sz w:val="24"/>
          <w:szCs w:val="24"/>
        </w:rPr>
        <w:t xml:space="preserve">  </w:t>
      </w:r>
    </w:p>
    <w:p w:rsidR="00AE72F6" w:rsidRDefault="00AE72F6"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AE72F6">
        <w:rPr>
          <w:rFonts w:ascii="Times New Roman" w:hAnsi="Times New Roman" w:cs="Times New Roman"/>
          <w:sz w:val="24"/>
          <w:szCs w:val="24"/>
        </w:rPr>
        <w:t>For the reasons that follow, the Commission should adopt Staff’s investor-supplied working capital method and find that PacifiCorp has no need for working capital in this case.  The Commission should also reject PacifiCorp’s proposal to include the current assets accounts for fuel stock and Materials &amp; Supplies in rate base.  These are considered part of working capital; they are not permanent plant accounts and should not be treated as such.</w:t>
      </w:r>
      <w:r w:rsidRPr="00AE72F6">
        <w:rPr>
          <w:rFonts w:ascii="Times New Roman" w:hAnsi="Times New Roman" w:cs="Times New Roman"/>
          <w:sz w:val="24"/>
          <w:szCs w:val="24"/>
          <w:vertAlign w:val="superscript"/>
        </w:rPr>
        <w:footnoteReference w:id="139"/>
      </w:r>
    </w:p>
    <w:p w:rsidR="00CC4653" w:rsidRPr="00CC4653" w:rsidRDefault="00CC4653" w:rsidP="00CC4653">
      <w:pPr>
        <w:pStyle w:val="ListParagraph"/>
        <w:spacing w:after="0" w:line="240" w:lineRule="exact"/>
        <w:ind w:left="0"/>
        <w:rPr>
          <w:rFonts w:ascii="Times New Roman" w:hAnsi="Times New Roman" w:cs="Times New Roman"/>
          <w:sz w:val="24"/>
          <w:szCs w:val="24"/>
        </w:rPr>
      </w:pPr>
    </w:p>
    <w:p w:rsidR="00CC4653" w:rsidRPr="004A7BF4" w:rsidRDefault="00CC4653" w:rsidP="004A7BF4">
      <w:pPr>
        <w:pStyle w:val="ListParagraph"/>
        <w:numPr>
          <w:ilvl w:val="0"/>
          <w:numId w:val="7"/>
        </w:numPr>
        <w:spacing w:after="0" w:line="240" w:lineRule="exact"/>
        <w:ind w:left="720" w:hanging="720"/>
        <w:rPr>
          <w:rFonts w:ascii="Times New Roman" w:hAnsi="Times New Roman" w:cs="Times New Roman"/>
          <w:b/>
          <w:sz w:val="24"/>
          <w:szCs w:val="24"/>
        </w:rPr>
      </w:pPr>
      <w:r w:rsidRPr="00CC4653">
        <w:rPr>
          <w:rFonts w:ascii="Times New Roman" w:hAnsi="Times New Roman" w:cs="Times New Roman"/>
          <w:b/>
          <w:sz w:val="24"/>
          <w:szCs w:val="24"/>
        </w:rPr>
        <w:t xml:space="preserve">The Commission Should Accept </w:t>
      </w:r>
      <w:r w:rsidR="00FC39A4">
        <w:rPr>
          <w:rFonts w:ascii="Times New Roman" w:hAnsi="Times New Roman" w:cs="Times New Roman"/>
          <w:b/>
          <w:sz w:val="24"/>
          <w:szCs w:val="24"/>
        </w:rPr>
        <w:t xml:space="preserve">Staff’s Adjustment Because </w:t>
      </w:r>
      <w:r w:rsidRPr="00CC4653">
        <w:rPr>
          <w:rFonts w:ascii="Times New Roman" w:hAnsi="Times New Roman" w:cs="Times New Roman"/>
          <w:b/>
          <w:sz w:val="24"/>
          <w:szCs w:val="24"/>
        </w:rPr>
        <w:t>the Investor-Supplied Working Capital Method is Theoretically Sound</w:t>
      </w:r>
      <w:r w:rsidR="00FC39A4">
        <w:rPr>
          <w:rFonts w:ascii="Times New Roman" w:hAnsi="Times New Roman" w:cs="Times New Roman"/>
          <w:b/>
          <w:sz w:val="24"/>
          <w:szCs w:val="24"/>
        </w:rPr>
        <w:t xml:space="preserve">, </w:t>
      </w:r>
      <w:r w:rsidRPr="00CC4653">
        <w:rPr>
          <w:rFonts w:ascii="Times New Roman" w:hAnsi="Times New Roman" w:cs="Times New Roman"/>
          <w:b/>
          <w:sz w:val="24"/>
          <w:szCs w:val="24"/>
        </w:rPr>
        <w:t xml:space="preserve"> and </w:t>
      </w:r>
      <w:r w:rsidR="00DF7F80">
        <w:rPr>
          <w:rFonts w:ascii="Times New Roman" w:hAnsi="Times New Roman" w:cs="Times New Roman"/>
          <w:b/>
          <w:sz w:val="24"/>
          <w:szCs w:val="24"/>
        </w:rPr>
        <w:t>Staff’s</w:t>
      </w:r>
      <w:r w:rsidRPr="00CC4653">
        <w:rPr>
          <w:rFonts w:ascii="Times New Roman" w:hAnsi="Times New Roman" w:cs="Times New Roman"/>
          <w:b/>
          <w:sz w:val="24"/>
          <w:szCs w:val="24"/>
        </w:rPr>
        <w:t xml:space="preserve"> Adjustment is Calculated Consistent with the West Control Area Allocation Method</w:t>
      </w:r>
    </w:p>
    <w:p w:rsidR="00CC4653" w:rsidRPr="00CC4653" w:rsidRDefault="00CC4653"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CC4653">
        <w:rPr>
          <w:rFonts w:ascii="Times New Roman" w:hAnsi="Times New Roman" w:cs="Times New Roman"/>
          <w:sz w:val="24"/>
          <w:szCs w:val="24"/>
        </w:rPr>
        <w:t>It is elemental that a utility should only be able to earn a return on capital supplied by investors.</w:t>
      </w:r>
      <w:r w:rsidRPr="00CC4653">
        <w:rPr>
          <w:rStyle w:val="FootnoteReference"/>
          <w:rFonts w:ascii="Times New Roman" w:hAnsi="Times New Roman" w:cs="Times New Roman"/>
          <w:sz w:val="24"/>
          <w:szCs w:val="24"/>
        </w:rPr>
        <w:footnoteReference w:id="140"/>
      </w:r>
      <w:r w:rsidRPr="00CC4653">
        <w:rPr>
          <w:rFonts w:ascii="Times New Roman" w:hAnsi="Times New Roman" w:cs="Times New Roman"/>
          <w:sz w:val="24"/>
          <w:szCs w:val="24"/>
        </w:rPr>
        <w:t xml:space="preserve">  Because working capital is a rate base item, any method for calculating working capital should assure the amount of working capital is investor-supplied.</w:t>
      </w:r>
    </w:p>
    <w:p w:rsidR="00CC4653" w:rsidRPr="00CC4653" w:rsidRDefault="00CC4653"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CC4653">
        <w:rPr>
          <w:rFonts w:ascii="Times New Roman" w:hAnsi="Times New Roman" w:cs="Times New Roman"/>
          <w:sz w:val="24"/>
          <w:szCs w:val="24"/>
        </w:rPr>
        <w:t xml:space="preserve">The investor-supplied working capital method </w:t>
      </w:r>
      <w:r w:rsidR="00FC39A4">
        <w:rPr>
          <w:rFonts w:ascii="Times New Roman" w:hAnsi="Times New Roman" w:cs="Times New Roman"/>
          <w:sz w:val="24"/>
          <w:szCs w:val="24"/>
        </w:rPr>
        <w:t xml:space="preserve">qualifies, because it </w:t>
      </w:r>
      <w:r w:rsidRPr="00CC4653">
        <w:rPr>
          <w:rFonts w:ascii="Times New Roman" w:hAnsi="Times New Roman" w:cs="Times New Roman"/>
          <w:sz w:val="24"/>
          <w:szCs w:val="24"/>
        </w:rPr>
        <w:t>directly measures the amount of working capital investors provide, by comparing invested capital with investments.  If the amount of invested capital exceeds the amount of investments, that difference is investor-</w:t>
      </w:r>
      <w:r w:rsidRPr="00CC4653">
        <w:rPr>
          <w:rFonts w:ascii="Times New Roman" w:hAnsi="Times New Roman" w:cs="Times New Roman"/>
          <w:sz w:val="24"/>
          <w:szCs w:val="24"/>
        </w:rPr>
        <w:lastRenderedPageBreak/>
        <w:t>supplied working capital.</w:t>
      </w:r>
      <w:r w:rsidRPr="00CC4653">
        <w:rPr>
          <w:rStyle w:val="FootnoteReference"/>
          <w:rFonts w:ascii="Times New Roman" w:hAnsi="Times New Roman" w:cs="Times New Roman"/>
          <w:sz w:val="24"/>
          <w:szCs w:val="24"/>
        </w:rPr>
        <w:footnoteReference w:id="141"/>
      </w:r>
      <w:r w:rsidRPr="00CC4653">
        <w:rPr>
          <w:rFonts w:ascii="Times New Roman" w:hAnsi="Times New Roman" w:cs="Times New Roman"/>
          <w:sz w:val="24"/>
          <w:szCs w:val="24"/>
        </w:rPr>
        <w:t xml:space="preserve">  In this case, PacifiCorp’s the amount of invested capital does not exceed investments, and therefore, PacifiCorp has no working capital supplied by investors.</w:t>
      </w:r>
      <w:r w:rsidRPr="00CC4653">
        <w:rPr>
          <w:rStyle w:val="FootnoteReference"/>
          <w:rFonts w:ascii="Times New Roman" w:hAnsi="Times New Roman" w:cs="Times New Roman"/>
          <w:sz w:val="24"/>
          <w:szCs w:val="24"/>
        </w:rPr>
        <w:footnoteReference w:id="142"/>
      </w:r>
      <w:r w:rsidRPr="00CC4653">
        <w:rPr>
          <w:rFonts w:ascii="Times New Roman" w:hAnsi="Times New Roman" w:cs="Times New Roman"/>
          <w:sz w:val="24"/>
          <w:szCs w:val="24"/>
        </w:rPr>
        <w:t xml:space="preserve">  </w:t>
      </w:r>
    </w:p>
    <w:p w:rsidR="00CC4653" w:rsidRPr="00CC4653" w:rsidRDefault="00CC4653"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CC4653">
        <w:rPr>
          <w:rFonts w:ascii="Times New Roman" w:hAnsi="Times New Roman" w:cs="Times New Roman"/>
          <w:sz w:val="24"/>
          <w:szCs w:val="24"/>
        </w:rPr>
        <w:t>Had PacifiCorp’s investors supplied working capital, Staff would have allocated that amount based on Washington’s share of each investment account, as shown on Exhibit No. TES-2.  Staff developed factors that are “refined and specific to PacifiCorp’s Washington operations”</w:t>
      </w:r>
      <w:r w:rsidRPr="00CC4653">
        <w:rPr>
          <w:rStyle w:val="FootnoteReference"/>
          <w:rFonts w:ascii="Times New Roman" w:hAnsi="Times New Roman" w:cs="Times New Roman"/>
          <w:sz w:val="24"/>
          <w:szCs w:val="24"/>
        </w:rPr>
        <w:footnoteReference w:id="143"/>
      </w:r>
      <w:r w:rsidRPr="00CC4653">
        <w:rPr>
          <w:rFonts w:ascii="Times New Roman" w:hAnsi="Times New Roman" w:cs="Times New Roman"/>
          <w:sz w:val="24"/>
          <w:szCs w:val="24"/>
        </w:rPr>
        <w:t xml:space="preserve"> and “consistent with the WCA methodology</w:t>
      </w:r>
      <w:r w:rsidR="00FC39A4">
        <w:rPr>
          <w:rFonts w:ascii="Times New Roman" w:hAnsi="Times New Roman" w:cs="Times New Roman"/>
          <w:sz w:val="24"/>
          <w:szCs w:val="24"/>
        </w:rPr>
        <w:t>”</w:t>
      </w:r>
      <w:r w:rsidRPr="00CC4653">
        <w:rPr>
          <w:rFonts w:ascii="Times New Roman" w:hAnsi="Times New Roman" w:cs="Times New Roman"/>
          <w:sz w:val="24"/>
          <w:szCs w:val="24"/>
        </w:rPr>
        <w:t>.</w:t>
      </w:r>
      <w:r w:rsidRPr="00CC4653">
        <w:rPr>
          <w:rStyle w:val="FootnoteReference"/>
          <w:rFonts w:ascii="Times New Roman" w:hAnsi="Times New Roman" w:cs="Times New Roman"/>
          <w:sz w:val="24"/>
          <w:szCs w:val="24"/>
        </w:rPr>
        <w:footnoteReference w:id="144"/>
      </w:r>
      <w:r w:rsidRPr="00CC4653">
        <w:rPr>
          <w:rFonts w:ascii="Times New Roman" w:hAnsi="Times New Roman" w:cs="Times New Roman"/>
          <w:sz w:val="24"/>
          <w:szCs w:val="24"/>
        </w:rPr>
        <w:t xml:space="preserve">  </w:t>
      </w:r>
    </w:p>
    <w:p w:rsidR="00CC4653" w:rsidRPr="00CC4653" w:rsidRDefault="00CC4653"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CC4653">
        <w:rPr>
          <w:rFonts w:ascii="Times New Roman" w:hAnsi="Times New Roman" w:cs="Times New Roman"/>
          <w:sz w:val="24"/>
          <w:szCs w:val="24"/>
        </w:rPr>
        <w:t xml:space="preserve">Staff explained in detail the theoretical foundations for the investor-supplied working capital method, and refuted, point by point, each criticism PacifiCorp has leveled against that method in </w:t>
      </w:r>
      <w:r w:rsidR="00FC39A4">
        <w:rPr>
          <w:rFonts w:ascii="Times New Roman" w:hAnsi="Times New Roman" w:cs="Times New Roman"/>
          <w:sz w:val="24"/>
          <w:szCs w:val="24"/>
        </w:rPr>
        <w:t>the past</w:t>
      </w:r>
      <w:r w:rsidRPr="00CC4653">
        <w:rPr>
          <w:rFonts w:ascii="Times New Roman" w:hAnsi="Times New Roman" w:cs="Times New Roman"/>
          <w:sz w:val="24"/>
          <w:szCs w:val="24"/>
        </w:rPr>
        <w:t>.</w:t>
      </w:r>
      <w:r w:rsidRPr="00CC4653">
        <w:rPr>
          <w:rStyle w:val="FootnoteReference"/>
          <w:rFonts w:ascii="Times New Roman" w:hAnsi="Times New Roman" w:cs="Times New Roman"/>
          <w:sz w:val="24"/>
          <w:szCs w:val="24"/>
        </w:rPr>
        <w:footnoteReference w:id="145"/>
      </w:r>
      <w:r w:rsidRPr="00CC4653">
        <w:rPr>
          <w:rFonts w:ascii="Times New Roman" w:hAnsi="Times New Roman" w:cs="Times New Roman"/>
          <w:sz w:val="24"/>
          <w:szCs w:val="24"/>
        </w:rPr>
        <w:t xml:space="preserve">  PacifiCorp did not respond to this part of Staff’s case.  Instead, PacifiCorp’s challenge simply is that Staff’s method uses the total company balance sheet.  According to PacifiCorp, this violates the Commission’s order in Docket UE-061546, because PacifiCorp interprets that decision to say the determination of working capital “must be done on a WCA basis.”</w:t>
      </w:r>
      <w:r w:rsidRPr="00CC4653">
        <w:rPr>
          <w:rStyle w:val="FootnoteReference"/>
          <w:rFonts w:ascii="Times New Roman" w:hAnsi="Times New Roman" w:cs="Times New Roman"/>
          <w:sz w:val="24"/>
          <w:szCs w:val="24"/>
        </w:rPr>
        <w:footnoteReference w:id="146"/>
      </w:r>
    </w:p>
    <w:p w:rsidR="00CC4653" w:rsidRPr="00CC4653" w:rsidRDefault="00CC4653"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CC4653">
        <w:rPr>
          <w:rFonts w:ascii="Times New Roman" w:hAnsi="Times New Roman" w:cs="Times New Roman"/>
          <w:sz w:val="24"/>
          <w:szCs w:val="24"/>
        </w:rPr>
        <w:t>Staff understands the Commission order differently.  Staff understands the Commission to mean what it said:  the working capital analysis should be “consistent with the WCA methodology.”</w:t>
      </w:r>
      <w:r w:rsidRPr="00CC4653">
        <w:rPr>
          <w:rStyle w:val="FootnoteReference"/>
          <w:rFonts w:ascii="Times New Roman" w:hAnsi="Times New Roman" w:cs="Times New Roman"/>
          <w:sz w:val="24"/>
          <w:szCs w:val="24"/>
        </w:rPr>
        <w:footnoteReference w:id="147"/>
      </w:r>
      <w:r w:rsidRPr="00CC4653">
        <w:rPr>
          <w:rFonts w:ascii="Times New Roman" w:hAnsi="Times New Roman" w:cs="Times New Roman"/>
          <w:sz w:val="24"/>
          <w:szCs w:val="24"/>
        </w:rPr>
        <w:t xml:space="preserve">  Staff’s calculation complies, because Staff developed Washington-specific allocation factors based on the WCA allocation method to allocate to Washington any positive amount of working capital.</w:t>
      </w:r>
      <w:r w:rsidRPr="00CC4653">
        <w:rPr>
          <w:rStyle w:val="FootnoteReference"/>
          <w:rFonts w:ascii="Times New Roman" w:hAnsi="Times New Roman" w:cs="Times New Roman"/>
          <w:sz w:val="24"/>
          <w:szCs w:val="24"/>
        </w:rPr>
        <w:footnoteReference w:id="148"/>
      </w:r>
      <w:r w:rsidRPr="00CC4653">
        <w:rPr>
          <w:rFonts w:ascii="Times New Roman" w:hAnsi="Times New Roman" w:cs="Times New Roman"/>
          <w:sz w:val="24"/>
          <w:szCs w:val="24"/>
        </w:rPr>
        <w:t xml:space="preserve">  </w:t>
      </w:r>
    </w:p>
    <w:p w:rsidR="00CC4653" w:rsidRDefault="00CC4653"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CC4653">
        <w:rPr>
          <w:rFonts w:ascii="Times New Roman" w:hAnsi="Times New Roman" w:cs="Times New Roman"/>
          <w:sz w:val="24"/>
          <w:szCs w:val="24"/>
        </w:rPr>
        <w:t xml:space="preserve">The Commission does not determine capital structure based on the amount of capital PacifiCorp has devoted to Washington, or the amount of debt attributable to Washington.  The Commission does not determine the cost of equity based on a Washington, stand-alone basis.  Similarly, a company’s working capital needs are not determined on a Washington-specific </w:t>
      </w:r>
      <w:r w:rsidRPr="00CC4653">
        <w:rPr>
          <w:rFonts w:ascii="Times New Roman" w:hAnsi="Times New Roman" w:cs="Times New Roman"/>
          <w:sz w:val="24"/>
          <w:szCs w:val="24"/>
        </w:rPr>
        <w:lastRenderedPageBreak/>
        <w:t>basis, either.  The Commission has previously accepted working capital calculations that used a total company balance sheet.</w:t>
      </w:r>
      <w:r w:rsidRPr="00CC4653">
        <w:rPr>
          <w:rStyle w:val="FootnoteReference"/>
          <w:rFonts w:ascii="Times New Roman" w:hAnsi="Times New Roman" w:cs="Times New Roman"/>
          <w:sz w:val="24"/>
          <w:szCs w:val="24"/>
        </w:rPr>
        <w:footnoteReference w:id="149"/>
      </w:r>
      <w:r w:rsidRPr="00CC4653">
        <w:rPr>
          <w:rFonts w:ascii="Times New Roman" w:hAnsi="Times New Roman" w:cs="Times New Roman"/>
          <w:sz w:val="24"/>
          <w:szCs w:val="24"/>
        </w:rPr>
        <w:t xml:space="preserve">  The Commission should accept the Staff’s method and calculation in this case.</w:t>
      </w:r>
      <w:r w:rsidRPr="00CC4653">
        <w:rPr>
          <w:rStyle w:val="FootnoteReference"/>
          <w:rFonts w:ascii="Times New Roman" w:hAnsi="Times New Roman" w:cs="Times New Roman"/>
          <w:sz w:val="24"/>
          <w:szCs w:val="24"/>
        </w:rPr>
        <w:footnoteReference w:id="150"/>
      </w:r>
      <w:r w:rsidRPr="00CC4653">
        <w:rPr>
          <w:rFonts w:ascii="Times New Roman" w:hAnsi="Times New Roman" w:cs="Times New Roman"/>
          <w:sz w:val="24"/>
          <w:szCs w:val="24"/>
        </w:rPr>
        <w:t xml:space="preserve">  </w:t>
      </w:r>
    </w:p>
    <w:p w:rsidR="00CC4653" w:rsidRPr="00CC4653" w:rsidRDefault="00CC4653" w:rsidP="00CC4653">
      <w:pPr>
        <w:pStyle w:val="ListParagraph"/>
        <w:spacing w:after="0" w:line="240" w:lineRule="exact"/>
        <w:ind w:left="0"/>
        <w:rPr>
          <w:rFonts w:ascii="Times New Roman" w:hAnsi="Times New Roman" w:cs="Times New Roman"/>
          <w:sz w:val="24"/>
          <w:szCs w:val="24"/>
        </w:rPr>
      </w:pPr>
    </w:p>
    <w:p w:rsidR="00CC4653" w:rsidRPr="00143E29" w:rsidRDefault="00CC4653" w:rsidP="00CC4653">
      <w:pPr>
        <w:pStyle w:val="ListParagraph"/>
        <w:numPr>
          <w:ilvl w:val="0"/>
          <w:numId w:val="7"/>
        </w:numPr>
        <w:spacing w:after="0" w:line="240" w:lineRule="exact"/>
        <w:ind w:left="720" w:hanging="720"/>
        <w:rPr>
          <w:rFonts w:ascii="Times New Roman" w:hAnsi="Times New Roman" w:cs="Times New Roman"/>
          <w:b/>
          <w:sz w:val="24"/>
          <w:szCs w:val="24"/>
        </w:rPr>
      </w:pPr>
      <w:r w:rsidRPr="00CC4653">
        <w:rPr>
          <w:rFonts w:ascii="Times New Roman" w:hAnsi="Times New Roman" w:cs="Times New Roman"/>
          <w:b/>
          <w:sz w:val="24"/>
          <w:szCs w:val="24"/>
        </w:rPr>
        <w:t>The Commission Should Reject the Company’s 1/8</w:t>
      </w:r>
      <w:r w:rsidRPr="00CC4653">
        <w:rPr>
          <w:rFonts w:ascii="Times New Roman" w:hAnsi="Times New Roman" w:cs="Times New Roman"/>
          <w:b/>
          <w:sz w:val="24"/>
          <w:szCs w:val="24"/>
          <w:vertAlign w:val="superscript"/>
        </w:rPr>
        <w:t>th</w:t>
      </w:r>
      <w:r w:rsidRPr="00CC4653">
        <w:rPr>
          <w:rFonts w:ascii="Times New Roman" w:hAnsi="Times New Roman" w:cs="Times New Roman"/>
          <w:b/>
          <w:sz w:val="24"/>
          <w:szCs w:val="24"/>
        </w:rPr>
        <w:t xml:space="preserve"> Method, Because it Does Not Measure Working Capital Supplied by Investors, and it Always Measures Positive Working Capital, Though Working Capital Can be Negative</w:t>
      </w:r>
    </w:p>
    <w:p w:rsidR="00CC4653" w:rsidRPr="00CC4653" w:rsidRDefault="00CC4653"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CC4653">
        <w:rPr>
          <w:rFonts w:ascii="Times New Roman" w:hAnsi="Times New Roman" w:cs="Times New Roman"/>
          <w:sz w:val="24"/>
          <w:szCs w:val="24"/>
        </w:rPr>
        <w:t>The Company applies the 1/8</w:t>
      </w:r>
      <w:r w:rsidRPr="00CC4653">
        <w:rPr>
          <w:rFonts w:ascii="Times New Roman" w:hAnsi="Times New Roman" w:cs="Times New Roman"/>
          <w:sz w:val="24"/>
          <w:szCs w:val="24"/>
          <w:vertAlign w:val="superscript"/>
        </w:rPr>
        <w:t>th</w:t>
      </w:r>
      <w:r w:rsidRPr="00CC4653">
        <w:rPr>
          <w:rFonts w:ascii="Times New Roman" w:hAnsi="Times New Roman" w:cs="Times New Roman"/>
          <w:sz w:val="24"/>
          <w:szCs w:val="24"/>
        </w:rPr>
        <w:t xml:space="preserve"> method by calculating one-eighth of a year’s balance of Operations &amp; Maintenance expenses, less fuel and purchased power expenses.</w:t>
      </w:r>
      <w:r w:rsidRPr="00CC4653">
        <w:rPr>
          <w:vertAlign w:val="superscript"/>
        </w:rPr>
        <w:footnoteReference w:id="151"/>
      </w:r>
      <w:r w:rsidRPr="00CC4653">
        <w:rPr>
          <w:rFonts w:ascii="Times New Roman" w:hAnsi="Times New Roman" w:cs="Times New Roman"/>
          <w:sz w:val="24"/>
          <w:szCs w:val="24"/>
        </w:rPr>
        <w:t xml:space="preserve">  Staff can agree with PacifiCorp that the 1/8</w:t>
      </w:r>
      <w:r w:rsidRPr="00CC4653">
        <w:rPr>
          <w:rFonts w:ascii="Times New Roman" w:hAnsi="Times New Roman" w:cs="Times New Roman"/>
          <w:sz w:val="24"/>
          <w:szCs w:val="24"/>
          <w:vertAlign w:val="superscript"/>
        </w:rPr>
        <w:t>th</w:t>
      </w:r>
      <w:r w:rsidRPr="00CC4653">
        <w:rPr>
          <w:rFonts w:ascii="Times New Roman" w:hAnsi="Times New Roman" w:cs="Times New Roman"/>
          <w:sz w:val="24"/>
          <w:szCs w:val="24"/>
        </w:rPr>
        <w:t xml:space="preserve"> method is relatively easy to implement, and it is used in other jurisdictions.  However, despite these benefits, the 1/8</w:t>
      </w:r>
      <w:r w:rsidRPr="00CC4653">
        <w:rPr>
          <w:rFonts w:ascii="Times New Roman" w:hAnsi="Times New Roman" w:cs="Times New Roman"/>
          <w:sz w:val="24"/>
          <w:szCs w:val="24"/>
          <w:vertAlign w:val="superscript"/>
        </w:rPr>
        <w:t>th</w:t>
      </w:r>
      <w:r w:rsidRPr="00CC4653">
        <w:rPr>
          <w:rFonts w:ascii="Times New Roman" w:hAnsi="Times New Roman" w:cs="Times New Roman"/>
          <w:sz w:val="24"/>
          <w:szCs w:val="24"/>
        </w:rPr>
        <w:t xml:space="preserve"> method has some problems.  First, though working capital can be negative in amount,</w:t>
      </w:r>
      <w:r w:rsidRPr="00CC4653">
        <w:rPr>
          <w:vertAlign w:val="superscript"/>
        </w:rPr>
        <w:footnoteReference w:id="152"/>
      </w:r>
      <w:r w:rsidRPr="00CC4653">
        <w:rPr>
          <w:rFonts w:ascii="Times New Roman" w:hAnsi="Times New Roman" w:cs="Times New Roman"/>
          <w:sz w:val="24"/>
          <w:szCs w:val="24"/>
        </w:rPr>
        <w:t xml:space="preserve"> the 1/8</w:t>
      </w:r>
      <w:r w:rsidRPr="00CC4653">
        <w:rPr>
          <w:rFonts w:ascii="Times New Roman" w:hAnsi="Times New Roman" w:cs="Times New Roman"/>
          <w:sz w:val="24"/>
          <w:szCs w:val="24"/>
          <w:vertAlign w:val="superscript"/>
        </w:rPr>
        <w:t>th</w:t>
      </w:r>
      <w:r w:rsidRPr="00CC4653">
        <w:rPr>
          <w:rFonts w:ascii="Times New Roman" w:hAnsi="Times New Roman" w:cs="Times New Roman"/>
          <w:sz w:val="24"/>
          <w:szCs w:val="24"/>
        </w:rPr>
        <w:t xml:space="preserve"> method invariably produces a positive amount.</w:t>
      </w:r>
      <w:r w:rsidRPr="00CC4653">
        <w:rPr>
          <w:rStyle w:val="FootnoteReference"/>
          <w:rFonts w:ascii="Times New Roman" w:hAnsi="Times New Roman" w:cs="Times New Roman"/>
          <w:sz w:val="24"/>
          <w:szCs w:val="24"/>
        </w:rPr>
        <w:footnoteReference w:id="153"/>
      </w:r>
      <w:r w:rsidRPr="00CC4653">
        <w:rPr>
          <w:rFonts w:ascii="Times New Roman" w:hAnsi="Times New Roman" w:cs="Times New Roman"/>
          <w:sz w:val="24"/>
          <w:szCs w:val="24"/>
        </w:rPr>
        <w:t xml:space="preserve">  </w:t>
      </w:r>
    </w:p>
    <w:p w:rsidR="00CC4653" w:rsidRPr="00CC4653" w:rsidRDefault="00CC4653"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CC4653">
        <w:rPr>
          <w:rFonts w:ascii="Times New Roman" w:hAnsi="Times New Roman" w:cs="Times New Roman"/>
          <w:sz w:val="24"/>
          <w:szCs w:val="24"/>
        </w:rPr>
        <w:t>Second, the Company’s 1/8</w:t>
      </w:r>
      <w:r w:rsidRPr="00CC4653">
        <w:rPr>
          <w:rFonts w:ascii="Times New Roman" w:hAnsi="Times New Roman" w:cs="Times New Roman"/>
          <w:sz w:val="24"/>
          <w:szCs w:val="24"/>
          <w:vertAlign w:val="superscript"/>
        </w:rPr>
        <w:t>th</w:t>
      </w:r>
      <w:r w:rsidRPr="00CC4653">
        <w:rPr>
          <w:rFonts w:ascii="Times New Roman" w:hAnsi="Times New Roman" w:cs="Times New Roman"/>
          <w:sz w:val="24"/>
          <w:szCs w:val="24"/>
        </w:rPr>
        <w:t xml:space="preserve"> method assumes without proof that the amount it derives are supplied by investors.</w:t>
      </w:r>
      <w:r w:rsidRPr="00CC4653">
        <w:rPr>
          <w:rStyle w:val="FootnoteReference"/>
          <w:rFonts w:ascii="Times New Roman" w:hAnsi="Times New Roman" w:cs="Times New Roman"/>
          <w:sz w:val="24"/>
          <w:szCs w:val="24"/>
        </w:rPr>
        <w:footnoteReference w:id="154"/>
      </w:r>
      <w:r w:rsidRPr="00CC4653">
        <w:rPr>
          <w:rFonts w:ascii="Times New Roman" w:hAnsi="Times New Roman" w:cs="Times New Roman"/>
          <w:sz w:val="24"/>
          <w:szCs w:val="24"/>
        </w:rPr>
        <w:t xml:space="preserve"> </w:t>
      </w:r>
    </w:p>
    <w:p w:rsidR="00CC4653" w:rsidRPr="00CC4653" w:rsidRDefault="00CC4653"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CC4653">
        <w:rPr>
          <w:rFonts w:ascii="Times New Roman" w:hAnsi="Times New Roman" w:cs="Times New Roman"/>
          <w:sz w:val="24"/>
          <w:szCs w:val="24"/>
        </w:rPr>
        <w:t>Finally, if the Company’s claim is correct that to garner Commission approval, a working capital adjustment must not include any allocation of total company amounts, the Commission would need to reject the Company’s 1/8</w:t>
      </w:r>
      <w:r w:rsidRPr="00CC4653">
        <w:rPr>
          <w:rFonts w:ascii="Times New Roman" w:hAnsi="Times New Roman" w:cs="Times New Roman"/>
          <w:sz w:val="24"/>
          <w:szCs w:val="24"/>
          <w:vertAlign w:val="superscript"/>
        </w:rPr>
        <w:t>th</w:t>
      </w:r>
      <w:r w:rsidRPr="00CC4653">
        <w:rPr>
          <w:rFonts w:ascii="Times New Roman" w:hAnsi="Times New Roman" w:cs="Times New Roman"/>
          <w:sz w:val="24"/>
          <w:szCs w:val="24"/>
        </w:rPr>
        <w:t xml:space="preserve"> method because it does just that: of the $88 million base which PacifiCorp divided to get Washington’s share, nearly $20 million was derived using total company figures allocated to Washington.</w:t>
      </w:r>
      <w:r w:rsidRPr="00CC4653">
        <w:rPr>
          <w:rStyle w:val="FootnoteReference"/>
          <w:rFonts w:ascii="Times New Roman" w:hAnsi="Times New Roman" w:cs="Times New Roman"/>
          <w:sz w:val="24"/>
          <w:szCs w:val="24"/>
        </w:rPr>
        <w:footnoteReference w:id="155"/>
      </w:r>
      <w:r w:rsidRPr="00CC4653">
        <w:rPr>
          <w:rFonts w:ascii="Times New Roman" w:hAnsi="Times New Roman" w:cs="Times New Roman"/>
          <w:sz w:val="24"/>
          <w:szCs w:val="24"/>
        </w:rPr>
        <w:t xml:space="preserve"> </w:t>
      </w:r>
    </w:p>
    <w:p w:rsidR="00CC4653" w:rsidRPr="008C0792" w:rsidRDefault="00CC4653" w:rsidP="00692951">
      <w:pPr>
        <w:pStyle w:val="ListParagraph"/>
        <w:numPr>
          <w:ilvl w:val="0"/>
          <w:numId w:val="7"/>
        </w:numPr>
        <w:spacing w:after="0" w:line="240" w:lineRule="exact"/>
        <w:ind w:left="720" w:hanging="720"/>
        <w:rPr>
          <w:rFonts w:ascii="Times New Roman" w:hAnsi="Times New Roman" w:cs="Times New Roman"/>
          <w:b/>
          <w:sz w:val="24"/>
          <w:szCs w:val="24"/>
        </w:rPr>
      </w:pPr>
      <w:r w:rsidRPr="008C0792">
        <w:rPr>
          <w:rFonts w:ascii="Times New Roman" w:hAnsi="Times New Roman" w:cs="Times New Roman"/>
          <w:b/>
          <w:sz w:val="24"/>
          <w:szCs w:val="24"/>
        </w:rPr>
        <w:lastRenderedPageBreak/>
        <w:t xml:space="preserve">Because the Current Assets Accounts </w:t>
      </w:r>
      <w:r w:rsidR="00DF7F80">
        <w:rPr>
          <w:rFonts w:ascii="Times New Roman" w:hAnsi="Times New Roman" w:cs="Times New Roman"/>
          <w:b/>
          <w:sz w:val="24"/>
          <w:szCs w:val="24"/>
        </w:rPr>
        <w:t>for</w:t>
      </w:r>
      <w:r w:rsidRPr="008C0792">
        <w:rPr>
          <w:rFonts w:ascii="Times New Roman" w:hAnsi="Times New Roman" w:cs="Times New Roman"/>
          <w:b/>
          <w:sz w:val="24"/>
          <w:szCs w:val="24"/>
        </w:rPr>
        <w:t xml:space="preserve"> Fuel Stock and Materials </w:t>
      </w:r>
      <w:r w:rsidR="00DF7F80">
        <w:rPr>
          <w:rFonts w:ascii="Times New Roman" w:hAnsi="Times New Roman" w:cs="Times New Roman"/>
          <w:b/>
          <w:sz w:val="24"/>
          <w:szCs w:val="24"/>
        </w:rPr>
        <w:t xml:space="preserve">and Supplies </w:t>
      </w:r>
      <w:r w:rsidRPr="008C0792">
        <w:rPr>
          <w:rFonts w:ascii="Times New Roman" w:hAnsi="Times New Roman" w:cs="Times New Roman"/>
          <w:b/>
          <w:sz w:val="24"/>
          <w:szCs w:val="24"/>
        </w:rPr>
        <w:t xml:space="preserve">are Inventory Accounts, the Commission Should Remove Them From </w:t>
      </w:r>
      <w:r w:rsidR="00FC39A4" w:rsidRPr="008C0792">
        <w:rPr>
          <w:rFonts w:ascii="Times New Roman" w:hAnsi="Times New Roman" w:cs="Times New Roman"/>
          <w:b/>
          <w:sz w:val="24"/>
          <w:szCs w:val="24"/>
        </w:rPr>
        <w:t>R</w:t>
      </w:r>
      <w:r w:rsidRPr="008C0792">
        <w:rPr>
          <w:rFonts w:ascii="Times New Roman" w:hAnsi="Times New Roman" w:cs="Times New Roman"/>
          <w:b/>
          <w:sz w:val="24"/>
          <w:szCs w:val="24"/>
        </w:rPr>
        <w:t xml:space="preserve">ate Base to Avoid Double Recovery </w:t>
      </w:r>
    </w:p>
    <w:p w:rsidR="00CC4653" w:rsidRPr="00CC4653" w:rsidRDefault="00CC4653" w:rsidP="00C16EA4">
      <w:pPr>
        <w:pStyle w:val="ListParagraph"/>
        <w:numPr>
          <w:ilvl w:val="0"/>
          <w:numId w:val="3"/>
        </w:numPr>
        <w:spacing w:after="0" w:line="480" w:lineRule="exact"/>
        <w:rPr>
          <w:rFonts w:ascii="Times New Roman" w:hAnsi="Times New Roman" w:cs="Times New Roman"/>
          <w:sz w:val="24"/>
          <w:szCs w:val="24"/>
        </w:rPr>
      </w:pPr>
      <w:r w:rsidRPr="008C0792">
        <w:rPr>
          <w:rFonts w:ascii="Times New Roman" w:hAnsi="Times New Roman" w:cs="Times New Roman"/>
          <w:sz w:val="24"/>
          <w:szCs w:val="24"/>
        </w:rPr>
        <w:tab/>
        <w:t>PacifiCorp proposes to include in rate base the test year $5,554,908 worth of fuel stock and $9,777,775 worth of Materials &amp; Supplies.</w:t>
      </w:r>
      <w:r w:rsidRPr="008C0792">
        <w:rPr>
          <w:rStyle w:val="FootnoteReference"/>
          <w:rFonts w:ascii="Times New Roman" w:hAnsi="Times New Roman" w:cs="Times New Roman"/>
          <w:sz w:val="24"/>
          <w:szCs w:val="24"/>
        </w:rPr>
        <w:footnoteReference w:id="156"/>
      </w:r>
      <w:r w:rsidRPr="008C0792">
        <w:rPr>
          <w:rFonts w:ascii="Times New Roman" w:hAnsi="Times New Roman" w:cs="Times New Roman"/>
          <w:sz w:val="24"/>
          <w:szCs w:val="24"/>
        </w:rPr>
        <w:t xml:space="preserve">  The only positive rationale offered by PacifiCorp for including these items is that they provide </w:t>
      </w:r>
      <w:r w:rsidRPr="00AE72F6">
        <w:rPr>
          <w:rFonts w:ascii="Times New Roman" w:hAnsi="Times New Roman" w:cs="Times New Roman"/>
          <w:sz w:val="24"/>
          <w:szCs w:val="24"/>
        </w:rPr>
        <w:t>s</w:t>
      </w:r>
      <w:r w:rsidR="00AE72F6">
        <w:rPr>
          <w:rFonts w:ascii="Times New Roman" w:hAnsi="Times New Roman" w:cs="Times New Roman"/>
          <w:sz w:val="24"/>
          <w:szCs w:val="24"/>
        </w:rPr>
        <w:t>er</w:t>
      </w:r>
      <w:r w:rsidRPr="00AE72F6">
        <w:rPr>
          <w:rFonts w:ascii="Times New Roman" w:hAnsi="Times New Roman" w:cs="Times New Roman"/>
          <w:sz w:val="24"/>
          <w:szCs w:val="24"/>
        </w:rPr>
        <w:t>vice</w:t>
      </w:r>
      <w:r w:rsidRPr="008C0792">
        <w:rPr>
          <w:rFonts w:ascii="Times New Roman" w:hAnsi="Times New Roman" w:cs="Times New Roman"/>
          <w:sz w:val="24"/>
          <w:szCs w:val="24"/>
        </w:rPr>
        <w:t xml:space="preserve"> to customers and other states include</w:t>
      </w:r>
      <w:r w:rsidRPr="00CC4653">
        <w:rPr>
          <w:rFonts w:ascii="Times New Roman" w:hAnsi="Times New Roman" w:cs="Times New Roman"/>
          <w:sz w:val="24"/>
          <w:szCs w:val="24"/>
        </w:rPr>
        <w:t xml:space="preserve"> </w:t>
      </w:r>
      <w:r w:rsidRPr="008C0792">
        <w:rPr>
          <w:rFonts w:ascii="Times New Roman" w:hAnsi="Times New Roman" w:cs="Times New Roman"/>
          <w:sz w:val="24"/>
          <w:szCs w:val="24"/>
        </w:rPr>
        <w:t>the</w:t>
      </w:r>
      <w:r w:rsidRPr="00CC4653">
        <w:rPr>
          <w:rFonts w:ascii="Times New Roman" w:hAnsi="Times New Roman" w:cs="Times New Roman"/>
          <w:sz w:val="24"/>
          <w:szCs w:val="24"/>
        </w:rPr>
        <w:t>m in rate base.</w:t>
      </w:r>
      <w:r w:rsidRPr="00CC4653">
        <w:rPr>
          <w:rStyle w:val="FootnoteReference"/>
          <w:rFonts w:ascii="Times New Roman" w:hAnsi="Times New Roman" w:cs="Times New Roman"/>
          <w:sz w:val="24"/>
          <w:szCs w:val="24"/>
        </w:rPr>
        <w:footnoteReference w:id="157"/>
      </w:r>
      <w:r w:rsidRPr="00CC4653">
        <w:rPr>
          <w:rFonts w:ascii="Times New Roman" w:hAnsi="Times New Roman" w:cs="Times New Roman"/>
          <w:sz w:val="24"/>
          <w:szCs w:val="24"/>
        </w:rPr>
        <w:t xml:space="preserve">  Neither argument </w:t>
      </w:r>
      <w:r w:rsidR="00AE72F6">
        <w:rPr>
          <w:rFonts w:ascii="Times New Roman" w:hAnsi="Times New Roman" w:cs="Times New Roman"/>
          <w:sz w:val="24"/>
          <w:szCs w:val="24"/>
        </w:rPr>
        <w:t>justifies rate base treatment for these items</w:t>
      </w:r>
      <w:r w:rsidRPr="00CC4653">
        <w:rPr>
          <w:rFonts w:ascii="Times New Roman" w:hAnsi="Times New Roman" w:cs="Times New Roman"/>
          <w:sz w:val="24"/>
          <w:szCs w:val="24"/>
        </w:rPr>
        <w:t>.</w:t>
      </w:r>
    </w:p>
    <w:p w:rsidR="00CC4653" w:rsidRPr="00CC4653" w:rsidRDefault="00AE72F6"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CC4653" w:rsidRPr="00CC4653">
        <w:rPr>
          <w:rFonts w:ascii="Times New Roman" w:hAnsi="Times New Roman" w:cs="Times New Roman"/>
          <w:sz w:val="24"/>
          <w:szCs w:val="24"/>
        </w:rPr>
        <w:t xml:space="preserve">First, </w:t>
      </w:r>
      <w:r w:rsidR="00FC39A4">
        <w:rPr>
          <w:rFonts w:ascii="Times New Roman" w:hAnsi="Times New Roman" w:cs="Times New Roman"/>
          <w:sz w:val="24"/>
          <w:szCs w:val="24"/>
        </w:rPr>
        <w:t xml:space="preserve">the fact that </w:t>
      </w:r>
      <w:r w:rsidR="00CC4653" w:rsidRPr="00CC4653">
        <w:rPr>
          <w:rFonts w:ascii="Times New Roman" w:hAnsi="Times New Roman" w:cs="Times New Roman"/>
          <w:sz w:val="24"/>
          <w:szCs w:val="24"/>
        </w:rPr>
        <w:t xml:space="preserve">a particular item </w:t>
      </w:r>
      <w:r w:rsidR="00FC39A4">
        <w:rPr>
          <w:rFonts w:ascii="Times New Roman" w:hAnsi="Times New Roman" w:cs="Times New Roman"/>
          <w:sz w:val="24"/>
          <w:szCs w:val="24"/>
        </w:rPr>
        <w:t xml:space="preserve">resides </w:t>
      </w:r>
      <w:r w:rsidR="00CC4653" w:rsidRPr="00CC4653">
        <w:rPr>
          <w:rFonts w:ascii="Times New Roman" w:hAnsi="Times New Roman" w:cs="Times New Roman"/>
          <w:sz w:val="24"/>
          <w:szCs w:val="24"/>
        </w:rPr>
        <w:t xml:space="preserve">on the Company’s books </w:t>
      </w:r>
      <w:r w:rsidR="00A31975">
        <w:rPr>
          <w:rFonts w:ascii="Times New Roman" w:hAnsi="Times New Roman" w:cs="Times New Roman"/>
          <w:sz w:val="24"/>
          <w:szCs w:val="24"/>
        </w:rPr>
        <w:t xml:space="preserve">and </w:t>
      </w:r>
      <w:r w:rsidR="00CC4653" w:rsidRPr="00CC4653">
        <w:rPr>
          <w:rFonts w:ascii="Times New Roman" w:hAnsi="Times New Roman" w:cs="Times New Roman"/>
          <w:sz w:val="24"/>
          <w:szCs w:val="24"/>
        </w:rPr>
        <w:t xml:space="preserve">provides service is an insufficient justification for including it in rate base.  For example, the Company books meter reading costs and that is part of providing service, but PacifiCorp does not include those costs in rate base.  </w:t>
      </w:r>
    </w:p>
    <w:p w:rsidR="00CC4653" w:rsidRPr="00CC4653" w:rsidRDefault="00CC4653"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A31975">
        <w:rPr>
          <w:rFonts w:ascii="Times New Roman" w:hAnsi="Times New Roman" w:cs="Times New Roman"/>
          <w:sz w:val="24"/>
          <w:szCs w:val="24"/>
        </w:rPr>
        <w:t>More to the point</w:t>
      </w:r>
      <w:r w:rsidRPr="00CC4653">
        <w:rPr>
          <w:rFonts w:ascii="Times New Roman" w:hAnsi="Times New Roman" w:cs="Times New Roman"/>
          <w:sz w:val="24"/>
          <w:szCs w:val="24"/>
        </w:rPr>
        <w:t xml:space="preserve">, fuel stock and </w:t>
      </w:r>
      <w:r w:rsidR="00AE72F6">
        <w:rPr>
          <w:rFonts w:ascii="Times New Roman" w:hAnsi="Times New Roman" w:cs="Times New Roman"/>
          <w:sz w:val="24"/>
          <w:szCs w:val="24"/>
        </w:rPr>
        <w:t>M</w:t>
      </w:r>
      <w:r w:rsidRPr="00CC4653">
        <w:rPr>
          <w:rFonts w:ascii="Times New Roman" w:hAnsi="Times New Roman" w:cs="Times New Roman"/>
          <w:sz w:val="24"/>
          <w:szCs w:val="24"/>
        </w:rPr>
        <w:t xml:space="preserve">aterials </w:t>
      </w:r>
      <w:r w:rsidR="00AE72F6">
        <w:rPr>
          <w:rFonts w:ascii="Times New Roman" w:hAnsi="Times New Roman" w:cs="Times New Roman"/>
          <w:sz w:val="24"/>
          <w:szCs w:val="24"/>
        </w:rPr>
        <w:t>&amp;</w:t>
      </w:r>
      <w:r w:rsidRPr="00CC4653">
        <w:rPr>
          <w:rFonts w:ascii="Times New Roman" w:hAnsi="Times New Roman" w:cs="Times New Roman"/>
          <w:sz w:val="24"/>
          <w:szCs w:val="24"/>
        </w:rPr>
        <w:t xml:space="preserve"> </w:t>
      </w:r>
      <w:r w:rsidR="00AE72F6">
        <w:rPr>
          <w:rFonts w:ascii="Times New Roman" w:hAnsi="Times New Roman" w:cs="Times New Roman"/>
          <w:sz w:val="24"/>
          <w:szCs w:val="24"/>
        </w:rPr>
        <w:t>S</w:t>
      </w:r>
      <w:r w:rsidRPr="00CC4653">
        <w:rPr>
          <w:rFonts w:ascii="Times New Roman" w:hAnsi="Times New Roman" w:cs="Times New Roman"/>
          <w:sz w:val="24"/>
          <w:szCs w:val="24"/>
        </w:rPr>
        <w:t>upplies are current assets, and, as Mr. Dalley testified, these products become consumed or built into permanent plant over the course of the year, perhaps many times over.</w:t>
      </w:r>
      <w:r w:rsidRPr="00CC4653">
        <w:rPr>
          <w:rStyle w:val="FootnoteReference"/>
          <w:rFonts w:ascii="Times New Roman" w:hAnsi="Times New Roman" w:cs="Times New Roman"/>
          <w:sz w:val="24"/>
          <w:szCs w:val="24"/>
        </w:rPr>
        <w:footnoteReference w:id="158"/>
      </w:r>
      <w:r w:rsidRPr="00CC4653">
        <w:rPr>
          <w:rFonts w:ascii="Times New Roman" w:hAnsi="Times New Roman" w:cs="Times New Roman"/>
          <w:sz w:val="24"/>
          <w:szCs w:val="24"/>
        </w:rPr>
        <w:t xml:space="preserve">  Because these items are basically inventory items that turn over throughout the year, including them in rate base is tantamount to double recovery</w:t>
      </w:r>
      <w:r w:rsidR="00AE72F6">
        <w:rPr>
          <w:rFonts w:ascii="Times New Roman" w:hAnsi="Times New Roman" w:cs="Times New Roman"/>
          <w:sz w:val="24"/>
          <w:szCs w:val="24"/>
        </w:rPr>
        <w:t>;</w:t>
      </w:r>
      <w:r w:rsidRPr="00CC4653">
        <w:rPr>
          <w:rFonts w:ascii="Times New Roman" w:hAnsi="Times New Roman" w:cs="Times New Roman"/>
          <w:sz w:val="24"/>
          <w:szCs w:val="24"/>
        </w:rPr>
        <w:t xml:space="preserve"> first, as current assets in rate base, and again as expenses or permanent plant assets.  </w:t>
      </w:r>
      <w:r w:rsidR="00A31975">
        <w:rPr>
          <w:rFonts w:ascii="Times New Roman" w:hAnsi="Times New Roman" w:cs="Times New Roman"/>
          <w:sz w:val="24"/>
          <w:szCs w:val="24"/>
        </w:rPr>
        <w:t>Therefore, the Commission should not allow these items in rate base.</w:t>
      </w:r>
      <w:r w:rsidR="00AE72F6" w:rsidRPr="00AE72F6">
        <w:rPr>
          <w:rFonts w:ascii="Times New Roman" w:hAnsi="Times New Roman" w:cs="Times New Roman"/>
          <w:sz w:val="24"/>
          <w:szCs w:val="24"/>
          <w:vertAlign w:val="superscript"/>
        </w:rPr>
        <w:footnoteReference w:id="159"/>
      </w:r>
    </w:p>
    <w:p w:rsidR="000B1071" w:rsidRPr="00C16EA4" w:rsidRDefault="00CC4653" w:rsidP="00C16EA4">
      <w:pPr>
        <w:spacing w:after="0" w:line="480" w:lineRule="exact"/>
        <w:jc w:val="center"/>
        <w:rPr>
          <w:rFonts w:ascii="Times New Roman" w:hAnsi="Times New Roman" w:cs="Times New Roman"/>
          <w:b/>
          <w:sz w:val="24"/>
          <w:szCs w:val="24"/>
        </w:rPr>
      </w:pPr>
      <w:r w:rsidRPr="00C16EA4">
        <w:rPr>
          <w:rFonts w:ascii="Times New Roman" w:hAnsi="Times New Roman" w:cs="Times New Roman"/>
          <w:b/>
          <w:sz w:val="24"/>
          <w:szCs w:val="24"/>
        </w:rPr>
        <w:t>V.</w:t>
      </w:r>
      <w:r w:rsidRPr="00C16EA4">
        <w:rPr>
          <w:rFonts w:ascii="Times New Roman" w:hAnsi="Times New Roman" w:cs="Times New Roman"/>
          <w:b/>
          <w:sz w:val="24"/>
          <w:szCs w:val="24"/>
        </w:rPr>
        <w:tab/>
        <w:t>FEDERAL INCOME TAX</w:t>
      </w:r>
    </w:p>
    <w:p w:rsidR="00C16EA4" w:rsidRPr="00C16EA4" w:rsidRDefault="00C16EA4" w:rsidP="00C16EA4">
      <w:pPr>
        <w:spacing w:after="0" w:line="480" w:lineRule="exact"/>
        <w:rPr>
          <w:rFonts w:ascii="Times New Roman" w:hAnsi="Times New Roman" w:cs="Times New Roman"/>
          <w:b/>
          <w:sz w:val="24"/>
          <w:szCs w:val="24"/>
        </w:rPr>
      </w:pPr>
      <w:r>
        <w:rPr>
          <w:rFonts w:ascii="Times New Roman" w:hAnsi="Times New Roman" w:cs="Times New Roman"/>
          <w:b/>
          <w:sz w:val="24"/>
          <w:szCs w:val="24"/>
        </w:rPr>
        <w:t>A</w:t>
      </w:r>
      <w:r w:rsidRPr="00C16EA4">
        <w:rPr>
          <w:rFonts w:ascii="Times New Roman" w:hAnsi="Times New Roman" w:cs="Times New Roman"/>
          <w:b/>
          <w:sz w:val="24"/>
          <w:szCs w:val="24"/>
        </w:rPr>
        <w:t>.</w:t>
      </w:r>
      <w:r w:rsidRPr="00C16EA4">
        <w:rPr>
          <w:rFonts w:ascii="Times New Roman" w:hAnsi="Times New Roman" w:cs="Times New Roman"/>
          <w:b/>
          <w:sz w:val="24"/>
          <w:szCs w:val="24"/>
        </w:rPr>
        <w:tab/>
        <w:t>Overview</w:t>
      </w:r>
    </w:p>
    <w:p w:rsidR="00C16EA4" w:rsidRPr="00C16EA4" w:rsidRDefault="00C16EA4"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C16EA4">
        <w:rPr>
          <w:rFonts w:ascii="Times New Roman" w:hAnsi="Times New Roman" w:cs="Times New Roman"/>
          <w:sz w:val="24"/>
          <w:szCs w:val="24"/>
        </w:rPr>
        <w:t>The Company makes three proposals regarding federal income tax.  First, PacifiCorp wants the Commission to allow the Company to normalize all book-tax differences now, but defer consideration to the next general rate case</w:t>
      </w:r>
      <w:r w:rsidRPr="00C16EA4">
        <w:rPr>
          <w:vertAlign w:val="superscript"/>
        </w:rPr>
        <w:footnoteReference w:id="160"/>
      </w:r>
      <w:r w:rsidRPr="00C16EA4">
        <w:rPr>
          <w:rFonts w:ascii="Times New Roman" w:hAnsi="Times New Roman" w:cs="Times New Roman"/>
          <w:sz w:val="24"/>
          <w:szCs w:val="24"/>
        </w:rPr>
        <w:t xml:space="preserve"> the </w:t>
      </w:r>
      <w:r w:rsidR="005B42E8">
        <w:rPr>
          <w:rFonts w:ascii="Times New Roman" w:hAnsi="Times New Roman" w:cs="Times New Roman"/>
          <w:sz w:val="24"/>
          <w:szCs w:val="24"/>
        </w:rPr>
        <w:t xml:space="preserve">issue of the </w:t>
      </w:r>
      <w:r w:rsidRPr="00C16EA4">
        <w:rPr>
          <w:rFonts w:ascii="Times New Roman" w:hAnsi="Times New Roman" w:cs="Times New Roman"/>
          <w:sz w:val="24"/>
          <w:szCs w:val="24"/>
        </w:rPr>
        <w:t>accumulated ratepayer benefit from the effects of flow-through from past periods.</w:t>
      </w:r>
      <w:r w:rsidRPr="00C16EA4">
        <w:rPr>
          <w:rStyle w:val="FootnoteReference"/>
          <w:rFonts w:ascii="Times New Roman" w:hAnsi="Times New Roman" w:cs="Times New Roman"/>
          <w:sz w:val="24"/>
          <w:szCs w:val="24"/>
        </w:rPr>
        <w:footnoteReference w:id="161"/>
      </w:r>
      <w:r w:rsidRPr="00C16EA4">
        <w:rPr>
          <w:rFonts w:ascii="Times New Roman" w:hAnsi="Times New Roman" w:cs="Times New Roman"/>
          <w:sz w:val="24"/>
          <w:szCs w:val="24"/>
        </w:rPr>
        <w:t xml:space="preserve">  Second, the Company wants the </w:t>
      </w:r>
      <w:r w:rsidRPr="00C16EA4">
        <w:rPr>
          <w:rFonts w:ascii="Times New Roman" w:hAnsi="Times New Roman" w:cs="Times New Roman"/>
          <w:sz w:val="24"/>
          <w:szCs w:val="24"/>
        </w:rPr>
        <w:lastRenderedPageBreak/>
        <w:t>Commission to allow the Company to normalize the taxes associated with the Company’s accounting method change related to the “Repairs Deduction.”</w:t>
      </w:r>
      <w:r w:rsidRPr="00C16EA4">
        <w:rPr>
          <w:rStyle w:val="FootnoteReference"/>
          <w:rFonts w:ascii="Times New Roman" w:hAnsi="Times New Roman" w:cs="Times New Roman"/>
          <w:sz w:val="24"/>
          <w:szCs w:val="24"/>
        </w:rPr>
        <w:footnoteReference w:id="162"/>
      </w:r>
      <w:r w:rsidRPr="00C16EA4">
        <w:rPr>
          <w:rFonts w:ascii="Times New Roman" w:hAnsi="Times New Roman" w:cs="Times New Roman"/>
          <w:sz w:val="24"/>
          <w:szCs w:val="24"/>
        </w:rPr>
        <w:t xml:space="preserve">  Finally, the Company wants the Commission to allow the Company to create a regulatory asset for Internal Revenue Service (IRS)</w:t>
      </w:r>
      <w:r w:rsidR="005B42E8">
        <w:rPr>
          <w:rFonts w:ascii="Times New Roman" w:hAnsi="Times New Roman" w:cs="Times New Roman"/>
          <w:sz w:val="24"/>
          <w:szCs w:val="24"/>
        </w:rPr>
        <w:t xml:space="preserve"> </w:t>
      </w:r>
      <w:r w:rsidRPr="00C16EA4">
        <w:rPr>
          <w:rFonts w:ascii="Times New Roman" w:hAnsi="Times New Roman" w:cs="Times New Roman"/>
          <w:sz w:val="24"/>
          <w:szCs w:val="24"/>
        </w:rPr>
        <w:t>imposed interest, which might exist in the future as a result of a future IRS audit regarding the Repairs Deduction.</w:t>
      </w:r>
      <w:r w:rsidRPr="00C16EA4">
        <w:rPr>
          <w:rStyle w:val="FootnoteReference"/>
          <w:rFonts w:ascii="Times New Roman" w:hAnsi="Times New Roman" w:cs="Times New Roman"/>
          <w:sz w:val="24"/>
          <w:szCs w:val="24"/>
        </w:rPr>
        <w:footnoteReference w:id="163"/>
      </w:r>
      <w:r w:rsidRPr="00C16EA4">
        <w:rPr>
          <w:rFonts w:ascii="Times New Roman" w:hAnsi="Times New Roman" w:cs="Times New Roman"/>
          <w:sz w:val="24"/>
          <w:szCs w:val="24"/>
        </w:rPr>
        <w:t xml:space="preserve">  </w:t>
      </w:r>
    </w:p>
    <w:p w:rsidR="00C16EA4" w:rsidRPr="00C16EA4" w:rsidRDefault="00C16EA4"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C16EA4">
        <w:rPr>
          <w:rFonts w:ascii="Times New Roman" w:hAnsi="Times New Roman" w:cs="Times New Roman"/>
          <w:sz w:val="24"/>
          <w:szCs w:val="24"/>
        </w:rPr>
        <w:t>As we explain below, the Commission should reject PacifiCorp’s request for full normalization of all book-tax differences because the Company has not demonstrated any ratepayer benefit from either the change to full normalization, or the transition to full normalization.  Furthermore, the book-tax differences underlying the Company’s proposal are more suitable to flow-through treatment.</w:t>
      </w:r>
      <w:r w:rsidRPr="00C16EA4">
        <w:rPr>
          <w:rStyle w:val="FootnoteReference"/>
          <w:rFonts w:ascii="Times New Roman" w:hAnsi="Times New Roman" w:cs="Times New Roman"/>
          <w:sz w:val="24"/>
          <w:szCs w:val="24"/>
        </w:rPr>
        <w:footnoteReference w:id="164"/>
      </w:r>
      <w:r w:rsidRPr="00C16EA4">
        <w:rPr>
          <w:rFonts w:ascii="Times New Roman" w:hAnsi="Times New Roman" w:cs="Times New Roman"/>
          <w:sz w:val="24"/>
          <w:szCs w:val="24"/>
        </w:rPr>
        <w:t xml:space="preserve">  </w:t>
      </w:r>
    </w:p>
    <w:p w:rsidR="00C16EA4" w:rsidRPr="00C16EA4" w:rsidRDefault="00C16EA4"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C16EA4">
        <w:rPr>
          <w:rFonts w:ascii="Times New Roman" w:hAnsi="Times New Roman" w:cs="Times New Roman"/>
          <w:sz w:val="24"/>
          <w:szCs w:val="24"/>
        </w:rPr>
        <w:t xml:space="preserve">The Commission should accept Staff’s Adjustment 7.9, which reflects certain </w:t>
      </w:r>
      <w:r w:rsidR="005B42E8">
        <w:rPr>
          <w:rFonts w:ascii="Times New Roman" w:hAnsi="Times New Roman" w:cs="Times New Roman"/>
          <w:sz w:val="24"/>
          <w:szCs w:val="24"/>
        </w:rPr>
        <w:t xml:space="preserve">book-tax differences </w:t>
      </w:r>
      <w:r w:rsidRPr="00C16EA4">
        <w:rPr>
          <w:rFonts w:ascii="Times New Roman" w:hAnsi="Times New Roman" w:cs="Times New Roman"/>
          <w:sz w:val="24"/>
          <w:szCs w:val="24"/>
        </w:rPr>
        <w:t>on a flow-through basis consistent with previous Commission</w:t>
      </w:r>
      <w:r w:rsidR="007C510E">
        <w:rPr>
          <w:rFonts w:ascii="Times New Roman" w:hAnsi="Times New Roman" w:cs="Times New Roman"/>
          <w:sz w:val="24"/>
          <w:szCs w:val="24"/>
        </w:rPr>
        <w:t xml:space="preserve"> decisions</w:t>
      </w:r>
      <w:r w:rsidRPr="00C16EA4">
        <w:rPr>
          <w:rFonts w:ascii="Times New Roman" w:hAnsi="Times New Roman" w:cs="Times New Roman"/>
          <w:sz w:val="24"/>
          <w:szCs w:val="24"/>
        </w:rPr>
        <w:t>.  Staff Adjustment 7.9 increases net operating income by $323,865, decreases the net rate base by $5,401,575, and decreases overall revenue requirement by $1,986,754.</w:t>
      </w:r>
    </w:p>
    <w:p w:rsidR="00C16EA4" w:rsidRPr="00C16EA4" w:rsidRDefault="00C16EA4"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C16EA4">
        <w:rPr>
          <w:rFonts w:ascii="Times New Roman" w:hAnsi="Times New Roman" w:cs="Times New Roman"/>
          <w:sz w:val="24"/>
          <w:szCs w:val="24"/>
        </w:rPr>
        <w:t>For the Repairs Deduction, the Commission should recognize the Company’s proposed adjustment due to a change in tax accounting methods for the Repairs Deduction.  In doing so, the Commission should accept Staff Adjustment 8.11, to reflect the full rate base effect of this change.  Staff Adjustment 8.</w:t>
      </w:r>
      <w:r w:rsidR="008B0FB1">
        <w:rPr>
          <w:rFonts w:ascii="Times New Roman" w:hAnsi="Times New Roman" w:cs="Times New Roman"/>
          <w:sz w:val="24"/>
          <w:szCs w:val="24"/>
        </w:rPr>
        <w:t>11</w:t>
      </w:r>
      <w:r w:rsidRPr="00C16EA4">
        <w:rPr>
          <w:rFonts w:ascii="Times New Roman" w:hAnsi="Times New Roman" w:cs="Times New Roman"/>
          <w:sz w:val="24"/>
          <w:szCs w:val="24"/>
        </w:rPr>
        <w:t xml:space="preserve"> decreases the net rate base by $14,463,670, and decreases overall revenue requirements by $1,745,310. </w:t>
      </w:r>
    </w:p>
    <w:p w:rsidR="00C16EA4" w:rsidRPr="00C16EA4" w:rsidRDefault="00C16EA4"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C16EA4">
        <w:rPr>
          <w:rFonts w:ascii="Times New Roman" w:hAnsi="Times New Roman" w:cs="Times New Roman"/>
          <w:sz w:val="24"/>
          <w:szCs w:val="24"/>
        </w:rPr>
        <w:t>The Commission should reject as premature the Company’s request for preauthorization to establish a regulatory asset or liability for interest related to the potential outcome of the IRS audit on this change.</w:t>
      </w:r>
      <w:r w:rsidRPr="00C16EA4" w:rsidDel="00B467F2">
        <w:rPr>
          <w:rFonts w:ascii="Times New Roman" w:hAnsi="Times New Roman" w:cs="Times New Roman"/>
          <w:sz w:val="24"/>
          <w:szCs w:val="24"/>
        </w:rPr>
        <w:t xml:space="preserve"> </w:t>
      </w:r>
    </w:p>
    <w:p w:rsidR="0096310C" w:rsidRDefault="00AE72F6" w:rsidP="0022264C">
      <w:pPr>
        <w:spacing w:after="0" w:line="480" w:lineRule="exact"/>
        <w:rPr>
          <w:rFonts w:ascii="Times New Roman" w:hAnsi="Times New Roman" w:cs="Times New Roman"/>
          <w:sz w:val="24"/>
          <w:szCs w:val="24"/>
        </w:rPr>
      </w:pPr>
      <w:r>
        <w:rPr>
          <w:rFonts w:ascii="Times New Roman" w:hAnsi="Times New Roman" w:cs="Times New Roman"/>
          <w:b/>
          <w:sz w:val="24"/>
          <w:szCs w:val="24"/>
        </w:rPr>
        <w:lastRenderedPageBreak/>
        <w:t>B</w:t>
      </w:r>
      <w:r w:rsidR="00C16EA4" w:rsidRPr="00C16EA4">
        <w:rPr>
          <w:rFonts w:ascii="Times New Roman" w:hAnsi="Times New Roman" w:cs="Times New Roman"/>
          <w:b/>
          <w:sz w:val="24"/>
          <w:szCs w:val="24"/>
        </w:rPr>
        <w:t>.</w:t>
      </w:r>
      <w:r w:rsidR="00C16EA4" w:rsidRPr="00C16EA4">
        <w:rPr>
          <w:rFonts w:ascii="Times New Roman" w:hAnsi="Times New Roman" w:cs="Times New Roman"/>
          <w:b/>
          <w:sz w:val="24"/>
          <w:szCs w:val="24"/>
        </w:rPr>
        <w:tab/>
        <w:t>Background on Flow-Through and Normalization</w:t>
      </w:r>
    </w:p>
    <w:p w:rsidR="00C16EA4" w:rsidRDefault="00C16EA4"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C16EA4">
        <w:rPr>
          <w:rFonts w:ascii="Times New Roman" w:hAnsi="Times New Roman" w:cs="Times New Roman"/>
          <w:sz w:val="24"/>
          <w:szCs w:val="24"/>
        </w:rPr>
        <w:t>The Commission has a long-standing policy of flow-through tax treatment.</w:t>
      </w:r>
      <w:r w:rsidRPr="00C16EA4">
        <w:rPr>
          <w:rStyle w:val="FootnoteReference"/>
          <w:rFonts w:ascii="Times New Roman" w:hAnsi="Times New Roman" w:cs="Times New Roman"/>
          <w:sz w:val="24"/>
          <w:szCs w:val="24"/>
        </w:rPr>
        <w:footnoteReference w:id="165"/>
      </w:r>
      <w:r w:rsidRPr="00C16EA4">
        <w:rPr>
          <w:rFonts w:ascii="Times New Roman" w:hAnsi="Times New Roman" w:cs="Times New Roman"/>
          <w:sz w:val="24"/>
          <w:szCs w:val="24"/>
        </w:rPr>
        <w:t xml:space="preserve">  The Commission describes flow-through as follows:</w:t>
      </w:r>
    </w:p>
    <w:p w:rsidR="00B475A6" w:rsidRPr="00C16EA4" w:rsidRDefault="00B475A6" w:rsidP="00B475A6">
      <w:pPr>
        <w:pStyle w:val="ListParagraph"/>
        <w:numPr>
          <w:ilvl w:val="0"/>
          <w:numId w:val="3"/>
        </w:numPr>
        <w:spacing w:after="0" w:line="240" w:lineRule="exact"/>
        <w:rPr>
          <w:rFonts w:ascii="Times New Roman" w:hAnsi="Times New Roman" w:cs="Times New Roman"/>
          <w:sz w:val="24"/>
          <w:szCs w:val="24"/>
        </w:rPr>
      </w:pPr>
    </w:p>
    <w:p w:rsidR="00C16EA4" w:rsidRPr="00C16EA4" w:rsidRDefault="00F34F0C" w:rsidP="00B56D08">
      <w:pPr>
        <w:spacing w:after="0" w:line="240" w:lineRule="exact"/>
        <w:ind w:left="1440"/>
        <w:rPr>
          <w:rFonts w:ascii="Times New Roman" w:hAnsi="Times New Roman" w:cs="Times New Roman"/>
          <w:sz w:val="24"/>
          <w:szCs w:val="24"/>
        </w:rPr>
      </w:pPr>
      <w:r>
        <w:rPr>
          <w:rFonts w:ascii="Times New Roman" w:hAnsi="Times New Roman" w:cs="Times New Roman"/>
          <w:sz w:val="24"/>
          <w:szCs w:val="24"/>
        </w:rPr>
        <w:t>“</w:t>
      </w:r>
      <w:r w:rsidR="00C16EA4" w:rsidRPr="00C16EA4">
        <w:rPr>
          <w:rFonts w:ascii="Times New Roman" w:hAnsi="Times New Roman" w:cs="Times New Roman"/>
          <w:sz w:val="24"/>
          <w:szCs w:val="24"/>
        </w:rPr>
        <w:t>Flow through</w:t>
      </w:r>
      <w:r>
        <w:rPr>
          <w:rFonts w:ascii="Times New Roman" w:hAnsi="Times New Roman" w:cs="Times New Roman"/>
          <w:sz w:val="24"/>
          <w:szCs w:val="24"/>
        </w:rPr>
        <w:t>”</w:t>
      </w:r>
      <w:r w:rsidR="00C16EA4" w:rsidRPr="00C16EA4">
        <w:rPr>
          <w:rFonts w:ascii="Times New Roman" w:hAnsi="Times New Roman" w:cs="Times New Roman"/>
          <w:sz w:val="24"/>
          <w:szCs w:val="24"/>
        </w:rPr>
        <w:t xml:space="preserve"> tax treatment is the recognition of tax expense in the period when the liability to pay the tax is incurred.  Flow through treatment implies that in a historical test period, actual tax liability of the test period is matched with the level of revenue for the same period.</w:t>
      </w:r>
      <w:r w:rsidR="00C16EA4" w:rsidRPr="00C16EA4">
        <w:rPr>
          <w:rStyle w:val="FootnoteReference"/>
          <w:rFonts w:ascii="Times New Roman" w:hAnsi="Times New Roman" w:cs="Times New Roman"/>
          <w:sz w:val="24"/>
          <w:szCs w:val="24"/>
        </w:rPr>
        <w:footnoteReference w:id="166"/>
      </w:r>
    </w:p>
    <w:p w:rsidR="00C16EA4" w:rsidRPr="00B475A6" w:rsidRDefault="00B475A6" w:rsidP="00B475A6">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C16EA4" w:rsidRPr="00B475A6">
        <w:rPr>
          <w:rFonts w:ascii="Times New Roman" w:hAnsi="Times New Roman" w:cs="Times New Roman"/>
          <w:sz w:val="24"/>
          <w:szCs w:val="24"/>
        </w:rPr>
        <w:t>Flow-through is a particularly desirable policy for book-tax differences of items that occur with regularity, are not subject to significant fluctuations between periods and are associated with assets or liabilities that are not recognized in the rate base.</w:t>
      </w:r>
      <w:r w:rsidR="00C16EA4" w:rsidRPr="00C16EA4">
        <w:rPr>
          <w:rStyle w:val="FootnoteReference"/>
          <w:rFonts w:ascii="Times New Roman" w:hAnsi="Times New Roman" w:cs="Times New Roman"/>
          <w:sz w:val="24"/>
          <w:szCs w:val="24"/>
        </w:rPr>
        <w:footnoteReference w:id="167"/>
      </w:r>
      <w:r w:rsidR="00C16EA4" w:rsidRPr="00B475A6">
        <w:rPr>
          <w:rFonts w:ascii="Times New Roman" w:hAnsi="Times New Roman" w:cs="Times New Roman"/>
          <w:sz w:val="24"/>
          <w:szCs w:val="24"/>
        </w:rPr>
        <w:t xml:space="preserve">  Examples are employee related accruals, bad debt allowance, injuries and damages, prepaid contracts, and miscellaneous accrued and current liabilities.  Flow-through tax treatment is </w:t>
      </w:r>
      <w:r w:rsidR="003250B0" w:rsidRPr="00B475A6">
        <w:rPr>
          <w:rFonts w:ascii="Times New Roman" w:hAnsi="Times New Roman" w:cs="Times New Roman"/>
          <w:sz w:val="24"/>
          <w:szCs w:val="24"/>
        </w:rPr>
        <w:t>appropriate</w:t>
      </w:r>
      <w:r w:rsidR="00C16EA4" w:rsidRPr="00B475A6">
        <w:rPr>
          <w:rFonts w:ascii="Times New Roman" w:hAnsi="Times New Roman" w:cs="Times New Roman"/>
          <w:sz w:val="24"/>
          <w:szCs w:val="24"/>
        </w:rPr>
        <w:t xml:space="preserve"> because only the net change in the liability level affects net operating income. </w:t>
      </w:r>
    </w:p>
    <w:p w:rsidR="00C16EA4" w:rsidRPr="00B475A6" w:rsidRDefault="00B475A6" w:rsidP="00B475A6">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C16EA4" w:rsidRPr="00B475A6">
        <w:rPr>
          <w:rFonts w:ascii="Times New Roman" w:hAnsi="Times New Roman" w:cs="Times New Roman"/>
          <w:sz w:val="24"/>
          <w:szCs w:val="24"/>
        </w:rPr>
        <w:t>By contrast, if these types of items were normalized, the utility would include in the rate base deferred tax, but not the related liability which gave rise to the tax.  This would cause an inconsistency in the rate base to the detriment of the ratepayers.</w:t>
      </w:r>
      <w:r w:rsidR="00C16EA4" w:rsidRPr="00C16EA4">
        <w:rPr>
          <w:rStyle w:val="FootnoteReference"/>
          <w:rFonts w:ascii="Times New Roman" w:hAnsi="Times New Roman" w:cs="Times New Roman"/>
          <w:sz w:val="24"/>
          <w:szCs w:val="24"/>
        </w:rPr>
        <w:footnoteReference w:id="168"/>
      </w:r>
    </w:p>
    <w:p w:rsidR="00C16EA4" w:rsidRDefault="00B475A6" w:rsidP="00B475A6">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C16EA4" w:rsidRPr="00B475A6">
        <w:rPr>
          <w:rFonts w:ascii="Times New Roman" w:hAnsi="Times New Roman" w:cs="Times New Roman"/>
          <w:sz w:val="24"/>
          <w:szCs w:val="24"/>
        </w:rPr>
        <w:t>The Commission has recognized normalization as appropriate in certain circumstances, such as when the Internal Revenue Code requires normalization for the utility to receive the benefits of accelerated depreciation for tax purposes.</w:t>
      </w:r>
      <w:r w:rsidR="00C16EA4" w:rsidRPr="00C16EA4">
        <w:rPr>
          <w:rStyle w:val="FootnoteReference"/>
          <w:rFonts w:ascii="Times New Roman" w:hAnsi="Times New Roman" w:cs="Times New Roman"/>
          <w:sz w:val="24"/>
          <w:szCs w:val="24"/>
        </w:rPr>
        <w:footnoteReference w:id="169"/>
      </w:r>
      <w:r w:rsidR="00C16EA4" w:rsidRPr="00B475A6">
        <w:rPr>
          <w:rFonts w:ascii="Times New Roman" w:hAnsi="Times New Roman" w:cs="Times New Roman"/>
          <w:sz w:val="24"/>
          <w:szCs w:val="24"/>
        </w:rPr>
        <w:t xml:space="preserve">  Another example involves items such as regulatory assets and </w:t>
      </w:r>
      <w:r w:rsidR="003250B0" w:rsidRPr="00B475A6">
        <w:rPr>
          <w:rFonts w:ascii="Times New Roman" w:hAnsi="Times New Roman" w:cs="Times New Roman"/>
          <w:sz w:val="24"/>
          <w:szCs w:val="24"/>
        </w:rPr>
        <w:t>liabilities</w:t>
      </w:r>
      <w:r w:rsidR="00C16EA4" w:rsidRPr="00B475A6">
        <w:rPr>
          <w:rFonts w:ascii="Times New Roman" w:hAnsi="Times New Roman" w:cs="Times New Roman"/>
          <w:sz w:val="24"/>
          <w:szCs w:val="24"/>
        </w:rPr>
        <w:t>.  Commission-authorized regulatory assets and liabilities are typically normalized.  The utility defers an item and amortizes the balance over a set period of time.  The tax effects are typically deferred over the same period for regulatory purposes.</w:t>
      </w:r>
      <w:r w:rsidR="00C16EA4" w:rsidRPr="00C16EA4">
        <w:rPr>
          <w:rStyle w:val="FootnoteReference"/>
          <w:rFonts w:ascii="Times New Roman" w:hAnsi="Times New Roman" w:cs="Times New Roman"/>
          <w:sz w:val="24"/>
          <w:szCs w:val="24"/>
        </w:rPr>
        <w:footnoteReference w:id="170"/>
      </w:r>
      <w:r w:rsidR="00C16EA4" w:rsidRPr="00B475A6">
        <w:rPr>
          <w:rFonts w:ascii="Times New Roman" w:hAnsi="Times New Roman" w:cs="Times New Roman"/>
          <w:sz w:val="24"/>
          <w:szCs w:val="24"/>
        </w:rPr>
        <w:t xml:space="preserve">  In </w:t>
      </w:r>
      <w:r w:rsidR="00C16EA4" w:rsidRPr="00B475A6">
        <w:rPr>
          <w:rFonts w:ascii="Times New Roman" w:hAnsi="Times New Roman" w:cs="Times New Roman"/>
          <w:sz w:val="24"/>
          <w:szCs w:val="24"/>
        </w:rPr>
        <w:lastRenderedPageBreak/>
        <w:t xml:space="preserve">other words, the tax benefit or burden is normalized to match the amortization.  This matching of both the cost and tax provides equity for both the utility and its </w:t>
      </w:r>
      <w:r>
        <w:rPr>
          <w:rFonts w:ascii="Times New Roman" w:hAnsi="Times New Roman" w:cs="Times New Roman"/>
          <w:sz w:val="24"/>
          <w:szCs w:val="24"/>
        </w:rPr>
        <w:t xml:space="preserve">ratepayers.  </w:t>
      </w:r>
    </w:p>
    <w:p w:rsidR="00B475A6" w:rsidRPr="00B475A6" w:rsidRDefault="00B475A6" w:rsidP="00B475A6">
      <w:pPr>
        <w:pStyle w:val="ListParagraph"/>
        <w:spacing w:after="0" w:line="240" w:lineRule="exact"/>
        <w:ind w:left="0"/>
        <w:rPr>
          <w:rFonts w:ascii="Times New Roman" w:hAnsi="Times New Roman" w:cs="Times New Roman"/>
          <w:sz w:val="24"/>
          <w:szCs w:val="24"/>
        </w:rPr>
      </w:pPr>
    </w:p>
    <w:p w:rsidR="0096310C" w:rsidRDefault="0043612E" w:rsidP="0022264C">
      <w:pPr>
        <w:spacing w:after="0" w:line="240" w:lineRule="exact"/>
        <w:rPr>
          <w:rFonts w:ascii="Times New Roman" w:hAnsi="Times New Roman" w:cs="Times New Roman"/>
          <w:b/>
          <w:sz w:val="24"/>
          <w:szCs w:val="24"/>
        </w:rPr>
      </w:pPr>
      <w:r>
        <w:rPr>
          <w:rFonts w:ascii="Times New Roman" w:hAnsi="Times New Roman" w:cs="Times New Roman"/>
          <w:b/>
          <w:sz w:val="24"/>
          <w:szCs w:val="24"/>
        </w:rPr>
        <w:t>C.</w:t>
      </w:r>
      <w:r w:rsidR="00C16EA4" w:rsidRPr="00C16EA4">
        <w:rPr>
          <w:rFonts w:ascii="Times New Roman" w:hAnsi="Times New Roman" w:cs="Times New Roman"/>
          <w:b/>
          <w:sz w:val="24"/>
          <w:szCs w:val="24"/>
        </w:rPr>
        <w:tab/>
        <w:t xml:space="preserve">The Company Has Not Demonstrated Any Ratepayer Benefit </w:t>
      </w:r>
      <w:r w:rsidR="007B3759">
        <w:rPr>
          <w:rFonts w:ascii="Times New Roman" w:hAnsi="Times New Roman" w:cs="Times New Roman"/>
          <w:b/>
          <w:sz w:val="24"/>
          <w:szCs w:val="24"/>
        </w:rPr>
        <w:t>F</w:t>
      </w:r>
      <w:r w:rsidR="00C16EA4" w:rsidRPr="00C16EA4">
        <w:rPr>
          <w:rFonts w:ascii="Times New Roman" w:hAnsi="Times New Roman" w:cs="Times New Roman"/>
          <w:b/>
          <w:sz w:val="24"/>
          <w:szCs w:val="24"/>
        </w:rPr>
        <w:t xml:space="preserve">rom its Full </w:t>
      </w:r>
      <w:r>
        <w:rPr>
          <w:rFonts w:ascii="Times New Roman" w:hAnsi="Times New Roman" w:cs="Times New Roman"/>
          <w:b/>
          <w:sz w:val="24"/>
          <w:szCs w:val="24"/>
        </w:rPr>
        <w:tab/>
      </w:r>
      <w:r w:rsidR="00C16EA4" w:rsidRPr="00C16EA4">
        <w:rPr>
          <w:rFonts w:ascii="Times New Roman" w:hAnsi="Times New Roman" w:cs="Times New Roman"/>
          <w:b/>
          <w:sz w:val="24"/>
          <w:szCs w:val="24"/>
        </w:rPr>
        <w:t>Normalization Proposal</w:t>
      </w:r>
    </w:p>
    <w:p w:rsidR="00C16EA4" w:rsidRPr="00B475A6" w:rsidRDefault="00B475A6" w:rsidP="00B475A6">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C16EA4" w:rsidRPr="00B475A6">
        <w:rPr>
          <w:rFonts w:ascii="Times New Roman" w:hAnsi="Times New Roman" w:cs="Times New Roman"/>
          <w:sz w:val="24"/>
          <w:szCs w:val="24"/>
        </w:rPr>
        <w:t>The Company requests the Commission adopt a federal income tax accounting policy of normalization for all book-tax differences, with the exception of equity AFUDC,</w:t>
      </w:r>
      <w:r w:rsidR="00C16EA4" w:rsidRPr="00C16EA4">
        <w:rPr>
          <w:rStyle w:val="FootnoteReference"/>
          <w:rFonts w:ascii="Times New Roman" w:hAnsi="Times New Roman" w:cs="Times New Roman"/>
          <w:sz w:val="24"/>
          <w:szCs w:val="24"/>
        </w:rPr>
        <w:footnoteReference w:id="171"/>
      </w:r>
      <w:r w:rsidR="00C16EA4" w:rsidRPr="00B475A6">
        <w:rPr>
          <w:rFonts w:ascii="Times New Roman" w:hAnsi="Times New Roman" w:cs="Times New Roman"/>
          <w:sz w:val="24"/>
          <w:szCs w:val="24"/>
        </w:rPr>
        <w:t xml:space="preserve"> beginning January 1, 2011.</w:t>
      </w:r>
      <w:r w:rsidR="00C16EA4" w:rsidRPr="00C16EA4">
        <w:rPr>
          <w:rStyle w:val="FootnoteReference"/>
          <w:rFonts w:ascii="Times New Roman" w:hAnsi="Times New Roman" w:cs="Times New Roman"/>
          <w:sz w:val="24"/>
          <w:szCs w:val="24"/>
        </w:rPr>
        <w:footnoteReference w:id="172"/>
      </w:r>
      <w:r w:rsidR="00C16EA4" w:rsidRPr="00B475A6">
        <w:rPr>
          <w:rFonts w:ascii="Times New Roman" w:hAnsi="Times New Roman" w:cs="Times New Roman"/>
          <w:sz w:val="24"/>
          <w:szCs w:val="24"/>
        </w:rPr>
        <w:t xml:space="preserve">  However, the Company’s case deals only with the transition to full normalization.  In particular, the Company failed to quantify any ratepayer benefits of either full normalization or the transition to full normalization.</w:t>
      </w:r>
      <w:r w:rsidR="00C16EA4" w:rsidRPr="00C16EA4">
        <w:rPr>
          <w:rStyle w:val="FootnoteReference"/>
          <w:rFonts w:ascii="Times New Roman" w:hAnsi="Times New Roman" w:cs="Times New Roman"/>
          <w:sz w:val="24"/>
          <w:szCs w:val="24"/>
        </w:rPr>
        <w:footnoteReference w:id="173"/>
      </w:r>
    </w:p>
    <w:p w:rsidR="00C16EA4" w:rsidRPr="00B475A6" w:rsidRDefault="00B475A6" w:rsidP="00B475A6">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C16EA4" w:rsidRPr="00B475A6">
        <w:rPr>
          <w:rFonts w:ascii="Times New Roman" w:hAnsi="Times New Roman" w:cs="Times New Roman"/>
          <w:sz w:val="24"/>
          <w:szCs w:val="24"/>
        </w:rPr>
        <w:t>In fact, Staff did a comprehensive review of the Company’s direct case, and concluded the Company failed to demonstrate any ratepayer benefit.</w:t>
      </w:r>
      <w:r w:rsidR="00C16EA4" w:rsidRPr="00C16EA4">
        <w:rPr>
          <w:rStyle w:val="FootnoteReference"/>
          <w:rFonts w:ascii="Times New Roman" w:hAnsi="Times New Roman" w:cs="Times New Roman"/>
          <w:sz w:val="24"/>
          <w:szCs w:val="24"/>
        </w:rPr>
        <w:footnoteReference w:id="174"/>
      </w:r>
      <w:r w:rsidR="00C16EA4" w:rsidRPr="00B475A6">
        <w:rPr>
          <w:rFonts w:ascii="Times New Roman" w:hAnsi="Times New Roman" w:cs="Times New Roman"/>
          <w:sz w:val="24"/>
          <w:szCs w:val="24"/>
        </w:rPr>
        <w:t xml:space="preserve">  The Company’s rebuttal case was no help, either; it just addressed how the transition to full normalization should take place.</w:t>
      </w:r>
      <w:r w:rsidR="00C16EA4" w:rsidRPr="00C16EA4">
        <w:rPr>
          <w:rStyle w:val="FootnoteReference"/>
          <w:rFonts w:ascii="Times New Roman" w:hAnsi="Times New Roman" w:cs="Times New Roman"/>
          <w:sz w:val="24"/>
          <w:szCs w:val="24"/>
        </w:rPr>
        <w:footnoteReference w:id="175"/>
      </w:r>
      <w:r w:rsidR="00C16EA4" w:rsidRPr="00B475A6">
        <w:rPr>
          <w:rFonts w:ascii="Times New Roman" w:hAnsi="Times New Roman" w:cs="Times New Roman"/>
          <w:sz w:val="24"/>
          <w:szCs w:val="24"/>
        </w:rPr>
        <w:t xml:space="preserve">  </w:t>
      </w:r>
    </w:p>
    <w:p w:rsidR="00C16EA4" w:rsidRDefault="00B475A6" w:rsidP="00B475A6">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C16EA4" w:rsidRPr="00B475A6">
        <w:rPr>
          <w:rFonts w:ascii="Times New Roman" w:hAnsi="Times New Roman" w:cs="Times New Roman"/>
          <w:sz w:val="24"/>
          <w:szCs w:val="24"/>
        </w:rPr>
        <w:t>The Company bears the burden of proof on this issue.  The Commission should not grant a request for full normalization unless and until the Company presents the full effect of the change and demonstrate ratepayer benefit.  The Company has yet to do so.</w:t>
      </w:r>
    </w:p>
    <w:p w:rsidR="00B475A6" w:rsidRPr="00B475A6" w:rsidRDefault="00B475A6" w:rsidP="00B475A6">
      <w:pPr>
        <w:pStyle w:val="ListParagraph"/>
        <w:spacing w:after="0" w:line="240" w:lineRule="exact"/>
        <w:ind w:left="0"/>
        <w:rPr>
          <w:rFonts w:ascii="Times New Roman" w:hAnsi="Times New Roman" w:cs="Times New Roman"/>
          <w:sz w:val="24"/>
          <w:szCs w:val="24"/>
        </w:rPr>
      </w:pPr>
    </w:p>
    <w:p w:rsidR="0096310C" w:rsidRDefault="0043612E" w:rsidP="0022264C">
      <w:pPr>
        <w:spacing w:after="0" w:line="240" w:lineRule="exact"/>
        <w:ind w:left="720" w:hanging="720"/>
        <w:rPr>
          <w:rFonts w:ascii="Times New Roman" w:hAnsi="Times New Roman" w:cs="Times New Roman"/>
          <w:b/>
          <w:sz w:val="24"/>
          <w:szCs w:val="24"/>
        </w:rPr>
      </w:pPr>
      <w:r>
        <w:rPr>
          <w:rFonts w:ascii="Times New Roman" w:hAnsi="Times New Roman" w:cs="Times New Roman"/>
          <w:b/>
          <w:sz w:val="24"/>
          <w:szCs w:val="24"/>
        </w:rPr>
        <w:t>D</w:t>
      </w:r>
      <w:r w:rsidR="00C16EA4" w:rsidRPr="00C16EA4">
        <w:rPr>
          <w:rFonts w:ascii="Times New Roman" w:hAnsi="Times New Roman" w:cs="Times New Roman"/>
          <w:b/>
          <w:sz w:val="24"/>
          <w:szCs w:val="24"/>
        </w:rPr>
        <w:t>.</w:t>
      </w:r>
      <w:r w:rsidR="00C16EA4" w:rsidRPr="00C16EA4">
        <w:rPr>
          <w:rFonts w:ascii="Times New Roman" w:hAnsi="Times New Roman" w:cs="Times New Roman"/>
          <w:b/>
          <w:sz w:val="24"/>
          <w:szCs w:val="24"/>
        </w:rPr>
        <w:tab/>
        <w:t>The Types of Items Subject to PacifiCorp’s Normalization Request Are More Properly Treated Under the Flow-Through Method</w:t>
      </w:r>
    </w:p>
    <w:p w:rsidR="00C16EA4" w:rsidRDefault="00B475A6" w:rsidP="00B475A6">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C16EA4" w:rsidRPr="00B475A6">
        <w:rPr>
          <w:rFonts w:ascii="Times New Roman" w:hAnsi="Times New Roman" w:cs="Times New Roman"/>
          <w:sz w:val="24"/>
          <w:szCs w:val="24"/>
        </w:rPr>
        <w:t>Another reason why the Commission should reject PacifiCorp’s request for full normalization is because the primary book-tax differences subject to PacifiCorp’s normalization request (exclusive of those associated with Repairs Deduction) are related to real liabilities of the Company that continue over time.  These liabilities represent a net accumulated deferred income tax impact of $5.4 million, increasing the rate base for 2009, and include the following categories of obligations:</w:t>
      </w:r>
    </w:p>
    <w:p w:rsidR="00B475A6" w:rsidRPr="00B475A6" w:rsidRDefault="00B475A6" w:rsidP="00B475A6">
      <w:pPr>
        <w:pStyle w:val="ListParagraph"/>
        <w:spacing w:after="0" w:line="240" w:lineRule="exact"/>
        <w:ind w:left="0"/>
        <w:rPr>
          <w:rFonts w:ascii="Times New Roman" w:hAnsi="Times New Roman" w:cs="Times New Roman"/>
          <w:sz w:val="24"/>
          <w:szCs w:val="24"/>
        </w:rPr>
      </w:pPr>
    </w:p>
    <w:p w:rsidR="00193CAD" w:rsidRDefault="00193CAD">
      <w:pPr>
        <w:rPr>
          <w:rFonts w:ascii="Times New Roman" w:hAnsi="Times New Roman" w:cs="Times New Roman"/>
          <w:sz w:val="24"/>
          <w:szCs w:val="24"/>
        </w:rPr>
      </w:pPr>
      <w:r>
        <w:rPr>
          <w:rFonts w:ascii="Times New Roman" w:hAnsi="Times New Roman" w:cs="Times New Roman"/>
          <w:sz w:val="24"/>
          <w:szCs w:val="24"/>
        </w:rPr>
        <w:br w:type="page"/>
      </w:r>
    </w:p>
    <w:p w:rsidR="00C16EA4" w:rsidRPr="00C16EA4" w:rsidRDefault="00C16EA4" w:rsidP="00B475A6">
      <w:pPr>
        <w:spacing w:after="0" w:line="240" w:lineRule="exact"/>
        <w:rPr>
          <w:rFonts w:ascii="Times New Roman" w:hAnsi="Times New Roman" w:cs="Times New Roman"/>
          <w:sz w:val="24"/>
          <w:szCs w:val="24"/>
        </w:rPr>
      </w:pPr>
      <w:r w:rsidRPr="00C16EA4">
        <w:rPr>
          <w:rFonts w:ascii="Times New Roman" w:hAnsi="Times New Roman" w:cs="Times New Roman"/>
          <w:sz w:val="24"/>
          <w:szCs w:val="24"/>
        </w:rPr>
        <w:lastRenderedPageBreak/>
        <w:tab/>
        <w:t>Employee Related Obligations</w:t>
      </w:r>
      <w:r w:rsidRPr="00C16EA4">
        <w:rPr>
          <w:rFonts w:ascii="Times New Roman" w:hAnsi="Times New Roman" w:cs="Times New Roman"/>
          <w:sz w:val="24"/>
          <w:szCs w:val="24"/>
        </w:rPr>
        <w:tab/>
        <w:t xml:space="preserve">           $ 3,263,654 </w:t>
      </w:r>
      <w:r w:rsidRPr="00C16EA4">
        <w:rPr>
          <w:rStyle w:val="FootnoteReference"/>
          <w:rFonts w:ascii="Times New Roman" w:hAnsi="Times New Roman" w:cs="Times New Roman"/>
          <w:sz w:val="24"/>
          <w:szCs w:val="24"/>
        </w:rPr>
        <w:footnoteReference w:id="176"/>
      </w:r>
    </w:p>
    <w:p w:rsidR="00C16EA4" w:rsidRPr="00C16EA4" w:rsidRDefault="00C16EA4" w:rsidP="00B475A6">
      <w:pPr>
        <w:spacing w:after="0" w:line="240" w:lineRule="exact"/>
        <w:rPr>
          <w:rFonts w:ascii="Times New Roman" w:hAnsi="Times New Roman" w:cs="Times New Roman"/>
          <w:sz w:val="24"/>
          <w:szCs w:val="24"/>
        </w:rPr>
      </w:pPr>
      <w:r w:rsidRPr="00C16EA4">
        <w:rPr>
          <w:rFonts w:ascii="Times New Roman" w:hAnsi="Times New Roman" w:cs="Times New Roman"/>
          <w:sz w:val="24"/>
          <w:szCs w:val="24"/>
        </w:rPr>
        <w:tab/>
        <w:t>Misc</w:t>
      </w:r>
      <w:r w:rsidR="008B0FB1">
        <w:rPr>
          <w:rFonts w:ascii="Times New Roman" w:hAnsi="Times New Roman" w:cs="Times New Roman"/>
          <w:sz w:val="24"/>
          <w:szCs w:val="24"/>
        </w:rPr>
        <w:t>ellaneous</w:t>
      </w:r>
      <w:r w:rsidRPr="00C16EA4">
        <w:rPr>
          <w:rFonts w:ascii="Times New Roman" w:hAnsi="Times New Roman" w:cs="Times New Roman"/>
          <w:sz w:val="24"/>
          <w:szCs w:val="24"/>
        </w:rPr>
        <w:t xml:space="preserve"> Accrued Liabilities</w:t>
      </w:r>
      <w:r w:rsidRPr="00C16EA4">
        <w:rPr>
          <w:rFonts w:ascii="Times New Roman" w:hAnsi="Times New Roman" w:cs="Times New Roman"/>
          <w:sz w:val="24"/>
          <w:szCs w:val="24"/>
        </w:rPr>
        <w:tab/>
      </w:r>
      <w:r w:rsidRPr="00C16EA4">
        <w:rPr>
          <w:rFonts w:ascii="Times New Roman" w:hAnsi="Times New Roman" w:cs="Times New Roman"/>
          <w:sz w:val="24"/>
          <w:szCs w:val="24"/>
        </w:rPr>
        <w:tab/>
        <w:t xml:space="preserve">     555,302 </w:t>
      </w:r>
      <w:r w:rsidRPr="00C16EA4">
        <w:rPr>
          <w:rStyle w:val="FootnoteReference"/>
          <w:rFonts w:ascii="Times New Roman" w:hAnsi="Times New Roman" w:cs="Times New Roman"/>
          <w:sz w:val="24"/>
          <w:szCs w:val="24"/>
        </w:rPr>
        <w:footnoteReference w:id="177"/>
      </w:r>
    </w:p>
    <w:p w:rsidR="00C16EA4" w:rsidRPr="00C16EA4" w:rsidRDefault="00C16EA4" w:rsidP="00B475A6">
      <w:pPr>
        <w:spacing w:after="0" w:line="240" w:lineRule="exact"/>
        <w:rPr>
          <w:rFonts w:ascii="Times New Roman" w:hAnsi="Times New Roman" w:cs="Times New Roman"/>
          <w:sz w:val="24"/>
          <w:szCs w:val="24"/>
        </w:rPr>
      </w:pPr>
      <w:r w:rsidRPr="00C16EA4">
        <w:rPr>
          <w:rFonts w:ascii="Times New Roman" w:hAnsi="Times New Roman" w:cs="Times New Roman"/>
          <w:sz w:val="24"/>
          <w:szCs w:val="24"/>
        </w:rPr>
        <w:tab/>
        <w:t>Injuries and Damages</w:t>
      </w:r>
      <w:r w:rsidRPr="00C16EA4">
        <w:rPr>
          <w:rFonts w:ascii="Times New Roman" w:hAnsi="Times New Roman" w:cs="Times New Roman"/>
          <w:sz w:val="24"/>
          <w:szCs w:val="24"/>
        </w:rPr>
        <w:tab/>
      </w:r>
      <w:r w:rsidRPr="00C16EA4">
        <w:rPr>
          <w:rFonts w:ascii="Times New Roman" w:hAnsi="Times New Roman" w:cs="Times New Roman"/>
          <w:sz w:val="24"/>
          <w:szCs w:val="24"/>
        </w:rPr>
        <w:tab/>
      </w:r>
      <w:r w:rsidRPr="00C16EA4">
        <w:rPr>
          <w:rFonts w:ascii="Times New Roman" w:hAnsi="Times New Roman" w:cs="Times New Roman"/>
          <w:sz w:val="24"/>
          <w:szCs w:val="24"/>
        </w:rPr>
        <w:tab/>
      </w:r>
      <w:r w:rsidRPr="00C16EA4">
        <w:rPr>
          <w:rFonts w:ascii="Times New Roman" w:hAnsi="Times New Roman" w:cs="Times New Roman"/>
          <w:sz w:val="24"/>
          <w:szCs w:val="24"/>
        </w:rPr>
        <w:tab/>
        <w:t xml:space="preserve">     399,449 </w:t>
      </w:r>
      <w:r w:rsidRPr="00C16EA4">
        <w:rPr>
          <w:rStyle w:val="FootnoteReference"/>
          <w:rFonts w:ascii="Times New Roman" w:hAnsi="Times New Roman" w:cs="Times New Roman"/>
          <w:sz w:val="24"/>
          <w:szCs w:val="24"/>
        </w:rPr>
        <w:footnoteReference w:id="178"/>
      </w:r>
      <w:r w:rsidRPr="00C16EA4">
        <w:rPr>
          <w:rFonts w:ascii="Times New Roman" w:hAnsi="Times New Roman" w:cs="Times New Roman"/>
          <w:sz w:val="24"/>
          <w:szCs w:val="24"/>
        </w:rPr>
        <w:t xml:space="preserve">  </w:t>
      </w:r>
    </w:p>
    <w:p w:rsidR="00C16EA4" w:rsidRPr="00C16EA4" w:rsidRDefault="00C16EA4" w:rsidP="00B475A6">
      <w:pPr>
        <w:spacing w:after="0" w:line="240" w:lineRule="exact"/>
        <w:rPr>
          <w:rFonts w:ascii="Times New Roman" w:hAnsi="Times New Roman" w:cs="Times New Roman"/>
          <w:sz w:val="24"/>
          <w:szCs w:val="24"/>
        </w:rPr>
      </w:pPr>
      <w:r w:rsidRPr="00C16EA4">
        <w:rPr>
          <w:rFonts w:ascii="Times New Roman" w:hAnsi="Times New Roman" w:cs="Times New Roman"/>
          <w:sz w:val="24"/>
          <w:szCs w:val="24"/>
        </w:rPr>
        <w:tab/>
        <w:t>Bad Debts Allowance</w:t>
      </w:r>
      <w:r w:rsidRPr="00C16EA4">
        <w:rPr>
          <w:rFonts w:ascii="Times New Roman" w:hAnsi="Times New Roman" w:cs="Times New Roman"/>
          <w:sz w:val="24"/>
          <w:szCs w:val="24"/>
        </w:rPr>
        <w:tab/>
      </w:r>
      <w:r w:rsidRPr="00C16EA4">
        <w:rPr>
          <w:rFonts w:ascii="Times New Roman" w:hAnsi="Times New Roman" w:cs="Times New Roman"/>
          <w:sz w:val="24"/>
          <w:szCs w:val="24"/>
        </w:rPr>
        <w:tab/>
      </w:r>
      <w:r w:rsidRPr="00C16EA4">
        <w:rPr>
          <w:rFonts w:ascii="Times New Roman" w:hAnsi="Times New Roman" w:cs="Times New Roman"/>
          <w:sz w:val="24"/>
          <w:szCs w:val="24"/>
        </w:rPr>
        <w:tab/>
      </w:r>
      <w:r w:rsidRPr="00C16EA4">
        <w:rPr>
          <w:rFonts w:ascii="Times New Roman" w:hAnsi="Times New Roman" w:cs="Times New Roman"/>
          <w:sz w:val="24"/>
          <w:szCs w:val="24"/>
        </w:rPr>
        <w:tab/>
        <w:t xml:space="preserve">     398,515 </w:t>
      </w:r>
      <w:r w:rsidRPr="00C16EA4">
        <w:rPr>
          <w:rStyle w:val="FootnoteReference"/>
          <w:rFonts w:ascii="Times New Roman" w:hAnsi="Times New Roman" w:cs="Times New Roman"/>
          <w:sz w:val="24"/>
          <w:szCs w:val="24"/>
        </w:rPr>
        <w:footnoteReference w:id="179"/>
      </w:r>
    </w:p>
    <w:p w:rsidR="00C16EA4" w:rsidRPr="00C16EA4" w:rsidRDefault="00C16EA4" w:rsidP="00B475A6">
      <w:pPr>
        <w:spacing w:after="0" w:line="240" w:lineRule="exact"/>
        <w:rPr>
          <w:rFonts w:ascii="Times New Roman" w:hAnsi="Times New Roman" w:cs="Times New Roman"/>
          <w:sz w:val="24"/>
          <w:szCs w:val="24"/>
        </w:rPr>
      </w:pPr>
      <w:r w:rsidRPr="00C16EA4">
        <w:rPr>
          <w:rFonts w:ascii="Times New Roman" w:hAnsi="Times New Roman" w:cs="Times New Roman"/>
          <w:sz w:val="24"/>
          <w:szCs w:val="24"/>
        </w:rPr>
        <w:tab/>
        <w:t>Jim Bridger Mine</w:t>
      </w:r>
      <w:r w:rsidR="008B0FB1">
        <w:rPr>
          <w:rFonts w:ascii="Times New Roman" w:hAnsi="Times New Roman" w:cs="Times New Roman"/>
          <w:sz w:val="24"/>
          <w:szCs w:val="24"/>
        </w:rPr>
        <w:tab/>
      </w:r>
      <w:r w:rsidR="008B0FB1">
        <w:rPr>
          <w:rFonts w:ascii="Times New Roman" w:hAnsi="Times New Roman" w:cs="Times New Roman"/>
          <w:sz w:val="24"/>
          <w:szCs w:val="24"/>
        </w:rPr>
        <w:tab/>
      </w:r>
      <w:r w:rsidRPr="00C16EA4">
        <w:rPr>
          <w:rFonts w:ascii="Times New Roman" w:hAnsi="Times New Roman" w:cs="Times New Roman"/>
          <w:sz w:val="24"/>
          <w:szCs w:val="24"/>
        </w:rPr>
        <w:tab/>
      </w:r>
      <w:r w:rsidRPr="00C16EA4">
        <w:rPr>
          <w:rFonts w:ascii="Times New Roman" w:hAnsi="Times New Roman" w:cs="Times New Roman"/>
          <w:sz w:val="24"/>
          <w:szCs w:val="24"/>
        </w:rPr>
        <w:tab/>
        <w:t xml:space="preserve">     922,794 </w:t>
      </w:r>
      <w:r w:rsidRPr="00C16EA4">
        <w:rPr>
          <w:rStyle w:val="FootnoteReference"/>
          <w:rFonts w:ascii="Times New Roman" w:hAnsi="Times New Roman" w:cs="Times New Roman"/>
          <w:sz w:val="24"/>
          <w:szCs w:val="24"/>
        </w:rPr>
        <w:footnoteReference w:id="180"/>
      </w:r>
    </w:p>
    <w:p w:rsidR="00C16EA4" w:rsidRPr="00C16EA4" w:rsidRDefault="00C16EA4" w:rsidP="00B475A6">
      <w:pPr>
        <w:spacing w:after="0" w:line="240" w:lineRule="exact"/>
        <w:rPr>
          <w:rFonts w:ascii="Times New Roman" w:hAnsi="Times New Roman" w:cs="Times New Roman"/>
          <w:sz w:val="24"/>
          <w:szCs w:val="24"/>
          <w:u w:val="single"/>
        </w:rPr>
      </w:pPr>
      <w:r w:rsidRPr="00C16EA4">
        <w:rPr>
          <w:rFonts w:ascii="Times New Roman" w:hAnsi="Times New Roman" w:cs="Times New Roman"/>
          <w:sz w:val="24"/>
          <w:szCs w:val="24"/>
        </w:rPr>
        <w:tab/>
        <w:t>Other</w:t>
      </w:r>
      <w:r w:rsidR="008B0FB1">
        <w:rPr>
          <w:rFonts w:ascii="Times New Roman" w:hAnsi="Times New Roman" w:cs="Times New Roman"/>
          <w:sz w:val="24"/>
          <w:szCs w:val="24"/>
        </w:rPr>
        <w:tab/>
      </w:r>
      <w:r w:rsidR="008B0FB1">
        <w:rPr>
          <w:rFonts w:ascii="Times New Roman" w:hAnsi="Times New Roman" w:cs="Times New Roman"/>
          <w:sz w:val="24"/>
          <w:szCs w:val="24"/>
        </w:rPr>
        <w:tab/>
      </w:r>
      <w:r w:rsidRPr="00C16EA4">
        <w:rPr>
          <w:rFonts w:ascii="Times New Roman" w:hAnsi="Times New Roman" w:cs="Times New Roman"/>
          <w:sz w:val="24"/>
          <w:szCs w:val="24"/>
        </w:rPr>
        <w:tab/>
      </w:r>
      <w:r w:rsidRPr="00C16EA4">
        <w:rPr>
          <w:rFonts w:ascii="Times New Roman" w:hAnsi="Times New Roman" w:cs="Times New Roman"/>
          <w:sz w:val="24"/>
          <w:szCs w:val="24"/>
        </w:rPr>
        <w:tab/>
      </w:r>
      <w:r w:rsidRPr="00C16EA4">
        <w:rPr>
          <w:rFonts w:ascii="Times New Roman" w:hAnsi="Times New Roman" w:cs="Times New Roman"/>
          <w:sz w:val="24"/>
          <w:szCs w:val="24"/>
        </w:rPr>
        <w:tab/>
      </w:r>
      <w:r w:rsidRPr="00C16EA4">
        <w:rPr>
          <w:rFonts w:ascii="Times New Roman" w:hAnsi="Times New Roman" w:cs="Times New Roman"/>
          <w:sz w:val="24"/>
          <w:szCs w:val="24"/>
        </w:rPr>
        <w:tab/>
      </w:r>
      <w:r w:rsidRPr="00C16EA4">
        <w:rPr>
          <w:rFonts w:ascii="Times New Roman" w:hAnsi="Times New Roman" w:cs="Times New Roman"/>
          <w:sz w:val="24"/>
          <w:szCs w:val="24"/>
          <w:u w:val="single"/>
        </w:rPr>
        <w:t xml:space="preserve">    (158,57</w:t>
      </w:r>
      <w:r w:rsidR="00F34F0C">
        <w:rPr>
          <w:rFonts w:ascii="Times New Roman" w:hAnsi="Times New Roman" w:cs="Times New Roman"/>
          <w:sz w:val="24"/>
          <w:szCs w:val="24"/>
          <w:u w:val="single"/>
        </w:rPr>
        <w:t>2</w:t>
      </w:r>
      <w:r w:rsidRPr="00C16EA4">
        <w:rPr>
          <w:rFonts w:ascii="Times New Roman" w:hAnsi="Times New Roman" w:cs="Times New Roman"/>
          <w:sz w:val="24"/>
          <w:szCs w:val="24"/>
          <w:u w:val="single"/>
        </w:rPr>
        <w:t>)</w:t>
      </w:r>
      <w:r w:rsidRPr="00C16EA4">
        <w:rPr>
          <w:rStyle w:val="FootnoteReference"/>
          <w:rFonts w:ascii="Times New Roman" w:hAnsi="Times New Roman" w:cs="Times New Roman"/>
          <w:sz w:val="24"/>
          <w:szCs w:val="24"/>
        </w:rPr>
        <w:footnoteReference w:id="181"/>
      </w:r>
    </w:p>
    <w:p w:rsidR="00C16EA4" w:rsidRPr="00C16EA4" w:rsidRDefault="00C16EA4" w:rsidP="00B475A6">
      <w:pPr>
        <w:spacing w:after="0" w:line="240" w:lineRule="exact"/>
        <w:rPr>
          <w:rFonts w:ascii="Times New Roman" w:hAnsi="Times New Roman" w:cs="Times New Roman"/>
          <w:sz w:val="24"/>
          <w:szCs w:val="24"/>
        </w:rPr>
      </w:pPr>
      <w:r w:rsidRPr="00C16EA4">
        <w:rPr>
          <w:rFonts w:ascii="Times New Roman" w:hAnsi="Times New Roman" w:cs="Times New Roman"/>
          <w:sz w:val="24"/>
          <w:szCs w:val="24"/>
        </w:rPr>
        <w:tab/>
        <w:t>Total Accumulated Deferred Income Tax</w:t>
      </w:r>
      <w:r w:rsidRPr="00C16EA4">
        <w:rPr>
          <w:rFonts w:ascii="Times New Roman" w:hAnsi="Times New Roman" w:cs="Times New Roman"/>
          <w:sz w:val="24"/>
          <w:szCs w:val="24"/>
        </w:rPr>
        <w:tab/>
      </w:r>
      <w:r w:rsidRPr="00C16EA4">
        <w:rPr>
          <w:rFonts w:ascii="Times New Roman" w:hAnsi="Times New Roman" w:cs="Times New Roman"/>
          <w:sz w:val="24"/>
          <w:szCs w:val="24"/>
          <w:u w:val="single"/>
        </w:rPr>
        <w:t>$ 5,381,142</w:t>
      </w:r>
      <w:r w:rsidRPr="00C16EA4">
        <w:rPr>
          <w:rStyle w:val="FootnoteReference"/>
          <w:rFonts w:ascii="Times New Roman" w:hAnsi="Times New Roman" w:cs="Times New Roman"/>
          <w:sz w:val="24"/>
          <w:szCs w:val="24"/>
          <w:u w:val="single"/>
        </w:rPr>
        <w:footnoteReference w:id="182"/>
      </w:r>
      <w:r w:rsidRPr="00C16EA4">
        <w:rPr>
          <w:rFonts w:ascii="Times New Roman" w:hAnsi="Times New Roman" w:cs="Times New Roman"/>
          <w:sz w:val="24"/>
          <w:szCs w:val="24"/>
        </w:rPr>
        <w:t xml:space="preserve"> </w:t>
      </w:r>
    </w:p>
    <w:p w:rsidR="00C16EA4" w:rsidRPr="00C16EA4" w:rsidRDefault="00C16EA4" w:rsidP="00B475A6">
      <w:pPr>
        <w:spacing w:after="0" w:line="240" w:lineRule="exact"/>
        <w:rPr>
          <w:rFonts w:ascii="Times New Roman" w:hAnsi="Times New Roman" w:cs="Times New Roman"/>
          <w:sz w:val="24"/>
          <w:szCs w:val="24"/>
        </w:rPr>
      </w:pPr>
    </w:p>
    <w:p w:rsidR="00C16EA4" w:rsidRPr="00B475A6" w:rsidRDefault="00B475A6" w:rsidP="00B475A6">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C16EA4" w:rsidRPr="00B475A6">
        <w:rPr>
          <w:rFonts w:ascii="Times New Roman" w:hAnsi="Times New Roman" w:cs="Times New Roman"/>
          <w:sz w:val="24"/>
          <w:szCs w:val="24"/>
        </w:rPr>
        <w:t>As we explained earlier, these types of items are more appropriately treated under flow-through accounting than normalization accounting, primarily because the Company does not directly include the related liability in rate base.</w:t>
      </w:r>
      <w:r w:rsidR="005B42E8">
        <w:rPr>
          <w:rStyle w:val="FootnoteReference"/>
          <w:rFonts w:ascii="Times New Roman" w:hAnsi="Times New Roman" w:cs="Times New Roman"/>
          <w:sz w:val="24"/>
          <w:szCs w:val="24"/>
        </w:rPr>
        <w:footnoteReference w:id="183"/>
      </w:r>
      <w:r w:rsidR="00C16EA4" w:rsidRPr="00B475A6">
        <w:rPr>
          <w:rFonts w:ascii="Times New Roman" w:hAnsi="Times New Roman" w:cs="Times New Roman"/>
          <w:sz w:val="24"/>
          <w:szCs w:val="24"/>
        </w:rPr>
        <w:t xml:space="preserve">  Under normalization accounting, as presented in the Company case, an inconsistency is created in the rate base because the related liability is not matched with its related deferred tax.  </w:t>
      </w:r>
    </w:p>
    <w:p w:rsidR="00C16EA4" w:rsidRDefault="00B475A6" w:rsidP="00B475A6">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C16EA4" w:rsidRPr="00B475A6">
        <w:rPr>
          <w:rFonts w:ascii="Times New Roman" w:hAnsi="Times New Roman" w:cs="Times New Roman"/>
          <w:sz w:val="24"/>
          <w:szCs w:val="24"/>
        </w:rPr>
        <w:t>Because the deferred tax is related to a liability, the effect is a rate base increase, and indeed, that is the reason why the Company has included an additional $2.0 million</w:t>
      </w:r>
      <w:r w:rsidR="00C16EA4" w:rsidRPr="00C16EA4">
        <w:rPr>
          <w:rStyle w:val="FootnoteReference"/>
          <w:rFonts w:ascii="Times New Roman" w:hAnsi="Times New Roman" w:cs="Times New Roman"/>
          <w:sz w:val="24"/>
          <w:szCs w:val="24"/>
        </w:rPr>
        <w:footnoteReference w:id="184"/>
      </w:r>
      <w:r w:rsidR="00C16EA4" w:rsidRPr="00B475A6">
        <w:rPr>
          <w:rFonts w:ascii="Times New Roman" w:hAnsi="Times New Roman" w:cs="Times New Roman"/>
          <w:sz w:val="24"/>
          <w:szCs w:val="24"/>
        </w:rPr>
        <w:t xml:space="preserve"> in revenue requirement in this case.  This is further proof PacifiCorp’s proposal directly benefits only the Company. </w:t>
      </w:r>
    </w:p>
    <w:p w:rsidR="00B475A6" w:rsidRPr="00B475A6" w:rsidRDefault="00B475A6" w:rsidP="00B475A6">
      <w:pPr>
        <w:pStyle w:val="ListParagraph"/>
        <w:spacing w:after="0" w:line="240" w:lineRule="exact"/>
        <w:ind w:left="0"/>
        <w:rPr>
          <w:rFonts w:ascii="Times New Roman" w:hAnsi="Times New Roman" w:cs="Times New Roman"/>
          <w:sz w:val="24"/>
          <w:szCs w:val="24"/>
        </w:rPr>
      </w:pPr>
    </w:p>
    <w:p w:rsidR="0096310C" w:rsidRPr="0022264C" w:rsidRDefault="0043612E" w:rsidP="0022264C">
      <w:pPr>
        <w:spacing w:after="0" w:line="240" w:lineRule="exact"/>
        <w:ind w:left="720" w:hanging="720"/>
        <w:rPr>
          <w:rFonts w:ascii="Times New Roman" w:hAnsi="Times New Roman" w:cs="Times New Roman"/>
          <w:b/>
          <w:sz w:val="24"/>
          <w:szCs w:val="24"/>
        </w:rPr>
      </w:pPr>
      <w:r>
        <w:rPr>
          <w:rFonts w:ascii="Times New Roman" w:hAnsi="Times New Roman" w:cs="Times New Roman"/>
          <w:b/>
          <w:sz w:val="24"/>
          <w:szCs w:val="24"/>
        </w:rPr>
        <w:t>E.</w:t>
      </w:r>
      <w:r>
        <w:rPr>
          <w:rFonts w:ascii="Times New Roman" w:hAnsi="Times New Roman" w:cs="Times New Roman"/>
          <w:b/>
          <w:sz w:val="24"/>
          <w:szCs w:val="24"/>
        </w:rPr>
        <w:tab/>
      </w:r>
      <w:r w:rsidR="005F7905" w:rsidRPr="0022264C">
        <w:rPr>
          <w:rFonts w:ascii="Times New Roman" w:hAnsi="Times New Roman" w:cs="Times New Roman"/>
          <w:b/>
          <w:sz w:val="24"/>
          <w:szCs w:val="24"/>
        </w:rPr>
        <w:t>The Company has Improperly Characterized the Impact of Full Normalization</w:t>
      </w:r>
    </w:p>
    <w:p w:rsidR="00C16EA4" w:rsidRDefault="00B475A6" w:rsidP="00B475A6">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C16EA4" w:rsidRPr="00B475A6">
        <w:rPr>
          <w:rFonts w:ascii="Times New Roman" w:hAnsi="Times New Roman" w:cs="Times New Roman"/>
          <w:sz w:val="24"/>
          <w:szCs w:val="24"/>
        </w:rPr>
        <w:t>In its analysis of the revenue requirement impact,</w:t>
      </w:r>
      <w:r w:rsidR="00C16EA4" w:rsidRPr="00C16EA4">
        <w:rPr>
          <w:vertAlign w:val="superscript"/>
        </w:rPr>
        <w:footnoteReference w:id="185"/>
      </w:r>
      <w:r w:rsidR="00C16EA4" w:rsidRPr="00B475A6">
        <w:rPr>
          <w:rFonts w:ascii="Times New Roman" w:hAnsi="Times New Roman" w:cs="Times New Roman"/>
          <w:sz w:val="24"/>
          <w:szCs w:val="24"/>
        </w:rPr>
        <w:t xml:space="preserve"> PacifiCorp has masked the true impact of its proposed change to full normalization by reflecting federal income taxes for certain regulatory assets on a flow-through basis, and netting th</w:t>
      </w:r>
      <w:r w:rsidR="008C0792">
        <w:rPr>
          <w:rFonts w:ascii="Times New Roman" w:hAnsi="Times New Roman" w:cs="Times New Roman"/>
          <w:sz w:val="24"/>
          <w:szCs w:val="24"/>
        </w:rPr>
        <w:t>at</w:t>
      </w:r>
      <w:r w:rsidR="00C16EA4" w:rsidRPr="00B475A6">
        <w:rPr>
          <w:rFonts w:ascii="Times New Roman" w:hAnsi="Times New Roman" w:cs="Times New Roman"/>
          <w:sz w:val="24"/>
          <w:szCs w:val="24"/>
        </w:rPr>
        <w:t xml:space="preserve"> impact with the tax effect of the liabilities </w:t>
      </w:r>
      <w:r w:rsidR="005B42E8">
        <w:rPr>
          <w:rFonts w:ascii="Times New Roman" w:hAnsi="Times New Roman" w:cs="Times New Roman"/>
          <w:sz w:val="24"/>
          <w:szCs w:val="24"/>
        </w:rPr>
        <w:t xml:space="preserve">we </w:t>
      </w:r>
      <w:r w:rsidR="00C16EA4" w:rsidRPr="00B475A6">
        <w:rPr>
          <w:rFonts w:ascii="Times New Roman" w:hAnsi="Times New Roman" w:cs="Times New Roman"/>
          <w:sz w:val="24"/>
          <w:szCs w:val="24"/>
        </w:rPr>
        <w:t>discussed in the previous section.</w:t>
      </w:r>
      <w:r w:rsidR="005B42E8">
        <w:rPr>
          <w:rStyle w:val="FootnoteReference"/>
          <w:rFonts w:ascii="Times New Roman" w:hAnsi="Times New Roman" w:cs="Times New Roman"/>
          <w:sz w:val="24"/>
          <w:szCs w:val="24"/>
        </w:rPr>
        <w:footnoteReference w:id="186"/>
      </w:r>
      <w:r w:rsidR="00C16EA4" w:rsidRPr="00B475A6">
        <w:rPr>
          <w:rFonts w:ascii="Times New Roman" w:hAnsi="Times New Roman" w:cs="Times New Roman"/>
          <w:sz w:val="24"/>
          <w:szCs w:val="24"/>
        </w:rPr>
        <w:t xml:space="preserve">  Listed below are these regulatory assets with the associated accumulated deferred income tax:</w:t>
      </w:r>
    </w:p>
    <w:p w:rsidR="00B475A6" w:rsidRPr="00B475A6" w:rsidRDefault="00B475A6" w:rsidP="00B475A6">
      <w:pPr>
        <w:pStyle w:val="ListParagraph"/>
        <w:spacing w:after="0" w:line="240" w:lineRule="exact"/>
        <w:ind w:left="0"/>
        <w:rPr>
          <w:rFonts w:ascii="Times New Roman" w:hAnsi="Times New Roman" w:cs="Times New Roman"/>
          <w:sz w:val="24"/>
          <w:szCs w:val="24"/>
        </w:rPr>
      </w:pPr>
    </w:p>
    <w:p w:rsidR="00193CAD" w:rsidRDefault="00193CAD">
      <w:pPr>
        <w:rPr>
          <w:rFonts w:ascii="Times New Roman" w:hAnsi="Times New Roman" w:cs="Times New Roman"/>
          <w:sz w:val="24"/>
          <w:szCs w:val="24"/>
        </w:rPr>
      </w:pPr>
      <w:r>
        <w:rPr>
          <w:rFonts w:ascii="Times New Roman" w:hAnsi="Times New Roman" w:cs="Times New Roman"/>
          <w:sz w:val="24"/>
          <w:szCs w:val="24"/>
        </w:rPr>
        <w:br w:type="page"/>
      </w:r>
    </w:p>
    <w:p w:rsidR="00C16EA4" w:rsidRPr="00C16EA4" w:rsidRDefault="00C16EA4" w:rsidP="00B475A6">
      <w:pPr>
        <w:spacing w:after="0" w:line="240" w:lineRule="exact"/>
        <w:ind w:left="720"/>
        <w:rPr>
          <w:rFonts w:ascii="Times New Roman" w:hAnsi="Times New Roman" w:cs="Times New Roman"/>
          <w:sz w:val="24"/>
          <w:szCs w:val="24"/>
        </w:rPr>
      </w:pPr>
      <w:r w:rsidRPr="00C16EA4">
        <w:rPr>
          <w:rFonts w:ascii="Times New Roman" w:hAnsi="Times New Roman" w:cs="Times New Roman"/>
          <w:sz w:val="24"/>
          <w:szCs w:val="24"/>
        </w:rPr>
        <w:lastRenderedPageBreak/>
        <w:t>Grid West Loan</w:t>
      </w:r>
      <w:r w:rsidRPr="00C16EA4">
        <w:rPr>
          <w:rFonts w:ascii="Times New Roman" w:hAnsi="Times New Roman" w:cs="Times New Roman"/>
          <w:sz w:val="24"/>
          <w:szCs w:val="24"/>
        </w:rPr>
        <w:tab/>
      </w:r>
      <w:r w:rsidRPr="00C16EA4">
        <w:rPr>
          <w:rFonts w:ascii="Times New Roman" w:hAnsi="Times New Roman" w:cs="Times New Roman"/>
          <w:sz w:val="24"/>
          <w:szCs w:val="24"/>
        </w:rPr>
        <w:tab/>
      </w:r>
      <w:r w:rsidRPr="00C16EA4">
        <w:rPr>
          <w:rFonts w:ascii="Times New Roman" w:hAnsi="Times New Roman" w:cs="Times New Roman"/>
          <w:sz w:val="24"/>
          <w:szCs w:val="24"/>
        </w:rPr>
        <w:tab/>
      </w:r>
      <w:r w:rsidRPr="00C16EA4">
        <w:rPr>
          <w:rFonts w:ascii="Times New Roman" w:hAnsi="Times New Roman" w:cs="Times New Roman"/>
          <w:sz w:val="24"/>
          <w:szCs w:val="24"/>
        </w:rPr>
        <w:tab/>
      </w:r>
      <w:r w:rsidRPr="00C16EA4">
        <w:rPr>
          <w:rFonts w:ascii="Times New Roman" w:hAnsi="Times New Roman" w:cs="Times New Roman"/>
          <w:sz w:val="24"/>
          <w:szCs w:val="24"/>
        </w:rPr>
        <w:tab/>
      </w:r>
      <w:r w:rsidRPr="00C16EA4">
        <w:rPr>
          <w:rFonts w:ascii="Times New Roman" w:hAnsi="Times New Roman" w:cs="Times New Roman"/>
          <w:sz w:val="24"/>
          <w:szCs w:val="24"/>
        </w:rPr>
        <w:tab/>
        <w:t>$(    33,636)</w:t>
      </w:r>
      <w:r w:rsidRPr="00C16EA4">
        <w:rPr>
          <w:rStyle w:val="FootnoteReference"/>
          <w:rFonts w:ascii="Times New Roman" w:hAnsi="Times New Roman" w:cs="Times New Roman"/>
          <w:sz w:val="24"/>
          <w:szCs w:val="24"/>
        </w:rPr>
        <w:footnoteReference w:id="187"/>
      </w:r>
    </w:p>
    <w:p w:rsidR="00C16EA4" w:rsidRPr="00C16EA4" w:rsidRDefault="00C16EA4" w:rsidP="00B475A6">
      <w:pPr>
        <w:spacing w:after="0" w:line="240" w:lineRule="exact"/>
        <w:ind w:left="720"/>
        <w:rPr>
          <w:rFonts w:ascii="Times New Roman" w:hAnsi="Times New Roman" w:cs="Times New Roman"/>
          <w:sz w:val="24"/>
          <w:szCs w:val="24"/>
        </w:rPr>
      </w:pPr>
      <w:r w:rsidRPr="00C16EA4">
        <w:rPr>
          <w:rFonts w:ascii="Times New Roman" w:hAnsi="Times New Roman" w:cs="Times New Roman"/>
          <w:sz w:val="24"/>
          <w:szCs w:val="24"/>
        </w:rPr>
        <w:t>Powerdale Hydro Plant and Decommissioning Costs</w:t>
      </w:r>
      <w:r w:rsidRPr="00C16EA4">
        <w:rPr>
          <w:rFonts w:ascii="Times New Roman" w:hAnsi="Times New Roman" w:cs="Times New Roman"/>
          <w:sz w:val="24"/>
          <w:szCs w:val="24"/>
        </w:rPr>
        <w:tab/>
        <w:t xml:space="preserve">  (  111,262)</w:t>
      </w:r>
      <w:r w:rsidRPr="00C16EA4">
        <w:rPr>
          <w:rStyle w:val="FootnoteReference"/>
          <w:rFonts w:ascii="Times New Roman" w:hAnsi="Times New Roman" w:cs="Times New Roman"/>
          <w:sz w:val="24"/>
          <w:szCs w:val="24"/>
        </w:rPr>
        <w:footnoteReference w:id="188"/>
      </w:r>
    </w:p>
    <w:p w:rsidR="00C16EA4" w:rsidRPr="00C16EA4" w:rsidRDefault="00C16EA4" w:rsidP="00B475A6">
      <w:pPr>
        <w:spacing w:after="0" w:line="240" w:lineRule="exact"/>
        <w:ind w:left="720"/>
        <w:rPr>
          <w:rFonts w:ascii="Times New Roman" w:hAnsi="Times New Roman" w:cs="Times New Roman"/>
          <w:sz w:val="24"/>
          <w:szCs w:val="24"/>
        </w:rPr>
      </w:pPr>
      <w:r w:rsidRPr="00C16EA4">
        <w:rPr>
          <w:rFonts w:ascii="Times New Roman" w:hAnsi="Times New Roman" w:cs="Times New Roman"/>
          <w:sz w:val="24"/>
          <w:szCs w:val="24"/>
        </w:rPr>
        <w:t>Chehalis Generating Plant</w:t>
      </w:r>
      <w:r w:rsidRPr="00C16EA4">
        <w:rPr>
          <w:rFonts w:ascii="Times New Roman" w:hAnsi="Times New Roman" w:cs="Times New Roman"/>
          <w:sz w:val="24"/>
          <w:szCs w:val="24"/>
        </w:rPr>
        <w:tab/>
      </w:r>
      <w:r w:rsidRPr="00C16EA4">
        <w:rPr>
          <w:rFonts w:ascii="Times New Roman" w:hAnsi="Times New Roman" w:cs="Times New Roman"/>
          <w:sz w:val="24"/>
          <w:szCs w:val="24"/>
        </w:rPr>
        <w:tab/>
      </w:r>
      <w:r w:rsidRPr="00C16EA4">
        <w:rPr>
          <w:rFonts w:ascii="Times New Roman" w:hAnsi="Times New Roman" w:cs="Times New Roman"/>
          <w:sz w:val="24"/>
          <w:szCs w:val="24"/>
        </w:rPr>
        <w:tab/>
      </w:r>
      <w:r w:rsidRPr="00C16EA4">
        <w:rPr>
          <w:rFonts w:ascii="Times New Roman" w:hAnsi="Times New Roman" w:cs="Times New Roman"/>
          <w:sz w:val="24"/>
          <w:szCs w:val="24"/>
        </w:rPr>
        <w:tab/>
      </w:r>
      <w:r w:rsidRPr="00C16EA4">
        <w:rPr>
          <w:rFonts w:ascii="Times New Roman" w:hAnsi="Times New Roman" w:cs="Times New Roman"/>
          <w:sz w:val="24"/>
          <w:szCs w:val="24"/>
        </w:rPr>
        <w:tab/>
      </w:r>
      <w:r w:rsidRPr="00C16EA4">
        <w:rPr>
          <w:rFonts w:ascii="Times New Roman" w:hAnsi="Times New Roman" w:cs="Times New Roman"/>
          <w:sz w:val="24"/>
          <w:szCs w:val="24"/>
          <w:u w:val="single"/>
        </w:rPr>
        <w:t xml:space="preserve"> (6,261,915)</w:t>
      </w:r>
      <w:r w:rsidRPr="00C16EA4">
        <w:rPr>
          <w:rStyle w:val="FootnoteReference"/>
          <w:rFonts w:ascii="Times New Roman" w:hAnsi="Times New Roman" w:cs="Times New Roman"/>
          <w:sz w:val="24"/>
          <w:szCs w:val="24"/>
          <w:u w:val="single"/>
        </w:rPr>
        <w:footnoteReference w:id="189"/>
      </w:r>
    </w:p>
    <w:p w:rsidR="00C16EA4" w:rsidRPr="00C16EA4" w:rsidRDefault="00C16EA4" w:rsidP="00B475A6">
      <w:pPr>
        <w:spacing w:after="0" w:line="240" w:lineRule="exact"/>
        <w:ind w:left="720"/>
        <w:rPr>
          <w:rFonts w:ascii="Times New Roman" w:hAnsi="Times New Roman" w:cs="Times New Roman"/>
          <w:sz w:val="24"/>
          <w:szCs w:val="24"/>
          <w:u w:val="single"/>
        </w:rPr>
      </w:pPr>
      <w:r w:rsidRPr="00C16EA4">
        <w:rPr>
          <w:rFonts w:ascii="Times New Roman" w:hAnsi="Times New Roman" w:cs="Times New Roman"/>
          <w:sz w:val="24"/>
          <w:szCs w:val="24"/>
        </w:rPr>
        <w:t>Total Accumulated Deferred Income Tax Expense</w:t>
      </w:r>
      <w:r w:rsidRPr="00C16EA4">
        <w:rPr>
          <w:rFonts w:ascii="Times New Roman" w:hAnsi="Times New Roman" w:cs="Times New Roman"/>
          <w:sz w:val="24"/>
          <w:szCs w:val="24"/>
        </w:rPr>
        <w:tab/>
        <w:t xml:space="preserve">           </w:t>
      </w:r>
      <w:r w:rsidRPr="00C16EA4">
        <w:rPr>
          <w:rFonts w:ascii="Times New Roman" w:hAnsi="Times New Roman" w:cs="Times New Roman"/>
          <w:sz w:val="24"/>
          <w:szCs w:val="24"/>
          <w:u w:val="single"/>
        </w:rPr>
        <w:t>$(6,404,813)</w:t>
      </w:r>
      <w:r w:rsidRPr="00C16EA4">
        <w:rPr>
          <w:rStyle w:val="FootnoteReference"/>
          <w:rFonts w:ascii="Times New Roman" w:hAnsi="Times New Roman" w:cs="Times New Roman"/>
          <w:sz w:val="24"/>
          <w:szCs w:val="24"/>
          <w:u w:val="single"/>
        </w:rPr>
        <w:footnoteReference w:id="190"/>
      </w:r>
    </w:p>
    <w:p w:rsidR="00C16EA4" w:rsidRPr="00C16EA4" w:rsidRDefault="00C16EA4" w:rsidP="00B475A6">
      <w:pPr>
        <w:spacing w:after="0" w:line="240" w:lineRule="exact"/>
        <w:rPr>
          <w:rFonts w:ascii="Times New Roman" w:hAnsi="Times New Roman" w:cs="Times New Roman"/>
          <w:sz w:val="24"/>
          <w:szCs w:val="24"/>
        </w:rPr>
      </w:pPr>
    </w:p>
    <w:p w:rsidR="00C16EA4" w:rsidRPr="00B475A6" w:rsidRDefault="00B475A6" w:rsidP="00B475A6">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C16EA4" w:rsidRPr="00B475A6">
        <w:rPr>
          <w:rFonts w:ascii="Times New Roman" w:hAnsi="Times New Roman" w:cs="Times New Roman"/>
          <w:sz w:val="24"/>
          <w:szCs w:val="24"/>
        </w:rPr>
        <w:t xml:space="preserve">In their revenue requirement models, both Staff and the Company treat these regulatory assets as normalized, for both the cost and related tax, consistent with prior Commission </w:t>
      </w:r>
      <w:r w:rsidR="0043612E">
        <w:rPr>
          <w:rFonts w:ascii="Times New Roman" w:hAnsi="Times New Roman" w:cs="Times New Roman"/>
          <w:sz w:val="24"/>
          <w:szCs w:val="24"/>
        </w:rPr>
        <w:t>o</w:t>
      </w:r>
      <w:r w:rsidR="00C16EA4" w:rsidRPr="00B475A6">
        <w:rPr>
          <w:rFonts w:ascii="Times New Roman" w:hAnsi="Times New Roman" w:cs="Times New Roman"/>
          <w:sz w:val="24"/>
          <w:szCs w:val="24"/>
        </w:rPr>
        <w:t>rders.</w:t>
      </w:r>
      <w:r w:rsidR="00C16EA4" w:rsidRPr="00C16EA4">
        <w:rPr>
          <w:rStyle w:val="FootnoteReference"/>
          <w:rFonts w:ascii="Times New Roman" w:hAnsi="Times New Roman" w:cs="Times New Roman"/>
          <w:sz w:val="24"/>
          <w:szCs w:val="24"/>
        </w:rPr>
        <w:footnoteReference w:id="191"/>
      </w:r>
      <w:r w:rsidR="00C16EA4" w:rsidRPr="00B475A6">
        <w:rPr>
          <w:rFonts w:ascii="Times New Roman" w:hAnsi="Times New Roman" w:cs="Times New Roman"/>
          <w:sz w:val="24"/>
          <w:szCs w:val="24"/>
        </w:rPr>
        <w:t xml:space="preserve">  For example, the Company established the Chehalis regulatory asset </w:t>
      </w:r>
      <w:r w:rsidR="008B0FB1">
        <w:rPr>
          <w:rFonts w:ascii="Times New Roman" w:hAnsi="Times New Roman" w:cs="Times New Roman"/>
          <w:sz w:val="24"/>
          <w:szCs w:val="24"/>
        </w:rPr>
        <w:t>(</w:t>
      </w:r>
      <w:r w:rsidR="00C16EA4" w:rsidRPr="00B475A6">
        <w:rPr>
          <w:rFonts w:ascii="Times New Roman" w:hAnsi="Times New Roman" w:cs="Times New Roman"/>
          <w:sz w:val="24"/>
          <w:szCs w:val="24"/>
        </w:rPr>
        <w:t>which accounts for virtually all of this balance</w:t>
      </w:r>
      <w:r w:rsidR="008B0FB1">
        <w:rPr>
          <w:rFonts w:ascii="Times New Roman" w:hAnsi="Times New Roman" w:cs="Times New Roman"/>
          <w:sz w:val="24"/>
          <w:szCs w:val="24"/>
        </w:rPr>
        <w:t>)</w:t>
      </w:r>
      <w:r w:rsidR="00C16EA4" w:rsidRPr="00B475A6">
        <w:rPr>
          <w:rFonts w:ascii="Times New Roman" w:hAnsi="Times New Roman" w:cs="Times New Roman"/>
          <w:sz w:val="24"/>
          <w:szCs w:val="24"/>
        </w:rPr>
        <w:t xml:space="preserve"> pursuant to RCW 80.80.060(6) and WAC 480-100-435,</w:t>
      </w:r>
      <w:r w:rsidR="00923978">
        <w:rPr>
          <w:rStyle w:val="FootnoteReference"/>
          <w:rFonts w:ascii="Times New Roman" w:hAnsi="Times New Roman" w:cs="Times New Roman"/>
          <w:sz w:val="24"/>
          <w:szCs w:val="24"/>
        </w:rPr>
        <w:footnoteReference w:id="192"/>
      </w:r>
      <w:r w:rsidR="00C16EA4" w:rsidRPr="00B475A6">
        <w:rPr>
          <w:rFonts w:ascii="Times New Roman" w:hAnsi="Times New Roman" w:cs="Times New Roman"/>
          <w:sz w:val="24"/>
          <w:szCs w:val="24"/>
        </w:rPr>
        <w:t xml:space="preserve"> which expressly state the cost of the investment and the related taxes are deferred.</w:t>
      </w:r>
      <w:r w:rsidR="00C16EA4" w:rsidRPr="00C16EA4">
        <w:rPr>
          <w:vertAlign w:val="superscript"/>
        </w:rPr>
        <w:footnoteReference w:id="193"/>
      </w:r>
      <w:r w:rsidR="00C16EA4" w:rsidRPr="00B475A6">
        <w:rPr>
          <w:rFonts w:ascii="Times New Roman" w:hAnsi="Times New Roman" w:cs="Times New Roman"/>
          <w:sz w:val="24"/>
          <w:szCs w:val="24"/>
        </w:rPr>
        <w:t xml:space="preserve">  This is consistent with normalization and inconsistent with flow-though.</w:t>
      </w:r>
      <w:r w:rsidR="005B42E8">
        <w:rPr>
          <w:rStyle w:val="FootnoteReference"/>
          <w:rFonts w:ascii="Times New Roman" w:hAnsi="Times New Roman" w:cs="Times New Roman"/>
          <w:sz w:val="24"/>
          <w:szCs w:val="24"/>
        </w:rPr>
        <w:footnoteReference w:id="194"/>
      </w:r>
    </w:p>
    <w:p w:rsidR="00C16EA4" w:rsidRDefault="00B475A6" w:rsidP="00B475A6">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C16EA4" w:rsidRPr="00B475A6">
        <w:rPr>
          <w:rFonts w:ascii="Times New Roman" w:hAnsi="Times New Roman" w:cs="Times New Roman"/>
          <w:sz w:val="24"/>
          <w:szCs w:val="24"/>
        </w:rPr>
        <w:t xml:space="preserve">PacifiCorp apparently views </w:t>
      </w:r>
      <w:r w:rsidR="008B0FB1">
        <w:rPr>
          <w:rFonts w:ascii="Times New Roman" w:hAnsi="Times New Roman" w:cs="Times New Roman"/>
          <w:sz w:val="24"/>
          <w:szCs w:val="24"/>
        </w:rPr>
        <w:t xml:space="preserve">the Chehalis asset and the other regulatory assets </w:t>
      </w:r>
      <w:r w:rsidR="00C16EA4" w:rsidRPr="00B475A6">
        <w:rPr>
          <w:rFonts w:ascii="Times New Roman" w:hAnsi="Times New Roman" w:cs="Times New Roman"/>
          <w:sz w:val="24"/>
          <w:szCs w:val="24"/>
        </w:rPr>
        <w:t>differently in its analysis of the impact of full normalization,</w:t>
      </w:r>
      <w:r w:rsidR="00C16EA4" w:rsidRPr="00C16EA4">
        <w:rPr>
          <w:rStyle w:val="FootnoteReference"/>
          <w:rFonts w:ascii="Times New Roman" w:hAnsi="Times New Roman" w:cs="Times New Roman"/>
          <w:sz w:val="24"/>
          <w:szCs w:val="24"/>
        </w:rPr>
        <w:footnoteReference w:id="195"/>
      </w:r>
      <w:r w:rsidR="00C16EA4" w:rsidRPr="00B475A6">
        <w:rPr>
          <w:rFonts w:ascii="Times New Roman" w:hAnsi="Times New Roman" w:cs="Times New Roman"/>
          <w:sz w:val="24"/>
          <w:szCs w:val="24"/>
        </w:rPr>
        <w:t xml:space="preserve"> because there, the Company treats the federal income tax associated with these regulatory assets </w:t>
      </w:r>
      <w:r w:rsidR="00826E4E">
        <w:rPr>
          <w:rFonts w:ascii="Times New Roman" w:hAnsi="Times New Roman" w:cs="Times New Roman"/>
          <w:sz w:val="24"/>
          <w:szCs w:val="24"/>
        </w:rPr>
        <w:t>as</w:t>
      </w:r>
      <w:r w:rsidR="00C16EA4" w:rsidRPr="00B475A6">
        <w:rPr>
          <w:rFonts w:ascii="Times New Roman" w:hAnsi="Times New Roman" w:cs="Times New Roman"/>
          <w:sz w:val="24"/>
          <w:szCs w:val="24"/>
        </w:rPr>
        <w:t xml:space="preserve"> subject to flow-through accounting for ratemaking purposes.</w:t>
      </w:r>
      <w:r w:rsidR="00C16EA4" w:rsidRPr="00C16EA4">
        <w:rPr>
          <w:rStyle w:val="FootnoteReference"/>
          <w:rFonts w:ascii="Times New Roman" w:hAnsi="Times New Roman" w:cs="Times New Roman"/>
          <w:sz w:val="24"/>
          <w:szCs w:val="24"/>
        </w:rPr>
        <w:footnoteReference w:id="196"/>
      </w:r>
      <w:r w:rsidR="00C16EA4" w:rsidRPr="00B475A6">
        <w:rPr>
          <w:rFonts w:ascii="Times New Roman" w:hAnsi="Times New Roman" w:cs="Times New Roman"/>
          <w:sz w:val="24"/>
          <w:szCs w:val="24"/>
        </w:rPr>
        <w:t xml:space="preserve">  Based on the Company’s decision to reflect these regulatory assets on a flow-through basis in its analysis, the effect offsets, and thereby masks, the true ongoing impact of the Company’s proposed change to full normalization.</w:t>
      </w:r>
    </w:p>
    <w:p w:rsidR="00B475A6" w:rsidRPr="00B475A6" w:rsidRDefault="00B475A6" w:rsidP="00B475A6">
      <w:pPr>
        <w:pStyle w:val="ListParagraph"/>
        <w:spacing w:after="0" w:line="240" w:lineRule="exact"/>
        <w:ind w:left="0"/>
        <w:rPr>
          <w:rFonts w:ascii="Times New Roman" w:hAnsi="Times New Roman" w:cs="Times New Roman"/>
          <w:sz w:val="24"/>
          <w:szCs w:val="24"/>
        </w:rPr>
      </w:pPr>
    </w:p>
    <w:p w:rsidR="00193CAD" w:rsidRDefault="00193CAD">
      <w:pPr>
        <w:rPr>
          <w:rFonts w:ascii="Times New Roman" w:hAnsi="Times New Roman" w:cs="Times New Roman"/>
          <w:b/>
          <w:sz w:val="24"/>
          <w:szCs w:val="24"/>
        </w:rPr>
      </w:pPr>
      <w:r>
        <w:rPr>
          <w:rFonts w:ascii="Times New Roman" w:hAnsi="Times New Roman" w:cs="Times New Roman"/>
          <w:b/>
          <w:sz w:val="24"/>
          <w:szCs w:val="24"/>
        </w:rPr>
        <w:br w:type="page"/>
      </w:r>
    </w:p>
    <w:p w:rsidR="0096310C" w:rsidRDefault="0043612E" w:rsidP="0022264C">
      <w:pPr>
        <w:spacing w:after="0" w:line="240" w:lineRule="exact"/>
        <w:rPr>
          <w:rFonts w:ascii="Times New Roman" w:hAnsi="Times New Roman" w:cs="Times New Roman"/>
          <w:b/>
          <w:sz w:val="24"/>
          <w:szCs w:val="24"/>
        </w:rPr>
      </w:pPr>
      <w:r>
        <w:rPr>
          <w:rFonts w:ascii="Times New Roman" w:hAnsi="Times New Roman" w:cs="Times New Roman"/>
          <w:b/>
          <w:sz w:val="24"/>
          <w:szCs w:val="24"/>
        </w:rPr>
        <w:lastRenderedPageBreak/>
        <w:t>F</w:t>
      </w:r>
      <w:r w:rsidR="00C16EA4" w:rsidRPr="00C16EA4">
        <w:rPr>
          <w:rFonts w:ascii="Times New Roman" w:hAnsi="Times New Roman" w:cs="Times New Roman"/>
          <w:b/>
          <w:sz w:val="24"/>
          <w:szCs w:val="24"/>
        </w:rPr>
        <w:t>.</w:t>
      </w:r>
      <w:r w:rsidR="00C16EA4" w:rsidRPr="00C16EA4">
        <w:rPr>
          <w:rFonts w:ascii="Times New Roman" w:hAnsi="Times New Roman" w:cs="Times New Roman"/>
          <w:b/>
          <w:sz w:val="24"/>
          <w:szCs w:val="24"/>
        </w:rPr>
        <w:tab/>
        <w:t xml:space="preserve">The Company Fails To Address the Transitional Regulatory Asset or Liability </w:t>
      </w:r>
    </w:p>
    <w:p w:rsidR="00C16EA4" w:rsidRPr="00B475A6" w:rsidRDefault="00B475A6" w:rsidP="00B475A6">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C16EA4" w:rsidRPr="00B475A6">
        <w:rPr>
          <w:rFonts w:ascii="Times New Roman" w:hAnsi="Times New Roman" w:cs="Times New Roman"/>
          <w:sz w:val="24"/>
          <w:szCs w:val="24"/>
        </w:rPr>
        <w:t xml:space="preserve">As we explained earlier in footnote </w:t>
      </w:r>
      <w:r w:rsidR="008B0FB1">
        <w:rPr>
          <w:rFonts w:ascii="Times New Roman" w:hAnsi="Times New Roman" w:cs="Times New Roman"/>
          <w:sz w:val="24"/>
          <w:szCs w:val="24"/>
        </w:rPr>
        <w:t>16</w:t>
      </w:r>
      <w:r w:rsidR="00E42E17">
        <w:rPr>
          <w:rFonts w:ascii="Times New Roman" w:hAnsi="Times New Roman" w:cs="Times New Roman"/>
          <w:sz w:val="24"/>
          <w:szCs w:val="24"/>
        </w:rPr>
        <w:t>1</w:t>
      </w:r>
      <w:r w:rsidR="00C16EA4" w:rsidRPr="00B475A6">
        <w:rPr>
          <w:rFonts w:ascii="Times New Roman" w:hAnsi="Times New Roman" w:cs="Times New Roman"/>
          <w:sz w:val="24"/>
          <w:szCs w:val="24"/>
        </w:rPr>
        <w:t>, PacifiCorp embedded a $5.4 million increase in the rate base to reflect full normalization of federal income taxes, without addressing the corresponding regulatory liability and its amortization in operating results.</w:t>
      </w:r>
      <w:r w:rsidR="00C16EA4" w:rsidRPr="00C16EA4">
        <w:rPr>
          <w:rStyle w:val="FootnoteReference"/>
          <w:rFonts w:ascii="Times New Roman" w:hAnsi="Times New Roman" w:cs="Times New Roman"/>
          <w:sz w:val="24"/>
          <w:szCs w:val="24"/>
        </w:rPr>
        <w:footnoteReference w:id="197"/>
      </w:r>
      <w:r w:rsidR="00C16EA4" w:rsidRPr="00B475A6">
        <w:rPr>
          <w:rFonts w:ascii="Times New Roman" w:hAnsi="Times New Roman" w:cs="Times New Roman"/>
          <w:sz w:val="24"/>
          <w:szCs w:val="24"/>
        </w:rPr>
        <w:t xml:space="preserve">  Instead, PacifiCorp represents this portion of the adjustment as a “Catch-22”, stating the Company cannot address the dollar impact until it finalizes its financial results for 2010.</w:t>
      </w:r>
      <w:r w:rsidR="00C16EA4" w:rsidRPr="00C16EA4">
        <w:rPr>
          <w:rStyle w:val="FootnoteReference"/>
          <w:rFonts w:ascii="Times New Roman" w:hAnsi="Times New Roman" w:cs="Times New Roman"/>
          <w:sz w:val="24"/>
          <w:szCs w:val="24"/>
        </w:rPr>
        <w:footnoteReference w:id="198"/>
      </w:r>
    </w:p>
    <w:p w:rsidR="00C16EA4" w:rsidRPr="00C16EA4" w:rsidRDefault="00B475A6" w:rsidP="00B475A6">
      <w:pPr>
        <w:pStyle w:val="Answer"/>
        <w:numPr>
          <w:ilvl w:val="0"/>
          <w:numId w:val="3"/>
        </w:numPr>
        <w:spacing w:line="480" w:lineRule="exact"/>
        <w:jc w:val="left"/>
        <w:rPr>
          <w:szCs w:val="24"/>
        </w:rPr>
      </w:pPr>
      <w:r>
        <w:rPr>
          <w:szCs w:val="24"/>
        </w:rPr>
        <w:tab/>
      </w:r>
      <w:r w:rsidR="00C16EA4" w:rsidRPr="00C16EA4">
        <w:rPr>
          <w:szCs w:val="24"/>
        </w:rPr>
        <w:t xml:space="preserve">Staff is puzzled by this because, while it is true the exact amount of the impact may need to be updated, the test year impact is known and measurable as reflected by the $5.4 million increase to the rate base included in the Company case.  </w:t>
      </w:r>
    </w:p>
    <w:p w:rsidR="00C16EA4" w:rsidRPr="00C16EA4" w:rsidRDefault="00B475A6" w:rsidP="00B475A6">
      <w:pPr>
        <w:pStyle w:val="Answer"/>
        <w:numPr>
          <w:ilvl w:val="0"/>
          <w:numId w:val="3"/>
        </w:numPr>
        <w:spacing w:line="480" w:lineRule="exact"/>
        <w:jc w:val="left"/>
        <w:rPr>
          <w:szCs w:val="24"/>
        </w:rPr>
      </w:pPr>
      <w:r>
        <w:rPr>
          <w:szCs w:val="24"/>
        </w:rPr>
        <w:tab/>
      </w:r>
      <w:r w:rsidR="00C16EA4" w:rsidRPr="00C16EA4">
        <w:rPr>
          <w:szCs w:val="24"/>
        </w:rPr>
        <w:t>In any event, the key point is that the Company fails to include any request to establish the related regulatory liability, with associated amortization to benefit the ratepayer.  Instead, the Company requests that this issue be addressed in the next general rate case.</w:t>
      </w:r>
      <w:r w:rsidR="00C16EA4" w:rsidRPr="00C16EA4">
        <w:rPr>
          <w:rStyle w:val="FootnoteReference"/>
          <w:szCs w:val="24"/>
        </w:rPr>
        <w:footnoteReference w:id="199"/>
      </w:r>
      <w:r w:rsidR="00C16EA4" w:rsidRPr="00C16EA4">
        <w:rPr>
          <w:szCs w:val="24"/>
        </w:rPr>
        <w:t xml:space="preserve">  In other words, the Company’s presentation is incomplete because it fails to take into account the ratepayer benefit of the cumulative change.</w:t>
      </w:r>
    </w:p>
    <w:p w:rsidR="00C16EA4" w:rsidRPr="00B475A6" w:rsidRDefault="00B475A6" w:rsidP="00B475A6">
      <w:pPr>
        <w:pStyle w:val="Answer"/>
        <w:numPr>
          <w:ilvl w:val="0"/>
          <w:numId w:val="3"/>
        </w:numPr>
        <w:spacing w:line="480" w:lineRule="exact"/>
        <w:jc w:val="left"/>
        <w:rPr>
          <w:b/>
          <w:szCs w:val="24"/>
        </w:rPr>
      </w:pPr>
      <w:r>
        <w:rPr>
          <w:szCs w:val="24"/>
        </w:rPr>
        <w:tab/>
      </w:r>
      <w:r w:rsidR="00C16EA4" w:rsidRPr="00C16EA4">
        <w:rPr>
          <w:szCs w:val="24"/>
        </w:rPr>
        <w:t>While Staff opposes the Company’s request for full normalization, Staff wants to be sure at this juncture that the Commission understands that PacifiCorp has utterly failed to provide the basic facts related to its request.  The Commission should reject PacifiCorp’s attempts to obtain approval of a significant accounting change without explaining in detail all related ratepayer impacts.</w:t>
      </w:r>
    </w:p>
    <w:p w:rsidR="00B475A6" w:rsidRPr="00C16EA4" w:rsidRDefault="00B475A6" w:rsidP="00B475A6">
      <w:pPr>
        <w:pStyle w:val="Answer"/>
        <w:spacing w:line="240" w:lineRule="exact"/>
        <w:ind w:left="0" w:firstLine="0"/>
        <w:jc w:val="left"/>
        <w:rPr>
          <w:b/>
          <w:szCs w:val="24"/>
        </w:rPr>
      </w:pPr>
    </w:p>
    <w:p w:rsidR="0096310C" w:rsidRPr="0022264C" w:rsidRDefault="0043612E" w:rsidP="0022264C">
      <w:pPr>
        <w:spacing w:after="0" w:line="240" w:lineRule="exact"/>
        <w:ind w:left="720" w:hanging="720"/>
        <w:rPr>
          <w:rFonts w:ascii="Times New Roman" w:hAnsi="Times New Roman" w:cs="Times New Roman"/>
          <w:b/>
          <w:sz w:val="24"/>
          <w:szCs w:val="24"/>
        </w:rPr>
      </w:pPr>
      <w:r>
        <w:rPr>
          <w:rFonts w:ascii="Times New Roman" w:hAnsi="Times New Roman" w:cs="Times New Roman"/>
          <w:b/>
          <w:sz w:val="24"/>
          <w:szCs w:val="24"/>
        </w:rPr>
        <w:t>G</w:t>
      </w:r>
      <w:r w:rsidR="005F7905" w:rsidRPr="0022264C">
        <w:rPr>
          <w:rFonts w:ascii="Times New Roman" w:hAnsi="Times New Roman" w:cs="Times New Roman"/>
          <w:b/>
          <w:sz w:val="24"/>
          <w:szCs w:val="24"/>
        </w:rPr>
        <w:t>.</w:t>
      </w:r>
      <w:r w:rsidR="005F7905" w:rsidRPr="0022264C">
        <w:rPr>
          <w:rFonts w:ascii="Times New Roman" w:hAnsi="Times New Roman" w:cs="Times New Roman"/>
          <w:b/>
          <w:sz w:val="24"/>
          <w:szCs w:val="24"/>
        </w:rPr>
        <w:tab/>
        <w:t>The Commission Should Approve PacifiCorp’s Request to Normalize Taxes Related to the Repairs Deduction, But Should Give Full Rate Base Effect to the Accounting Change</w:t>
      </w:r>
    </w:p>
    <w:p w:rsidR="00C16EA4" w:rsidRPr="00B475A6" w:rsidRDefault="00B475A6" w:rsidP="00B475A6">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C16EA4" w:rsidRPr="00B475A6">
        <w:rPr>
          <w:rFonts w:ascii="Times New Roman" w:hAnsi="Times New Roman" w:cs="Times New Roman"/>
          <w:sz w:val="24"/>
          <w:szCs w:val="24"/>
        </w:rPr>
        <w:t xml:space="preserve">The Company has changed the way it accounts for certain repair costs.  The Company now expenses certain repair </w:t>
      </w:r>
      <w:r w:rsidR="00A66520">
        <w:rPr>
          <w:rFonts w:ascii="Times New Roman" w:hAnsi="Times New Roman" w:cs="Times New Roman"/>
          <w:sz w:val="24"/>
          <w:szCs w:val="24"/>
        </w:rPr>
        <w:t>costs</w:t>
      </w:r>
      <w:r w:rsidR="00C16EA4" w:rsidRPr="00B475A6">
        <w:rPr>
          <w:rFonts w:ascii="Times New Roman" w:hAnsi="Times New Roman" w:cs="Times New Roman"/>
          <w:sz w:val="24"/>
          <w:szCs w:val="24"/>
        </w:rPr>
        <w:t xml:space="preserve"> for tax purposes that it previously capitalized for tax purposes.  </w:t>
      </w:r>
      <w:r w:rsidR="00F87EC1">
        <w:rPr>
          <w:rFonts w:ascii="Times New Roman" w:hAnsi="Times New Roman" w:cs="Times New Roman"/>
          <w:sz w:val="24"/>
          <w:szCs w:val="24"/>
        </w:rPr>
        <w:t>However, t</w:t>
      </w:r>
      <w:r w:rsidR="00C16EA4" w:rsidRPr="00B475A6">
        <w:rPr>
          <w:rFonts w:ascii="Times New Roman" w:hAnsi="Times New Roman" w:cs="Times New Roman"/>
          <w:sz w:val="24"/>
          <w:szCs w:val="24"/>
        </w:rPr>
        <w:t>he Company continues to capitalize these costs for book purposes, thereby creating a book-tax difference.  The Company propose</w:t>
      </w:r>
      <w:r w:rsidR="00F87EC1">
        <w:rPr>
          <w:rFonts w:ascii="Times New Roman" w:hAnsi="Times New Roman" w:cs="Times New Roman"/>
          <w:sz w:val="24"/>
          <w:szCs w:val="24"/>
        </w:rPr>
        <w:t>s</w:t>
      </w:r>
      <w:r w:rsidR="00C16EA4" w:rsidRPr="00B475A6">
        <w:rPr>
          <w:rFonts w:ascii="Times New Roman" w:hAnsi="Times New Roman" w:cs="Times New Roman"/>
          <w:sz w:val="24"/>
          <w:szCs w:val="24"/>
        </w:rPr>
        <w:t xml:space="preserve"> normalization of this timing difference and Staff is </w:t>
      </w:r>
      <w:r w:rsidR="00C16EA4" w:rsidRPr="00B475A6">
        <w:rPr>
          <w:rFonts w:ascii="Times New Roman" w:hAnsi="Times New Roman" w:cs="Times New Roman"/>
          <w:sz w:val="24"/>
          <w:szCs w:val="24"/>
        </w:rPr>
        <w:lastRenderedPageBreak/>
        <w:t xml:space="preserve">not opposed to this treatment.  However, Staff disagrees with the magnitude of the benefit that the Company reflected. </w:t>
      </w:r>
    </w:p>
    <w:p w:rsidR="00C16EA4" w:rsidRPr="00B475A6" w:rsidRDefault="00B475A6" w:rsidP="00B475A6">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C16EA4" w:rsidRPr="00B475A6">
        <w:rPr>
          <w:rFonts w:ascii="Times New Roman" w:hAnsi="Times New Roman" w:cs="Times New Roman"/>
          <w:sz w:val="24"/>
          <w:szCs w:val="24"/>
        </w:rPr>
        <w:t>As proposed by the Company, normalization reduce</w:t>
      </w:r>
      <w:r w:rsidR="00F87EC1">
        <w:rPr>
          <w:rFonts w:ascii="Times New Roman" w:hAnsi="Times New Roman" w:cs="Times New Roman"/>
          <w:sz w:val="24"/>
          <w:szCs w:val="24"/>
        </w:rPr>
        <w:t>s</w:t>
      </w:r>
      <w:r w:rsidR="00C16EA4" w:rsidRPr="00B475A6">
        <w:rPr>
          <w:rFonts w:ascii="Times New Roman" w:hAnsi="Times New Roman" w:cs="Times New Roman"/>
          <w:sz w:val="24"/>
          <w:szCs w:val="24"/>
        </w:rPr>
        <w:t xml:space="preserve"> rate base by $14,463,685.</w:t>
      </w:r>
      <w:r w:rsidR="00C16EA4" w:rsidRPr="00C16EA4">
        <w:rPr>
          <w:rStyle w:val="FootnoteReference"/>
          <w:rFonts w:ascii="Times New Roman" w:hAnsi="Times New Roman" w:cs="Times New Roman"/>
          <w:sz w:val="24"/>
          <w:szCs w:val="24"/>
        </w:rPr>
        <w:footnoteReference w:id="200"/>
      </w:r>
      <w:r w:rsidR="00C16EA4" w:rsidRPr="00B475A6">
        <w:rPr>
          <w:rFonts w:ascii="Times New Roman" w:hAnsi="Times New Roman" w:cs="Times New Roman"/>
          <w:sz w:val="24"/>
          <w:szCs w:val="24"/>
        </w:rPr>
        <w:t xml:space="preserve">  In contrast, Staff recommends the Commission reduce rate base by $28,927,370, for a decrease of $3,490,623 in revenue requirement.</w:t>
      </w:r>
      <w:r w:rsidR="00C16EA4" w:rsidRPr="00C16EA4">
        <w:rPr>
          <w:rStyle w:val="FootnoteReference"/>
          <w:rFonts w:ascii="Times New Roman" w:hAnsi="Times New Roman" w:cs="Times New Roman"/>
          <w:sz w:val="24"/>
          <w:szCs w:val="24"/>
        </w:rPr>
        <w:footnoteReference w:id="201"/>
      </w:r>
      <w:r w:rsidR="00C16EA4" w:rsidRPr="00B475A6">
        <w:rPr>
          <w:rFonts w:ascii="Times New Roman" w:hAnsi="Times New Roman" w:cs="Times New Roman"/>
          <w:sz w:val="24"/>
          <w:szCs w:val="24"/>
        </w:rPr>
        <w:t xml:space="preserve"> Staff’s recommended amount recognizes the full-year impact of the tax accounting change, while the Company used the average of the accumulated deferred income tax balances recorded for the test-year.</w:t>
      </w:r>
    </w:p>
    <w:p w:rsidR="00C16EA4" w:rsidRPr="00B475A6" w:rsidRDefault="00B475A6" w:rsidP="00B475A6">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C16EA4" w:rsidRPr="00B475A6">
        <w:rPr>
          <w:rFonts w:ascii="Times New Roman" w:hAnsi="Times New Roman" w:cs="Times New Roman"/>
          <w:sz w:val="24"/>
          <w:szCs w:val="24"/>
        </w:rPr>
        <w:t>The Commission should use the full-year amount because the Repairs Deduction accounting change is a known and measurable change, and therefore ratepayers should receive the full benefit of it in this proceeding.  Otherwise, PacifiCorp would get a windfall because the Company has already realized the full tax benefits of the change.</w:t>
      </w:r>
      <w:r w:rsidR="009D15A6" w:rsidRPr="009D15A6">
        <w:rPr>
          <w:rFonts w:ascii="Times New Roman" w:hAnsi="Times New Roman" w:cs="Times New Roman"/>
          <w:sz w:val="24"/>
          <w:szCs w:val="24"/>
          <w:vertAlign w:val="superscript"/>
        </w:rPr>
        <w:footnoteReference w:id="202"/>
      </w:r>
      <w:r w:rsidR="00C16EA4" w:rsidRPr="00B475A6">
        <w:rPr>
          <w:rFonts w:ascii="Times New Roman" w:hAnsi="Times New Roman" w:cs="Times New Roman"/>
          <w:sz w:val="24"/>
          <w:szCs w:val="24"/>
        </w:rPr>
        <w:t xml:space="preserve">  </w:t>
      </w:r>
    </w:p>
    <w:p w:rsidR="00C16EA4" w:rsidRDefault="00B475A6" w:rsidP="00B475A6">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F87EC1">
        <w:rPr>
          <w:rFonts w:ascii="Times New Roman" w:hAnsi="Times New Roman" w:cs="Times New Roman"/>
          <w:sz w:val="24"/>
          <w:szCs w:val="24"/>
        </w:rPr>
        <w:t>In fact, t</w:t>
      </w:r>
      <w:r w:rsidR="00C16EA4" w:rsidRPr="00B475A6">
        <w:rPr>
          <w:rFonts w:ascii="Times New Roman" w:hAnsi="Times New Roman" w:cs="Times New Roman"/>
          <w:sz w:val="24"/>
          <w:szCs w:val="24"/>
        </w:rPr>
        <w:t>his accounting change is ongoing, and, as with any restating or pro forma adjustment that represents an ongoing change, the adjustment should reflect the change as if it were in place for the entire period.</w:t>
      </w:r>
      <w:r w:rsidR="005569FF">
        <w:rPr>
          <w:rStyle w:val="FootnoteReference"/>
          <w:rFonts w:ascii="Times New Roman" w:hAnsi="Times New Roman" w:cs="Times New Roman"/>
          <w:sz w:val="24"/>
          <w:szCs w:val="24"/>
        </w:rPr>
        <w:footnoteReference w:id="203"/>
      </w:r>
      <w:r w:rsidR="00C16EA4" w:rsidRPr="00B475A6">
        <w:rPr>
          <w:rFonts w:ascii="Times New Roman" w:hAnsi="Times New Roman" w:cs="Times New Roman"/>
          <w:sz w:val="24"/>
          <w:szCs w:val="24"/>
        </w:rPr>
        <w:t xml:space="preserve">  Therefore, for ratemaking purposes, the Commission should accept the cumulative effect of this accounting change, as reflected in Staff Adjustment 8.11.  </w:t>
      </w:r>
    </w:p>
    <w:p w:rsidR="00B475A6" w:rsidRPr="00B475A6" w:rsidRDefault="00B475A6" w:rsidP="00B475A6">
      <w:pPr>
        <w:pStyle w:val="ListParagraph"/>
        <w:spacing w:after="0" w:line="240" w:lineRule="exact"/>
        <w:ind w:left="0"/>
        <w:rPr>
          <w:rFonts w:ascii="Times New Roman" w:hAnsi="Times New Roman" w:cs="Times New Roman"/>
          <w:sz w:val="24"/>
          <w:szCs w:val="24"/>
        </w:rPr>
      </w:pPr>
    </w:p>
    <w:p w:rsidR="0096310C" w:rsidRDefault="0043612E" w:rsidP="0022264C">
      <w:pPr>
        <w:pStyle w:val="ListParagraph"/>
        <w:spacing w:after="0" w:line="240" w:lineRule="exact"/>
        <w:ind w:hanging="720"/>
        <w:rPr>
          <w:rFonts w:ascii="Times New Roman" w:hAnsi="Times New Roman" w:cs="Times New Roman"/>
          <w:b/>
          <w:sz w:val="24"/>
          <w:szCs w:val="24"/>
        </w:rPr>
      </w:pPr>
      <w:r>
        <w:rPr>
          <w:rFonts w:ascii="Times New Roman" w:hAnsi="Times New Roman" w:cs="Times New Roman"/>
          <w:b/>
          <w:sz w:val="24"/>
          <w:szCs w:val="24"/>
        </w:rPr>
        <w:t>H</w:t>
      </w:r>
      <w:r w:rsidR="00C16EA4" w:rsidRPr="00C16EA4">
        <w:rPr>
          <w:rFonts w:ascii="Times New Roman" w:hAnsi="Times New Roman" w:cs="Times New Roman"/>
          <w:b/>
          <w:sz w:val="24"/>
          <w:szCs w:val="24"/>
        </w:rPr>
        <w:t>.</w:t>
      </w:r>
      <w:r w:rsidR="00C16EA4" w:rsidRPr="00C16EA4">
        <w:rPr>
          <w:rFonts w:ascii="Times New Roman" w:hAnsi="Times New Roman" w:cs="Times New Roman"/>
          <w:b/>
          <w:sz w:val="24"/>
          <w:szCs w:val="24"/>
        </w:rPr>
        <w:tab/>
        <w:t xml:space="preserve">The Commission Should Reject as Premature PacifiCorp’s Request to Create a Regulatory Liability Account </w:t>
      </w:r>
    </w:p>
    <w:p w:rsidR="00C16EA4" w:rsidRPr="00B475A6" w:rsidRDefault="00B475A6" w:rsidP="00B475A6">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C16EA4" w:rsidRPr="00B475A6">
        <w:rPr>
          <w:rFonts w:ascii="Times New Roman" w:hAnsi="Times New Roman" w:cs="Times New Roman"/>
          <w:sz w:val="24"/>
          <w:szCs w:val="24"/>
        </w:rPr>
        <w:t>As we noted at the outset, PacifiCorp requests Commission authorization to create a regulatory asset account to book any interest the IRS may impose in the future as a result of a future audit of the Repairs Deduction.  Because PacifiCorp currently is not subject to any interest assessment by the IRS from any audit of the Repairs Deduction, the Commission should deny this request as premature.</w:t>
      </w:r>
      <w:r w:rsidR="00C16EA4" w:rsidRPr="00C16EA4">
        <w:rPr>
          <w:rStyle w:val="FootnoteReference"/>
          <w:rFonts w:ascii="Times New Roman" w:hAnsi="Times New Roman" w:cs="Times New Roman"/>
          <w:sz w:val="24"/>
          <w:szCs w:val="24"/>
        </w:rPr>
        <w:footnoteReference w:id="204"/>
      </w:r>
      <w:r w:rsidR="00C16EA4" w:rsidRPr="00B475A6">
        <w:rPr>
          <w:rFonts w:ascii="Times New Roman" w:hAnsi="Times New Roman" w:cs="Times New Roman"/>
          <w:sz w:val="24"/>
          <w:szCs w:val="24"/>
        </w:rPr>
        <w:t xml:space="preserve">  If and when the Company actually is subject to such as assessment, it can renew its request. </w:t>
      </w:r>
    </w:p>
    <w:p w:rsidR="00E60165" w:rsidRPr="00E60165" w:rsidRDefault="00E60165" w:rsidP="00692951">
      <w:pPr>
        <w:pStyle w:val="ListParagraph"/>
        <w:keepNext/>
        <w:spacing w:after="0" w:line="480" w:lineRule="exact"/>
        <w:ind w:left="0"/>
        <w:jc w:val="center"/>
        <w:rPr>
          <w:rFonts w:ascii="Times New Roman" w:hAnsi="Times New Roman" w:cs="Times New Roman"/>
          <w:sz w:val="24"/>
          <w:szCs w:val="24"/>
        </w:rPr>
      </w:pPr>
      <w:r>
        <w:rPr>
          <w:rFonts w:ascii="Times New Roman" w:hAnsi="Times New Roman" w:cs="Times New Roman"/>
          <w:b/>
          <w:sz w:val="24"/>
          <w:szCs w:val="24"/>
        </w:rPr>
        <w:lastRenderedPageBreak/>
        <w:t>V</w:t>
      </w:r>
      <w:r w:rsidR="00E955E4">
        <w:rPr>
          <w:rFonts w:ascii="Times New Roman" w:hAnsi="Times New Roman" w:cs="Times New Roman"/>
          <w:b/>
          <w:sz w:val="24"/>
          <w:szCs w:val="24"/>
        </w:rPr>
        <w:t>I</w:t>
      </w:r>
      <w:r w:rsidRPr="00E60165">
        <w:rPr>
          <w:rFonts w:ascii="Times New Roman" w:hAnsi="Times New Roman" w:cs="Times New Roman"/>
          <w:b/>
          <w:sz w:val="24"/>
          <w:szCs w:val="24"/>
        </w:rPr>
        <w:t>.</w:t>
      </w:r>
      <w:r w:rsidRPr="00E60165">
        <w:rPr>
          <w:rFonts w:ascii="Times New Roman" w:hAnsi="Times New Roman" w:cs="Times New Roman"/>
          <w:b/>
          <w:sz w:val="24"/>
          <w:szCs w:val="24"/>
        </w:rPr>
        <w:tab/>
        <w:t>COST OF CAPITAL</w:t>
      </w:r>
    </w:p>
    <w:p w:rsidR="00E60165" w:rsidRPr="00E60165" w:rsidRDefault="00E60165" w:rsidP="00E60165">
      <w:pPr>
        <w:pStyle w:val="ListParagraph"/>
        <w:spacing w:after="0" w:line="480" w:lineRule="exact"/>
        <w:ind w:left="0"/>
        <w:rPr>
          <w:rFonts w:ascii="Times New Roman" w:hAnsi="Times New Roman" w:cs="Times New Roman"/>
          <w:b/>
          <w:sz w:val="24"/>
          <w:szCs w:val="24"/>
        </w:rPr>
      </w:pPr>
      <w:r w:rsidRPr="00E60165">
        <w:rPr>
          <w:rFonts w:ascii="Times New Roman" w:hAnsi="Times New Roman" w:cs="Times New Roman"/>
          <w:b/>
          <w:sz w:val="24"/>
          <w:szCs w:val="24"/>
        </w:rPr>
        <w:t>A.</w:t>
      </w:r>
      <w:r w:rsidRPr="00E60165">
        <w:rPr>
          <w:rFonts w:ascii="Times New Roman" w:hAnsi="Times New Roman" w:cs="Times New Roman"/>
          <w:b/>
          <w:sz w:val="24"/>
          <w:szCs w:val="24"/>
        </w:rPr>
        <w:tab/>
        <w:t xml:space="preserve">Overview </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A reasonable cost of capital for PacifiCorp is 7.48 percent, based on a fair return on equity of 9.50%, a capital structure that includes a 46.5 percent common equity ratio, and three percent short-term debt.</w:t>
      </w:r>
      <w:r w:rsidRPr="00E60165">
        <w:rPr>
          <w:rStyle w:val="FootnoteReference"/>
          <w:rFonts w:ascii="Times New Roman" w:hAnsi="Times New Roman" w:cs="Times New Roman"/>
          <w:sz w:val="24"/>
          <w:szCs w:val="24"/>
        </w:rPr>
        <w:footnoteReference w:id="205"/>
      </w:r>
      <w:r w:rsidRPr="00E60165">
        <w:rPr>
          <w:rFonts w:ascii="Times New Roman" w:hAnsi="Times New Roman" w:cs="Times New Roman"/>
          <w:sz w:val="24"/>
          <w:szCs w:val="24"/>
        </w:rPr>
        <w:t xml:space="preserve">  This cost of capital and capital structure balances safety and economy, and therefore protects both investor and ratepayer interests.</w:t>
      </w:r>
      <w:r w:rsidRPr="00E60165">
        <w:rPr>
          <w:rStyle w:val="FootnoteReference"/>
          <w:rFonts w:ascii="Times New Roman" w:hAnsi="Times New Roman" w:cs="Times New Roman"/>
          <w:sz w:val="24"/>
          <w:szCs w:val="24"/>
        </w:rPr>
        <w:footnoteReference w:id="206"/>
      </w:r>
      <w:r w:rsidRPr="00E60165">
        <w:rPr>
          <w:rFonts w:ascii="Times New Roman" w:hAnsi="Times New Roman" w:cs="Times New Roman"/>
          <w:sz w:val="24"/>
          <w:szCs w:val="24"/>
        </w:rPr>
        <w:t xml:space="preserve">  </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PacifiCorp seeks much more: an overall return of 8.34 percent, achieved by increasing the ratemaking common equity ratio by over six percentage points, to 52.1 percent,</w:t>
      </w:r>
      <w:r w:rsidRPr="00E60165">
        <w:rPr>
          <w:rStyle w:val="FootnoteReference"/>
          <w:rFonts w:ascii="Times New Roman" w:hAnsi="Times New Roman" w:cs="Times New Roman"/>
          <w:sz w:val="24"/>
          <w:szCs w:val="24"/>
        </w:rPr>
        <w:footnoteReference w:id="207"/>
      </w:r>
      <w:r w:rsidRPr="00E60165">
        <w:rPr>
          <w:rFonts w:ascii="Times New Roman" w:hAnsi="Times New Roman" w:cs="Times New Roman"/>
          <w:sz w:val="24"/>
          <w:szCs w:val="24"/>
        </w:rPr>
        <w:t xml:space="preserve"> eliminating short-term debt, and increasing the cost of equity from 10.2 percent to 10.6 percent</w:t>
      </w:r>
      <w:r w:rsidRPr="00E60165" w:rsidDel="00F960E5">
        <w:rPr>
          <w:rFonts w:ascii="Times New Roman" w:hAnsi="Times New Roman" w:cs="Times New Roman"/>
          <w:sz w:val="24"/>
          <w:szCs w:val="24"/>
        </w:rPr>
        <w:t>.</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ICNU’s proposed cost of capital is 7.66 percent, and although ICNU’s proposed cost of equity is not out of line, its proposed 49.1 percent common equity ratio is too generous, and ICNU also fails to include short-term debt in the capital structure.</w:t>
      </w:r>
      <w:r w:rsidRPr="00E60165">
        <w:rPr>
          <w:rStyle w:val="FootnoteReference"/>
          <w:rFonts w:ascii="Times New Roman" w:hAnsi="Times New Roman" w:cs="Times New Roman"/>
          <w:sz w:val="24"/>
          <w:szCs w:val="24"/>
        </w:rPr>
        <w:footnoteReference w:id="208"/>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When the Commission carefully weighs the evidence in this case, it will find that only Staff’s case strikes the appropriate balance of investor and ratepayer interests.  As Mr. Elgin testified, that is the bedrock principle underlying cost of capital analysis.</w:t>
      </w:r>
      <w:r w:rsidRPr="00E60165">
        <w:rPr>
          <w:rStyle w:val="FootnoteReference"/>
          <w:rFonts w:ascii="Times New Roman" w:hAnsi="Times New Roman" w:cs="Times New Roman"/>
          <w:sz w:val="24"/>
          <w:szCs w:val="24"/>
        </w:rPr>
        <w:footnoteReference w:id="209"/>
      </w:r>
      <w:r w:rsidRPr="00E60165">
        <w:rPr>
          <w:rFonts w:ascii="Times New Roman" w:hAnsi="Times New Roman" w:cs="Times New Roman"/>
          <w:sz w:val="24"/>
          <w:szCs w:val="24"/>
        </w:rPr>
        <w:t xml:space="preserve">  For the reasons that follow, the Commission should find the fair rate of return for PacifiCorp is 7.48 percent.</w:t>
      </w:r>
    </w:p>
    <w:p w:rsidR="00E60165" w:rsidRPr="00E60165" w:rsidRDefault="00E60165" w:rsidP="00E60165">
      <w:pPr>
        <w:pStyle w:val="ListParagraph"/>
        <w:spacing w:after="0" w:line="480" w:lineRule="exact"/>
        <w:ind w:left="0"/>
        <w:rPr>
          <w:rFonts w:ascii="Times New Roman" w:hAnsi="Times New Roman" w:cs="Times New Roman"/>
          <w:b/>
          <w:sz w:val="24"/>
          <w:szCs w:val="24"/>
        </w:rPr>
      </w:pPr>
      <w:r w:rsidRPr="00E60165">
        <w:rPr>
          <w:rFonts w:ascii="Times New Roman" w:hAnsi="Times New Roman" w:cs="Times New Roman"/>
          <w:b/>
          <w:sz w:val="24"/>
          <w:szCs w:val="24"/>
        </w:rPr>
        <w:t>B.</w:t>
      </w:r>
      <w:r w:rsidRPr="00E60165">
        <w:rPr>
          <w:rFonts w:ascii="Times New Roman" w:hAnsi="Times New Roman" w:cs="Times New Roman"/>
          <w:b/>
          <w:sz w:val="24"/>
          <w:szCs w:val="24"/>
        </w:rPr>
        <w:tab/>
        <w:t>Capital Structure</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 xml:space="preserve">An appropriate capital structure for ratemaking should balance safety and economy.  For PacifiCorp, the Commission struck that balance with a 46 percent equity ratio and a three percent short-term debt ratio the last time this issue was litigated, in the aftermath of significant market </w:t>
      </w:r>
      <w:r w:rsidRPr="00E60165">
        <w:rPr>
          <w:rFonts w:ascii="Times New Roman" w:hAnsi="Times New Roman" w:cs="Times New Roman"/>
          <w:sz w:val="24"/>
          <w:szCs w:val="24"/>
        </w:rPr>
        <w:lastRenderedPageBreak/>
        <w:t>volatility in 2005.</w:t>
      </w:r>
      <w:r w:rsidRPr="00E60165">
        <w:rPr>
          <w:rFonts w:ascii="Times New Roman" w:hAnsi="Times New Roman" w:cs="Times New Roman"/>
          <w:sz w:val="24"/>
          <w:szCs w:val="24"/>
          <w:vertAlign w:val="superscript"/>
        </w:rPr>
        <w:footnoteReference w:id="210"/>
      </w:r>
      <w:r w:rsidRPr="00E60165">
        <w:rPr>
          <w:rFonts w:ascii="Times New Roman" w:hAnsi="Times New Roman" w:cs="Times New Roman"/>
          <w:sz w:val="24"/>
          <w:szCs w:val="24"/>
        </w:rPr>
        <w:t xml:space="preserve">  The Company now insists the Commission must accept the Company’s actual capital structure, </w:t>
      </w:r>
      <w:r w:rsidR="00F87EC1">
        <w:rPr>
          <w:rFonts w:ascii="Times New Roman" w:hAnsi="Times New Roman" w:cs="Times New Roman"/>
          <w:sz w:val="24"/>
          <w:szCs w:val="24"/>
        </w:rPr>
        <w:t xml:space="preserve">which </w:t>
      </w:r>
      <w:r w:rsidRPr="00E60165">
        <w:rPr>
          <w:rFonts w:ascii="Times New Roman" w:hAnsi="Times New Roman" w:cs="Times New Roman"/>
          <w:sz w:val="24"/>
          <w:szCs w:val="24"/>
        </w:rPr>
        <w:t>contain</w:t>
      </w:r>
      <w:r w:rsidR="00F87EC1">
        <w:rPr>
          <w:rFonts w:ascii="Times New Roman" w:hAnsi="Times New Roman" w:cs="Times New Roman"/>
          <w:sz w:val="24"/>
          <w:szCs w:val="24"/>
        </w:rPr>
        <w:t>s</w:t>
      </w:r>
      <w:r w:rsidRPr="00E60165">
        <w:rPr>
          <w:rFonts w:ascii="Times New Roman" w:hAnsi="Times New Roman" w:cs="Times New Roman"/>
          <w:sz w:val="24"/>
          <w:szCs w:val="24"/>
        </w:rPr>
        <w:t xml:space="preserve"> 52.1 percent common equity, and no short-term debt.</w:t>
      </w:r>
      <w:r w:rsidRPr="00E60165">
        <w:rPr>
          <w:rFonts w:ascii="Times New Roman" w:hAnsi="Times New Roman" w:cs="Times New Roman"/>
          <w:sz w:val="24"/>
          <w:szCs w:val="24"/>
          <w:vertAlign w:val="superscript"/>
        </w:rPr>
        <w:t xml:space="preserve"> </w:t>
      </w:r>
      <w:r w:rsidRPr="00E60165">
        <w:rPr>
          <w:rFonts w:ascii="Times New Roman" w:hAnsi="Times New Roman" w:cs="Times New Roman"/>
          <w:sz w:val="24"/>
          <w:szCs w:val="24"/>
          <w:vertAlign w:val="superscript"/>
        </w:rPr>
        <w:footnoteReference w:id="211"/>
      </w:r>
      <w:r w:rsidRPr="00E60165">
        <w:rPr>
          <w:rFonts w:ascii="Times New Roman" w:hAnsi="Times New Roman" w:cs="Times New Roman"/>
          <w:sz w:val="24"/>
          <w:szCs w:val="24"/>
        </w:rPr>
        <w:t xml:space="preserve">  </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Ironically, PacifiCorp latches onto volatility from the recent financial crisis to justify this sharp increase in the cost of capital.</w:t>
      </w:r>
      <w:r w:rsidRPr="00E60165">
        <w:rPr>
          <w:rStyle w:val="FootnoteReference"/>
          <w:rFonts w:ascii="Times New Roman" w:hAnsi="Times New Roman" w:cs="Times New Roman"/>
          <w:sz w:val="24"/>
          <w:szCs w:val="24"/>
        </w:rPr>
        <w:footnoteReference w:id="212"/>
      </w:r>
      <w:r w:rsidRPr="00E60165">
        <w:rPr>
          <w:rFonts w:ascii="Times New Roman" w:hAnsi="Times New Roman" w:cs="Times New Roman"/>
          <w:sz w:val="24"/>
          <w:szCs w:val="24"/>
        </w:rPr>
        <w:t xml:space="preserve">  In fact, the run-up in the Company’s equity ratio is due more to the financial interests of its owners than a reaction to market conditions.  </w:t>
      </w:r>
    </w:p>
    <w:p w:rsid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 xml:space="preserve">The Commission should not grant any increase in equity ratio absent a defensible showing that the resulting capital structure is safe and economical.  Neither PacifiCorp nor ICNU has made such a showing in this case.   </w:t>
      </w:r>
    </w:p>
    <w:p w:rsidR="00E60165" w:rsidRPr="00E60165" w:rsidRDefault="00E60165" w:rsidP="00E60165">
      <w:pPr>
        <w:pStyle w:val="ListParagraph"/>
        <w:spacing w:after="0" w:line="240" w:lineRule="exact"/>
        <w:ind w:left="1440" w:hanging="720"/>
        <w:rPr>
          <w:rFonts w:ascii="Times New Roman" w:hAnsi="Times New Roman" w:cs="Times New Roman"/>
          <w:sz w:val="24"/>
          <w:szCs w:val="24"/>
        </w:rPr>
      </w:pPr>
    </w:p>
    <w:p w:rsidR="00E60165" w:rsidRPr="008F6367" w:rsidRDefault="00E60165" w:rsidP="008F6367">
      <w:pPr>
        <w:pStyle w:val="ListParagraph"/>
        <w:spacing w:after="0" w:line="240" w:lineRule="exact"/>
        <w:ind w:left="1440" w:hanging="720"/>
        <w:rPr>
          <w:rFonts w:ascii="Times New Roman" w:hAnsi="Times New Roman" w:cs="Times New Roman"/>
          <w:b/>
          <w:sz w:val="24"/>
          <w:szCs w:val="24"/>
        </w:rPr>
      </w:pPr>
      <w:r w:rsidRPr="00E60165">
        <w:rPr>
          <w:rFonts w:ascii="Times New Roman" w:hAnsi="Times New Roman" w:cs="Times New Roman"/>
          <w:b/>
          <w:sz w:val="24"/>
          <w:szCs w:val="24"/>
        </w:rPr>
        <w:t>1.</w:t>
      </w:r>
      <w:r w:rsidRPr="00E60165">
        <w:rPr>
          <w:rFonts w:ascii="Times New Roman" w:hAnsi="Times New Roman" w:cs="Times New Roman"/>
          <w:b/>
          <w:sz w:val="24"/>
          <w:szCs w:val="24"/>
        </w:rPr>
        <w:tab/>
        <w:t xml:space="preserve">The Commission Should Accept a Ratemaking Capital Structure Containing 46.5 Percent </w:t>
      </w:r>
      <w:r w:rsidR="00DF7F80">
        <w:rPr>
          <w:rFonts w:ascii="Times New Roman" w:hAnsi="Times New Roman" w:cs="Times New Roman"/>
          <w:b/>
          <w:sz w:val="24"/>
          <w:szCs w:val="24"/>
        </w:rPr>
        <w:t xml:space="preserve">Common </w:t>
      </w:r>
      <w:r w:rsidRPr="00E60165">
        <w:rPr>
          <w:rFonts w:ascii="Times New Roman" w:hAnsi="Times New Roman" w:cs="Times New Roman"/>
          <w:b/>
          <w:sz w:val="24"/>
          <w:szCs w:val="24"/>
        </w:rPr>
        <w:t>Equity Because it is Safe and Economical</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Only Staff provided any measurable test of its proposed 46.5 percent equity ratio for safety and economy, by considering several different factors including operating income.</w:t>
      </w:r>
      <w:r w:rsidRPr="00E60165">
        <w:rPr>
          <w:rFonts w:ascii="Times New Roman" w:hAnsi="Times New Roman" w:cs="Times New Roman"/>
          <w:sz w:val="24"/>
          <w:szCs w:val="24"/>
          <w:vertAlign w:val="superscript"/>
        </w:rPr>
        <w:footnoteReference w:id="213"/>
      </w:r>
      <w:r w:rsidRPr="00E60165">
        <w:rPr>
          <w:rFonts w:ascii="Times New Roman" w:hAnsi="Times New Roman" w:cs="Times New Roman"/>
          <w:sz w:val="24"/>
          <w:szCs w:val="24"/>
        </w:rPr>
        <w:t xml:space="preserve">  Furthermore, Staff considered the capital structure in the context of objective financial metrics published by S&amp;P for bond ratings.  Staff concluded that the capital structure put PacifiCorp squarely within the objective parameters for a BBB rating, which is the “predominance of ratings” for electric utilities in this country.</w:t>
      </w:r>
      <w:r w:rsidRPr="00E60165">
        <w:rPr>
          <w:rFonts w:ascii="Times New Roman" w:hAnsi="Times New Roman" w:cs="Times New Roman"/>
          <w:sz w:val="24"/>
          <w:szCs w:val="24"/>
          <w:vertAlign w:val="superscript"/>
        </w:rPr>
        <w:footnoteReference w:id="214"/>
      </w:r>
      <w:r w:rsidRPr="00E60165">
        <w:rPr>
          <w:rFonts w:ascii="Times New Roman" w:hAnsi="Times New Roman" w:cs="Times New Roman"/>
          <w:sz w:val="24"/>
          <w:szCs w:val="24"/>
        </w:rPr>
        <w:t xml:space="preserve">  </w:t>
      </w:r>
    </w:p>
    <w:p w:rsid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As we explain later, PacifiCorp defends its proposed capital structure using the wrong standard, and therefore its capital structure proposal is wrong as well.  For ICNU’s part, Mr. Gorman correctly identifies MEHC’s policies and efforts to inflate PacifiCorp’s common equity ratio,</w:t>
      </w:r>
      <w:r w:rsidRPr="00E60165">
        <w:rPr>
          <w:rFonts w:ascii="Times New Roman" w:hAnsi="Times New Roman" w:cs="Times New Roman"/>
          <w:sz w:val="24"/>
          <w:szCs w:val="24"/>
          <w:vertAlign w:val="superscript"/>
        </w:rPr>
        <w:footnoteReference w:id="215"/>
      </w:r>
      <w:r w:rsidRPr="00E60165">
        <w:rPr>
          <w:rFonts w:ascii="Times New Roman" w:hAnsi="Times New Roman" w:cs="Times New Roman"/>
          <w:sz w:val="24"/>
          <w:szCs w:val="24"/>
        </w:rPr>
        <w:t xml:space="preserve"> and he correctly notes that a ratemaking capital structure should balance safety and economy.</w:t>
      </w:r>
      <w:r w:rsidRPr="00E60165">
        <w:rPr>
          <w:rFonts w:ascii="Times New Roman" w:hAnsi="Times New Roman" w:cs="Times New Roman"/>
          <w:sz w:val="24"/>
          <w:szCs w:val="24"/>
          <w:vertAlign w:val="superscript"/>
        </w:rPr>
        <w:footnoteReference w:id="216"/>
      </w:r>
      <w:r w:rsidRPr="00E60165">
        <w:rPr>
          <w:rFonts w:ascii="Times New Roman" w:hAnsi="Times New Roman" w:cs="Times New Roman"/>
          <w:sz w:val="24"/>
          <w:szCs w:val="24"/>
        </w:rPr>
        <w:t xml:space="preserve">  However, he failed to follow through and demonstrate that his 49.1 percent common equity ratio recommendation</w:t>
      </w:r>
      <w:r w:rsidRPr="00E60165">
        <w:rPr>
          <w:rFonts w:ascii="Times New Roman" w:hAnsi="Times New Roman" w:cs="Times New Roman"/>
          <w:sz w:val="24"/>
          <w:szCs w:val="24"/>
          <w:vertAlign w:val="superscript"/>
        </w:rPr>
        <w:footnoteReference w:id="217"/>
      </w:r>
      <w:r w:rsidRPr="00E60165">
        <w:rPr>
          <w:rFonts w:ascii="Times New Roman" w:hAnsi="Times New Roman" w:cs="Times New Roman"/>
          <w:sz w:val="24"/>
          <w:szCs w:val="24"/>
        </w:rPr>
        <w:t xml:space="preserve"> strikes the appropriate balance of safety and economy.  </w:t>
      </w:r>
      <w:r w:rsidRPr="00E60165">
        <w:rPr>
          <w:rFonts w:ascii="Times New Roman" w:hAnsi="Times New Roman" w:cs="Times New Roman"/>
          <w:sz w:val="24"/>
          <w:szCs w:val="24"/>
        </w:rPr>
        <w:lastRenderedPageBreak/>
        <w:t>For that reason, the Commission should reject his recommended 49.1% common equity ratio too.</w:t>
      </w:r>
      <w:r w:rsidRPr="00E60165">
        <w:rPr>
          <w:rFonts w:ascii="Times New Roman" w:hAnsi="Times New Roman" w:cs="Times New Roman"/>
          <w:sz w:val="24"/>
          <w:szCs w:val="24"/>
          <w:vertAlign w:val="superscript"/>
        </w:rPr>
        <w:footnoteReference w:id="218"/>
      </w:r>
      <w:r>
        <w:rPr>
          <w:rFonts w:ascii="Times New Roman" w:hAnsi="Times New Roman" w:cs="Times New Roman"/>
          <w:sz w:val="24"/>
          <w:szCs w:val="24"/>
        </w:rPr>
        <w:t xml:space="preserve">  </w:t>
      </w:r>
    </w:p>
    <w:p w:rsidR="00E60165" w:rsidRPr="00E60165" w:rsidRDefault="00E60165" w:rsidP="00E60165">
      <w:pPr>
        <w:pStyle w:val="ListParagraph"/>
        <w:spacing w:after="0" w:line="240" w:lineRule="exact"/>
        <w:ind w:left="1440" w:hanging="720"/>
        <w:rPr>
          <w:rFonts w:ascii="Times New Roman" w:hAnsi="Times New Roman" w:cs="Times New Roman"/>
          <w:sz w:val="24"/>
          <w:szCs w:val="24"/>
        </w:rPr>
      </w:pPr>
    </w:p>
    <w:p w:rsidR="00E60165" w:rsidRPr="008F6367" w:rsidRDefault="00E60165" w:rsidP="008F6367">
      <w:pPr>
        <w:pStyle w:val="ListParagraph"/>
        <w:spacing w:after="0" w:line="240" w:lineRule="exact"/>
        <w:ind w:left="1440" w:hanging="720"/>
        <w:rPr>
          <w:rFonts w:ascii="Times New Roman" w:hAnsi="Times New Roman" w:cs="Times New Roman"/>
          <w:b/>
          <w:sz w:val="24"/>
          <w:szCs w:val="24"/>
        </w:rPr>
      </w:pPr>
      <w:r w:rsidRPr="00E60165">
        <w:rPr>
          <w:rFonts w:ascii="Times New Roman" w:hAnsi="Times New Roman" w:cs="Times New Roman"/>
          <w:b/>
          <w:sz w:val="24"/>
          <w:szCs w:val="24"/>
        </w:rPr>
        <w:t>2.</w:t>
      </w:r>
      <w:r w:rsidRPr="00E60165">
        <w:rPr>
          <w:rFonts w:ascii="Times New Roman" w:hAnsi="Times New Roman" w:cs="Times New Roman"/>
          <w:b/>
          <w:sz w:val="24"/>
          <w:szCs w:val="24"/>
        </w:rPr>
        <w:tab/>
        <w:t xml:space="preserve">The Burden of Proof is on the Company to Demonstrate its Proposed Capital Structure is Safe and Economical  </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The Commission should require every utility to demonstrate that its ratemaking capital structure properly balances safety and economy.  This is not just an elementary application of the statutory burden of proof,</w:t>
      </w:r>
      <w:r w:rsidRPr="00E60165">
        <w:rPr>
          <w:rStyle w:val="FootnoteReference"/>
          <w:rFonts w:ascii="Times New Roman" w:hAnsi="Times New Roman" w:cs="Times New Roman"/>
          <w:sz w:val="24"/>
          <w:szCs w:val="24"/>
        </w:rPr>
        <w:footnoteReference w:id="219"/>
      </w:r>
      <w:r w:rsidRPr="00E60165">
        <w:rPr>
          <w:rFonts w:ascii="Times New Roman" w:hAnsi="Times New Roman" w:cs="Times New Roman"/>
          <w:sz w:val="24"/>
          <w:szCs w:val="24"/>
        </w:rPr>
        <w:t xml:space="preserve"> and good public policy, but it has its foundation in the Supreme Court’s decision in the </w:t>
      </w:r>
      <w:r w:rsidRPr="00E60165">
        <w:rPr>
          <w:rFonts w:ascii="Times New Roman" w:hAnsi="Times New Roman" w:cs="Times New Roman"/>
          <w:i/>
          <w:sz w:val="24"/>
          <w:szCs w:val="24"/>
        </w:rPr>
        <w:t xml:space="preserve">Hope </w:t>
      </w:r>
      <w:r w:rsidRPr="00E60165">
        <w:rPr>
          <w:rFonts w:ascii="Times New Roman" w:hAnsi="Times New Roman" w:cs="Times New Roman"/>
          <w:sz w:val="24"/>
          <w:szCs w:val="24"/>
        </w:rPr>
        <w:t>case, where the Court admonished regulators to balance ratepayer and investor interests when determining the fair return.</w:t>
      </w:r>
      <w:r w:rsidRPr="00E60165">
        <w:rPr>
          <w:rStyle w:val="FootnoteReference"/>
          <w:rFonts w:ascii="Times New Roman" w:hAnsi="Times New Roman" w:cs="Times New Roman"/>
          <w:sz w:val="24"/>
          <w:szCs w:val="24"/>
        </w:rPr>
        <w:footnoteReference w:id="220"/>
      </w:r>
      <w:r w:rsidR="00B77106">
        <w:rPr>
          <w:rFonts w:ascii="Times New Roman" w:hAnsi="Times New Roman" w:cs="Times New Roman"/>
          <w:sz w:val="24"/>
          <w:szCs w:val="24"/>
        </w:rPr>
        <w:t xml:space="preserve">  </w:t>
      </w:r>
      <w:r w:rsidRPr="00E60165">
        <w:rPr>
          <w:rFonts w:ascii="Times New Roman" w:hAnsi="Times New Roman" w:cs="Times New Roman"/>
          <w:sz w:val="24"/>
          <w:szCs w:val="24"/>
        </w:rPr>
        <w:t>There is no case that justifies that policy more than this one, where the utility is seeking to increase Residential and Industrial rates over 20 percent; largely the result of its quest for higher profits for the benefit of its owner, MEHC.</w:t>
      </w:r>
      <w:r w:rsidRPr="00E60165">
        <w:rPr>
          <w:rStyle w:val="FootnoteReference"/>
          <w:rFonts w:ascii="Times New Roman" w:hAnsi="Times New Roman" w:cs="Times New Roman"/>
          <w:sz w:val="24"/>
          <w:szCs w:val="24"/>
        </w:rPr>
        <w:footnoteReference w:id="221"/>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However, PacifiCorp says it is entitled to be regulated on a capital structure laden with 52.1 percent equity, because that is the Company’s actual capital structure.  According to the Company, “[t]he Commission has made it clear that a company’s capital structure should be based on its own capital structure, absent a clear and compelling reason to impute other data.”</w:t>
      </w:r>
      <w:r w:rsidRPr="00E60165">
        <w:rPr>
          <w:rStyle w:val="FootnoteReference"/>
          <w:rFonts w:ascii="Times New Roman" w:hAnsi="Times New Roman" w:cs="Times New Roman"/>
          <w:sz w:val="24"/>
          <w:szCs w:val="24"/>
        </w:rPr>
        <w:footnoteReference w:id="222"/>
      </w:r>
      <w:r w:rsidRPr="00E60165">
        <w:rPr>
          <w:rFonts w:ascii="Times New Roman" w:hAnsi="Times New Roman" w:cs="Times New Roman"/>
          <w:sz w:val="24"/>
          <w:szCs w:val="24"/>
        </w:rPr>
        <w:t xml:space="preserve"> </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Curiously, the Company does not rely on the Commission’s order in Docket UE-050684, which actually applies to PacifiCorp.  In that order, the Commission was crystal clear in saying it uses a hypothetical capital structure “when our fundamental objective to balance safety and economy [require] that we do so.”</w:t>
      </w:r>
      <w:r w:rsidRPr="00E60165">
        <w:rPr>
          <w:rStyle w:val="FootnoteReference"/>
          <w:rFonts w:ascii="Times New Roman" w:hAnsi="Times New Roman" w:cs="Times New Roman"/>
          <w:sz w:val="24"/>
          <w:szCs w:val="24"/>
        </w:rPr>
        <w:footnoteReference w:id="223"/>
      </w:r>
      <w:r w:rsidRPr="00E60165">
        <w:rPr>
          <w:rFonts w:ascii="Times New Roman" w:hAnsi="Times New Roman" w:cs="Times New Roman"/>
          <w:sz w:val="24"/>
          <w:szCs w:val="24"/>
        </w:rPr>
        <w:t xml:space="preserve">  Instead, PacifiCorp relies on language in two rate orders </w:t>
      </w:r>
      <w:r w:rsidRPr="00E60165">
        <w:rPr>
          <w:rFonts w:ascii="Times New Roman" w:hAnsi="Times New Roman" w:cs="Times New Roman"/>
          <w:sz w:val="24"/>
          <w:szCs w:val="24"/>
        </w:rPr>
        <w:lastRenderedPageBreak/>
        <w:t>involving Puget Sound Energy (PSE).</w:t>
      </w:r>
      <w:r w:rsidRPr="00E60165">
        <w:rPr>
          <w:rStyle w:val="FootnoteReference"/>
          <w:rFonts w:ascii="Times New Roman" w:hAnsi="Times New Roman" w:cs="Times New Roman"/>
          <w:sz w:val="24"/>
          <w:szCs w:val="24"/>
        </w:rPr>
        <w:footnoteReference w:id="224"/>
      </w:r>
      <w:r w:rsidRPr="00E60165">
        <w:rPr>
          <w:rFonts w:ascii="Times New Roman" w:hAnsi="Times New Roman" w:cs="Times New Roman"/>
          <w:sz w:val="24"/>
          <w:szCs w:val="24"/>
        </w:rPr>
        <w:t xml:space="preserve">  The Company goes on to inexplicably equate “clear and compelling reason” with “good reason”.</w:t>
      </w:r>
      <w:r w:rsidRPr="00E60165">
        <w:rPr>
          <w:rStyle w:val="FootnoteReference"/>
          <w:rFonts w:ascii="Times New Roman" w:hAnsi="Times New Roman" w:cs="Times New Roman"/>
          <w:sz w:val="24"/>
          <w:szCs w:val="24"/>
        </w:rPr>
        <w:footnoteReference w:id="225"/>
      </w:r>
      <w:r w:rsidRPr="00E60165">
        <w:rPr>
          <w:rFonts w:ascii="Times New Roman" w:hAnsi="Times New Roman" w:cs="Times New Roman"/>
          <w:sz w:val="24"/>
          <w:szCs w:val="24"/>
        </w:rPr>
        <w:t xml:space="preserve">  </w:t>
      </w:r>
    </w:p>
    <w:p w:rsidR="00E60165" w:rsidRDefault="00B77106" w:rsidP="00E60165">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E60165" w:rsidRPr="00E60165">
        <w:rPr>
          <w:rFonts w:ascii="Times New Roman" w:hAnsi="Times New Roman" w:cs="Times New Roman"/>
          <w:sz w:val="24"/>
          <w:szCs w:val="24"/>
        </w:rPr>
        <w:t xml:space="preserve">As a matter of policy, burden of proof and common sense, the Commission should reject the Company’s proposal because it is based on the wrong standard.  However, as we discuss next, even if the Commission were to apply a </w:t>
      </w:r>
      <w:r w:rsidR="0043612E">
        <w:rPr>
          <w:rFonts w:ascii="Times New Roman" w:hAnsi="Times New Roman" w:cs="Times New Roman"/>
          <w:sz w:val="24"/>
          <w:szCs w:val="24"/>
        </w:rPr>
        <w:t xml:space="preserve">more </w:t>
      </w:r>
      <w:r w:rsidR="00E60165" w:rsidRPr="00E60165">
        <w:rPr>
          <w:rFonts w:ascii="Times New Roman" w:hAnsi="Times New Roman" w:cs="Times New Roman"/>
          <w:sz w:val="24"/>
          <w:szCs w:val="24"/>
        </w:rPr>
        <w:t>strict standard than necessary, the record provides “compelling” reasons to use a hypothetical capital structure, because MEHC’s decision to increase PacifiCorp’s equity ratio unfairly burdens ratepayers with excessive costs.</w:t>
      </w:r>
      <w:r w:rsidR="00E60165" w:rsidRPr="00E60165">
        <w:rPr>
          <w:rStyle w:val="FootnoteReference"/>
          <w:rFonts w:ascii="Times New Roman" w:hAnsi="Times New Roman" w:cs="Times New Roman"/>
          <w:sz w:val="24"/>
          <w:szCs w:val="24"/>
        </w:rPr>
        <w:footnoteReference w:id="226"/>
      </w:r>
      <w:r w:rsidR="00E60165">
        <w:rPr>
          <w:rFonts w:ascii="Times New Roman" w:hAnsi="Times New Roman" w:cs="Times New Roman"/>
          <w:sz w:val="24"/>
          <w:szCs w:val="24"/>
        </w:rPr>
        <w:t xml:space="preserve">  </w:t>
      </w:r>
    </w:p>
    <w:p w:rsidR="00E60165" w:rsidRPr="00692951" w:rsidRDefault="00E60165" w:rsidP="00692951">
      <w:pPr>
        <w:spacing w:after="0" w:line="240" w:lineRule="exact"/>
        <w:rPr>
          <w:rFonts w:ascii="Times New Roman" w:hAnsi="Times New Roman" w:cs="Times New Roman"/>
          <w:sz w:val="24"/>
          <w:szCs w:val="24"/>
        </w:rPr>
      </w:pPr>
    </w:p>
    <w:p w:rsidR="00E60165" w:rsidRPr="008F6367" w:rsidRDefault="00E60165" w:rsidP="008F6367">
      <w:pPr>
        <w:pStyle w:val="ListParagraph"/>
        <w:spacing w:after="0" w:line="240" w:lineRule="exact"/>
        <w:ind w:left="1440" w:hanging="720"/>
        <w:rPr>
          <w:rFonts w:ascii="Times New Roman" w:hAnsi="Times New Roman" w:cs="Times New Roman"/>
          <w:b/>
          <w:sz w:val="24"/>
          <w:szCs w:val="24"/>
        </w:rPr>
      </w:pPr>
      <w:r w:rsidRPr="00E60165">
        <w:rPr>
          <w:rFonts w:ascii="Times New Roman" w:hAnsi="Times New Roman" w:cs="Times New Roman"/>
          <w:b/>
          <w:sz w:val="24"/>
          <w:szCs w:val="24"/>
        </w:rPr>
        <w:t>3.</w:t>
      </w:r>
      <w:r w:rsidRPr="00E60165">
        <w:rPr>
          <w:rFonts w:ascii="Times New Roman" w:hAnsi="Times New Roman" w:cs="Times New Roman"/>
          <w:b/>
          <w:sz w:val="24"/>
          <w:szCs w:val="24"/>
        </w:rPr>
        <w:tab/>
        <w:t>In any Event, There are “Compelling Reasons” Not to Use the Company’s 52.1%Capital Structure for Ratemaking Purposes</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E60165">
        <w:rPr>
          <w:rFonts w:ascii="Times New Roman" w:hAnsi="Times New Roman" w:cs="Times New Roman"/>
          <w:sz w:val="24"/>
          <w:szCs w:val="24"/>
        </w:rPr>
        <w:t>Even if the Commission was to require either “good reason” or “clear and compelling” reason in this case as a predicate to examining an alternative to PacifiCorp’s actual capital structure, such reasons abound on this record.</w:t>
      </w:r>
      <w:r w:rsidRPr="00E60165">
        <w:rPr>
          <w:rStyle w:val="FootnoteReference"/>
          <w:rFonts w:ascii="Times New Roman" w:hAnsi="Times New Roman" w:cs="Times New Roman"/>
          <w:sz w:val="24"/>
          <w:szCs w:val="24"/>
        </w:rPr>
        <w:footnoteReference w:id="227"/>
      </w:r>
      <w:r w:rsidRPr="00E60165">
        <w:rPr>
          <w:rFonts w:ascii="Times New Roman" w:hAnsi="Times New Roman" w:cs="Times New Roman"/>
          <w:sz w:val="24"/>
          <w:szCs w:val="24"/>
        </w:rPr>
        <w:t xml:space="preserve">  </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E60165">
        <w:rPr>
          <w:rFonts w:ascii="Times New Roman" w:hAnsi="Times New Roman" w:cs="Times New Roman"/>
          <w:sz w:val="24"/>
          <w:szCs w:val="24"/>
        </w:rPr>
        <w:t>First, and foremost, PacifiCorp’s capital structure is controlled by its owner, MEHC.  MEHC’s economic incentive is to capitalize PacifiCorp’s operations with as much equity as possible, because that provides greater equity returns to MEHC.</w:t>
      </w:r>
      <w:r w:rsidRPr="00E60165">
        <w:rPr>
          <w:rStyle w:val="FootnoteReference"/>
          <w:rFonts w:ascii="Times New Roman" w:hAnsi="Times New Roman" w:cs="Times New Roman"/>
          <w:sz w:val="24"/>
          <w:szCs w:val="24"/>
        </w:rPr>
        <w:footnoteReference w:id="228"/>
      </w:r>
      <w:r w:rsidRPr="00E60165">
        <w:rPr>
          <w:rFonts w:ascii="Times New Roman" w:hAnsi="Times New Roman" w:cs="Times New Roman"/>
          <w:sz w:val="24"/>
          <w:szCs w:val="24"/>
        </w:rPr>
        <w:t xml:space="preserve">  In this circumstance, the Commission should never accept the utility’s actual capital structure at face value</w:t>
      </w:r>
      <w:r w:rsidR="00B77106">
        <w:rPr>
          <w:rFonts w:ascii="Times New Roman" w:hAnsi="Times New Roman" w:cs="Times New Roman"/>
          <w:sz w:val="24"/>
          <w:szCs w:val="24"/>
        </w:rPr>
        <w:t>,</w:t>
      </w:r>
      <w:r w:rsidRPr="00E60165">
        <w:rPr>
          <w:rFonts w:ascii="Times New Roman" w:hAnsi="Times New Roman" w:cs="Times New Roman"/>
          <w:sz w:val="24"/>
          <w:szCs w:val="24"/>
        </w:rPr>
        <w:t xml:space="preserve"> especially when the capital structure is controlled by a parent to achieve its own financial objectives.</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Notably, MEHC has acted on this incentive by infusing over $990 million of equity into PacifiCorp,</w:t>
      </w:r>
      <w:r w:rsidRPr="00E60165">
        <w:rPr>
          <w:rStyle w:val="FootnoteReference"/>
          <w:rFonts w:ascii="Times New Roman" w:hAnsi="Times New Roman" w:cs="Times New Roman"/>
          <w:sz w:val="24"/>
          <w:szCs w:val="24"/>
        </w:rPr>
        <w:footnoteReference w:id="229"/>
      </w:r>
      <w:r w:rsidRPr="00E60165">
        <w:rPr>
          <w:rFonts w:ascii="Times New Roman" w:hAnsi="Times New Roman" w:cs="Times New Roman"/>
          <w:sz w:val="24"/>
          <w:szCs w:val="24"/>
        </w:rPr>
        <w:t xml:space="preserve"> </w:t>
      </w:r>
      <w:r w:rsidR="0043612E">
        <w:rPr>
          <w:rFonts w:ascii="Times New Roman" w:hAnsi="Times New Roman" w:cs="Times New Roman"/>
          <w:sz w:val="24"/>
          <w:szCs w:val="24"/>
        </w:rPr>
        <w:t xml:space="preserve">eliminating </w:t>
      </w:r>
      <w:r w:rsidRPr="00E60165">
        <w:rPr>
          <w:rFonts w:ascii="Times New Roman" w:hAnsi="Times New Roman" w:cs="Times New Roman"/>
          <w:sz w:val="24"/>
          <w:szCs w:val="24"/>
        </w:rPr>
        <w:t>the payment of dividends</w:t>
      </w:r>
      <w:r w:rsidR="0043612E">
        <w:rPr>
          <w:rFonts w:ascii="Times New Roman" w:hAnsi="Times New Roman" w:cs="Times New Roman"/>
          <w:sz w:val="24"/>
          <w:szCs w:val="24"/>
        </w:rPr>
        <w:t xml:space="preserve"> to MEHC</w:t>
      </w:r>
      <w:r w:rsidRPr="00E60165">
        <w:rPr>
          <w:rFonts w:ascii="Times New Roman" w:hAnsi="Times New Roman" w:cs="Times New Roman"/>
          <w:sz w:val="24"/>
          <w:szCs w:val="24"/>
        </w:rPr>
        <w:t>,</w:t>
      </w:r>
      <w:r w:rsidRPr="00E60165">
        <w:rPr>
          <w:rStyle w:val="FootnoteReference"/>
          <w:rFonts w:ascii="Times New Roman" w:hAnsi="Times New Roman" w:cs="Times New Roman"/>
          <w:sz w:val="24"/>
          <w:szCs w:val="24"/>
        </w:rPr>
        <w:footnoteReference w:id="230"/>
      </w:r>
      <w:r w:rsidRPr="00E60165">
        <w:rPr>
          <w:rFonts w:ascii="Times New Roman" w:hAnsi="Times New Roman" w:cs="Times New Roman"/>
          <w:sz w:val="24"/>
          <w:szCs w:val="24"/>
        </w:rPr>
        <w:t xml:space="preserve"> and paying off short-term debt </w:t>
      </w:r>
      <w:r w:rsidRPr="00E60165">
        <w:rPr>
          <w:rFonts w:ascii="Times New Roman" w:hAnsi="Times New Roman" w:cs="Times New Roman"/>
          <w:sz w:val="24"/>
          <w:szCs w:val="24"/>
        </w:rPr>
        <w:lastRenderedPageBreak/>
        <w:t>balances.</w:t>
      </w:r>
      <w:r w:rsidRPr="00E60165">
        <w:rPr>
          <w:rStyle w:val="FootnoteReference"/>
          <w:rFonts w:ascii="Times New Roman" w:hAnsi="Times New Roman" w:cs="Times New Roman"/>
          <w:sz w:val="24"/>
          <w:szCs w:val="24"/>
        </w:rPr>
        <w:footnoteReference w:id="231"/>
      </w:r>
      <w:r w:rsidRPr="00E60165">
        <w:rPr>
          <w:rFonts w:ascii="Times New Roman" w:hAnsi="Times New Roman" w:cs="Times New Roman"/>
          <w:sz w:val="24"/>
          <w:szCs w:val="24"/>
        </w:rPr>
        <w:t xml:space="preserve">  The inexorable result:  PacifiCorp’s equity ratio has ballooned from 46 percent in 2006, after PacifiCorp was acquired by MEHC,</w:t>
      </w:r>
      <w:r w:rsidRPr="00E60165">
        <w:rPr>
          <w:rStyle w:val="FootnoteReference"/>
          <w:rFonts w:ascii="Times New Roman" w:hAnsi="Times New Roman" w:cs="Times New Roman"/>
          <w:sz w:val="24"/>
          <w:szCs w:val="24"/>
        </w:rPr>
        <w:footnoteReference w:id="232"/>
      </w:r>
      <w:r w:rsidRPr="00E60165">
        <w:rPr>
          <w:rFonts w:ascii="Times New Roman" w:hAnsi="Times New Roman" w:cs="Times New Roman"/>
          <w:sz w:val="24"/>
          <w:szCs w:val="24"/>
        </w:rPr>
        <w:t xml:space="preserve"> to 52.6 percent now,</w:t>
      </w:r>
      <w:r w:rsidRPr="00E60165">
        <w:rPr>
          <w:rStyle w:val="FootnoteReference"/>
          <w:rFonts w:ascii="Times New Roman" w:hAnsi="Times New Roman" w:cs="Times New Roman"/>
          <w:sz w:val="24"/>
          <w:szCs w:val="24"/>
        </w:rPr>
        <w:footnoteReference w:id="233"/>
      </w:r>
      <w:r w:rsidRPr="00E60165">
        <w:rPr>
          <w:rFonts w:ascii="Times New Roman" w:hAnsi="Times New Roman" w:cs="Times New Roman"/>
          <w:sz w:val="24"/>
          <w:szCs w:val="24"/>
        </w:rPr>
        <w:t xml:space="preserve"> and it is climbing.</w:t>
      </w:r>
      <w:r w:rsidRPr="00E60165">
        <w:rPr>
          <w:rStyle w:val="FootnoteReference"/>
          <w:rFonts w:ascii="Times New Roman" w:hAnsi="Times New Roman" w:cs="Times New Roman"/>
          <w:sz w:val="24"/>
          <w:szCs w:val="24"/>
        </w:rPr>
        <w:footnoteReference w:id="234"/>
      </w:r>
      <w:r w:rsidRPr="00E60165">
        <w:rPr>
          <w:rFonts w:ascii="Times New Roman" w:hAnsi="Times New Roman" w:cs="Times New Roman"/>
          <w:sz w:val="24"/>
          <w:szCs w:val="24"/>
        </w:rPr>
        <w:t xml:space="preserve">  </w:t>
      </w:r>
    </w:p>
    <w:p w:rsid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 xml:space="preserve">The Commission cannot order MEHC to change its policies on equity capital infusion, no dividends, and no short-term debt, but the Commission must protect ratepayers from the higher costs these policies impose on ratepayers, for the benefit of PacifiCorp’s owners.  The Commission should use a ratemaking common equity ratio of no more than 46.5 percent.  </w:t>
      </w:r>
    </w:p>
    <w:p w:rsidR="00E60165" w:rsidRPr="00E60165" w:rsidRDefault="00E60165" w:rsidP="00E60165">
      <w:pPr>
        <w:pStyle w:val="ListParagraph"/>
        <w:spacing w:after="0" w:line="240" w:lineRule="exact"/>
        <w:ind w:left="1440" w:hanging="720"/>
        <w:rPr>
          <w:rFonts w:ascii="Times New Roman" w:hAnsi="Times New Roman" w:cs="Times New Roman"/>
          <w:sz w:val="24"/>
          <w:szCs w:val="24"/>
        </w:rPr>
      </w:pPr>
    </w:p>
    <w:p w:rsidR="00E60165" w:rsidRPr="008F6367" w:rsidRDefault="00E60165" w:rsidP="008F6367">
      <w:pPr>
        <w:pStyle w:val="ListParagraph"/>
        <w:spacing w:after="0" w:line="240" w:lineRule="exact"/>
        <w:ind w:left="1440" w:hanging="720"/>
        <w:rPr>
          <w:rFonts w:ascii="Times New Roman" w:hAnsi="Times New Roman" w:cs="Times New Roman"/>
          <w:sz w:val="24"/>
          <w:szCs w:val="24"/>
        </w:rPr>
      </w:pPr>
      <w:r w:rsidRPr="00E60165">
        <w:rPr>
          <w:rFonts w:ascii="Times New Roman" w:hAnsi="Times New Roman" w:cs="Times New Roman"/>
          <w:b/>
          <w:sz w:val="24"/>
          <w:szCs w:val="24"/>
        </w:rPr>
        <w:t>4.</w:t>
      </w:r>
      <w:r w:rsidRPr="00E60165">
        <w:rPr>
          <w:rFonts w:ascii="Times New Roman" w:hAnsi="Times New Roman" w:cs="Times New Roman"/>
          <w:b/>
          <w:sz w:val="24"/>
          <w:szCs w:val="24"/>
        </w:rPr>
        <w:tab/>
        <w:t>The Commission Should Include Short-Term Debt in the Ratemaking Capital Structure, Despite the Company’s Policy Not to Use it</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As the Commission stated in PacifiCorp’s last contested rate case, Docket UE-050684, an appropriate capital structure examines “…all the sources of capital available to a company.”</w:t>
      </w:r>
      <w:r w:rsidRPr="00E60165">
        <w:rPr>
          <w:rStyle w:val="FootnoteReference"/>
          <w:rFonts w:ascii="Times New Roman" w:hAnsi="Times New Roman" w:cs="Times New Roman"/>
          <w:sz w:val="24"/>
          <w:szCs w:val="24"/>
        </w:rPr>
        <w:footnoteReference w:id="235"/>
      </w:r>
      <w:r w:rsidRPr="00E60165">
        <w:rPr>
          <w:rFonts w:ascii="Times New Roman" w:hAnsi="Times New Roman" w:cs="Times New Roman"/>
          <w:sz w:val="24"/>
          <w:szCs w:val="24"/>
        </w:rPr>
        <w:t xml:space="preserve">  One ready and available source of capital is short-term debt.  </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In fact, a prudent utility should have a 3-5 percent level of short term debt in its ratemaking capital structure,</w:t>
      </w:r>
      <w:r w:rsidRPr="00E60165">
        <w:rPr>
          <w:rStyle w:val="FootnoteReference"/>
          <w:rFonts w:ascii="Times New Roman" w:hAnsi="Times New Roman" w:cs="Times New Roman"/>
          <w:sz w:val="24"/>
          <w:szCs w:val="24"/>
        </w:rPr>
        <w:footnoteReference w:id="236"/>
      </w:r>
      <w:r w:rsidRPr="00E60165">
        <w:rPr>
          <w:rFonts w:ascii="Times New Roman" w:hAnsi="Times New Roman" w:cs="Times New Roman"/>
          <w:sz w:val="24"/>
          <w:szCs w:val="24"/>
        </w:rPr>
        <w:t xml:space="preserve"> because short-term debt is a very low-cost source of funds,</w:t>
      </w:r>
      <w:r w:rsidRPr="00E60165">
        <w:rPr>
          <w:rStyle w:val="FootnoteReference"/>
          <w:rFonts w:ascii="Times New Roman" w:hAnsi="Times New Roman" w:cs="Times New Roman"/>
          <w:sz w:val="24"/>
          <w:szCs w:val="24"/>
        </w:rPr>
        <w:footnoteReference w:id="237"/>
      </w:r>
      <w:r w:rsidRPr="00E60165">
        <w:rPr>
          <w:rFonts w:ascii="Times New Roman" w:hAnsi="Times New Roman" w:cs="Times New Roman"/>
          <w:sz w:val="24"/>
          <w:szCs w:val="24"/>
        </w:rPr>
        <w:t xml:space="preserve"> and it provides the utility more flexibility in managing the cash needs of the company.</w:t>
      </w:r>
      <w:r w:rsidRPr="00E60165">
        <w:rPr>
          <w:rStyle w:val="FootnoteReference"/>
          <w:rFonts w:ascii="Times New Roman" w:hAnsi="Times New Roman" w:cs="Times New Roman"/>
          <w:sz w:val="24"/>
          <w:szCs w:val="24"/>
        </w:rPr>
        <w:footnoteReference w:id="238"/>
      </w:r>
      <w:r w:rsidRPr="00E60165">
        <w:rPr>
          <w:rFonts w:ascii="Times New Roman" w:hAnsi="Times New Roman" w:cs="Times New Roman"/>
          <w:sz w:val="24"/>
          <w:szCs w:val="24"/>
        </w:rPr>
        <w:t xml:space="preserve">  For example, Avista recently made use of this flexibility essentially by “locking in” a 1.68 percent rate to create a very short-term bond (i.e., less than three years maturity).</w:t>
      </w:r>
      <w:r w:rsidRPr="00E60165">
        <w:rPr>
          <w:rStyle w:val="FootnoteReference"/>
          <w:rFonts w:ascii="Times New Roman" w:hAnsi="Times New Roman" w:cs="Times New Roman"/>
          <w:sz w:val="24"/>
          <w:szCs w:val="24"/>
        </w:rPr>
        <w:footnoteReference w:id="239"/>
      </w:r>
      <w:r w:rsidRPr="00E60165">
        <w:rPr>
          <w:rFonts w:ascii="Times New Roman" w:hAnsi="Times New Roman" w:cs="Times New Roman"/>
          <w:sz w:val="24"/>
          <w:szCs w:val="24"/>
        </w:rPr>
        <w:t xml:space="preserve">  </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Staff recommends the Commission include a three percent layer of short-term debt in the ratemaking capital structure for PacifiCorp, representing just $500 million, at a cost of 3.00%.</w:t>
      </w:r>
      <w:r w:rsidRPr="00E60165">
        <w:rPr>
          <w:rStyle w:val="FootnoteReference"/>
          <w:rFonts w:ascii="Times New Roman" w:hAnsi="Times New Roman" w:cs="Times New Roman"/>
          <w:sz w:val="24"/>
          <w:szCs w:val="24"/>
        </w:rPr>
        <w:footnoteReference w:id="240"/>
      </w:r>
      <w:r w:rsidRPr="00E60165">
        <w:rPr>
          <w:rFonts w:ascii="Times New Roman" w:hAnsi="Times New Roman" w:cs="Times New Roman"/>
          <w:sz w:val="24"/>
          <w:szCs w:val="24"/>
        </w:rPr>
        <w:t xml:space="preserve">  </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PacifiCorp does not dispute Staff’s cost rate, but opposes including short-term debt in the first place, because the Company has effectively eliminated short-term debt from its actual capital structure.</w:t>
      </w:r>
      <w:r w:rsidRPr="00E60165">
        <w:rPr>
          <w:rStyle w:val="FootnoteReference"/>
          <w:rFonts w:ascii="Times New Roman" w:hAnsi="Times New Roman" w:cs="Times New Roman"/>
          <w:sz w:val="24"/>
          <w:szCs w:val="24"/>
        </w:rPr>
        <w:footnoteReference w:id="241"/>
      </w:r>
      <w:r w:rsidRPr="00E60165">
        <w:rPr>
          <w:rFonts w:ascii="Times New Roman" w:hAnsi="Times New Roman" w:cs="Times New Roman"/>
          <w:sz w:val="24"/>
          <w:szCs w:val="24"/>
        </w:rPr>
        <w:t xml:space="preserve">  As Mr. Williams explains, the large amount of long-term debt PacifiCorp </w:t>
      </w:r>
      <w:r w:rsidRPr="00E60165">
        <w:rPr>
          <w:rFonts w:ascii="Times New Roman" w:hAnsi="Times New Roman" w:cs="Times New Roman"/>
          <w:sz w:val="24"/>
          <w:szCs w:val="24"/>
        </w:rPr>
        <w:lastRenderedPageBreak/>
        <w:t>issued in 2009, and the large equity infusions the Company received from its parent have left the Company no longer in need of short-term debt.</w:t>
      </w:r>
      <w:r w:rsidRPr="00E60165">
        <w:rPr>
          <w:rFonts w:ascii="Times New Roman" w:hAnsi="Times New Roman" w:cs="Times New Roman"/>
          <w:sz w:val="24"/>
          <w:szCs w:val="24"/>
          <w:vertAlign w:val="superscript"/>
        </w:rPr>
        <w:footnoteReference w:id="242"/>
      </w:r>
      <w:r w:rsidRPr="00E60165">
        <w:rPr>
          <w:rFonts w:ascii="Times New Roman" w:hAnsi="Times New Roman" w:cs="Times New Roman"/>
          <w:sz w:val="24"/>
          <w:szCs w:val="24"/>
        </w:rPr>
        <w:t xml:space="preserve">  </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 xml:space="preserve">While we appreciate the honesty, there is no reason to burden ratepayers with higher capital costs because MEHC’s policies have effectively reduced PacifiCorp’s short-term debt ratio to zero.  </w:t>
      </w:r>
      <w:r w:rsidR="0043612E">
        <w:rPr>
          <w:rFonts w:ascii="Times New Roman" w:hAnsi="Times New Roman" w:cs="Times New Roman"/>
          <w:sz w:val="24"/>
          <w:szCs w:val="24"/>
        </w:rPr>
        <w:t>It is revealing that</w:t>
      </w:r>
      <w:r w:rsidRPr="00E60165">
        <w:rPr>
          <w:rFonts w:ascii="Times New Roman" w:hAnsi="Times New Roman" w:cs="Times New Roman"/>
          <w:sz w:val="24"/>
          <w:szCs w:val="24"/>
        </w:rPr>
        <w:t xml:space="preserve"> while PacifiCorp says it does not use short-term debt, it still maintains short-term credit lines of around $1.4 billion,</w:t>
      </w:r>
      <w:r w:rsidRPr="00E60165">
        <w:rPr>
          <w:rStyle w:val="FootnoteReference"/>
          <w:rFonts w:ascii="Times New Roman" w:hAnsi="Times New Roman" w:cs="Times New Roman"/>
          <w:sz w:val="24"/>
          <w:szCs w:val="24"/>
        </w:rPr>
        <w:footnoteReference w:id="243"/>
      </w:r>
      <w:r w:rsidRPr="00E60165">
        <w:rPr>
          <w:rFonts w:ascii="Times New Roman" w:hAnsi="Times New Roman" w:cs="Times New Roman"/>
          <w:sz w:val="24"/>
          <w:szCs w:val="24"/>
        </w:rPr>
        <w:t xml:space="preserve"> and includes the costs of maintaining those credit lines in its books of account for recovery in rates.</w:t>
      </w:r>
      <w:r w:rsidRPr="00E60165">
        <w:rPr>
          <w:rStyle w:val="FootnoteReference"/>
          <w:rFonts w:ascii="Times New Roman" w:hAnsi="Times New Roman" w:cs="Times New Roman"/>
          <w:sz w:val="24"/>
          <w:szCs w:val="24"/>
        </w:rPr>
        <w:footnoteReference w:id="244"/>
      </w:r>
      <w:r w:rsidRPr="00E60165">
        <w:rPr>
          <w:rFonts w:ascii="Times New Roman" w:hAnsi="Times New Roman" w:cs="Times New Roman"/>
          <w:sz w:val="24"/>
          <w:szCs w:val="24"/>
        </w:rPr>
        <w:t xml:space="preserve"> </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PacifiCorp goes on to argue that short-term debt funds construction work in progress (CWIP), and short-term debt should only be included in the capital structure to the extent the balances persistently exceed CWIP balances.</w:t>
      </w:r>
      <w:r w:rsidRPr="00E60165">
        <w:rPr>
          <w:rStyle w:val="FootnoteReference"/>
          <w:rFonts w:ascii="Times New Roman" w:hAnsi="Times New Roman" w:cs="Times New Roman"/>
          <w:sz w:val="24"/>
          <w:szCs w:val="24"/>
        </w:rPr>
        <w:footnoteReference w:id="245"/>
      </w:r>
      <w:r w:rsidRPr="00E60165">
        <w:rPr>
          <w:rFonts w:ascii="Times New Roman" w:hAnsi="Times New Roman" w:cs="Times New Roman"/>
          <w:sz w:val="24"/>
          <w:szCs w:val="24"/>
        </w:rPr>
        <w:t xml:space="preserve">  However, PacifiCorp’s argument violates the principle that capital is fungible, i.e., no specific source of capital is used to finance specific assets.</w:t>
      </w:r>
      <w:r w:rsidRPr="00E60165">
        <w:rPr>
          <w:rStyle w:val="FootnoteReference"/>
          <w:rFonts w:ascii="Times New Roman" w:hAnsi="Times New Roman" w:cs="Times New Roman"/>
          <w:sz w:val="24"/>
          <w:szCs w:val="24"/>
        </w:rPr>
        <w:footnoteReference w:id="246"/>
      </w:r>
      <w:r w:rsidRPr="00E60165">
        <w:rPr>
          <w:rFonts w:ascii="Times New Roman" w:hAnsi="Times New Roman" w:cs="Times New Roman"/>
          <w:sz w:val="24"/>
          <w:szCs w:val="24"/>
        </w:rPr>
        <w:t xml:space="preserve">  In fact, as shown in Exhibit No. BNW-16, page 3, the Company reported to the Commission that it uses short-term debt in 2009 for “general corporate purposes.”</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Next, PacifiCorp recycles an old argument that including short-term debt would constitute “double-counting”, based on a confusing argument about how FERC treats CWIP in calculating the AFUDC rate.</w:t>
      </w:r>
      <w:r w:rsidRPr="00E60165">
        <w:rPr>
          <w:rStyle w:val="FootnoteReference"/>
          <w:rFonts w:ascii="Times New Roman" w:hAnsi="Times New Roman" w:cs="Times New Roman"/>
          <w:sz w:val="24"/>
          <w:szCs w:val="24"/>
        </w:rPr>
        <w:footnoteReference w:id="247"/>
      </w:r>
      <w:r w:rsidRPr="00E60165">
        <w:rPr>
          <w:rFonts w:ascii="Times New Roman" w:hAnsi="Times New Roman" w:cs="Times New Roman"/>
          <w:sz w:val="24"/>
          <w:szCs w:val="24"/>
        </w:rPr>
        <w:t xml:space="preserve">  The Commission will recall it flatly rejected this “double-counting” argument first time the Company came up with it several years ago.</w:t>
      </w:r>
      <w:r w:rsidRPr="00E60165">
        <w:rPr>
          <w:rStyle w:val="FootnoteReference"/>
          <w:rFonts w:ascii="Times New Roman" w:hAnsi="Times New Roman" w:cs="Times New Roman"/>
          <w:sz w:val="24"/>
          <w:szCs w:val="24"/>
        </w:rPr>
        <w:footnoteReference w:id="248"/>
      </w:r>
      <w:r w:rsidRPr="00E60165">
        <w:rPr>
          <w:rFonts w:ascii="Times New Roman" w:hAnsi="Times New Roman" w:cs="Times New Roman"/>
          <w:sz w:val="24"/>
          <w:szCs w:val="24"/>
        </w:rPr>
        <w:t xml:space="preserve">  PacifiCorp offers nothing new, so the Commission should reject it again now.   </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In sum, it is fair, reasonable and fully appropriate for the Commission to include 3.00 percent short-term debt in PacifiCorp’s capital structure, at a cost of 3.00 percent.</w:t>
      </w:r>
    </w:p>
    <w:p w:rsidR="00E60165" w:rsidRPr="00E60165" w:rsidRDefault="00E60165" w:rsidP="00E60165">
      <w:pPr>
        <w:pStyle w:val="ListParagraph"/>
        <w:spacing w:after="0" w:line="480" w:lineRule="exact"/>
        <w:ind w:left="0"/>
        <w:rPr>
          <w:rFonts w:ascii="Times New Roman" w:hAnsi="Times New Roman" w:cs="Times New Roman"/>
          <w:b/>
          <w:sz w:val="24"/>
          <w:szCs w:val="24"/>
        </w:rPr>
      </w:pPr>
      <w:r w:rsidRPr="00E60165">
        <w:rPr>
          <w:rFonts w:ascii="Times New Roman" w:hAnsi="Times New Roman" w:cs="Times New Roman"/>
          <w:b/>
          <w:sz w:val="24"/>
          <w:szCs w:val="24"/>
        </w:rPr>
        <w:lastRenderedPageBreak/>
        <w:t>C.</w:t>
      </w:r>
      <w:r w:rsidRPr="00E60165">
        <w:rPr>
          <w:rFonts w:ascii="Times New Roman" w:hAnsi="Times New Roman" w:cs="Times New Roman"/>
          <w:b/>
          <w:sz w:val="24"/>
          <w:szCs w:val="24"/>
        </w:rPr>
        <w:tab/>
        <w:t>Cost of Common Equity</w:t>
      </w:r>
    </w:p>
    <w:p w:rsidR="00E60165" w:rsidRPr="00E60165" w:rsidRDefault="00E60165" w:rsidP="00E60165">
      <w:pPr>
        <w:pStyle w:val="ListParagraph"/>
        <w:spacing w:after="0" w:line="480" w:lineRule="exact"/>
        <w:ind w:left="0" w:firstLine="720"/>
        <w:rPr>
          <w:rFonts w:ascii="Times New Roman" w:hAnsi="Times New Roman" w:cs="Times New Roman"/>
          <w:b/>
          <w:sz w:val="24"/>
          <w:szCs w:val="24"/>
        </w:rPr>
      </w:pPr>
      <w:r w:rsidRPr="00E60165">
        <w:rPr>
          <w:rFonts w:ascii="Times New Roman" w:hAnsi="Times New Roman" w:cs="Times New Roman"/>
          <w:b/>
          <w:sz w:val="24"/>
          <w:szCs w:val="24"/>
        </w:rPr>
        <w:t>1.</w:t>
      </w:r>
      <w:r w:rsidRPr="00E60165">
        <w:rPr>
          <w:rFonts w:ascii="Times New Roman" w:hAnsi="Times New Roman" w:cs="Times New Roman"/>
          <w:b/>
          <w:sz w:val="24"/>
          <w:szCs w:val="24"/>
        </w:rPr>
        <w:tab/>
        <w:t xml:space="preserve">Introduction </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Perhaps the most significant cost of providing electric service is the cost of common equity.  Not only is the cost significant in magnitude, but it requires the most analysis and judgment to properly determine.  The task is made more difficult because there is no direct market evidence for PacifiCorp’s common stock:  PacifiCorp is not a publicly traded company.</w:t>
      </w:r>
      <w:r w:rsidRPr="00E60165">
        <w:rPr>
          <w:rStyle w:val="FootnoteReference"/>
          <w:rFonts w:ascii="Times New Roman" w:hAnsi="Times New Roman" w:cs="Times New Roman"/>
          <w:sz w:val="24"/>
          <w:szCs w:val="24"/>
        </w:rPr>
        <w:footnoteReference w:id="249"/>
      </w:r>
      <w:r w:rsidRPr="00E60165">
        <w:rPr>
          <w:rFonts w:ascii="Times New Roman" w:hAnsi="Times New Roman" w:cs="Times New Roman"/>
          <w:sz w:val="24"/>
          <w:szCs w:val="24"/>
        </w:rPr>
        <w:t xml:space="preserve">  This makes using a proxy group of companies an even more critical part of the analysis.  </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 xml:space="preserve">The fundamental areas of disagreement between the parties that lead to their different cost of equity estimates concern the selection of the proxy group, and the estimate of the dividend growth element of the Discounts Cash Flow (DCF) formula.   As we explain below, Staff’s proxy group is the only one that contains companies comparable to PacifiCorp, and Staff’s dividend growth analysis is transparent and sound.  </w:t>
      </w:r>
    </w:p>
    <w:p w:rsidR="00E60165" w:rsidRDefault="00E60165" w:rsidP="00E60165">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43612E">
        <w:rPr>
          <w:rFonts w:ascii="Times New Roman" w:hAnsi="Times New Roman" w:cs="Times New Roman"/>
          <w:sz w:val="24"/>
          <w:szCs w:val="24"/>
        </w:rPr>
        <w:t>For the reasons that follow, t</w:t>
      </w:r>
      <w:r w:rsidRPr="00E60165">
        <w:rPr>
          <w:rFonts w:ascii="Times New Roman" w:hAnsi="Times New Roman" w:cs="Times New Roman"/>
          <w:sz w:val="24"/>
          <w:szCs w:val="24"/>
        </w:rPr>
        <w:t xml:space="preserve">he Commission should accept the Staff’s cost of common equity of 9.5 percent as the </w:t>
      </w:r>
      <w:r w:rsidR="008C0792">
        <w:rPr>
          <w:rFonts w:ascii="Times New Roman" w:hAnsi="Times New Roman" w:cs="Times New Roman"/>
          <w:sz w:val="24"/>
          <w:szCs w:val="24"/>
        </w:rPr>
        <w:t>best</w:t>
      </w:r>
      <w:r w:rsidRPr="00E60165">
        <w:rPr>
          <w:rFonts w:ascii="Times New Roman" w:hAnsi="Times New Roman" w:cs="Times New Roman"/>
          <w:sz w:val="24"/>
          <w:szCs w:val="24"/>
        </w:rPr>
        <w:t>-supported estimate on this record.</w:t>
      </w:r>
      <w:r w:rsidR="000644E2">
        <w:rPr>
          <w:rFonts w:ascii="Times New Roman" w:hAnsi="Times New Roman" w:cs="Times New Roman"/>
          <w:sz w:val="24"/>
          <w:szCs w:val="24"/>
        </w:rPr>
        <w:t xml:space="preserve">  </w:t>
      </w:r>
    </w:p>
    <w:p w:rsidR="000644E2" w:rsidRPr="00E60165" w:rsidRDefault="000644E2" w:rsidP="000644E2">
      <w:pPr>
        <w:pStyle w:val="ListParagraph"/>
        <w:spacing w:after="0" w:line="240" w:lineRule="exact"/>
        <w:ind w:left="1440" w:hanging="720"/>
        <w:rPr>
          <w:rFonts w:ascii="Times New Roman" w:hAnsi="Times New Roman" w:cs="Times New Roman"/>
          <w:sz w:val="24"/>
          <w:szCs w:val="24"/>
        </w:rPr>
      </w:pPr>
    </w:p>
    <w:p w:rsidR="00E60165" w:rsidRPr="008F6367" w:rsidRDefault="00E60165" w:rsidP="008F6367">
      <w:pPr>
        <w:pStyle w:val="ListParagraph"/>
        <w:spacing w:after="0" w:line="240" w:lineRule="exact"/>
        <w:ind w:left="1440" w:hanging="720"/>
        <w:rPr>
          <w:rFonts w:ascii="Times New Roman" w:hAnsi="Times New Roman" w:cs="Times New Roman"/>
          <w:b/>
          <w:sz w:val="24"/>
          <w:szCs w:val="24"/>
        </w:rPr>
      </w:pPr>
      <w:r w:rsidRPr="00E60165">
        <w:rPr>
          <w:rFonts w:ascii="Times New Roman" w:hAnsi="Times New Roman" w:cs="Times New Roman"/>
          <w:b/>
          <w:sz w:val="24"/>
          <w:szCs w:val="24"/>
        </w:rPr>
        <w:t>2.</w:t>
      </w:r>
      <w:r w:rsidRPr="00E60165">
        <w:rPr>
          <w:rFonts w:ascii="Times New Roman" w:hAnsi="Times New Roman" w:cs="Times New Roman"/>
          <w:b/>
          <w:sz w:val="24"/>
          <w:szCs w:val="24"/>
        </w:rPr>
        <w:tab/>
        <w:t>Staff’s ROE Analysis is Based on a Proxy Group Comprised of Companies Comparable to PacifiCorp</w:t>
      </w:r>
      <w:r w:rsidRPr="00E60165" w:rsidDel="00B110F3">
        <w:rPr>
          <w:rFonts w:ascii="Times New Roman" w:hAnsi="Times New Roman" w:cs="Times New Roman"/>
          <w:b/>
          <w:sz w:val="24"/>
          <w:szCs w:val="24"/>
        </w:rPr>
        <w:t xml:space="preserve"> </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 xml:space="preserve">The principle of comparable risk underlies the proxy group selection process, and that principle was laid down by the Supreme Court in </w:t>
      </w:r>
      <w:r w:rsidRPr="00E60165">
        <w:rPr>
          <w:rFonts w:ascii="Times New Roman" w:hAnsi="Times New Roman" w:cs="Times New Roman"/>
          <w:i/>
          <w:sz w:val="24"/>
          <w:szCs w:val="24"/>
        </w:rPr>
        <w:t>Bluefield Water Works and Improvement Co. v. Public Service Commission of West Virginia</w:t>
      </w:r>
      <w:r w:rsidRPr="00E60165">
        <w:rPr>
          <w:rFonts w:ascii="Times New Roman" w:hAnsi="Times New Roman" w:cs="Times New Roman"/>
          <w:sz w:val="24"/>
          <w:szCs w:val="24"/>
        </w:rPr>
        <w:t>, 262 U</w:t>
      </w:r>
      <w:r w:rsidR="009B3B75">
        <w:rPr>
          <w:rFonts w:ascii="Times New Roman" w:hAnsi="Times New Roman" w:cs="Times New Roman"/>
          <w:sz w:val="24"/>
          <w:szCs w:val="24"/>
        </w:rPr>
        <w:t>.</w:t>
      </w:r>
      <w:r w:rsidRPr="00E60165">
        <w:rPr>
          <w:rFonts w:ascii="Times New Roman" w:hAnsi="Times New Roman" w:cs="Times New Roman"/>
          <w:sz w:val="24"/>
          <w:szCs w:val="24"/>
        </w:rPr>
        <w:t>S. 679, 692 (1923):</w:t>
      </w:r>
    </w:p>
    <w:p w:rsidR="0096310C" w:rsidRDefault="0096310C" w:rsidP="0022264C">
      <w:pPr>
        <w:pStyle w:val="ListParagraph"/>
        <w:spacing w:after="0" w:line="240" w:lineRule="auto"/>
        <w:rPr>
          <w:rFonts w:ascii="Times New Roman" w:hAnsi="Times New Roman" w:cs="Times New Roman"/>
          <w:sz w:val="24"/>
          <w:szCs w:val="24"/>
        </w:rPr>
      </w:pPr>
    </w:p>
    <w:p w:rsidR="0096310C" w:rsidRDefault="00E60165" w:rsidP="0022264C">
      <w:pPr>
        <w:pStyle w:val="ListParagraph"/>
        <w:spacing w:after="0" w:line="240" w:lineRule="auto"/>
        <w:rPr>
          <w:rFonts w:ascii="Times New Roman" w:hAnsi="Times New Roman" w:cs="Times New Roman"/>
          <w:sz w:val="24"/>
          <w:szCs w:val="24"/>
        </w:rPr>
      </w:pPr>
      <w:r w:rsidRPr="00E60165">
        <w:rPr>
          <w:rFonts w:ascii="Times New Roman" w:hAnsi="Times New Roman" w:cs="Times New Roman"/>
          <w:sz w:val="24"/>
          <w:szCs w:val="24"/>
        </w:rPr>
        <w:t>A public utility is entitled to such rates as will permit it to earn a return on the value of the property it employs for the convenience of the public equal to that generally being made … on investments in other business undertakings which are attended by corresponding risks and uncertainties …</w:t>
      </w:r>
    </w:p>
    <w:p w:rsidR="00E60165" w:rsidRDefault="000644E2" w:rsidP="00E60165">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E60165" w:rsidRPr="00E60165">
        <w:rPr>
          <w:rFonts w:ascii="Times New Roman" w:hAnsi="Times New Roman" w:cs="Times New Roman"/>
          <w:sz w:val="24"/>
          <w:szCs w:val="24"/>
        </w:rPr>
        <w:t>Consequently, a primary role of the cost of capital analyst is to assure the proxy group presents companies of similar risk to PacifiCorp.  Staff fulfilled that role by carefully selecting a proxy group of companies with similar risk characteristics to PacifiCorp.</w:t>
      </w:r>
      <w:r w:rsidR="00E60165" w:rsidRPr="00E60165">
        <w:rPr>
          <w:rStyle w:val="FootnoteReference"/>
          <w:rFonts w:ascii="Times New Roman" w:hAnsi="Times New Roman" w:cs="Times New Roman"/>
          <w:sz w:val="24"/>
          <w:szCs w:val="24"/>
        </w:rPr>
        <w:footnoteReference w:id="250"/>
      </w:r>
      <w:r w:rsidR="00B77106">
        <w:rPr>
          <w:rFonts w:ascii="Times New Roman" w:hAnsi="Times New Roman" w:cs="Times New Roman"/>
          <w:sz w:val="24"/>
          <w:szCs w:val="24"/>
        </w:rPr>
        <w:t xml:space="preserve">  </w:t>
      </w:r>
      <w:r w:rsidR="00E60165" w:rsidRPr="00E60165">
        <w:rPr>
          <w:rFonts w:ascii="Times New Roman" w:hAnsi="Times New Roman" w:cs="Times New Roman"/>
          <w:sz w:val="24"/>
          <w:szCs w:val="24"/>
        </w:rPr>
        <w:t xml:space="preserve">Staff’s selection </w:t>
      </w:r>
      <w:r w:rsidR="00E60165" w:rsidRPr="00E60165">
        <w:rPr>
          <w:rFonts w:ascii="Times New Roman" w:hAnsi="Times New Roman" w:cs="Times New Roman"/>
          <w:sz w:val="24"/>
          <w:szCs w:val="24"/>
        </w:rPr>
        <w:lastRenderedPageBreak/>
        <w:t xml:space="preserve">criteria is consistent with the standards of </w:t>
      </w:r>
      <w:r w:rsidR="00E60165" w:rsidRPr="00E60165">
        <w:rPr>
          <w:rFonts w:ascii="Times New Roman" w:hAnsi="Times New Roman" w:cs="Times New Roman"/>
          <w:i/>
          <w:sz w:val="24"/>
          <w:szCs w:val="24"/>
        </w:rPr>
        <w:t xml:space="preserve">Hope </w:t>
      </w:r>
      <w:r w:rsidR="00E60165" w:rsidRPr="00E60165">
        <w:rPr>
          <w:rFonts w:ascii="Times New Roman" w:hAnsi="Times New Roman" w:cs="Times New Roman"/>
          <w:sz w:val="24"/>
          <w:szCs w:val="24"/>
        </w:rPr>
        <w:t>and</w:t>
      </w:r>
      <w:r w:rsidR="00E60165" w:rsidRPr="00E60165">
        <w:rPr>
          <w:rFonts w:ascii="Times New Roman" w:hAnsi="Times New Roman" w:cs="Times New Roman"/>
          <w:i/>
          <w:sz w:val="24"/>
          <w:szCs w:val="24"/>
        </w:rPr>
        <w:t xml:space="preserve"> Bluefield</w:t>
      </w:r>
      <w:r w:rsidR="00E60165" w:rsidRPr="00E60165">
        <w:rPr>
          <w:rFonts w:ascii="Times New Roman" w:hAnsi="Times New Roman" w:cs="Times New Roman"/>
          <w:sz w:val="24"/>
          <w:szCs w:val="24"/>
        </w:rPr>
        <w:t>:  Mr. Elgin selected companies similar to PacifiCorp, with nominal amounts of revenue from unregulated operations, serve similar markets, have fully integrated electric operations, and have no nuclear construction risk.</w:t>
      </w:r>
      <w:r w:rsidR="00E60165" w:rsidRPr="00E60165">
        <w:rPr>
          <w:rStyle w:val="FootnoteReference"/>
          <w:rFonts w:ascii="Times New Roman" w:hAnsi="Times New Roman" w:cs="Times New Roman"/>
          <w:sz w:val="24"/>
          <w:szCs w:val="24"/>
        </w:rPr>
        <w:footnoteReference w:id="251"/>
      </w:r>
      <w:r w:rsidR="00E60165" w:rsidRPr="00E60165">
        <w:rPr>
          <w:rFonts w:ascii="Times New Roman" w:hAnsi="Times New Roman" w:cs="Times New Roman"/>
          <w:sz w:val="24"/>
          <w:szCs w:val="24"/>
        </w:rPr>
        <w:t xml:space="preserve">  The result was a proxy group containing seven companies;</w:t>
      </w:r>
      <w:r w:rsidR="00E60165" w:rsidRPr="00E60165">
        <w:rPr>
          <w:rStyle w:val="FootnoteReference"/>
          <w:rFonts w:ascii="Times New Roman" w:hAnsi="Times New Roman" w:cs="Times New Roman"/>
          <w:sz w:val="24"/>
          <w:szCs w:val="24"/>
        </w:rPr>
        <w:footnoteReference w:id="252"/>
      </w:r>
      <w:r w:rsidR="00E60165" w:rsidRPr="00E60165">
        <w:rPr>
          <w:rFonts w:ascii="Times New Roman" w:hAnsi="Times New Roman" w:cs="Times New Roman"/>
          <w:sz w:val="24"/>
          <w:szCs w:val="24"/>
        </w:rPr>
        <w:t xml:space="preserve"> a group that compares favorably to PacifiCorp, and thus it provides an appropriate basis for analysis.  </w:t>
      </w:r>
    </w:p>
    <w:p w:rsidR="000644E2" w:rsidRPr="00E60165" w:rsidRDefault="000644E2" w:rsidP="000644E2">
      <w:pPr>
        <w:pStyle w:val="ListParagraph"/>
        <w:spacing w:after="0" w:line="240" w:lineRule="exact"/>
        <w:ind w:left="1440" w:hanging="720"/>
        <w:rPr>
          <w:rFonts w:ascii="Times New Roman" w:hAnsi="Times New Roman" w:cs="Times New Roman"/>
          <w:sz w:val="24"/>
          <w:szCs w:val="24"/>
        </w:rPr>
      </w:pPr>
    </w:p>
    <w:p w:rsidR="00E60165" w:rsidRPr="008F6367" w:rsidRDefault="00E60165" w:rsidP="008F6367">
      <w:pPr>
        <w:pStyle w:val="ListParagraph"/>
        <w:spacing w:after="0" w:line="240" w:lineRule="exact"/>
        <w:ind w:left="1440" w:hanging="720"/>
        <w:rPr>
          <w:rFonts w:ascii="Times New Roman" w:hAnsi="Times New Roman" w:cs="Times New Roman"/>
          <w:b/>
          <w:sz w:val="24"/>
          <w:szCs w:val="24"/>
        </w:rPr>
      </w:pPr>
      <w:r w:rsidRPr="00E60165">
        <w:rPr>
          <w:rFonts w:ascii="Times New Roman" w:hAnsi="Times New Roman" w:cs="Times New Roman"/>
          <w:b/>
          <w:sz w:val="24"/>
          <w:szCs w:val="24"/>
        </w:rPr>
        <w:t>3.</w:t>
      </w:r>
      <w:r w:rsidRPr="00E60165">
        <w:rPr>
          <w:rFonts w:ascii="Times New Roman" w:hAnsi="Times New Roman" w:cs="Times New Roman"/>
          <w:b/>
          <w:sz w:val="24"/>
          <w:szCs w:val="24"/>
        </w:rPr>
        <w:tab/>
        <w:t>Staff’s DCF Analysis is Reasonable and Transparent, Focusing on the Expectations of Investors Making Rational Investment Decisions</w:t>
      </w:r>
    </w:p>
    <w:p w:rsidR="00E60165" w:rsidRPr="00E60165" w:rsidRDefault="00E60165" w:rsidP="00E60165">
      <w:pPr>
        <w:pStyle w:val="FootnoteText"/>
        <w:numPr>
          <w:ilvl w:val="0"/>
          <w:numId w:val="3"/>
        </w:numPr>
        <w:spacing w:line="480" w:lineRule="exact"/>
        <w:rPr>
          <w:rFonts w:cs="Times New Roman"/>
          <w:sz w:val="24"/>
          <w:szCs w:val="24"/>
        </w:rPr>
      </w:pPr>
      <w:r w:rsidRPr="00E60165">
        <w:rPr>
          <w:rFonts w:cs="Times New Roman"/>
          <w:sz w:val="24"/>
          <w:szCs w:val="24"/>
        </w:rPr>
        <w:tab/>
        <w:t>The goal of determining the cost of equity is to measure the investors’ required rate of return.  As Staff correctly observed, estimating investors’ expected dividend yield and growth is not a matter of applying mechanical calculations to the relevant data.  Rather, it is a process that requires the analyst to use judgment and carefully consider the data supporting the recommendations.</w:t>
      </w:r>
      <w:r w:rsidRPr="00E60165">
        <w:rPr>
          <w:rFonts w:cs="Times New Roman"/>
          <w:sz w:val="24"/>
          <w:szCs w:val="24"/>
          <w:vertAlign w:val="superscript"/>
        </w:rPr>
        <w:footnoteReference w:id="253"/>
      </w:r>
      <w:r w:rsidRPr="00E60165">
        <w:rPr>
          <w:rFonts w:cs="Times New Roman"/>
          <w:sz w:val="24"/>
          <w:szCs w:val="24"/>
        </w:rPr>
        <w:t xml:space="preserve">  Applying informed judgment to published financial data is precisely what rational investors do when evaluating comparable utility stocks, and only Staff’s cost of capital analysis carefully replicates this decision making process.</w:t>
      </w:r>
    </w:p>
    <w:p w:rsidR="00E60165" w:rsidRPr="00E60165" w:rsidRDefault="000644E2" w:rsidP="00E60165">
      <w:pPr>
        <w:pStyle w:val="FootnoteText"/>
        <w:numPr>
          <w:ilvl w:val="0"/>
          <w:numId w:val="3"/>
        </w:numPr>
        <w:spacing w:line="480" w:lineRule="exact"/>
        <w:rPr>
          <w:rFonts w:cs="Times New Roman"/>
          <w:sz w:val="24"/>
          <w:szCs w:val="24"/>
        </w:rPr>
      </w:pPr>
      <w:r>
        <w:rPr>
          <w:rFonts w:cs="Times New Roman"/>
          <w:sz w:val="24"/>
          <w:szCs w:val="24"/>
        </w:rPr>
        <w:tab/>
      </w:r>
      <w:r w:rsidR="00E60165" w:rsidRPr="00E60165">
        <w:rPr>
          <w:rFonts w:cs="Times New Roman"/>
          <w:sz w:val="24"/>
          <w:szCs w:val="24"/>
        </w:rPr>
        <w:t>Staff’s analysis of the cost of equity relied primarily upon the Discounted Cash Flow (“DCF”) methodology.</w:t>
      </w:r>
      <w:r w:rsidR="00E13C79">
        <w:rPr>
          <w:rStyle w:val="FootnoteReference"/>
          <w:rFonts w:cs="Times New Roman"/>
          <w:sz w:val="24"/>
          <w:szCs w:val="24"/>
        </w:rPr>
        <w:footnoteReference w:id="254"/>
      </w:r>
      <w:r w:rsidR="00E60165" w:rsidRPr="00E60165">
        <w:rPr>
          <w:rFonts w:cs="Times New Roman"/>
          <w:sz w:val="24"/>
          <w:szCs w:val="24"/>
        </w:rPr>
        <w:t xml:space="preserve">  To estimate the cost of equity, the DCF model relies upon the direct evidence of stock prices trading in highly competitive markets.  In its most basic form, the DCF model states that the cost of equity is the sum of a stock’s expected dividend yield, and investor’s future expectations for long-term growth in dividends.    </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 xml:space="preserve">In calculating the dividend yield component of the DCF analysis, Staff considered a reasonable range of market prices for the common stock of each utility in the proxy group, and then estimated the dividend yield based upon actual dividends paid.  Staff’s dividend yield range compares favorably to the dividend yield range derived by both Dr. Hadaway and </w:t>
      </w:r>
      <w:r w:rsidRPr="00E60165">
        <w:rPr>
          <w:rFonts w:ascii="Times New Roman" w:hAnsi="Times New Roman" w:cs="Times New Roman"/>
          <w:i/>
          <w:sz w:val="24"/>
          <w:szCs w:val="24"/>
        </w:rPr>
        <w:t>Value Line</w:t>
      </w:r>
      <w:r w:rsidRPr="00E60165">
        <w:rPr>
          <w:rFonts w:ascii="Times New Roman" w:hAnsi="Times New Roman" w:cs="Times New Roman"/>
          <w:sz w:val="24"/>
          <w:szCs w:val="24"/>
        </w:rPr>
        <w:t xml:space="preserve"> for </w:t>
      </w:r>
      <w:r w:rsidRPr="00E60165">
        <w:rPr>
          <w:rFonts w:ascii="Times New Roman" w:hAnsi="Times New Roman" w:cs="Times New Roman"/>
          <w:sz w:val="24"/>
          <w:szCs w:val="24"/>
        </w:rPr>
        <w:lastRenderedPageBreak/>
        <w:t>the same utilities in Staff’s proxy group.</w:t>
      </w:r>
      <w:r w:rsidRPr="00E60165">
        <w:rPr>
          <w:rFonts w:ascii="Times New Roman" w:hAnsi="Times New Roman" w:cs="Times New Roman"/>
          <w:sz w:val="24"/>
          <w:szCs w:val="24"/>
          <w:vertAlign w:val="superscript"/>
        </w:rPr>
        <w:footnoteReference w:id="255"/>
      </w:r>
      <w:r w:rsidRPr="00E60165">
        <w:rPr>
          <w:rFonts w:ascii="Times New Roman" w:hAnsi="Times New Roman" w:cs="Times New Roman"/>
          <w:sz w:val="24"/>
          <w:szCs w:val="24"/>
        </w:rPr>
        <w:t xml:space="preserve">  The result is a range of expected dividend yield for the proxy group between 4.50 to 4.75 percent.</w:t>
      </w:r>
      <w:r w:rsidRPr="00E60165">
        <w:rPr>
          <w:rStyle w:val="FootnoteReference"/>
          <w:rFonts w:ascii="Times New Roman" w:hAnsi="Times New Roman" w:cs="Times New Roman"/>
          <w:sz w:val="24"/>
          <w:szCs w:val="24"/>
        </w:rPr>
        <w:footnoteReference w:id="256"/>
      </w:r>
      <w:r w:rsidRPr="00E60165">
        <w:rPr>
          <w:rFonts w:ascii="Times New Roman" w:hAnsi="Times New Roman" w:cs="Times New Roman"/>
          <w:sz w:val="24"/>
          <w:szCs w:val="24"/>
        </w:rPr>
        <w:t xml:space="preserve">  </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Estimating investor expectations for long-term sustainable growth in dividends is a much more complex process, because there are many relevant variables an analyst or investor may consider.  Staff analyzed investors’ long-term dividend growth expectations using several key financial indices:  dividends, including dividend policy, book value, retained earnings and earnings per share.</w:t>
      </w:r>
      <w:r w:rsidRPr="00E60165">
        <w:rPr>
          <w:rStyle w:val="FootnoteReference"/>
          <w:rFonts w:ascii="Times New Roman" w:hAnsi="Times New Roman" w:cs="Times New Roman"/>
          <w:sz w:val="24"/>
          <w:szCs w:val="24"/>
        </w:rPr>
        <w:footnoteReference w:id="257"/>
      </w:r>
      <w:r w:rsidRPr="00E60165">
        <w:rPr>
          <w:rFonts w:ascii="Times New Roman" w:hAnsi="Times New Roman" w:cs="Times New Roman"/>
          <w:sz w:val="24"/>
          <w:szCs w:val="24"/>
        </w:rPr>
        <w:t xml:space="preserve">  </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The importance of these indices is readily apparent, because investors know utility returns are primarily a function of historical investment; i.e., the rate base.</w:t>
      </w:r>
      <w:r w:rsidRPr="00E60165">
        <w:rPr>
          <w:rStyle w:val="FootnoteReference"/>
          <w:rFonts w:ascii="Times New Roman" w:hAnsi="Times New Roman" w:cs="Times New Roman"/>
          <w:sz w:val="24"/>
          <w:szCs w:val="24"/>
        </w:rPr>
        <w:footnoteReference w:id="258"/>
      </w:r>
      <w:r w:rsidRPr="00E60165">
        <w:rPr>
          <w:rFonts w:ascii="Times New Roman" w:hAnsi="Times New Roman" w:cs="Times New Roman"/>
          <w:sz w:val="24"/>
          <w:szCs w:val="24"/>
        </w:rPr>
        <w:t xml:space="preserve">  Therefore, Staff properly gave the most weight to both growth in book value and growth in retained earnings to inform its judgment about reasonable investor expectations for dividend growth.</w:t>
      </w:r>
      <w:r w:rsidRPr="00E60165">
        <w:rPr>
          <w:rStyle w:val="FootnoteReference"/>
          <w:rFonts w:ascii="Times New Roman" w:hAnsi="Times New Roman" w:cs="Times New Roman"/>
          <w:sz w:val="24"/>
          <w:szCs w:val="24"/>
        </w:rPr>
        <w:footnoteReference w:id="259"/>
      </w:r>
      <w:r w:rsidRPr="00E60165">
        <w:rPr>
          <w:rFonts w:ascii="Times New Roman" w:hAnsi="Times New Roman" w:cs="Times New Roman"/>
          <w:sz w:val="24"/>
          <w:szCs w:val="24"/>
        </w:rPr>
        <w:t xml:space="preserve"> </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In the process of estimating expected growth in dividends, book value, retained earnings and earnings per share, Staff carefully analyzed the financial data published by Value Line and other earnings reporting services.  This is because a competent DCF analysis should reflect how a rational investor would evaluate the data to inform their future expectations.  For example, any rational investor would consider a company’s dividend growth in light of any change in the company’s dividend policy.  Moreover, a rational investor would evaluate a utility’s historic return</w:t>
      </w:r>
      <w:r w:rsidR="008C0792">
        <w:rPr>
          <w:rFonts w:ascii="Times New Roman" w:hAnsi="Times New Roman" w:cs="Times New Roman"/>
          <w:sz w:val="24"/>
          <w:szCs w:val="24"/>
        </w:rPr>
        <w:t>s</w:t>
      </w:r>
      <w:r w:rsidRPr="00E60165">
        <w:rPr>
          <w:rFonts w:ascii="Times New Roman" w:hAnsi="Times New Roman" w:cs="Times New Roman"/>
          <w:sz w:val="24"/>
          <w:szCs w:val="24"/>
        </w:rPr>
        <w:t xml:space="preserve"> on book equity in light of unreasonably high or low results, and, by the same token, evaluate exceptionally high or low growth rates in book value.  </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In other words, Staff did what investors would do:  evaluate the data, not simply take highly dispersed data and “just average everything,” as the Company did.</w:t>
      </w:r>
      <w:r w:rsidRPr="00E60165">
        <w:rPr>
          <w:rStyle w:val="FootnoteReference"/>
          <w:rFonts w:ascii="Times New Roman" w:hAnsi="Times New Roman" w:cs="Times New Roman"/>
          <w:sz w:val="24"/>
          <w:szCs w:val="24"/>
        </w:rPr>
        <w:footnoteReference w:id="260"/>
      </w:r>
      <w:r w:rsidRPr="00E60165">
        <w:rPr>
          <w:rFonts w:ascii="Times New Roman" w:hAnsi="Times New Roman" w:cs="Times New Roman"/>
          <w:sz w:val="24"/>
          <w:szCs w:val="24"/>
        </w:rPr>
        <w:t xml:space="preserve">  As Mr. Elgin testified, each adjustment he made was consistent with DCF theory,</w:t>
      </w:r>
      <w:r w:rsidRPr="00E60165">
        <w:rPr>
          <w:rStyle w:val="FootnoteReference"/>
          <w:rFonts w:ascii="Times New Roman" w:hAnsi="Times New Roman" w:cs="Times New Roman"/>
          <w:sz w:val="24"/>
          <w:szCs w:val="24"/>
        </w:rPr>
        <w:footnoteReference w:id="261"/>
      </w:r>
      <w:r w:rsidRPr="00E60165">
        <w:rPr>
          <w:rFonts w:ascii="Times New Roman" w:hAnsi="Times New Roman" w:cs="Times New Roman"/>
          <w:sz w:val="24"/>
          <w:szCs w:val="24"/>
        </w:rPr>
        <w:t xml:space="preserve"> and fully explained:</w:t>
      </w:r>
    </w:p>
    <w:p w:rsidR="001107F3" w:rsidRDefault="001107F3" w:rsidP="00104B01">
      <w:pPr>
        <w:pStyle w:val="ListParagraph"/>
        <w:spacing w:after="0" w:line="240" w:lineRule="auto"/>
        <w:ind w:left="0"/>
        <w:rPr>
          <w:rFonts w:ascii="Times New Roman" w:hAnsi="Times New Roman" w:cs="Times New Roman"/>
          <w:sz w:val="24"/>
          <w:szCs w:val="24"/>
        </w:rPr>
      </w:pPr>
    </w:p>
    <w:p w:rsidR="001107F3" w:rsidRDefault="00E60165" w:rsidP="00104B01">
      <w:pPr>
        <w:pStyle w:val="ListParagraph"/>
        <w:spacing w:after="0" w:line="240" w:lineRule="auto"/>
        <w:rPr>
          <w:rFonts w:ascii="Times New Roman" w:hAnsi="Times New Roman" w:cs="Times New Roman"/>
          <w:sz w:val="24"/>
          <w:szCs w:val="24"/>
        </w:rPr>
      </w:pPr>
      <w:r w:rsidRPr="00E60165">
        <w:rPr>
          <w:rFonts w:ascii="Times New Roman" w:hAnsi="Times New Roman" w:cs="Times New Roman"/>
          <w:sz w:val="24"/>
          <w:szCs w:val="24"/>
        </w:rPr>
        <w:lastRenderedPageBreak/>
        <w:t>The process is extremely transparent.  You can see precisely which data I used.  I explained precisely what my judgments were and the rationale for them.  They are designed to inform the Commission and give the Commission a good foundation for what significant financial parameters go to making judgments about dividend yield and long term growth under the DCF methodology.</w:t>
      </w:r>
      <w:r w:rsidRPr="00E60165">
        <w:rPr>
          <w:rStyle w:val="FootnoteReference"/>
          <w:rFonts w:ascii="Times New Roman" w:hAnsi="Times New Roman" w:cs="Times New Roman"/>
          <w:sz w:val="24"/>
          <w:szCs w:val="24"/>
        </w:rPr>
        <w:footnoteReference w:id="262"/>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In short, Staff performed its DCF analysis as it should, by carefully considering all the published data</w:t>
      </w:r>
      <w:r w:rsidR="00B77106">
        <w:rPr>
          <w:rFonts w:ascii="Times New Roman" w:hAnsi="Times New Roman" w:cs="Times New Roman"/>
          <w:sz w:val="24"/>
          <w:szCs w:val="24"/>
        </w:rPr>
        <w:t>,</w:t>
      </w:r>
      <w:r w:rsidRPr="00E60165">
        <w:rPr>
          <w:rFonts w:ascii="Times New Roman" w:hAnsi="Times New Roman" w:cs="Times New Roman"/>
          <w:sz w:val="24"/>
          <w:szCs w:val="24"/>
        </w:rPr>
        <w:t xml:space="preserve"> similar to what investors do when making an investment decision.</w:t>
      </w:r>
      <w:r w:rsidRPr="00E60165">
        <w:rPr>
          <w:rStyle w:val="FootnoteReference"/>
          <w:rFonts w:ascii="Times New Roman" w:hAnsi="Times New Roman" w:cs="Times New Roman"/>
          <w:sz w:val="24"/>
          <w:szCs w:val="24"/>
        </w:rPr>
        <w:footnoteReference w:id="263"/>
      </w:r>
      <w:r w:rsidRPr="00E60165">
        <w:rPr>
          <w:rFonts w:ascii="Times New Roman" w:hAnsi="Times New Roman" w:cs="Times New Roman"/>
          <w:sz w:val="24"/>
          <w:szCs w:val="24"/>
        </w:rPr>
        <w:t xml:space="preserve"> After a thorough and careful consideration of the data, Staff concluded that a reasonable estimate of investor’s long-term expectations of dividend growth to be in the range of 4.5 to 5.0 percent.</w:t>
      </w:r>
      <w:r w:rsidRPr="00E60165">
        <w:rPr>
          <w:rStyle w:val="FootnoteReference"/>
          <w:rFonts w:ascii="Times New Roman" w:hAnsi="Times New Roman" w:cs="Times New Roman"/>
          <w:sz w:val="24"/>
          <w:szCs w:val="24"/>
        </w:rPr>
        <w:footnoteReference w:id="264"/>
      </w:r>
      <w:r w:rsidRPr="00E60165">
        <w:rPr>
          <w:rFonts w:ascii="Times New Roman" w:hAnsi="Times New Roman" w:cs="Times New Roman"/>
          <w:sz w:val="24"/>
          <w:szCs w:val="24"/>
        </w:rPr>
        <w:t xml:space="preserve">  Combined </w:t>
      </w:r>
      <w:r w:rsidR="00B77106">
        <w:rPr>
          <w:rFonts w:ascii="Times New Roman" w:hAnsi="Times New Roman" w:cs="Times New Roman"/>
          <w:sz w:val="24"/>
          <w:szCs w:val="24"/>
        </w:rPr>
        <w:t xml:space="preserve">this dividend yield range with </w:t>
      </w:r>
      <w:r w:rsidRPr="00E60165">
        <w:rPr>
          <w:rFonts w:ascii="Times New Roman" w:hAnsi="Times New Roman" w:cs="Times New Roman"/>
          <w:sz w:val="24"/>
          <w:szCs w:val="24"/>
        </w:rPr>
        <w:t xml:space="preserve">Staff’s range for </w:t>
      </w:r>
      <w:r w:rsidR="00B77106">
        <w:rPr>
          <w:rFonts w:ascii="Times New Roman" w:hAnsi="Times New Roman" w:cs="Times New Roman"/>
          <w:sz w:val="24"/>
          <w:szCs w:val="24"/>
        </w:rPr>
        <w:t xml:space="preserve">the </w:t>
      </w:r>
      <w:r w:rsidRPr="00E60165">
        <w:rPr>
          <w:rFonts w:ascii="Times New Roman" w:hAnsi="Times New Roman" w:cs="Times New Roman"/>
          <w:sz w:val="24"/>
          <w:szCs w:val="24"/>
        </w:rPr>
        <w:t xml:space="preserve">dividend produces a cost of common equity </w:t>
      </w:r>
      <w:r w:rsidR="00B77106">
        <w:rPr>
          <w:rFonts w:ascii="Times New Roman" w:hAnsi="Times New Roman" w:cs="Times New Roman"/>
          <w:sz w:val="24"/>
          <w:szCs w:val="24"/>
        </w:rPr>
        <w:t xml:space="preserve">range </w:t>
      </w:r>
      <w:r w:rsidRPr="00E60165">
        <w:rPr>
          <w:rFonts w:ascii="Times New Roman" w:hAnsi="Times New Roman" w:cs="Times New Roman"/>
          <w:sz w:val="24"/>
          <w:szCs w:val="24"/>
        </w:rPr>
        <w:t xml:space="preserve">of 9.00 </w:t>
      </w:r>
      <w:r w:rsidR="00B77106">
        <w:rPr>
          <w:rFonts w:ascii="Times New Roman" w:hAnsi="Times New Roman" w:cs="Times New Roman"/>
          <w:sz w:val="24"/>
          <w:szCs w:val="24"/>
        </w:rPr>
        <w:t xml:space="preserve">percent </w:t>
      </w:r>
      <w:r w:rsidRPr="00E60165">
        <w:rPr>
          <w:rFonts w:ascii="Times New Roman" w:hAnsi="Times New Roman" w:cs="Times New Roman"/>
          <w:sz w:val="24"/>
          <w:szCs w:val="24"/>
        </w:rPr>
        <w:t>to 9.75 percent.</w:t>
      </w:r>
      <w:r w:rsidRPr="00E60165">
        <w:rPr>
          <w:rStyle w:val="FootnoteReference"/>
          <w:rFonts w:ascii="Times New Roman" w:hAnsi="Times New Roman" w:cs="Times New Roman"/>
          <w:sz w:val="24"/>
          <w:szCs w:val="24"/>
        </w:rPr>
        <w:footnoteReference w:id="265"/>
      </w:r>
      <w:r w:rsidRPr="00E60165">
        <w:rPr>
          <w:rFonts w:ascii="Times New Roman" w:hAnsi="Times New Roman" w:cs="Times New Roman"/>
          <w:sz w:val="24"/>
          <w:szCs w:val="24"/>
        </w:rPr>
        <w:t xml:space="preserve">  </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While Staff placed the greatest reliance upon its DCF results for estimating return on equity, Mr. Elgin checked that estimate by using both the capital Asset Pricing Model (CAPM) and a risk premium analysis.</w:t>
      </w:r>
      <w:r w:rsidRPr="00E60165">
        <w:rPr>
          <w:rStyle w:val="FootnoteReference"/>
          <w:rFonts w:ascii="Times New Roman" w:hAnsi="Times New Roman" w:cs="Times New Roman"/>
          <w:sz w:val="24"/>
          <w:szCs w:val="24"/>
        </w:rPr>
        <w:footnoteReference w:id="266"/>
      </w:r>
      <w:r w:rsidRPr="00E60165">
        <w:rPr>
          <w:rFonts w:ascii="Times New Roman" w:hAnsi="Times New Roman" w:cs="Times New Roman"/>
          <w:sz w:val="24"/>
          <w:szCs w:val="24"/>
        </w:rPr>
        <w:t xml:space="preserve"> Each of these studies corroborated his DCF results,</w:t>
      </w:r>
      <w:r w:rsidRPr="00E60165">
        <w:rPr>
          <w:rStyle w:val="FootnoteReference"/>
          <w:rFonts w:ascii="Times New Roman" w:hAnsi="Times New Roman" w:cs="Times New Roman"/>
          <w:sz w:val="24"/>
          <w:szCs w:val="24"/>
        </w:rPr>
        <w:footnoteReference w:id="267"/>
      </w:r>
      <w:r w:rsidRPr="00E60165">
        <w:rPr>
          <w:rFonts w:ascii="Times New Roman" w:hAnsi="Times New Roman" w:cs="Times New Roman"/>
          <w:sz w:val="24"/>
          <w:szCs w:val="24"/>
        </w:rPr>
        <w:t xml:space="preserve"> and they provide additional support that the cost of capital is lower in today’s capital markets,</w:t>
      </w:r>
      <w:r w:rsidRPr="00E60165">
        <w:rPr>
          <w:rStyle w:val="FootnoteReference"/>
          <w:rFonts w:ascii="Times New Roman" w:hAnsi="Times New Roman" w:cs="Times New Roman"/>
          <w:sz w:val="24"/>
          <w:szCs w:val="24"/>
        </w:rPr>
        <w:footnoteReference w:id="268"/>
      </w:r>
      <w:r w:rsidRPr="00E60165">
        <w:rPr>
          <w:rFonts w:ascii="Times New Roman" w:hAnsi="Times New Roman" w:cs="Times New Roman"/>
          <w:sz w:val="24"/>
          <w:szCs w:val="24"/>
        </w:rPr>
        <w:t xml:space="preserve"> not higher, as PacifiCorp posits.</w:t>
      </w:r>
      <w:r w:rsidRPr="00E60165">
        <w:rPr>
          <w:rStyle w:val="FootnoteReference"/>
          <w:rFonts w:ascii="Times New Roman" w:hAnsi="Times New Roman" w:cs="Times New Roman"/>
          <w:sz w:val="24"/>
          <w:szCs w:val="24"/>
        </w:rPr>
        <w:footnoteReference w:id="269"/>
      </w:r>
      <w:r w:rsidRPr="00E60165">
        <w:rPr>
          <w:rFonts w:ascii="Times New Roman" w:hAnsi="Times New Roman" w:cs="Times New Roman"/>
          <w:sz w:val="24"/>
          <w:szCs w:val="24"/>
        </w:rPr>
        <w:t xml:space="preserve">  </w:t>
      </w:r>
    </w:p>
    <w:p w:rsidR="00E60165" w:rsidRDefault="000644E2" w:rsidP="00E60165">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E60165" w:rsidRPr="00E60165">
        <w:rPr>
          <w:rFonts w:ascii="Times New Roman" w:hAnsi="Times New Roman" w:cs="Times New Roman"/>
          <w:sz w:val="24"/>
          <w:szCs w:val="24"/>
        </w:rPr>
        <w:t xml:space="preserve">In sum, Staff based its analysis on a group of comparable companies, and provided the Commission transparent and logical analysis of the relevant available financial data for each company in the proxy group.  The Commission should find PacifiCorp’s cost of equity to be 9.5 percent, consistent with Staff’s analysis.  </w:t>
      </w:r>
    </w:p>
    <w:p w:rsidR="000644E2" w:rsidRPr="00E60165" w:rsidRDefault="000644E2" w:rsidP="000644E2">
      <w:pPr>
        <w:pStyle w:val="ListParagraph"/>
        <w:spacing w:after="0" w:line="240" w:lineRule="exact"/>
        <w:ind w:left="1440" w:hanging="720"/>
        <w:rPr>
          <w:rFonts w:ascii="Times New Roman" w:hAnsi="Times New Roman" w:cs="Times New Roman"/>
          <w:sz w:val="24"/>
          <w:szCs w:val="24"/>
        </w:rPr>
      </w:pPr>
    </w:p>
    <w:p w:rsidR="00E60165" w:rsidRPr="008F6367" w:rsidRDefault="00E60165" w:rsidP="008F6367">
      <w:pPr>
        <w:pStyle w:val="ListParagraph"/>
        <w:spacing w:after="0" w:line="240" w:lineRule="exact"/>
        <w:ind w:left="1440" w:hanging="720"/>
        <w:rPr>
          <w:rFonts w:ascii="Times New Roman" w:hAnsi="Times New Roman" w:cs="Times New Roman"/>
          <w:b/>
          <w:sz w:val="24"/>
          <w:szCs w:val="24"/>
        </w:rPr>
      </w:pPr>
      <w:r w:rsidRPr="00E60165">
        <w:rPr>
          <w:rFonts w:ascii="Times New Roman" w:hAnsi="Times New Roman" w:cs="Times New Roman"/>
          <w:b/>
          <w:sz w:val="24"/>
          <w:szCs w:val="24"/>
        </w:rPr>
        <w:t>4.</w:t>
      </w:r>
      <w:r w:rsidRPr="00E60165">
        <w:rPr>
          <w:rFonts w:ascii="Times New Roman" w:hAnsi="Times New Roman" w:cs="Times New Roman"/>
          <w:b/>
          <w:sz w:val="24"/>
          <w:szCs w:val="24"/>
        </w:rPr>
        <w:tab/>
        <w:t>PacifiCorp and ICNU’s Analyses are Based on a Proxy Group Not Comparable to PacifiCorp</w:t>
      </w:r>
    </w:p>
    <w:p w:rsidR="00E60165" w:rsidRPr="00B77106" w:rsidRDefault="000644E2" w:rsidP="00E60165">
      <w:pPr>
        <w:pStyle w:val="FootnoteText"/>
        <w:numPr>
          <w:ilvl w:val="0"/>
          <w:numId w:val="3"/>
        </w:numPr>
        <w:spacing w:line="480" w:lineRule="exact"/>
        <w:rPr>
          <w:rFonts w:cs="Times New Roman"/>
          <w:sz w:val="24"/>
          <w:szCs w:val="24"/>
        </w:rPr>
      </w:pPr>
      <w:r>
        <w:rPr>
          <w:rFonts w:cs="Times New Roman"/>
          <w:sz w:val="24"/>
          <w:szCs w:val="24"/>
        </w:rPr>
        <w:tab/>
      </w:r>
      <w:r w:rsidR="00E60165" w:rsidRPr="00E60165">
        <w:rPr>
          <w:rFonts w:cs="Times New Roman"/>
          <w:sz w:val="24"/>
          <w:szCs w:val="24"/>
        </w:rPr>
        <w:t>PacifiCorp selects a proxy group of 22 utilities to estimate PacifiCorp’s cost of equity.</w:t>
      </w:r>
      <w:r w:rsidR="00ED08E5">
        <w:rPr>
          <w:rStyle w:val="FootnoteReference"/>
          <w:rFonts w:cs="Times New Roman"/>
          <w:sz w:val="24"/>
          <w:szCs w:val="24"/>
        </w:rPr>
        <w:footnoteReference w:id="270"/>
      </w:r>
      <w:r w:rsidR="00ED08E5">
        <w:rPr>
          <w:rFonts w:cs="Times New Roman"/>
          <w:sz w:val="24"/>
          <w:szCs w:val="24"/>
        </w:rPr>
        <w:t xml:space="preserve">  </w:t>
      </w:r>
      <w:r w:rsidR="00E60165" w:rsidRPr="00B77106">
        <w:rPr>
          <w:rFonts w:cs="Times New Roman"/>
          <w:sz w:val="24"/>
          <w:szCs w:val="24"/>
        </w:rPr>
        <w:t xml:space="preserve">Dr. Hadaway created this proxy group by applying broad criteria, many of which fail to reflect </w:t>
      </w:r>
      <w:r w:rsidR="00E60165" w:rsidRPr="00B77106">
        <w:rPr>
          <w:rFonts w:cs="Times New Roman"/>
          <w:sz w:val="24"/>
          <w:szCs w:val="24"/>
        </w:rPr>
        <w:lastRenderedPageBreak/>
        <w:t xml:space="preserve">the risk profile of PacifiCorp.  </w:t>
      </w:r>
      <w:r w:rsidR="00FC6A8C">
        <w:rPr>
          <w:rFonts w:cs="Times New Roman"/>
          <w:sz w:val="24"/>
          <w:szCs w:val="24"/>
        </w:rPr>
        <w:t xml:space="preserve">For proof, </w:t>
      </w:r>
      <w:r w:rsidR="00E60165" w:rsidRPr="00B77106">
        <w:rPr>
          <w:rFonts w:cs="Times New Roman"/>
          <w:sz w:val="24"/>
          <w:szCs w:val="24"/>
        </w:rPr>
        <w:t>the Commission need look no further that his selection criterion that a “comparable” company can earn as much as 30 percent of its revenue from unregulated operations.</w:t>
      </w:r>
      <w:r w:rsidR="00E60165" w:rsidRPr="00B77106">
        <w:rPr>
          <w:rStyle w:val="FootnoteReference"/>
          <w:rFonts w:cs="Times New Roman"/>
          <w:sz w:val="24"/>
          <w:szCs w:val="24"/>
        </w:rPr>
        <w:footnoteReference w:id="271"/>
      </w:r>
      <w:r w:rsidR="00E60165" w:rsidRPr="00B77106">
        <w:rPr>
          <w:rFonts w:cs="Times New Roman"/>
          <w:sz w:val="24"/>
          <w:szCs w:val="24"/>
        </w:rPr>
        <w:t xml:space="preserve">  The result is exactly what one would expect; his proxy group is a highly disparate group, with many utilities that bear no resemblance to PacifiCorp.  </w:t>
      </w:r>
    </w:p>
    <w:p w:rsidR="00E60165" w:rsidRPr="00E60165" w:rsidRDefault="000644E2" w:rsidP="00E60165">
      <w:pPr>
        <w:pStyle w:val="FootnoteText"/>
        <w:numPr>
          <w:ilvl w:val="0"/>
          <w:numId w:val="3"/>
        </w:numPr>
        <w:spacing w:line="480" w:lineRule="exact"/>
        <w:rPr>
          <w:rFonts w:cs="Times New Roman"/>
          <w:sz w:val="24"/>
          <w:szCs w:val="24"/>
        </w:rPr>
      </w:pPr>
      <w:r w:rsidRPr="00B77106">
        <w:rPr>
          <w:rFonts w:cs="Times New Roman"/>
          <w:sz w:val="24"/>
          <w:szCs w:val="24"/>
        </w:rPr>
        <w:tab/>
      </w:r>
      <w:r w:rsidR="00E60165" w:rsidRPr="00B77106">
        <w:rPr>
          <w:rFonts w:cs="Times New Roman"/>
          <w:sz w:val="24"/>
          <w:szCs w:val="24"/>
        </w:rPr>
        <w:t>For example, Progress and Southern Company was welcomed to Dr. Hadaway’s proxy group, yet, unlike PacifiCorp, Progress and Sou</w:t>
      </w:r>
      <w:r w:rsidR="00E60165" w:rsidRPr="00E60165">
        <w:rPr>
          <w:rFonts w:cs="Times New Roman"/>
          <w:sz w:val="24"/>
          <w:szCs w:val="24"/>
        </w:rPr>
        <w:t>thern Company has investments in nuclear plants and is exposed to nuclear construction risk.</w:t>
      </w:r>
      <w:r w:rsidR="00E60165" w:rsidRPr="00E60165">
        <w:rPr>
          <w:rFonts w:cs="Times New Roman"/>
          <w:sz w:val="24"/>
          <w:szCs w:val="24"/>
          <w:vertAlign w:val="superscript"/>
        </w:rPr>
        <w:footnoteReference w:id="272"/>
      </w:r>
      <w:r w:rsidR="00E60165" w:rsidRPr="00E60165">
        <w:rPr>
          <w:rFonts w:cs="Times New Roman"/>
          <w:sz w:val="24"/>
          <w:szCs w:val="24"/>
        </w:rPr>
        <w:t xml:space="preserve">  It is difficult to imagine a utility presenting a risk profile less similar to PacifiCorp.  However, Dr. Hadaway found one:  Black Hills Corp., which is predominantly a gas distribution company (it has 557,000 gas customers and only 202,000 electric customers), plus, Black hills Corp. features a gas exploration and production business.</w:t>
      </w:r>
      <w:r w:rsidR="00E60165" w:rsidRPr="00E60165">
        <w:rPr>
          <w:rFonts w:cs="Times New Roman"/>
          <w:sz w:val="24"/>
          <w:szCs w:val="24"/>
          <w:vertAlign w:val="superscript"/>
        </w:rPr>
        <w:footnoteReference w:id="273"/>
      </w:r>
    </w:p>
    <w:p w:rsidR="00E60165" w:rsidRPr="00E60165" w:rsidRDefault="000644E2" w:rsidP="00E60165">
      <w:pPr>
        <w:pStyle w:val="FootnoteText"/>
        <w:numPr>
          <w:ilvl w:val="0"/>
          <w:numId w:val="3"/>
        </w:numPr>
        <w:spacing w:line="480" w:lineRule="exact"/>
        <w:rPr>
          <w:rFonts w:cs="Times New Roman"/>
          <w:sz w:val="24"/>
          <w:szCs w:val="24"/>
        </w:rPr>
      </w:pPr>
      <w:r>
        <w:rPr>
          <w:rFonts w:cs="Times New Roman"/>
          <w:sz w:val="24"/>
          <w:szCs w:val="24"/>
        </w:rPr>
        <w:tab/>
      </w:r>
      <w:r w:rsidR="00FC6A8C">
        <w:rPr>
          <w:rFonts w:cs="Times New Roman"/>
          <w:sz w:val="24"/>
          <w:szCs w:val="24"/>
        </w:rPr>
        <w:t xml:space="preserve">ICNU’s witness </w:t>
      </w:r>
      <w:r w:rsidR="00E60165" w:rsidRPr="00E60165">
        <w:rPr>
          <w:rFonts w:cs="Times New Roman"/>
          <w:sz w:val="24"/>
          <w:szCs w:val="24"/>
        </w:rPr>
        <w:t xml:space="preserve">Mr. Gorman relied </w:t>
      </w:r>
      <w:r w:rsidR="00FC6A8C">
        <w:rPr>
          <w:rFonts w:cs="Times New Roman"/>
          <w:sz w:val="24"/>
          <w:szCs w:val="24"/>
        </w:rPr>
        <w:t>on</w:t>
      </w:r>
      <w:r w:rsidR="00E60165" w:rsidRPr="00E60165">
        <w:rPr>
          <w:rFonts w:cs="Times New Roman"/>
          <w:sz w:val="24"/>
          <w:szCs w:val="24"/>
        </w:rPr>
        <w:t xml:space="preserve"> Dr. Hadaway’s proxy group.</w:t>
      </w:r>
      <w:r w:rsidR="00E60165" w:rsidRPr="00E60165">
        <w:rPr>
          <w:rStyle w:val="FootnoteReference"/>
          <w:rFonts w:cs="Times New Roman"/>
          <w:sz w:val="24"/>
          <w:szCs w:val="24"/>
        </w:rPr>
        <w:footnoteReference w:id="274"/>
      </w:r>
      <w:r w:rsidR="00E60165" w:rsidRPr="00E60165">
        <w:rPr>
          <w:rFonts w:cs="Times New Roman"/>
          <w:sz w:val="24"/>
          <w:szCs w:val="24"/>
        </w:rPr>
        <w:t xml:space="preserve">  For example, Mr. Gorman assumes that comparable average bond ratings equated to similar risks for equity owners.</w:t>
      </w:r>
      <w:r w:rsidR="00E60165" w:rsidRPr="00E60165">
        <w:rPr>
          <w:rFonts w:cs="Times New Roman"/>
          <w:sz w:val="24"/>
          <w:szCs w:val="24"/>
          <w:vertAlign w:val="superscript"/>
        </w:rPr>
        <w:footnoteReference w:id="275"/>
      </w:r>
      <w:r w:rsidR="00E60165" w:rsidRPr="00E60165">
        <w:rPr>
          <w:rFonts w:cs="Times New Roman"/>
          <w:sz w:val="24"/>
          <w:szCs w:val="24"/>
        </w:rPr>
        <w:t xml:space="preserve">  However, investment risk is not the same as business risk, as Staff correctly pointed out.</w:t>
      </w:r>
      <w:r w:rsidR="00E60165" w:rsidRPr="00E60165">
        <w:rPr>
          <w:rFonts w:cs="Times New Roman"/>
          <w:sz w:val="24"/>
          <w:szCs w:val="24"/>
          <w:vertAlign w:val="superscript"/>
        </w:rPr>
        <w:footnoteReference w:id="276"/>
      </w:r>
      <w:r w:rsidR="00E60165" w:rsidRPr="00E60165">
        <w:rPr>
          <w:rFonts w:cs="Times New Roman"/>
          <w:sz w:val="24"/>
          <w:szCs w:val="24"/>
        </w:rPr>
        <w:t xml:space="preserve">   Mr. Gorman also asserts that the proxy group has the same business risk, but in fact, S&amp;P rates 7 of the 22 companies in Mr. Gorman and Dr. Hadaway’s proxy group as “Strong”, not “Excellent”.</w:t>
      </w:r>
      <w:r w:rsidR="00E60165" w:rsidRPr="00E60165">
        <w:rPr>
          <w:rFonts w:cs="Times New Roman"/>
          <w:sz w:val="24"/>
          <w:szCs w:val="24"/>
          <w:vertAlign w:val="superscript"/>
        </w:rPr>
        <w:footnoteReference w:id="277"/>
      </w:r>
      <w:r w:rsidR="00E60165" w:rsidRPr="00E60165">
        <w:rPr>
          <w:rFonts w:cs="Times New Roman"/>
          <w:sz w:val="24"/>
          <w:szCs w:val="24"/>
        </w:rPr>
        <w:t xml:space="preserve">  </w:t>
      </w:r>
    </w:p>
    <w:p w:rsidR="00E60165" w:rsidRPr="00E60165" w:rsidRDefault="000644E2" w:rsidP="00E60165">
      <w:pPr>
        <w:pStyle w:val="FootnoteText"/>
        <w:numPr>
          <w:ilvl w:val="0"/>
          <w:numId w:val="3"/>
        </w:numPr>
        <w:spacing w:line="480" w:lineRule="exact"/>
        <w:rPr>
          <w:rFonts w:cs="Times New Roman"/>
          <w:sz w:val="24"/>
          <w:szCs w:val="24"/>
        </w:rPr>
      </w:pPr>
      <w:r>
        <w:rPr>
          <w:rFonts w:cs="Times New Roman"/>
          <w:sz w:val="24"/>
          <w:szCs w:val="24"/>
        </w:rPr>
        <w:tab/>
      </w:r>
      <w:r w:rsidR="00E60165" w:rsidRPr="00E60165">
        <w:rPr>
          <w:rFonts w:cs="Times New Roman"/>
          <w:sz w:val="24"/>
          <w:szCs w:val="24"/>
        </w:rPr>
        <w:t xml:space="preserve">The </w:t>
      </w:r>
      <w:r w:rsidR="00FC6A8C">
        <w:rPr>
          <w:rFonts w:cs="Times New Roman"/>
          <w:sz w:val="24"/>
          <w:szCs w:val="24"/>
        </w:rPr>
        <w:t xml:space="preserve">wide disparity between the utilities in </w:t>
      </w:r>
      <w:r w:rsidR="00E60165" w:rsidRPr="00E60165">
        <w:rPr>
          <w:rFonts w:cs="Times New Roman"/>
          <w:sz w:val="24"/>
          <w:szCs w:val="24"/>
        </w:rPr>
        <w:t xml:space="preserve">Dr. Hadaway’s and Mr. Gorman’s proxy group translates directly to unhelpful, widely disparate ROE estimates under their constant growth DCF analyses: </w:t>
      </w:r>
      <w:r w:rsidR="0043612E">
        <w:rPr>
          <w:rFonts w:cs="Times New Roman"/>
          <w:sz w:val="24"/>
          <w:szCs w:val="24"/>
        </w:rPr>
        <w:t xml:space="preserve"> from </w:t>
      </w:r>
      <w:r w:rsidR="00E60165" w:rsidRPr="00E60165">
        <w:rPr>
          <w:rFonts w:cs="Times New Roman"/>
          <w:sz w:val="24"/>
          <w:szCs w:val="24"/>
        </w:rPr>
        <w:t xml:space="preserve">7.5 percent to 13.2 percent for Dr. Hadaway, </w:t>
      </w:r>
      <w:r w:rsidR="00E60165" w:rsidRPr="00E60165">
        <w:rPr>
          <w:rFonts w:cs="Times New Roman"/>
          <w:sz w:val="24"/>
          <w:szCs w:val="24"/>
          <w:vertAlign w:val="superscript"/>
        </w:rPr>
        <w:footnoteReference w:id="278"/>
      </w:r>
      <w:r w:rsidR="00E60165" w:rsidRPr="00E60165">
        <w:rPr>
          <w:rFonts w:cs="Times New Roman"/>
          <w:sz w:val="24"/>
          <w:szCs w:val="24"/>
        </w:rPr>
        <w:t xml:space="preserve"> </w:t>
      </w:r>
      <w:r w:rsidR="00FC6A8C">
        <w:rPr>
          <w:rFonts w:cs="Times New Roman"/>
          <w:sz w:val="24"/>
          <w:szCs w:val="24"/>
        </w:rPr>
        <w:t xml:space="preserve">and </w:t>
      </w:r>
      <w:r w:rsidR="0043612E">
        <w:rPr>
          <w:rFonts w:cs="Times New Roman"/>
          <w:sz w:val="24"/>
          <w:szCs w:val="24"/>
        </w:rPr>
        <w:t xml:space="preserve">from </w:t>
      </w:r>
      <w:r w:rsidR="00E60165" w:rsidRPr="00E60165">
        <w:rPr>
          <w:rFonts w:cs="Times New Roman"/>
          <w:sz w:val="24"/>
          <w:szCs w:val="24"/>
        </w:rPr>
        <w:t>7.56 percent to 14.07 percent for Mr. Gorman.</w:t>
      </w:r>
      <w:r w:rsidR="00E60165" w:rsidRPr="00E60165">
        <w:rPr>
          <w:rFonts w:cs="Times New Roman"/>
          <w:sz w:val="24"/>
          <w:szCs w:val="24"/>
          <w:vertAlign w:val="superscript"/>
        </w:rPr>
        <w:footnoteReference w:id="279"/>
      </w:r>
      <w:r w:rsidR="00E60165" w:rsidRPr="00E60165">
        <w:rPr>
          <w:rFonts w:cs="Times New Roman"/>
          <w:sz w:val="24"/>
          <w:szCs w:val="24"/>
        </w:rPr>
        <w:t xml:space="preserve">  These ranges are far broader than the already too broad 8.4 </w:t>
      </w:r>
      <w:r w:rsidR="00DF2CF4">
        <w:rPr>
          <w:rFonts w:cs="Times New Roman"/>
          <w:sz w:val="24"/>
          <w:szCs w:val="24"/>
        </w:rPr>
        <w:t xml:space="preserve">percent </w:t>
      </w:r>
      <w:r w:rsidR="00E60165" w:rsidRPr="00E60165">
        <w:rPr>
          <w:rFonts w:cs="Times New Roman"/>
          <w:sz w:val="24"/>
          <w:szCs w:val="24"/>
        </w:rPr>
        <w:t xml:space="preserve">to 12.3 percent range Dr. Hadaway first </w:t>
      </w:r>
      <w:r w:rsidR="00DF2CF4">
        <w:rPr>
          <w:rFonts w:cs="Times New Roman"/>
          <w:sz w:val="24"/>
          <w:szCs w:val="24"/>
        </w:rPr>
        <w:t>produced</w:t>
      </w:r>
      <w:r w:rsidR="00E60165" w:rsidRPr="00E60165">
        <w:rPr>
          <w:rFonts w:cs="Times New Roman"/>
          <w:sz w:val="24"/>
          <w:szCs w:val="24"/>
        </w:rPr>
        <w:t>,</w:t>
      </w:r>
      <w:r w:rsidR="00E60165" w:rsidRPr="00E60165">
        <w:rPr>
          <w:rFonts w:cs="Times New Roman"/>
          <w:sz w:val="24"/>
          <w:szCs w:val="24"/>
          <w:vertAlign w:val="superscript"/>
        </w:rPr>
        <w:footnoteReference w:id="280"/>
      </w:r>
      <w:r w:rsidR="00E60165" w:rsidRPr="00E60165">
        <w:rPr>
          <w:rFonts w:cs="Times New Roman"/>
          <w:sz w:val="24"/>
          <w:szCs w:val="24"/>
        </w:rPr>
        <w:t xml:space="preserve"> which Mr. Elgin testified was “simply too </w:t>
      </w:r>
      <w:r w:rsidR="00E60165" w:rsidRPr="00E60165">
        <w:rPr>
          <w:rFonts w:cs="Times New Roman"/>
          <w:sz w:val="24"/>
          <w:szCs w:val="24"/>
        </w:rPr>
        <w:lastRenderedPageBreak/>
        <w:t>broad a range for a group of companies that are supposed to be ’comparable’.”</w:t>
      </w:r>
      <w:r w:rsidR="00E60165" w:rsidRPr="00E60165">
        <w:rPr>
          <w:rFonts w:cs="Times New Roman"/>
          <w:sz w:val="24"/>
          <w:szCs w:val="24"/>
          <w:vertAlign w:val="superscript"/>
        </w:rPr>
        <w:footnoteReference w:id="281"/>
      </w:r>
      <w:r w:rsidR="00E60165" w:rsidRPr="00E60165">
        <w:rPr>
          <w:rFonts w:cs="Times New Roman"/>
          <w:sz w:val="24"/>
          <w:szCs w:val="24"/>
        </w:rPr>
        <w:t xml:space="preserve">  As he succinctly summarized:  these results are “simply too variable and not credible”.</w:t>
      </w:r>
      <w:r w:rsidR="00E60165" w:rsidRPr="00E60165">
        <w:rPr>
          <w:rStyle w:val="FootnoteReference"/>
          <w:rFonts w:cs="Times New Roman"/>
          <w:sz w:val="24"/>
          <w:szCs w:val="24"/>
        </w:rPr>
        <w:footnoteReference w:id="282"/>
      </w:r>
      <w:r w:rsidR="00E60165" w:rsidRPr="00E60165">
        <w:rPr>
          <w:rFonts w:cs="Times New Roman"/>
          <w:sz w:val="24"/>
          <w:szCs w:val="24"/>
        </w:rPr>
        <w:t xml:space="preserve">  </w:t>
      </w:r>
    </w:p>
    <w:p w:rsidR="00E60165" w:rsidRPr="00E60165" w:rsidRDefault="000644E2" w:rsidP="00E60165">
      <w:pPr>
        <w:pStyle w:val="FootnoteText"/>
        <w:numPr>
          <w:ilvl w:val="0"/>
          <w:numId w:val="3"/>
        </w:numPr>
        <w:spacing w:line="480" w:lineRule="exact"/>
        <w:rPr>
          <w:rFonts w:cs="Times New Roman"/>
          <w:sz w:val="24"/>
          <w:szCs w:val="24"/>
        </w:rPr>
      </w:pPr>
      <w:r>
        <w:rPr>
          <w:rFonts w:cs="Times New Roman"/>
          <w:sz w:val="24"/>
          <w:szCs w:val="24"/>
        </w:rPr>
        <w:tab/>
      </w:r>
      <w:r w:rsidR="00E60165" w:rsidRPr="00E60165">
        <w:rPr>
          <w:rFonts w:cs="Times New Roman"/>
          <w:sz w:val="24"/>
          <w:szCs w:val="24"/>
        </w:rPr>
        <w:t>In a prior PacifiCorp rate case, the Commission said, “We note that the divergence in the extremes of analytical results presented by cost of capital witnesses had been growing in our recent proceedings.  We find these extreme values to be of little practical use.”</w:t>
      </w:r>
      <w:r w:rsidR="00E60165" w:rsidRPr="00E60165">
        <w:rPr>
          <w:rFonts w:cs="Times New Roman"/>
          <w:sz w:val="24"/>
          <w:szCs w:val="24"/>
          <w:vertAlign w:val="superscript"/>
        </w:rPr>
        <w:footnoteReference w:id="283"/>
      </w:r>
      <w:r w:rsidR="00E60165" w:rsidRPr="00E60165">
        <w:rPr>
          <w:rFonts w:cs="Times New Roman"/>
          <w:sz w:val="24"/>
          <w:szCs w:val="24"/>
        </w:rPr>
        <w:t xml:space="preserve">  That statement applies here.  Both Dr. Hadaway’s and Mr. Gorman’s constant growth DCF results reflect a very high variability, which proves the proxy group is not representative, and renders them of little practical use to the Commission.</w:t>
      </w:r>
      <w:r w:rsidR="00E60165" w:rsidRPr="00E60165">
        <w:rPr>
          <w:rFonts w:cs="Times New Roman"/>
          <w:sz w:val="24"/>
          <w:szCs w:val="24"/>
          <w:vertAlign w:val="superscript"/>
        </w:rPr>
        <w:footnoteReference w:id="284"/>
      </w:r>
    </w:p>
    <w:p w:rsidR="00E60165" w:rsidRPr="00E60165" w:rsidRDefault="000644E2" w:rsidP="00E60165">
      <w:pPr>
        <w:pStyle w:val="FootnoteText"/>
        <w:numPr>
          <w:ilvl w:val="0"/>
          <w:numId w:val="3"/>
        </w:numPr>
        <w:spacing w:line="480" w:lineRule="exact"/>
        <w:rPr>
          <w:rFonts w:cs="Times New Roman"/>
          <w:sz w:val="24"/>
          <w:szCs w:val="24"/>
        </w:rPr>
      </w:pPr>
      <w:r>
        <w:rPr>
          <w:rFonts w:cs="Times New Roman"/>
          <w:sz w:val="24"/>
          <w:szCs w:val="24"/>
        </w:rPr>
        <w:tab/>
      </w:r>
      <w:r w:rsidR="00E60165" w:rsidRPr="00E60165">
        <w:rPr>
          <w:rFonts w:cs="Times New Roman"/>
          <w:sz w:val="24"/>
          <w:szCs w:val="24"/>
        </w:rPr>
        <w:t xml:space="preserve">Dr. Hadaway </w:t>
      </w:r>
      <w:r w:rsidR="00FC6A8C">
        <w:rPr>
          <w:rFonts w:cs="Times New Roman"/>
          <w:sz w:val="24"/>
          <w:szCs w:val="24"/>
        </w:rPr>
        <w:t xml:space="preserve">tried </w:t>
      </w:r>
      <w:r w:rsidR="00E60165" w:rsidRPr="00E60165">
        <w:rPr>
          <w:rFonts w:cs="Times New Roman"/>
          <w:sz w:val="24"/>
          <w:szCs w:val="24"/>
        </w:rPr>
        <w:t xml:space="preserve">to explain away this core deficiency in his case by offering solace that these disparate characteristics because “one company’s problem data tends to be balanced out by </w:t>
      </w:r>
      <w:r w:rsidR="00FC6A8C">
        <w:rPr>
          <w:rFonts w:cs="Times New Roman"/>
          <w:sz w:val="24"/>
          <w:szCs w:val="24"/>
        </w:rPr>
        <w:t>…</w:t>
      </w:r>
      <w:r w:rsidR="00E60165" w:rsidRPr="00E60165">
        <w:rPr>
          <w:rFonts w:cs="Times New Roman"/>
          <w:sz w:val="24"/>
          <w:szCs w:val="24"/>
        </w:rPr>
        <w:t xml:space="preserve"> high numbers balance the low numbers, and vice versa.”</w:t>
      </w:r>
      <w:r w:rsidR="00E60165" w:rsidRPr="00E60165">
        <w:rPr>
          <w:rFonts w:cs="Times New Roman"/>
          <w:sz w:val="24"/>
          <w:szCs w:val="24"/>
          <w:vertAlign w:val="superscript"/>
        </w:rPr>
        <w:footnoteReference w:id="285"/>
      </w:r>
      <w:r w:rsidR="00E60165" w:rsidRPr="00E60165">
        <w:rPr>
          <w:rFonts w:cs="Times New Roman"/>
          <w:sz w:val="24"/>
          <w:szCs w:val="24"/>
        </w:rPr>
        <w:t xml:space="preserve">  This </w:t>
      </w:r>
      <w:r w:rsidR="00FC6A8C">
        <w:rPr>
          <w:rFonts w:cs="Times New Roman"/>
          <w:sz w:val="24"/>
          <w:szCs w:val="24"/>
        </w:rPr>
        <w:t xml:space="preserve">testimony begs the obvious question </w:t>
      </w:r>
      <w:r w:rsidR="00E60165" w:rsidRPr="00E60165">
        <w:rPr>
          <w:rFonts w:cs="Times New Roman"/>
          <w:sz w:val="24"/>
          <w:szCs w:val="24"/>
        </w:rPr>
        <w:t xml:space="preserve">why the Commission </w:t>
      </w:r>
      <w:r w:rsidR="00FC6A8C">
        <w:rPr>
          <w:rFonts w:cs="Times New Roman"/>
          <w:sz w:val="24"/>
          <w:szCs w:val="24"/>
        </w:rPr>
        <w:t>w</w:t>
      </w:r>
      <w:r w:rsidR="00E60165" w:rsidRPr="00E60165">
        <w:rPr>
          <w:rFonts w:cs="Times New Roman"/>
          <w:sz w:val="24"/>
          <w:szCs w:val="24"/>
        </w:rPr>
        <w:t xml:space="preserve">ould </w:t>
      </w:r>
      <w:r w:rsidR="006738BF">
        <w:rPr>
          <w:rFonts w:cs="Times New Roman"/>
          <w:sz w:val="24"/>
          <w:szCs w:val="24"/>
        </w:rPr>
        <w:t>accept a</w:t>
      </w:r>
      <w:r w:rsidR="00A66520">
        <w:rPr>
          <w:rFonts w:cs="Times New Roman"/>
          <w:sz w:val="24"/>
          <w:szCs w:val="24"/>
        </w:rPr>
        <w:t>s</w:t>
      </w:r>
      <w:r w:rsidR="006738BF">
        <w:rPr>
          <w:rFonts w:cs="Times New Roman"/>
          <w:sz w:val="24"/>
          <w:szCs w:val="24"/>
        </w:rPr>
        <w:t xml:space="preserve"> comparable </w:t>
      </w:r>
      <w:r w:rsidR="00A66520">
        <w:rPr>
          <w:rFonts w:cs="Times New Roman"/>
          <w:sz w:val="24"/>
          <w:szCs w:val="24"/>
        </w:rPr>
        <w:t xml:space="preserve">a </w:t>
      </w:r>
      <w:r w:rsidR="006738BF">
        <w:rPr>
          <w:rFonts w:cs="Times New Roman"/>
          <w:sz w:val="24"/>
          <w:szCs w:val="24"/>
        </w:rPr>
        <w:t>group with</w:t>
      </w:r>
      <w:r w:rsidR="004B0054">
        <w:rPr>
          <w:rFonts w:cs="Times New Roman"/>
          <w:sz w:val="24"/>
          <w:szCs w:val="24"/>
        </w:rPr>
        <w:t xml:space="preserve"> </w:t>
      </w:r>
      <w:r w:rsidR="00A66520">
        <w:rPr>
          <w:rFonts w:cs="Times New Roman"/>
          <w:sz w:val="24"/>
          <w:szCs w:val="24"/>
        </w:rPr>
        <w:t xml:space="preserve">such </w:t>
      </w:r>
      <w:r w:rsidR="004B0054">
        <w:rPr>
          <w:rFonts w:cs="Times New Roman"/>
          <w:sz w:val="24"/>
          <w:szCs w:val="24"/>
        </w:rPr>
        <w:t xml:space="preserve">widely </w:t>
      </w:r>
      <w:r w:rsidR="006738BF">
        <w:rPr>
          <w:rFonts w:cs="Times New Roman"/>
          <w:sz w:val="24"/>
          <w:szCs w:val="24"/>
        </w:rPr>
        <w:t>disparate</w:t>
      </w:r>
      <w:r w:rsidR="00E60165" w:rsidRPr="00E60165">
        <w:rPr>
          <w:rFonts w:cs="Times New Roman"/>
          <w:sz w:val="24"/>
          <w:szCs w:val="24"/>
        </w:rPr>
        <w:t xml:space="preserve"> data</w:t>
      </w:r>
      <w:r w:rsidR="004B0054">
        <w:rPr>
          <w:rFonts w:cs="Times New Roman"/>
          <w:sz w:val="24"/>
          <w:szCs w:val="24"/>
        </w:rPr>
        <w:t xml:space="preserve"> </w:t>
      </w:r>
      <w:r w:rsidR="00E60165" w:rsidRPr="00E60165">
        <w:rPr>
          <w:rFonts w:cs="Times New Roman"/>
          <w:sz w:val="24"/>
          <w:szCs w:val="24"/>
        </w:rPr>
        <w:t>in the first place</w:t>
      </w:r>
      <w:r w:rsidR="00A66520">
        <w:rPr>
          <w:rFonts w:cs="Times New Roman"/>
          <w:sz w:val="24"/>
          <w:szCs w:val="24"/>
        </w:rPr>
        <w:t xml:space="preserve">.  </w:t>
      </w:r>
      <w:r w:rsidR="00FC6A8C">
        <w:rPr>
          <w:rFonts w:cs="Times New Roman"/>
          <w:sz w:val="24"/>
          <w:szCs w:val="24"/>
        </w:rPr>
        <w:t xml:space="preserve">In any event, </w:t>
      </w:r>
      <w:r w:rsidR="00E60165" w:rsidRPr="00E60165">
        <w:rPr>
          <w:rFonts w:cs="Times New Roman"/>
          <w:sz w:val="24"/>
          <w:szCs w:val="24"/>
        </w:rPr>
        <w:t>there is no evidence this “problem data balancing</w:t>
      </w:r>
      <w:r w:rsidR="00FC6A8C">
        <w:rPr>
          <w:rFonts w:cs="Times New Roman"/>
          <w:sz w:val="24"/>
          <w:szCs w:val="24"/>
        </w:rPr>
        <w:t>”</w:t>
      </w:r>
      <w:r w:rsidR="00E60165" w:rsidRPr="00E60165">
        <w:rPr>
          <w:rFonts w:cs="Times New Roman"/>
          <w:sz w:val="24"/>
          <w:szCs w:val="24"/>
        </w:rPr>
        <w:t xml:space="preserve"> </w:t>
      </w:r>
      <w:r w:rsidR="00FC6A8C">
        <w:rPr>
          <w:rFonts w:cs="Times New Roman"/>
          <w:sz w:val="24"/>
          <w:szCs w:val="24"/>
        </w:rPr>
        <w:t>phenomenon</w:t>
      </w:r>
      <w:r w:rsidR="00E60165" w:rsidRPr="00E60165">
        <w:rPr>
          <w:rFonts w:cs="Times New Roman"/>
          <w:sz w:val="24"/>
          <w:szCs w:val="24"/>
        </w:rPr>
        <w:t xml:space="preserve"> accurately accounts for the fundamental risk differences in his proxy group.  If it did, that would be serendipity.</w:t>
      </w:r>
      <w:r w:rsidR="00E60165" w:rsidRPr="00E60165">
        <w:rPr>
          <w:rFonts w:cs="Times New Roman"/>
          <w:sz w:val="24"/>
          <w:szCs w:val="24"/>
          <w:vertAlign w:val="superscript"/>
        </w:rPr>
        <w:footnoteReference w:id="286"/>
      </w:r>
    </w:p>
    <w:p w:rsidR="00E60165" w:rsidRDefault="000644E2" w:rsidP="00E60165">
      <w:pPr>
        <w:pStyle w:val="FootnoteText"/>
        <w:numPr>
          <w:ilvl w:val="0"/>
          <w:numId w:val="3"/>
        </w:numPr>
        <w:spacing w:line="480" w:lineRule="exact"/>
        <w:rPr>
          <w:rFonts w:cs="Times New Roman"/>
          <w:sz w:val="24"/>
          <w:szCs w:val="24"/>
        </w:rPr>
      </w:pPr>
      <w:r>
        <w:rPr>
          <w:rFonts w:cs="Times New Roman"/>
          <w:sz w:val="24"/>
          <w:szCs w:val="24"/>
        </w:rPr>
        <w:lastRenderedPageBreak/>
        <w:tab/>
      </w:r>
      <w:r w:rsidR="00E60165" w:rsidRPr="00E60165">
        <w:rPr>
          <w:rFonts w:cs="Times New Roman"/>
          <w:sz w:val="24"/>
          <w:szCs w:val="24"/>
        </w:rPr>
        <w:t xml:space="preserve">The Commission deserves better.  The bottom line is that the proxy group used by PacifiCorp and ICNU are not of comparable risk to PacifiCorp.  The Commission should reject the proxy group of PacifiCorp and ICNU and the results they generate.  </w:t>
      </w:r>
    </w:p>
    <w:p w:rsidR="000644E2" w:rsidRPr="00E60165" w:rsidRDefault="000644E2" w:rsidP="000644E2">
      <w:pPr>
        <w:pStyle w:val="FootnoteText"/>
        <w:spacing w:line="240" w:lineRule="exact"/>
        <w:ind w:left="1440" w:hanging="720"/>
        <w:rPr>
          <w:rFonts w:cs="Times New Roman"/>
          <w:sz w:val="24"/>
          <w:szCs w:val="24"/>
        </w:rPr>
      </w:pPr>
    </w:p>
    <w:p w:rsidR="00E60165" w:rsidRPr="008F6367" w:rsidRDefault="00E60165" w:rsidP="008F6367">
      <w:pPr>
        <w:pStyle w:val="ListParagraph"/>
        <w:spacing w:after="0" w:line="240" w:lineRule="exact"/>
        <w:ind w:left="1440" w:hanging="720"/>
        <w:rPr>
          <w:rFonts w:ascii="Times New Roman" w:hAnsi="Times New Roman" w:cs="Times New Roman"/>
          <w:b/>
          <w:sz w:val="24"/>
          <w:szCs w:val="24"/>
        </w:rPr>
      </w:pPr>
      <w:r w:rsidRPr="00E60165">
        <w:rPr>
          <w:rFonts w:ascii="Times New Roman" w:hAnsi="Times New Roman" w:cs="Times New Roman"/>
          <w:b/>
          <w:sz w:val="24"/>
          <w:szCs w:val="24"/>
        </w:rPr>
        <w:t>5.</w:t>
      </w:r>
      <w:r w:rsidRPr="00E60165">
        <w:rPr>
          <w:rFonts w:ascii="Times New Roman" w:hAnsi="Times New Roman" w:cs="Times New Roman"/>
          <w:b/>
          <w:sz w:val="24"/>
          <w:szCs w:val="24"/>
        </w:rPr>
        <w:tab/>
        <w:t xml:space="preserve">PacifiCorp’s DCF Results are Driven by Dr. Hadaway’s Undefended Choice of Weighting Historical GDP Data </w:t>
      </w:r>
    </w:p>
    <w:p w:rsidR="00E60165" w:rsidRPr="00E60165" w:rsidRDefault="000644E2" w:rsidP="00E60165">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E60165" w:rsidRPr="00E60165">
        <w:rPr>
          <w:rFonts w:ascii="Times New Roman" w:hAnsi="Times New Roman" w:cs="Times New Roman"/>
          <w:sz w:val="24"/>
          <w:szCs w:val="24"/>
        </w:rPr>
        <w:t xml:space="preserve">Even if the Commission were to ignore Dr. Hadaway’s defective proxy group, the Commission would still find his ROE estimate to be excessive, because his ROE recommendation is principally supported by another proxy for long-term dividend growth:  Gross Domestic </w:t>
      </w:r>
      <w:r w:rsidR="00E13C79">
        <w:rPr>
          <w:rFonts w:ascii="Times New Roman" w:hAnsi="Times New Roman" w:cs="Times New Roman"/>
          <w:sz w:val="24"/>
          <w:szCs w:val="24"/>
        </w:rPr>
        <w:t>P</w:t>
      </w:r>
      <w:r w:rsidR="00E60165" w:rsidRPr="00E60165">
        <w:rPr>
          <w:rFonts w:ascii="Times New Roman" w:hAnsi="Times New Roman" w:cs="Times New Roman"/>
          <w:sz w:val="24"/>
          <w:szCs w:val="24"/>
        </w:rPr>
        <w:t xml:space="preserve">roduct (GDP).  </w:t>
      </w:r>
    </w:p>
    <w:p w:rsidR="00E60165" w:rsidRPr="00E60165" w:rsidRDefault="000644E2" w:rsidP="00E60165">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E60165" w:rsidRPr="00E60165">
        <w:rPr>
          <w:rFonts w:ascii="Times New Roman" w:hAnsi="Times New Roman" w:cs="Times New Roman"/>
          <w:sz w:val="24"/>
          <w:szCs w:val="24"/>
        </w:rPr>
        <w:t xml:space="preserve">While the Commission has ruled that if GDP is used, “it should be a forward-looking, </w:t>
      </w:r>
      <w:r w:rsidR="00E60165" w:rsidRPr="00E60165">
        <w:rPr>
          <w:rFonts w:ascii="Times New Roman" w:hAnsi="Times New Roman" w:cs="Times New Roman"/>
          <w:i/>
          <w:sz w:val="24"/>
          <w:szCs w:val="24"/>
        </w:rPr>
        <w:t>not an historical average</w:t>
      </w:r>
      <w:r w:rsidR="00E60165" w:rsidRPr="00E60165">
        <w:rPr>
          <w:rFonts w:ascii="Times New Roman" w:hAnsi="Times New Roman" w:cs="Times New Roman"/>
          <w:sz w:val="24"/>
          <w:szCs w:val="24"/>
        </w:rPr>
        <w:t>,”</w:t>
      </w:r>
      <w:r w:rsidR="00E60165" w:rsidRPr="00E60165">
        <w:rPr>
          <w:rStyle w:val="FootnoteReference"/>
          <w:rFonts w:ascii="Times New Roman" w:hAnsi="Times New Roman" w:cs="Times New Roman"/>
          <w:sz w:val="24"/>
          <w:szCs w:val="24"/>
        </w:rPr>
        <w:footnoteReference w:id="287"/>
      </w:r>
      <w:r w:rsidR="00E60165" w:rsidRPr="00E60165">
        <w:rPr>
          <w:rFonts w:ascii="Times New Roman" w:hAnsi="Times New Roman" w:cs="Times New Roman"/>
          <w:sz w:val="24"/>
          <w:szCs w:val="24"/>
        </w:rPr>
        <w:t xml:space="preserve"> Dr. Hadaway insisted on using an historical average; he used no credible forecast of GDP growth whatsoever.</w:t>
      </w:r>
      <w:r w:rsidR="00E60165" w:rsidRPr="00E60165">
        <w:rPr>
          <w:rStyle w:val="FootnoteReference"/>
          <w:rFonts w:ascii="Times New Roman" w:hAnsi="Times New Roman" w:cs="Times New Roman"/>
          <w:sz w:val="24"/>
          <w:szCs w:val="24"/>
        </w:rPr>
        <w:footnoteReference w:id="288"/>
      </w:r>
      <w:r w:rsidR="00E60165" w:rsidRPr="00E60165">
        <w:rPr>
          <w:rFonts w:ascii="Times New Roman" w:hAnsi="Times New Roman" w:cs="Times New Roman"/>
          <w:sz w:val="24"/>
          <w:szCs w:val="24"/>
        </w:rPr>
        <w:t xml:space="preserve">  Moreover, his future GDP growth estimate is based on his own notion of a weighting scheme using 60 years of historical GDP growth data.</w:t>
      </w:r>
      <w:r w:rsidR="00E60165" w:rsidRPr="00E60165">
        <w:rPr>
          <w:rStyle w:val="FootnoteReference"/>
          <w:rFonts w:ascii="Times New Roman" w:hAnsi="Times New Roman" w:cs="Times New Roman"/>
          <w:sz w:val="24"/>
          <w:szCs w:val="24"/>
        </w:rPr>
        <w:footnoteReference w:id="289"/>
      </w:r>
      <w:r w:rsidR="00E60165" w:rsidRPr="00E60165">
        <w:rPr>
          <w:rFonts w:ascii="Times New Roman" w:hAnsi="Times New Roman" w:cs="Times New Roman"/>
          <w:sz w:val="24"/>
          <w:szCs w:val="24"/>
        </w:rPr>
        <w:t xml:space="preserve">  The Commission will search the record in vain </w:t>
      </w:r>
      <w:r w:rsidR="00AA7D2A">
        <w:rPr>
          <w:rFonts w:ascii="Times New Roman" w:hAnsi="Times New Roman" w:cs="Times New Roman"/>
          <w:sz w:val="24"/>
          <w:szCs w:val="24"/>
        </w:rPr>
        <w:t>for</w:t>
      </w:r>
      <w:r w:rsidR="00E60165" w:rsidRPr="00E60165">
        <w:rPr>
          <w:rFonts w:ascii="Times New Roman" w:hAnsi="Times New Roman" w:cs="Times New Roman"/>
          <w:sz w:val="24"/>
          <w:szCs w:val="24"/>
        </w:rPr>
        <w:t xml:space="preserve"> any explanation why his choice of weighting the data is better than another </w:t>
      </w:r>
      <w:r w:rsidR="00FC6A8C">
        <w:rPr>
          <w:rFonts w:ascii="Times New Roman" w:hAnsi="Times New Roman" w:cs="Times New Roman"/>
          <w:sz w:val="24"/>
          <w:szCs w:val="24"/>
        </w:rPr>
        <w:t xml:space="preserve">weighting </w:t>
      </w:r>
      <w:r w:rsidR="00E60165" w:rsidRPr="00E60165">
        <w:rPr>
          <w:rFonts w:ascii="Times New Roman" w:hAnsi="Times New Roman" w:cs="Times New Roman"/>
          <w:sz w:val="24"/>
          <w:szCs w:val="24"/>
        </w:rPr>
        <w:t>choice.</w:t>
      </w:r>
    </w:p>
    <w:p w:rsidR="00E60165" w:rsidRPr="00E60165" w:rsidRDefault="000644E2" w:rsidP="00E60165">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E60165" w:rsidRPr="00E60165">
        <w:rPr>
          <w:rFonts w:ascii="Times New Roman" w:hAnsi="Times New Roman" w:cs="Times New Roman"/>
          <w:sz w:val="24"/>
          <w:szCs w:val="24"/>
        </w:rPr>
        <w:t>Notably, had Dr. Hadaway used the available long-term GDP forecasts, his alternate DCF analyses would have produced an ROE estimate of 9.6 percent, consistent with Staff’s recommendation.</w:t>
      </w:r>
      <w:r w:rsidR="00E60165" w:rsidRPr="00E60165">
        <w:rPr>
          <w:rStyle w:val="FootnoteReference"/>
          <w:rFonts w:ascii="Times New Roman" w:hAnsi="Times New Roman" w:cs="Times New Roman"/>
          <w:sz w:val="24"/>
          <w:szCs w:val="24"/>
        </w:rPr>
        <w:footnoteReference w:id="290"/>
      </w:r>
      <w:r w:rsidR="00E60165" w:rsidRPr="00E60165">
        <w:rPr>
          <w:rFonts w:ascii="Times New Roman" w:hAnsi="Times New Roman" w:cs="Times New Roman"/>
          <w:sz w:val="24"/>
          <w:szCs w:val="24"/>
        </w:rPr>
        <w:t xml:space="preserve">  </w:t>
      </w:r>
    </w:p>
    <w:p w:rsidR="00E60165" w:rsidRPr="00E60165" w:rsidRDefault="00193CAD" w:rsidP="00692951">
      <w:pPr>
        <w:pStyle w:val="ListParagraph"/>
        <w:spacing w:after="0" w:line="480" w:lineRule="exact"/>
        <w:ind w:left="0" w:firstLine="720"/>
        <w:rPr>
          <w:rFonts w:ascii="Times New Roman" w:hAnsi="Times New Roman" w:cs="Times New Roman"/>
          <w:b/>
          <w:sz w:val="24"/>
          <w:szCs w:val="24"/>
        </w:rPr>
      </w:pPr>
      <w:r>
        <w:rPr>
          <w:rFonts w:ascii="Times New Roman" w:hAnsi="Times New Roman" w:cs="Times New Roman"/>
          <w:b/>
          <w:sz w:val="24"/>
          <w:szCs w:val="24"/>
        </w:rPr>
        <w:t>6</w:t>
      </w:r>
      <w:r w:rsidR="00E60165" w:rsidRPr="00E60165">
        <w:rPr>
          <w:rFonts w:ascii="Times New Roman" w:hAnsi="Times New Roman" w:cs="Times New Roman"/>
          <w:b/>
          <w:sz w:val="24"/>
          <w:szCs w:val="24"/>
        </w:rPr>
        <w:t>.</w:t>
      </w:r>
      <w:r w:rsidR="00E60165" w:rsidRPr="00E60165">
        <w:rPr>
          <w:rFonts w:ascii="Times New Roman" w:hAnsi="Times New Roman" w:cs="Times New Roman"/>
          <w:b/>
          <w:sz w:val="24"/>
          <w:szCs w:val="24"/>
        </w:rPr>
        <w:tab/>
        <w:t>Conclusion</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 xml:space="preserve">Staff’s cost of equity of 9.50 percent is reasonable, and based on proper financial analysis.  Staff’s DCF results are founded on reliable published data for a proxy group of utilities that are comparable to PacifiCorp.  Staff fully explained how it </w:t>
      </w:r>
      <w:r w:rsidR="00E13C79">
        <w:rPr>
          <w:rFonts w:ascii="Times New Roman" w:hAnsi="Times New Roman" w:cs="Times New Roman"/>
          <w:sz w:val="24"/>
          <w:szCs w:val="24"/>
        </w:rPr>
        <w:t xml:space="preserve">selected its proxy group and </w:t>
      </w:r>
      <w:r w:rsidRPr="00E60165">
        <w:rPr>
          <w:rFonts w:ascii="Times New Roman" w:hAnsi="Times New Roman" w:cs="Times New Roman"/>
          <w:sz w:val="24"/>
          <w:szCs w:val="24"/>
        </w:rPr>
        <w:lastRenderedPageBreak/>
        <w:t xml:space="preserve">analyzed the data for each company, resulting in a transparent analysis that is fully consistent with DCF theory and how a rational investment decision is made.  Staff’s corroborated its DCF results by CAPM and risk premium analysis.  The Commission should find PacifiCorp’s cost of common equity to be no more than 9.5 percent.    </w:t>
      </w:r>
    </w:p>
    <w:p w:rsidR="00E60165" w:rsidRPr="00E60165" w:rsidRDefault="00E60165" w:rsidP="000644E2">
      <w:pPr>
        <w:pStyle w:val="ListParagraph"/>
        <w:spacing w:after="0" w:line="480" w:lineRule="exact"/>
        <w:ind w:left="0"/>
        <w:rPr>
          <w:rFonts w:ascii="Times New Roman" w:hAnsi="Times New Roman" w:cs="Times New Roman"/>
          <w:b/>
          <w:sz w:val="24"/>
          <w:szCs w:val="24"/>
        </w:rPr>
      </w:pPr>
      <w:r w:rsidRPr="00E60165">
        <w:rPr>
          <w:rFonts w:ascii="Times New Roman" w:hAnsi="Times New Roman" w:cs="Times New Roman"/>
          <w:b/>
          <w:sz w:val="24"/>
          <w:szCs w:val="24"/>
        </w:rPr>
        <w:t>D.</w:t>
      </w:r>
      <w:r w:rsidRPr="00E60165">
        <w:rPr>
          <w:rFonts w:ascii="Times New Roman" w:hAnsi="Times New Roman" w:cs="Times New Roman"/>
          <w:b/>
          <w:sz w:val="24"/>
          <w:szCs w:val="24"/>
        </w:rPr>
        <w:tab/>
        <w:t>Cost of Long-Term Debt</w:t>
      </w:r>
    </w:p>
    <w:p w:rsid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Commission Staff accepted the Company’s proposed 5.89 percent cost of long-term debt as a reasonable.</w:t>
      </w:r>
      <w:r w:rsidRPr="00E60165">
        <w:rPr>
          <w:rFonts w:ascii="Times New Roman" w:hAnsi="Times New Roman" w:cs="Times New Roman"/>
          <w:sz w:val="24"/>
          <w:szCs w:val="24"/>
          <w:vertAlign w:val="superscript"/>
        </w:rPr>
        <w:footnoteReference w:id="291"/>
      </w:r>
      <w:r w:rsidRPr="00E60165">
        <w:rPr>
          <w:rFonts w:ascii="Times New Roman" w:hAnsi="Times New Roman" w:cs="Times New Roman"/>
          <w:sz w:val="24"/>
          <w:szCs w:val="24"/>
        </w:rPr>
        <w:t xml:space="preserve">  Nonetheless, the Company claims Staff’s acceptance of this cost rate is unfair.  As we explain below, PacifiCorp failed to make a case that its debt cost should be any higher than 5.89 percent.  The Commission should accept that cost rate for ratemaking purposes.</w:t>
      </w:r>
    </w:p>
    <w:p w:rsidR="000644E2" w:rsidRPr="00E60165" w:rsidRDefault="000644E2" w:rsidP="000644E2">
      <w:pPr>
        <w:pStyle w:val="ListParagraph"/>
        <w:spacing w:after="0" w:line="240" w:lineRule="exact"/>
        <w:ind w:left="1440" w:hanging="720"/>
        <w:rPr>
          <w:rFonts w:ascii="Times New Roman" w:hAnsi="Times New Roman" w:cs="Times New Roman"/>
          <w:sz w:val="24"/>
          <w:szCs w:val="24"/>
        </w:rPr>
      </w:pPr>
    </w:p>
    <w:p w:rsidR="00E60165" w:rsidRPr="008F6367" w:rsidRDefault="00E60165" w:rsidP="008F6367">
      <w:pPr>
        <w:pStyle w:val="ListParagraph"/>
        <w:spacing w:after="0" w:line="240" w:lineRule="exact"/>
        <w:ind w:left="1440" w:hanging="720"/>
        <w:rPr>
          <w:rFonts w:ascii="Times New Roman" w:hAnsi="Times New Roman" w:cs="Times New Roman"/>
          <w:b/>
          <w:sz w:val="24"/>
          <w:szCs w:val="24"/>
        </w:rPr>
      </w:pPr>
      <w:r w:rsidRPr="00E60165">
        <w:rPr>
          <w:rFonts w:ascii="Times New Roman" w:hAnsi="Times New Roman" w:cs="Times New Roman"/>
          <w:b/>
          <w:sz w:val="24"/>
          <w:szCs w:val="24"/>
        </w:rPr>
        <w:t>1.</w:t>
      </w:r>
      <w:r w:rsidRPr="00E60165">
        <w:rPr>
          <w:rFonts w:ascii="Times New Roman" w:hAnsi="Times New Roman" w:cs="Times New Roman"/>
          <w:b/>
          <w:sz w:val="24"/>
          <w:szCs w:val="24"/>
        </w:rPr>
        <w:tab/>
        <w:t>The Commission Should Make No Adjustment to the Cost of Long-Term Debt to Account for the Alleged “Rating Downgrade”</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tab/>
        <w:t>PacifiCorp posits that its long term debt cost would increase fully 88 basis points, to 6.91 percent, under Staff’s equity ratio proposal.</w:t>
      </w:r>
      <w:r w:rsidRPr="00E60165">
        <w:rPr>
          <w:rStyle w:val="FootnoteReference"/>
          <w:rFonts w:ascii="Times New Roman" w:hAnsi="Times New Roman" w:cs="Times New Roman"/>
          <w:sz w:val="24"/>
          <w:szCs w:val="24"/>
        </w:rPr>
        <w:footnoteReference w:id="292"/>
      </w:r>
      <w:r w:rsidRPr="00E60165">
        <w:rPr>
          <w:rFonts w:ascii="Times New Roman" w:hAnsi="Times New Roman" w:cs="Times New Roman"/>
          <w:sz w:val="24"/>
          <w:szCs w:val="24"/>
        </w:rPr>
        <w:t xml:space="preserve">  Among other things, the Company’s position assumes PacifiCorp would be rated BBB.  Of course, this is pure speculation, because the rating agencies’ “black box” process for determining a specific rating features many subjective considerations.</w:t>
      </w:r>
      <w:r w:rsidRPr="00E60165">
        <w:rPr>
          <w:rFonts w:ascii="Times New Roman" w:hAnsi="Times New Roman" w:cs="Times New Roman"/>
          <w:sz w:val="24"/>
          <w:szCs w:val="24"/>
          <w:vertAlign w:val="superscript"/>
        </w:rPr>
        <w:footnoteReference w:id="293"/>
      </w:r>
      <w:r w:rsidRPr="00E60165">
        <w:rPr>
          <w:rFonts w:ascii="Times New Roman" w:hAnsi="Times New Roman" w:cs="Times New Roman"/>
          <w:sz w:val="24"/>
          <w:szCs w:val="24"/>
        </w:rPr>
        <w:t xml:space="preserve">  In other words, no one can be certain that PacifiCorp would incur higher debt costs due to a higher debt ratio, because no one can predict if PacifiCorp’s bond rating would be lower if the Commission accepted Staff’s 46.5 percent common equity ratio recommendation.   </w:t>
      </w:r>
    </w:p>
    <w:p w:rsidR="00E60165" w:rsidRPr="00E60165" w:rsidRDefault="000644E2" w:rsidP="00E60165">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E60165" w:rsidRPr="00E60165">
        <w:rPr>
          <w:rFonts w:ascii="Times New Roman" w:hAnsi="Times New Roman" w:cs="Times New Roman"/>
          <w:sz w:val="24"/>
          <w:szCs w:val="24"/>
        </w:rPr>
        <w:t>In any event, and to borrow a phrase from Dr. Hadaway, PacifiCorp’s 6.91 percent cost of debt idea “doesn’t pass the smell test”, because when PacifiCorp issued $1 billion of debt at the height of the financial crisis, its equity ratio decreased to 46.5 percent, yet the Company’s rating did not change.</w:t>
      </w:r>
      <w:r w:rsidR="00E60165" w:rsidRPr="00E60165">
        <w:rPr>
          <w:rStyle w:val="FootnoteReference"/>
          <w:rFonts w:ascii="Times New Roman" w:hAnsi="Times New Roman" w:cs="Times New Roman"/>
          <w:sz w:val="24"/>
          <w:szCs w:val="24"/>
        </w:rPr>
        <w:footnoteReference w:id="294"/>
      </w:r>
      <w:r w:rsidR="00E60165" w:rsidRPr="00E60165">
        <w:rPr>
          <w:rFonts w:ascii="Times New Roman" w:hAnsi="Times New Roman" w:cs="Times New Roman"/>
          <w:sz w:val="24"/>
          <w:szCs w:val="24"/>
        </w:rPr>
        <w:t xml:space="preserve">  </w:t>
      </w:r>
    </w:p>
    <w:p w:rsidR="00E60165" w:rsidRPr="00E60165" w:rsidRDefault="00E60165" w:rsidP="00E60165">
      <w:pPr>
        <w:pStyle w:val="ListParagraph"/>
        <w:numPr>
          <w:ilvl w:val="0"/>
          <w:numId w:val="3"/>
        </w:numPr>
        <w:spacing w:after="0" w:line="480" w:lineRule="exact"/>
        <w:rPr>
          <w:rFonts w:ascii="Times New Roman" w:hAnsi="Times New Roman" w:cs="Times New Roman"/>
          <w:sz w:val="24"/>
          <w:szCs w:val="24"/>
        </w:rPr>
      </w:pPr>
      <w:r w:rsidRPr="00E60165">
        <w:rPr>
          <w:rFonts w:ascii="Times New Roman" w:hAnsi="Times New Roman" w:cs="Times New Roman"/>
          <w:sz w:val="24"/>
          <w:szCs w:val="24"/>
        </w:rPr>
        <w:lastRenderedPageBreak/>
        <w:tab/>
        <w:t>For another real life example, consider Avista, a BBB</w:t>
      </w:r>
      <w:r w:rsidR="00FC6A8C">
        <w:rPr>
          <w:rFonts w:ascii="Times New Roman" w:hAnsi="Times New Roman" w:cs="Times New Roman"/>
          <w:sz w:val="24"/>
          <w:szCs w:val="24"/>
        </w:rPr>
        <w:t>-</w:t>
      </w:r>
      <w:r w:rsidRPr="00E60165">
        <w:rPr>
          <w:rFonts w:ascii="Times New Roman" w:hAnsi="Times New Roman" w:cs="Times New Roman"/>
          <w:sz w:val="24"/>
          <w:szCs w:val="24"/>
        </w:rPr>
        <w:t>minus rated utility.</w:t>
      </w:r>
      <w:r w:rsidRPr="00E60165">
        <w:rPr>
          <w:rStyle w:val="FootnoteReference"/>
          <w:rFonts w:ascii="Times New Roman" w:hAnsi="Times New Roman" w:cs="Times New Roman"/>
          <w:sz w:val="24"/>
          <w:szCs w:val="24"/>
        </w:rPr>
        <w:footnoteReference w:id="295"/>
      </w:r>
      <w:r w:rsidRPr="00E60165">
        <w:rPr>
          <w:rFonts w:ascii="Times New Roman" w:hAnsi="Times New Roman" w:cs="Times New Roman"/>
          <w:sz w:val="24"/>
          <w:szCs w:val="24"/>
        </w:rPr>
        <w:t xml:space="preserve">  Yet, Avista proposed a cost of debt of 6.08 percent in its last rate case,</w:t>
      </w:r>
      <w:r w:rsidRPr="00E60165">
        <w:rPr>
          <w:rStyle w:val="FootnoteReference"/>
          <w:rFonts w:ascii="Times New Roman" w:hAnsi="Times New Roman" w:cs="Times New Roman"/>
          <w:sz w:val="24"/>
          <w:szCs w:val="24"/>
        </w:rPr>
        <w:footnoteReference w:id="296"/>
      </w:r>
      <w:r w:rsidRPr="00E60165">
        <w:rPr>
          <w:rFonts w:ascii="Times New Roman" w:hAnsi="Times New Roman" w:cs="Times New Roman"/>
          <w:sz w:val="24"/>
          <w:szCs w:val="24"/>
        </w:rPr>
        <w:t xml:space="preserve"> well below the 6.91 percent PacifiCorp wants us to believe. </w:t>
      </w:r>
    </w:p>
    <w:p w:rsidR="00FC6A8C" w:rsidRDefault="000644E2" w:rsidP="00E60165">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E60165" w:rsidRPr="00E60165">
        <w:rPr>
          <w:rFonts w:ascii="Times New Roman" w:hAnsi="Times New Roman" w:cs="Times New Roman"/>
          <w:sz w:val="24"/>
          <w:szCs w:val="24"/>
        </w:rPr>
        <w:t xml:space="preserve">Moreover, when the Commission examines the “study” the Company put up to support its alleged 88 basis point cost of debt increase, it will </w:t>
      </w:r>
      <w:r w:rsidR="0013099A">
        <w:rPr>
          <w:rFonts w:ascii="Times New Roman" w:hAnsi="Times New Roman" w:cs="Times New Roman"/>
          <w:sz w:val="24"/>
          <w:szCs w:val="24"/>
        </w:rPr>
        <w:t xml:space="preserve">find several debt issues with </w:t>
      </w:r>
      <w:r w:rsidR="00E60165" w:rsidRPr="00E60165">
        <w:rPr>
          <w:rFonts w:ascii="Times New Roman" w:hAnsi="Times New Roman" w:cs="Times New Roman"/>
          <w:sz w:val="24"/>
          <w:szCs w:val="24"/>
        </w:rPr>
        <w:t>spreads between A-rated debt and BBB rated debt nowhere close to 88 basis points.</w:t>
      </w:r>
      <w:r w:rsidR="00E60165" w:rsidRPr="00E60165">
        <w:rPr>
          <w:rStyle w:val="FootnoteReference"/>
          <w:rFonts w:ascii="Times New Roman" w:hAnsi="Times New Roman" w:cs="Times New Roman"/>
          <w:sz w:val="24"/>
          <w:szCs w:val="24"/>
        </w:rPr>
        <w:footnoteReference w:id="297"/>
      </w:r>
      <w:r w:rsidR="00E60165" w:rsidRPr="00E60165">
        <w:rPr>
          <w:rFonts w:ascii="Times New Roman" w:hAnsi="Times New Roman" w:cs="Times New Roman"/>
          <w:sz w:val="24"/>
          <w:szCs w:val="24"/>
        </w:rPr>
        <w:t xml:space="preserve"> In fact, PacifiCorp’s alleged 88 basis point premium is based on speculating what it would have paid as a BBB rated utility when it issued two new tranches of long-term debt totaling $1 billion in 2009, at the apex of the energy crisis.</w:t>
      </w:r>
      <w:r w:rsidR="00E60165" w:rsidRPr="00E60165">
        <w:rPr>
          <w:rFonts w:ascii="Times New Roman" w:hAnsi="Times New Roman" w:cs="Times New Roman"/>
          <w:sz w:val="24"/>
          <w:szCs w:val="24"/>
          <w:vertAlign w:val="superscript"/>
        </w:rPr>
        <w:footnoteReference w:id="298"/>
      </w:r>
      <w:r w:rsidR="00E60165" w:rsidRPr="00E60165">
        <w:rPr>
          <w:rFonts w:ascii="Times New Roman" w:hAnsi="Times New Roman" w:cs="Times New Roman"/>
          <w:sz w:val="24"/>
          <w:szCs w:val="24"/>
        </w:rPr>
        <w:t xml:space="preserve"> </w:t>
      </w:r>
    </w:p>
    <w:p w:rsidR="00E60165" w:rsidRPr="00E60165" w:rsidRDefault="00FC6A8C" w:rsidP="00E60165">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t xml:space="preserve">The Commission should not evaluate </w:t>
      </w:r>
      <w:r w:rsidR="00E60165" w:rsidRPr="00E60165">
        <w:rPr>
          <w:rFonts w:ascii="Times New Roman" w:hAnsi="Times New Roman" w:cs="Times New Roman"/>
          <w:sz w:val="24"/>
          <w:szCs w:val="24"/>
        </w:rPr>
        <w:t>a reasonable cost of long-term debt using such extreme and myopic conditions, particularly when PacifiCorp failed to demonstrate it was compelled to sell debt at that time.</w:t>
      </w:r>
      <w:r w:rsidR="00E60165" w:rsidRPr="00E60165">
        <w:rPr>
          <w:rFonts w:ascii="Times New Roman" w:hAnsi="Times New Roman" w:cs="Times New Roman"/>
          <w:sz w:val="24"/>
          <w:szCs w:val="24"/>
          <w:vertAlign w:val="superscript"/>
        </w:rPr>
        <w:footnoteReference w:id="299"/>
      </w:r>
      <w:r w:rsidR="00E60165" w:rsidRPr="00E60165">
        <w:rPr>
          <w:rFonts w:ascii="Times New Roman" w:hAnsi="Times New Roman" w:cs="Times New Roman"/>
          <w:sz w:val="24"/>
          <w:szCs w:val="24"/>
        </w:rPr>
        <w:t xml:space="preserve">  It is instructive that both Avista and PSE issued long-term debt later in 2009 at a lower cost than PacifiCorp,</w:t>
      </w:r>
      <w:r w:rsidR="00E60165" w:rsidRPr="00E60165">
        <w:rPr>
          <w:rStyle w:val="FootnoteReference"/>
          <w:rFonts w:ascii="Times New Roman" w:hAnsi="Times New Roman" w:cs="Times New Roman"/>
          <w:sz w:val="24"/>
          <w:szCs w:val="24"/>
        </w:rPr>
        <w:footnoteReference w:id="300"/>
      </w:r>
      <w:r w:rsidR="00E60165" w:rsidRPr="00E60165">
        <w:rPr>
          <w:rFonts w:ascii="Times New Roman" w:hAnsi="Times New Roman" w:cs="Times New Roman"/>
          <w:sz w:val="24"/>
          <w:szCs w:val="24"/>
        </w:rPr>
        <w:t xml:space="preserve"> and they are both rated lower than PacifiCorp.  </w:t>
      </w:r>
    </w:p>
    <w:p w:rsidR="00E60165" w:rsidRPr="00E60165" w:rsidRDefault="00E60165" w:rsidP="00E60165">
      <w:pPr>
        <w:pStyle w:val="ListParagraph"/>
        <w:numPr>
          <w:ilvl w:val="0"/>
          <w:numId w:val="3"/>
        </w:numPr>
        <w:spacing w:after="0" w:line="480" w:lineRule="exact"/>
        <w:rPr>
          <w:rFonts w:ascii="Times New Roman" w:hAnsi="Times New Roman" w:cs="Times New Roman"/>
          <w:b/>
          <w:sz w:val="24"/>
          <w:szCs w:val="24"/>
        </w:rPr>
      </w:pPr>
      <w:r w:rsidRPr="00E60165">
        <w:rPr>
          <w:rFonts w:ascii="Times New Roman" w:hAnsi="Times New Roman" w:cs="Times New Roman"/>
          <w:sz w:val="24"/>
          <w:szCs w:val="24"/>
        </w:rPr>
        <w:tab/>
        <w:t>In short, there is no reason to make any post hoc adjustments for alleged higher debt costs should the Commission use a ratemaking equity ratio of 46.5 percent.</w:t>
      </w:r>
      <w:r w:rsidRPr="00E60165">
        <w:rPr>
          <w:rFonts w:ascii="Times New Roman" w:hAnsi="Times New Roman" w:cs="Times New Roman"/>
          <w:b/>
          <w:sz w:val="24"/>
          <w:szCs w:val="24"/>
        </w:rPr>
        <w:t xml:space="preserve"> </w:t>
      </w:r>
      <w:r w:rsidRPr="00E60165">
        <w:rPr>
          <w:rFonts w:ascii="Times New Roman" w:hAnsi="Times New Roman" w:cs="Times New Roman"/>
          <w:sz w:val="24"/>
          <w:szCs w:val="24"/>
        </w:rPr>
        <w:t xml:space="preserve"> The record fully supports 5.89 percent as the cost of long-term debt for PacifiCorp.  </w:t>
      </w:r>
    </w:p>
    <w:p w:rsidR="003C14CB" w:rsidRPr="00CD5B8B" w:rsidRDefault="00CC4653" w:rsidP="00692951">
      <w:pPr>
        <w:keepNext/>
        <w:spacing w:after="0" w:line="480" w:lineRule="exact"/>
        <w:jc w:val="center"/>
        <w:rPr>
          <w:rFonts w:ascii="Times New Roman" w:hAnsi="Times New Roman" w:cs="Times New Roman"/>
          <w:b/>
          <w:sz w:val="24"/>
          <w:szCs w:val="24"/>
        </w:rPr>
      </w:pPr>
      <w:r>
        <w:rPr>
          <w:rFonts w:ascii="Times New Roman" w:hAnsi="Times New Roman" w:cs="Times New Roman"/>
          <w:b/>
          <w:sz w:val="24"/>
          <w:szCs w:val="24"/>
        </w:rPr>
        <w:t>V</w:t>
      </w:r>
      <w:r w:rsidR="009E3CE6">
        <w:rPr>
          <w:rFonts w:ascii="Times New Roman" w:hAnsi="Times New Roman" w:cs="Times New Roman"/>
          <w:b/>
          <w:sz w:val="24"/>
          <w:szCs w:val="24"/>
        </w:rPr>
        <w:t>II</w:t>
      </w:r>
      <w:r w:rsidR="003C14CB">
        <w:rPr>
          <w:rFonts w:ascii="Times New Roman" w:hAnsi="Times New Roman" w:cs="Times New Roman"/>
          <w:b/>
          <w:sz w:val="24"/>
          <w:szCs w:val="24"/>
        </w:rPr>
        <w:t>.</w:t>
      </w:r>
      <w:r w:rsidR="003C14CB">
        <w:rPr>
          <w:rFonts w:ascii="Times New Roman" w:hAnsi="Times New Roman" w:cs="Times New Roman"/>
          <w:b/>
          <w:sz w:val="24"/>
          <w:szCs w:val="24"/>
        </w:rPr>
        <w:tab/>
      </w:r>
      <w:r w:rsidR="003C14CB" w:rsidRPr="00CD5B8B">
        <w:rPr>
          <w:rFonts w:ascii="Times New Roman" w:hAnsi="Times New Roman" w:cs="Times New Roman"/>
          <w:b/>
          <w:sz w:val="24"/>
          <w:szCs w:val="24"/>
        </w:rPr>
        <w:t>COST OF SERVICE</w:t>
      </w:r>
    </w:p>
    <w:p w:rsidR="003C14CB" w:rsidRDefault="003C14C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673F85">
        <w:rPr>
          <w:rFonts w:ascii="Times New Roman" w:hAnsi="Times New Roman" w:cs="Times New Roman"/>
          <w:sz w:val="24"/>
          <w:szCs w:val="24"/>
        </w:rPr>
        <w:t>PacifiCorp performed a cost of service study designed to analyze how each rate schedule contribut</w:t>
      </w:r>
      <w:r w:rsidR="008C0792">
        <w:rPr>
          <w:rFonts w:ascii="Times New Roman" w:hAnsi="Times New Roman" w:cs="Times New Roman"/>
          <w:sz w:val="24"/>
          <w:szCs w:val="24"/>
        </w:rPr>
        <w:t>es</w:t>
      </w:r>
      <w:r w:rsidRPr="00673F85">
        <w:rPr>
          <w:rFonts w:ascii="Times New Roman" w:hAnsi="Times New Roman" w:cs="Times New Roman"/>
          <w:sz w:val="24"/>
          <w:szCs w:val="24"/>
        </w:rPr>
        <w:t xml:space="preserve"> to the Company</w:t>
      </w:r>
      <w:r w:rsidR="008C0792">
        <w:rPr>
          <w:rFonts w:ascii="Times New Roman" w:hAnsi="Times New Roman" w:cs="Times New Roman"/>
          <w:sz w:val="24"/>
          <w:szCs w:val="24"/>
        </w:rPr>
        <w:t>’s costs</w:t>
      </w:r>
      <w:r w:rsidRPr="00673F85">
        <w:rPr>
          <w:rFonts w:ascii="Times New Roman" w:hAnsi="Times New Roman" w:cs="Times New Roman"/>
          <w:sz w:val="24"/>
          <w:szCs w:val="24"/>
        </w:rPr>
        <w:t xml:space="preserve">.  The </w:t>
      </w:r>
      <w:r>
        <w:rPr>
          <w:rFonts w:ascii="Times New Roman" w:hAnsi="Times New Roman" w:cs="Times New Roman"/>
          <w:sz w:val="24"/>
          <w:szCs w:val="24"/>
        </w:rPr>
        <w:t>contested issue is h</w:t>
      </w:r>
      <w:r w:rsidRPr="00673F85">
        <w:rPr>
          <w:rFonts w:ascii="Times New Roman" w:hAnsi="Times New Roman" w:cs="Times New Roman"/>
          <w:sz w:val="24"/>
          <w:szCs w:val="24"/>
        </w:rPr>
        <w:t>ow to allocate demand costs.</w:t>
      </w:r>
    </w:p>
    <w:p w:rsidR="00B65199" w:rsidRPr="00673F85" w:rsidRDefault="00B65199" w:rsidP="00B65199">
      <w:pPr>
        <w:pStyle w:val="ListParagraph"/>
        <w:spacing w:after="0" w:line="240" w:lineRule="exact"/>
        <w:ind w:left="0"/>
        <w:rPr>
          <w:rFonts w:ascii="Times New Roman" w:hAnsi="Times New Roman" w:cs="Times New Roman"/>
          <w:sz w:val="24"/>
          <w:szCs w:val="24"/>
        </w:rPr>
      </w:pPr>
    </w:p>
    <w:p w:rsidR="003C14CB" w:rsidRPr="008F6367" w:rsidRDefault="003C14CB" w:rsidP="00B65199">
      <w:pPr>
        <w:pStyle w:val="ListParagraph"/>
        <w:keepNext/>
        <w:numPr>
          <w:ilvl w:val="0"/>
          <w:numId w:val="1"/>
        </w:numPr>
        <w:spacing w:after="0" w:line="240" w:lineRule="exact"/>
        <w:ind w:left="720" w:hanging="720"/>
        <w:rPr>
          <w:rFonts w:ascii="Times New Roman" w:hAnsi="Times New Roman" w:cs="Times New Roman"/>
          <w:b/>
          <w:sz w:val="24"/>
          <w:szCs w:val="24"/>
        </w:rPr>
      </w:pPr>
      <w:r w:rsidRPr="004C7622">
        <w:rPr>
          <w:rFonts w:ascii="Times New Roman" w:hAnsi="Times New Roman" w:cs="Times New Roman"/>
          <w:b/>
          <w:sz w:val="24"/>
          <w:szCs w:val="24"/>
        </w:rPr>
        <w:lastRenderedPageBreak/>
        <w:t xml:space="preserve">The Commission Should Allocate Demand Costs Using the Top 100 </w:t>
      </w:r>
      <w:r w:rsidR="00DF7F80">
        <w:rPr>
          <w:rFonts w:ascii="Times New Roman" w:hAnsi="Times New Roman" w:cs="Times New Roman"/>
          <w:b/>
          <w:sz w:val="24"/>
          <w:szCs w:val="24"/>
        </w:rPr>
        <w:t>H</w:t>
      </w:r>
      <w:r w:rsidRPr="004C7622">
        <w:rPr>
          <w:rFonts w:ascii="Times New Roman" w:hAnsi="Times New Roman" w:cs="Times New Roman"/>
          <w:b/>
          <w:sz w:val="24"/>
          <w:szCs w:val="24"/>
        </w:rPr>
        <w:t xml:space="preserve">ours </w:t>
      </w:r>
      <w:r w:rsidR="00DF7F80">
        <w:rPr>
          <w:rFonts w:ascii="Times New Roman" w:hAnsi="Times New Roman" w:cs="Times New Roman"/>
          <w:b/>
          <w:sz w:val="24"/>
          <w:szCs w:val="24"/>
        </w:rPr>
        <w:t>F</w:t>
      </w:r>
      <w:r w:rsidRPr="004C7622">
        <w:rPr>
          <w:rFonts w:ascii="Times New Roman" w:hAnsi="Times New Roman" w:cs="Times New Roman"/>
          <w:b/>
          <w:sz w:val="24"/>
          <w:szCs w:val="24"/>
        </w:rPr>
        <w:t xml:space="preserve">rom </w:t>
      </w:r>
      <w:r w:rsidR="00DF7F80">
        <w:rPr>
          <w:rFonts w:ascii="Times New Roman" w:hAnsi="Times New Roman" w:cs="Times New Roman"/>
          <w:b/>
          <w:sz w:val="24"/>
          <w:szCs w:val="24"/>
        </w:rPr>
        <w:t>E</w:t>
      </w:r>
      <w:r>
        <w:rPr>
          <w:rFonts w:ascii="Times New Roman" w:hAnsi="Times New Roman" w:cs="Times New Roman"/>
          <w:b/>
          <w:sz w:val="24"/>
          <w:szCs w:val="24"/>
        </w:rPr>
        <w:t xml:space="preserve">ach </w:t>
      </w:r>
      <w:r w:rsidRPr="004C7622">
        <w:rPr>
          <w:rFonts w:ascii="Times New Roman" w:hAnsi="Times New Roman" w:cs="Times New Roman"/>
          <w:b/>
          <w:sz w:val="24"/>
          <w:szCs w:val="24"/>
        </w:rPr>
        <w:t xml:space="preserve">Winter and Summer; ICNU’s 71 Hour Proposal is Too Restrictive </w:t>
      </w:r>
    </w:p>
    <w:p w:rsidR="003C14CB" w:rsidRPr="00673F85" w:rsidRDefault="003C14C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673F85">
        <w:rPr>
          <w:rFonts w:ascii="Times New Roman" w:hAnsi="Times New Roman" w:cs="Times New Roman"/>
          <w:sz w:val="24"/>
          <w:szCs w:val="24"/>
        </w:rPr>
        <w:t>The Company’s study uses 100 winter hours and 100 summer hours (or 200 w/s hours) to allocate demand costs between the rate schedules.</w:t>
      </w:r>
      <w:r w:rsidRPr="004B2E12">
        <w:rPr>
          <w:vertAlign w:val="superscript"/>
        </w:rPr>
        <w:footnoteReference w:id="301"/>
      </w:r>
      <w:r w:rsidRPr="00673F85">
        <w:rPr>
          <w:rFonts w:ascii="Times New Roman" w:hAnsi="Times New Roman" w:cs="Times New Roman"/>
          <w:sz w:val="24"/>
          <w:szCs w:val="24"/>
        </w:rPr>
        <w:t xml:space="preserve">  Staff reviewed and accepted this demand allocation</w:t>
      </w:r>
      <w:r w:rsidRPr="004B2E12">
        <w:rPr>
          <w:vertAlign w:val="superscript"/>
        </w:rPr>
        <w:footnoteReference w:id="302"/>
      </w:r>
      <w:r w:rsidRPr="00673F85">
        <w:rPr>
          <w:rFonts w:ascii="Times New Roman" w:hAnsi="Times New Roman" w:cs="Times New Roman"/>
          <w:sz w:val="24"/>
          <w:szCs w:val="24"/>
        </w:rPr>
        <w:t xml:space="preserve">, because it fairly presents customer use during periods of sustained high demand in the </w:t>
      </w:r>
      <w:r w:rsidR="00FC6A8C">
        <w:rPr>
          <w:rFonts w:ascii="Times New Roman" w:hAnsi="Times New Roman" w:cs="Times New Roman"/>
          <w:sz w:val="24"/>
          <w:szCs w:val="24"/>
        </w:rPr>
        <w:t>W</w:t>
      </w:r>
      <w:r w:rsidRPr="00673F85">
        <w:rPr>
          <w:rFonts w:ascii="Times New Roman" w:hAnsi="Times New Roman" w:cs="Times New Roman"/>
          <w:sz w:val="24"/>
          <w:szCs w:val="24"/>
        </w:rPr>
        <w:t xml:space="preserve">estern </w:t>
      </w:r>
      <w:r w:rsidR="00FC6A8C">
        <w:rPr>
          <w:rFonts w:ascii="Times New Roman" w:hAnsi="Times New Roman" w:cs="Times New Roman"/>
          <w:sz w:val="24"/>
          <w:szCs w:val="24"/>
        </w:rPr>
        <w:t>C</w:t>
      </w:r>
      <w:r w:rsidRPr="00673F85">
        <w:rPr>
          <w:rFonts w:ascii="Times New Roman" w:hAnsi="Times New Roman" w:cs="Times New Roman"/>
          <w:sz w:val="24"/>
          <w:szCs w:val="24"/>
        </w:rPr>
        <w:t xml:space="preserve">ontrol </w:t>
      </w:r>
      <w:r w:rsidR="00FC6A8C">
        <w:rPr>
          <w:rFonts w:ascii="Times New Roman" w:hAnsi="Times New Roman" w:cs="Times New Roman"/>
          <w:sz w:val="24"/>
          <w:szCs w:val="24"/>
        </w:rPr>
        <w:t>A</w:t>
      </w:r>
      <w:r w:rsidRPr="00673F85">
        <w:rPr>
          <w:rFonts w:ascii="Times New Roman" w:hAnsi="Times New Roman" w:cs="Times New Roman"/>
          <w:sz w:val="24"/>
          <w:szCs w:val="24"/>
        </w:rPr>
        <w:t>rea</w:t>
      </w:r>
      <w:r w:rsidR="00FC6A8C">
        <w:rPr>
          <w:rFonts w:ascii="Times New Roman" w:hAnsi="Times New Roman" w:cs="Times New Roman"/>
          <w:sz w:val="24"/>
          <w:szCs w:val="24"/>
        </w:rPr>
        <w:t xml:space="preserve"> (WCA)</w:t>
      </w:r>
      <w:r w:rsidRPr="00673F85">
        <w:rPr>
          <w:rFonts w:ascii="Times New Roman" w:hAnsi="Times New Roman" w:cs="Times New Roman"/>
          <w:sz w:val="24"/>
          <w:szCs w:val="24"/>
        </w:rPr>
        <w:t>.</w:t>
      </w:r>
      <w:r>
        <w:rPr>
          <w:rStyle w:val="FootnoteReference"/>
          <w:rFonts w:ascii="Times New Roman" w:hAnsi="Times New Roman" w:cs="Times New Roman"/>
          <w:sz w:val="24"/>
          <w:szCs w:val="24"/>
        </w:rPr>
        <w:footnoteReference w:id="303"/>
      </w:r>
      <w:r w:rsidRPr="00673F85">
        <w:rPr>
          <w:rFonts w:ascii="Times New Roman" w:hAnsi="Times New Roman" w:cs="Times New Roman"/>
          <w:sz w:val="24"/>
          <w:szCs w:val="24"/>
        </w:rPr>
        <w:t xml:space="preserve">  Th</w:t>
      </w:r>
      <w:r w:rsidR="00FC6A8C">
        <w:rPr>
          <w:rFonts w:ascii="Times New Roman" w:hAnsi="Times New Roman" w:cs="Times New Roman"/>
          <w:sz w:val="24"/>
          <w:szCs w:val="24"/>
        </w:rPr>
        <w:t xml:space="preserve">is approach strikes </w:t>
      </w:r>
      <w:r w:rsidRPr="00673F85">
        <w:rPr>
          <w:rFonts w:ascii="Times New Roman" w:hAnsi="Times New Roman" w:cs="Times New Roman"/>
          <w:sz w:val="24"/>
          <w:szCs w:val="24"/>
        </w:rPr>
        <w:t xml:space="preserve">a fair balance between the shift in demand expense to the </w:t>
      </w:r>
      <w:r w:rsidR="00FC6A8C">
        <w:rPr>
          <w:rFonts w:ascii="Times New Roman" w:hAnsi="Times New Roman" w:cs="Times New Roman"/>
          <w:sz w:val="24"/>
          <w:szCs w:val="24"/>
        </w:rPr>
        <w:t>R</w:t>
      </w:r>
      <w:r w:rsidRPr="00673F85">
        <w:rPr>
          <w:rFonts w:ascii="Times New Roman" w:hAnsi="Times New Roman" w:cs="Times New Roman"/>
          <w:sz w:val="24"/>
          <w:szCs w:val="24"/>
        </w:rPr>
        <w:t>esidential schedule and the use of the 200 w/s demand allocation.</w:t>
      </w:r>
      <w:r>
        <w:rPr>
          <w:rFonts w:ascii="Times New Roman" w:hAnsi="Times New Roman" w:cs="Times New Roman"/>
          <w:sz w:val="24"/>
          <w:szCs w:val="24"/>
        </w:rPr>
        <w:t xml:space="preserve">  </w:t>
      </w:r>
    </w:p>
    <w:p w:rsidR="003C14CB" w:rsidRDefault="003C14C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673F85">
        <w:rPr>
          <w:rFonts w:ascii="Times New Roman" w:hAnsi="Times New Roman" w:cs="Times New Roman"/>
          <w:sz w:val="24"/>
          <w:szCs w:val="24"/>
        </w:rPr>
        <w:t xml:space="preserve">Only ICNU opposes </w:t>
      </w:r>
      <w:r w:rsidR="00FC6A8C">
        <w:rPr>
          <w:rFonts w:ascii="Times New Roman" w:hAnsi="Times New Roman" w:cs="Times New Roman"/>
          <w:sz w:val="24"/>
          <w:szCs w:val="24"/>
        </w:rPr>
        <w:t>this demand cost allocation</w:t>
      </w:r>
      <w:r>
        <w:rPr>
          <w:rFonts w:ascii="Times New Roman" w:hAnsi="Times New Roman" w:cs="Times New Roman"/>
          <w:sz w:val="24"/>
          <w:szCs w:val="24"/>
        </w:rPr>
        <w:t>.</w:t>
      </w:r>
      <w:r w:rsidRPr="004B2E12">
        <w:rPr>
          <w:vertAlign w:val="superscript"/>
        </w:rPr>
        <w:footnoteReference w:id="304"/>
      </w:r>
      <w:r w:rsidRPr="00673F85">
        <w:rPr>
          <w:rFonts w:ascii="Times New Roman" w:hAnsi="Times New Roman" w:cs="Times New Roman"/>
          <w:sz w:val="24"/>
          <w:szCs w:val="24"/>
        </w:rPr>
        <w:t xml:space="preserve">  As an alternative, ICNU wants to use 71 hours, and claims these hours are within 95 percent of the system peak hour.</w:t>
      </w:r>
      <w:r w:rsidRPr="004B2E12">
        <w:rPr>
          <w:vertAlign w:val="superscript"/>
        </w:rPr>
        <w:footnoteReference w:id="305"/>
      </w:r>
      <w:r w:rsidRPr="00673F85">
        <w:rPr>
          <w:rFonts w:ascii="Times New Roman" w:hAnsi="Times New Roman" w:cs="Times New Roman"/>
          <w:sz w:val="24"/>
          <w:szCs w:val="24"/>
        </w:rPr>
        <w:t xml:space="preserve">  However, the record remains unclear on exactly how ICNU determined those 71 hours.  If those 71 hours are within 95 percent of the </w:t>
      </w:r>
      <w:r w:rsidRPr="00673F85">
        <w:rPr>
          <w:rFonts w:ascii="Times New Roman" w:hAnsi="Times New Roman" w:cs="Times New Roman"/>
          <w:i/>
          <w:sz w:val="24"/>
          <w:szCs w:val="24"/>
        </w:rPr>
        <w:t>system</w:t>
      </w:r>
      <w:r w:rsidRPr="00673F85">
        <w:rPr>
          <w:rFonts w:ascii="Times New Roman" w:hAnsi="Times New Roman" w:cs="Times New Roman"/>
          <w:sz w:val="24"/>
          <w:szCs w:val="24"/>
        </w:rPr>
        <w:t xml:space="preserve"> peak hour, ICNU’s argument is irrelevant, because the Commission uses the </w:t>
      </w:r>
      <w:r w:rsidR="00FC6A8C">
        <w:rPr>
          <w:rFonts w:ascii="Times New Roman" w:hAnsi="Times New Roman" w:cs="Times New Roman"/>
          <w:sz w:val="24"/>
          <w:szCs w:val="24"/>
        </w:rPr>
        <w:t>W</w:t>
      </w:r>
      <w:r w:rsidRPr="00673F85">
        <w:rPr>
          <w:rFonts w:ascii="Times New Roman" w:hAnsi="Times New Roman" w:cs="Times New Roman"/>
          <w:sz w:val="24"/>
          <w:szCs w:val="24"/>
        </w:rPr>
        <w:t>CA</w:t>
      </w:r>
      <w:r w:rsidR="00FC6A8C">
        <w:rPr>
          <w:rFonts w:ascii="Times New Roman" w:hAnsi="Times New Roman" w:cs="Times New Roman"/>
          <w:sz w:val="24"/>
          <w:szCs w:val="24"/>
        </w:rPr>
        <w:t xml:space="preserve"> method</w:t>
      </w:r>
      <w:r w:rsidRPr="00673F85">
        <w:rPr>
          <w:rFonts w:ascii="Times New Roman" w:hAnsi="Times New Roman" w:cs="Times New Roman"/>
          <w:sz w:val="24"/>
          <w:szCs w:val="24"/>
        </w:rPr>
        <w:t xml:space="preserve"> to allocate power-related costs.  </w:t>
      </w:r>
    </w:p>
    <w:p w:rsidR="003C14CB" w:rsidRPr="00673F85" w:rsidRDefault="003C14C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673F85">
        <w:rPr>
          <w:rFonts w:ascii="Times New Roman" w:hAnsi="Times New Roman" w:cs="Times New Roman"/>
          <w:sz w:val="24"/>
          <w:szCs w:val="24"/>
        </w:rPr>
        <w:t>In any case, 71 hours represents only eight tenths of one percent of the hours in a year,</w:t>
      </w:r>
      <w:r w:rsidRPr="004B2E12">
        <w:rPr>
          <w:vertAlign w:val="superscript"/>
        </w:rPr>
        <w:footnoteReference w:id="306"/>
      </w:r>
      <w:r w:rsidRPr="00673F85">
        <w:rPr>
          <w:rFonts w:ascii="Times New Roman" w:hAnsi="Times New Roman" w:cs="Times New Roman"/>
          <w:sz w:val="24"/>
          <w:szCs w:val="24"/>
        </w:rPr>
        <w:t xml:space="preserve"> and it is poor policy to restrict demand cost allocations to such a small time window.  The system is used by all customers all the time.  The Company’s method, which measures demand across more than two percent of the hours, is more reasonable and reflective of use during times of sustained high demand.</w:t>
      </w:r>
      <w:r w:rsidRPr="004B2E12">
        <w:rPr>
          <w:vertAlign w:val="superscript"/>
        </w:rPr>
        <w:footnoteReference w:id="307"/>
      </w:r>
      <w:r w:rsidRPr="00673F85">
        <w:rPr>
          <w:rFonts w:ascii="Times New Roman" w:hAnsi="Times New Roman" w:cs="Times New Roman"/>
          <w:sz w:val="24"/>
          <w:szCs w:val="24"/>
        </w:rPr>
        <w:t xml:space="preserve">  </w:t>
      </w:r>
    </w:p>
    <w:p w:rsidR="003C14CB" w:rsidRPr="00D43F77" w:rsidRDefault="003C14CB" w:rsidP="00C16EA4">
      <w:pPr>
        <w:pStyle w:val="ListParagraph"/>
        <w:numPr>
          <w:ilvl w:val="0"/>
          <w:numId w:val="3"/>
        </w:numPr>
        <w:spacing w:after="0" w:line="480" w:lineRule="exact"/>
        <w:rPr>
          <w:rFonts w:ascii="Times New Roman" w:hAnsi="Times New Roman" w:cs="Times New Roman"/>
          <w:sz w:val="24"/>
          <w:szCs w:val="24"/>
        </w:rPr>
      </w:pPr>
      <w:r w:rsidRPr="00D43F77">
        <w:rPr>
          <w:rFonts w:ascii="Times New Roman" w:hAnsi="Times New Roman" w:cs="Times New Roman"/>
          <w:sz w:val="24"/>
          <w:szCs w:val="24"/>
        </w:rPr>
        <w:tab/>
        <w:t>Moreover, the evidence shows that even if one allocates demand to customer classes based on fewer peak hours, the customer on Schedule 48T, Dedicated Facilities</w:t>
      </w:r>
      <w:r w:rsidR="00FC6A8C">
        <w:rPr>
          <w:rFonts w:ascii="Times New Roman" w:hAnsi="Times New Roman" w:cs="Times New Roman"/>
          <w:sz w:val="24"/>
          <w:szCs w:val="24"/>
        </w:rPr>
        <w:t>,</w:t>
      </w:r>
      <w:r w:rsidRPr="00D43F77">
        <w:rPr>
          <w:rFonts w:ascii="Times New Roman" w:hAnsi="Times New Roman" w:cs="Times New Roman"/>
          <w:sz w:val="24"/>
          <w:szCs w:val="24"/>
        </w:rPr>
        <w:t xml:space="preserve"> does not reach parity.</w:t>
      </w:r>
      <w:r w:rsidRPr="004B2E12">
        <w:rPr>
          <w:vertAlign w:val="superscript"/>
        </w:rPr>
        <w:footnoteReference w:id="308"/>
      </w:r>
      <w:r w:rsidR="00406F9E">
        <w:rPr>
          <w:rFonts w:ascii="Times New Roman" w:hAnsi="Times New Roman" w:cs="Times New Roman"/>
          <w:sz w:val="24"/>
          <w:szCs w:val="24"/>
        </w:rPr>
        <w:t xml:space="preserve">  </w:t>
      </w:r>
      <w:r w:rsidRPr="00D43F77">
        <w:rPr>
          <w:rFonts w:ascii="Times New Roman" w:hAnsi="Times New Roman" w:cs="Times New Roman"/>
          <w:sz w:val="24"/>
          <w:szCs w:val="24"/>
        </w:rPr>
        <w:t>The Commission should accept the Company’s 200 w/s hours for allocating demand costs among the rate schedules a</w:t>
      </w:r>
      <w:r w:rsidR="009651B0">
        <w:rPr>
          <w:rFonts w:ascii="Times New Roman" w:hAnsi="Times New Roman" w:cs="Times New Roman"/>
          <w:sz w:val="24"/>
          <w:szCs w:val="24"/>
        </w:rPr>
        <w:t>s reasonable, and reject I</w:t>
      </w:r>
      <w:r w:rsidRPr="00D43F77">
        <w:rPr>
          <w:rFonts w:ascii="Times New Roman" w:hAnsi="Times New Roman" w:cs="Times New Roman"/>
          <w:sz w:val="24"/>
          <w:szCs w:val="24"/>
        </w:rPr>
        <w:t>C</w:t>
      </w:r>
      <w:r w:rsidR="009651B0">
        <w:rPr>
          <w:rFonts w:ascii="Times New Roman" w:hAnsi="Times New Roman" w:cs="Times New Roman"/>
          <w:sz w:val="24"/>
          <w:szCs w:val="24"/>
        </w:rPr>
        <w:t>N</w:t>
      </w:r>
      <w:r w:rsidRPr="00D43F77">
        <w:rPr>
          <w:rFonts w:ascii="Times New Roman" w:hAnsi="Times New Roman" w:cs="Times New Roman"/>
          <w:sz w:val="24"/>
          <w:szCs w:val="24"/>
        </w:rPr>
        <w:t xml:space="preserve">U’s overly narrow proposal.    </w:t>
      </w:r>
    </w:p>
    <w:p w:rsidR="00193CAD" w:rsidRDefault="00193CAD">
      <w:pPr>
        <w:rPr>
          <w:rFonts w:ascii="Times New Roman" w:hAnsi="Times New Roman" w:cs="Times New Roman"/>
          <w:b/>
          <w:sz w:val="24"/>
          <w:szCs w:val="24"/>
        </w:rPr>
      </w:pPr>
      <w:r>
        <w:rPr>
          <w:rFonts w:ascii="Times New Roman" w:hAnsi="Times New Roman" w:cs="Times New Roman"/>
          <w:b/>
          <w:sz w:val="24"/>
          <w:szCs w:val="24"/>
        </w:rPr>
        <w:br w:type="page"/>
      </w:r>
    </w:p>
    <w:p w:rsidR="003C14CB" w:rsidRPr="0033093A" w:rsidRDefault="00D70FAA" w:rsidP="00B65199">
      <w:pPr>
        <w:spacing w:after="0" w:line="480" w:lineRule="exact"/>
        <w:jc w:val="center"/>
        <w:rPr>
          <w:rFonts w:ascii="Times New Roman" w:hAnsi="Times New Roman" w:cs="Times New Roman"/>
          <w:b/>
          <w:sz w:val="24"/>
          <w:szCs w:val="24"/>
        </w:rPr>
      </w:pPr>
      <w:r>
        <w:rPr>
          <w:rFonts w:ascii="Times New Roman" w:hAnsi="Times New Roman" w:cs="Times New Roman"/>
          <w:b/>
          <w:sz w:val="24"/>
          <w:szCs w:val="24"/>
        </w:rPr>
        <w:lastRenderedPageBreak/>
        <w:t>VI</w:t>
      </w:r>
      <w:r w:rsidR="003C14CB">
        <w:rPr>
          <w:rFonts w:ascii="Times New Roman" w:hAnsi="Times New Roman" w:cs="Times New Roman"/>
          <w:b/>
          <w:sz w:val="24"/>
          <w:szCs w:val="24"/>
        </w:rPr>
        <w:t>II.</w:t>
      </w:r>
      <w:r w:rsidR="003C14CB">
        <w:rPr>
          <w:rFonts w:ascii="Times New Roman" w:hAnsi="Times New Roman" w:cs="Times New Roman"/>
          <w:b/>
          <w:sz w:val="24"/>
          <w:szCs w:val="24"/>
        </w:rPr>
        <w:tab/>
      </w:r>
      <w:r w:rsidR="003C14CB" w:rsidRPr="0033093A">
        <w:rPr>
          <w:rFonts w:ascii="Times New Roman" w:hAnsi="Times New Roman" w:cs="Times New Roman"/>
          <w:b/>
          <w:sz w:val="24"/>
          <w:szCs w:val="24"/>
        </w:rPr>
        <w:t>REVENUE ALLOCATION/RATE SPREAD</w:t>
      </w:r>
    </w:p>
    <w:p w:rsidR="003C14CB" w:rsidRDefault="003C14C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33093A">
        <w:rPr>
          <w:rFonts w:ascii="Times New Roman" w:hAnsi="Times New Roman" w:cs="Times New Roman"/>
          <w:sz w:val="24"/>
          <w:szCs w:val="24"/>
        </w:rPr>
        <w:t xml:space="preserve">PacifiCorp’s cost of service study provides a primary guide to the Commission for determining how to spread the revenue requirement over the rate schedules.  Staff proposes a rate spread that is consistent with the results of the cost of service study because it moves schedules closer to the cost to serve those customers, as follows:  </w:t>
      </w:r>
    </w:p>
    <w:p w:rsidR="00B65199" w:rsidRPr="0033093A" w:rsidRDefault="00B65199" w:rsidP="00B65199">
      <w:pPr>
        <w:pStyle w:val="ListParagraph"/>
        <w:spacing w:after="0" w:line="240" w:lineRule="exact"/>
        <w:ind w:left="0"/>
        <w:rPr>
          <w:rFonts w:ascii="Times New Roman" w:hAnsi="Times New Roman" w:cs="Times New Roman"/>
          <w:sz w:val="24"/>
          <w:szCs w:val="24"/>
        </w:rPr>
      </w:pPr>
    </w:p>
    <w:p w:rsidR="003C14CB" w:rsidRPr="004B2E12" w:rsidRDefault="003C14CB" w:rsidP="00B65199">
      <w:pPr>
        <w:spacing w:after="0" w:line="240" w:lineRule="exact"/>
        <w:rPr>
          <w:rFonts w:ascii="Times New Roman" w:hAnsi="Times New Roman" w:cs="Times New Roman"/>
          <w:sz w:val="24"/>
          <w:szCs w:val="24"/>
        </w:rPr>
      </w:pPr>
      <w:r w:rsidRPr="004B2E12">
        <w:rPr>
          <w:rFonts w:ascii="Times New Roman" w:hAnsi="Times New Roman" w:cs="Times New Roman"/>
          <w:sz w:val="24"/>
          <w:szCs w:val="24"/>
        </w:rPr>
        <w:tab/>
        <w:t>114% of average increase</w:t>
      </w:r>
      <w:r>
        <w:rPr>
          <w:rFonts w:ascii="Times New Roman" w:hAnsi="Times New Roman" w:cs="Times New Roman"/>
          <w:sz w:val="24"/>
          <w:szCs w:val="24"/>
        </w:rPr>
        <w:t>:</w:t>
      </w:r>
      <w:r w:rsidRPr="004B2E12">
        <w:rPr>
          <w:rFonts w:ascii="Times New Roman" w:hAnsi="Times New Roman" w:cs="Times New Roman"/>
          <w:sz w:val="24"/>
          <w:szCs w:val="24"/>
          <w:vertAlign w:val="superscript"/>
        </w:rPr>
        <w:footnoteReference w:id="309"/>
      </w:r>
      <w:r w:rsidRPr="004B2E12">
        <w:rPr>
          <w:rFonts w:ascii="Times New Roman" w:hAnsi="Times New Roman" w:cs="Times New Roman"/>
          <w:sz w:val="24"/>
          <w:szCs w:val="24"/>
        </w:rPr>
        <w:tab/>
        <w:t>Schedule 16, Residential customers</w:t>
      </w:r>
    </w:p>
    <w:p w:rsidR="003C14CB" w:rsidRPr="004B2E12" w:rsidRDefault="003C14CB" w:rsidP="00B65199">
      <w:pPr>
        <w:spacing w:after="0" w:line="240" w:lineRule="exact"/>
        <w:ind w:left="3600"/>
        <w:rPr>
          <w:rFonts w:ascii="Times New Roman" w:hAnsi="Times New Roman" w:cs="Times New Roman"/>
          <w:sz w:val="24"/>
          <w:szCs w:val="24"/>
        </w:rPr>
      </w:pPr>
      <w:r w:rsidRPr="004B2E12">
        <w:rPr>
          <w:rFonts w:ascii="Times New Roman" w:hAnsi="Times New Roman" w:cs="Times New Roman"/>
          <w:sz w:val="24"/>
          <w:szCs w:val="24"/>
        </w:rPr>
        <w:t>Schedule 48T, Large General Service &gt;1000 kilowatts Schedule 48T, Dedicated Facilities</w:t>
      </w:r>
    </w:p>
    <w:p w:rsidR="003C14CB" w:rsidRPr="004B2E12" w:rsidRDefault="003C14CB" w:rsidP="00B65199">
      <w:pPr>
        <w:spacing w:after="0" w:line="240" w:lineRule="exact"/>
        <w:rPr>
          <w:rFonts w:ascii="Times New Roman" w:hAnsi="Times New Roman" w:cs="Times New Roman"/>
          <w:sz w:val="24"/>
          <w:szCs w:val="24"/>
        </w:rPr>
      </w:pPr>
    </w:p>
    <w:p w:rsidR="003C14CB" w:rsidRPr="004B2E12" w:rsidRDefault="003C14CB" w:rsidP="00B65199">
      <w:pPr>
        <w:spacing w:after="0" w:line="240" w:lineRule="exact"/>
        <w:ind w:left="720"/>
        <w:rPr>
          <w:rFonts w:ascii="Times New Roman" w:hAnsi="Times New Roman" w:cs="Times New Roman"/>
          <w:sz w:val="24"/>
          <w:szCs w:val="24"/>
        </w:rPr>
      </w:pPr>
      <w:r w:rsidRPr="004B2E12">
        <w:rPr>
          <w:rFonts w:ascii="Times New Roman" w:hAnsi="Times New Roman" w:cs="Times New Roman"/>
          <w:sz w:val="24"/>
          <w:szCs w:val="24"/>
        </w:rPr>
        <w:t>83% of average increase</w:t>
      </w:r>
      <w:r w:rsidR="000F2318">
        <w:rPr>
          <w:rFonts w:ascii="Times New Roman" w:hAnsi="Times New Roman" w:cs="Times New Roman"/>
          <w:sz w:val="24"/>
          <w:szCs w:val="24"/>
        </w:rPr>
        <w:t>:</w:t>
      </w:r>
      <w:r w:rsidRPr="004B2E12">
        <w:rPr>
          <w:rFonts w:ascii="Times New Roman" w:hAnsi="Times New Roman" w:cs="Times New Roman"/>
          <w:sz w:val="24"/>
          <w:szCs w:val="24"/>
          <w:vertAlign w:val="superscript"/>
        </w:rPr>
        <w:footnoteReference w:id="310"/>
      </w:r>
      <w:r w:rsidRPr="004B2E12">
        <w:rPr>
          <w:rFonts w:ascii="Times New Roman" w:hAnsi="Times New Roman" w:cs="Times New Roman"/>
          <w:sz w:val="24"/>
          <w:szCs w:val="24"/>
        </w:rPr>
        <w:tab/>
      </w:r>
      <w:r>
        <w:rPr>
          <w:rFonts w:ascii="Times New Roman" w:hAnsi="Times New Roman" w:cs="Times New Roman"/>
          <w:sz w:val="24"/>
          <w:szCs w:val="24"/>
        </w:rPr>
        <w:t xml:space="preserve">Schedule 24, </w:t>
      </w:r>
      <w:r w:rsidRPr="004B2E12">
        <w:rPr>
          <w:rFonts w:ascii="Times New Roman" w:hAnsi="Times New Roman" w:cs="Times New Roman"/>
          <w:sz w:val="24"/>
          <w:szCs w:val="24"/>
        </w:rPr>
        <w:t>Small General Service</w:t>
      </w:r>
    </w:p>
    <w:p w:rsidR="003C14CB" w:rsidRPr="004B2E12" w:rsidRDefault="003C14CB" w:rsidP="00B65199">
      <w:pPr>
        <w:spacing w:after="0" w:line="240" w:lineRule="exact"/>
        <w:ind w:left="2880" w:firstLine="720"/>
        <w:rPr>
          <w:rFonts w:ascii="Times New Roman" w:hAnsi="Times New Roman" w:cs="Times New Roman"/>
          <w:sz w:val="24"/>
          <w:szCs w:val="24"/>
        </w:rPr>
      </w:pPr>
      <w:r>
        <w:rPr>
          <w:rFonts w:ascii="Times New Roman" w:hAnsi="Times New Roman" w:cs="Times New Roman"/>
          <w:sz w:val="24"/>
          <w:szCs w:val="24"/>
        </w:rPr>
        <w:t xml:space="preserve">Schedule 36, </w:t>
      </w:r>
      <w:r w:rsidRPr="004B2E12">
        <w:rPr>
          <w:rFonts w:ascii="Times New Roman" w:hAnsi="Times New Roman" w:cs="Times New Roman"/>
          <w:sz w:val="24"/>
          <w:szCs w:val="24"/>
        </w:rPr>
        <w:t>Large General Service &lt;1000 kilowatts</w:t>
      </w:r>
    </w:p>
    <w:p w:rsidR="003C14CB" w:rsidRPr="004B2E12" w:rsidRDefault="003C14CB" w:rsidP="00B65199">
      <w:pPr>
        <w:spacing w:after="0" w:line="240" w:lineRule="exact"/>
        <w:ind w:left="2880" w:firstLine="720"/>
        <w:rPr>
          <w:rFonts w:ascii="Times New Roman" w:hAnsi="Times New Roman" w:cs="Times New Roman"/>
          <w:sz w:val="24"/>
          <w:szCs w:val="24"/>
        </w:rPr>
      </w:pPr>
      <w:r>
        <w:rPr>
          <w:rFonts w:ascii="Times New Roman" w:hAnsi="Times New Roman" w:cs="Times New Roman"/>
          <w:sz w:val="24"/>
          <w:szCs w:val="24"/>
        </w:rPr>
        <w:t xml:space="preserve">Schedule 40, </w:t>
      </w:r>
      <w:r w:rsidRPr="004B2E12">
        <w:rPr>
          <w:rFonts w:ascii="Times New Roman" w:hAnsi="Times New Roman" w:cs="Times New Roman"/>
          <w:sz w:val="24"/>
          <w:szCs w:val="24"/>
        </w:rPr>
        <w:t xml:space="preserve">Agricultural Pumping </w:t>
      </w:r>
    </w:p>
    <w:p w:rsidR="003C14CB" w:rsidRPr="004B2E12" w:rsidRDefault="003C14CB" w:rsidP="00B65199">
      <w:pPr>
        <w:spacing w:after="0" w:line="240" w:lineRule="exact"/>
        <w:rPr>
          <w:rFonts w:ascii="Times New Roman" w:hAnsi="Times New Roman" w:cs="Times New Roman"/>
          <w:sz w:val="24"/>
          <w:szCs w:val="24"/>
        </w:rPr>
      </w:pPr>
    </w:p>
    <w:p w:rsidR="003C14CB" w:rsidRPr="004B2E12" w:rsidRDefault="003C14CB" w:rsidP="00B56D08">
      <w:pPr>
        <w:spacing w:after="0" w:line="240" w:lineRule="exact"/>
        <w:ind w:firstLine="720"/>
        <w:rPr>
          <w:rFonts w:ascii="Times New Roman" w:hAnsi="Times New Roman" w:cs="Times New Roman"/>
          <w:sz w:val="24"/>
          <w:szCs w:val="24"/>
        </w:rPr>
      </w:pPr>
      <w:r w:rsidRPr="004B2E12">
        <w:rPr>
          <w:rFonts w:ascii="Times New Roman" w:hAnsi="Times New Roman" w:cs="Times New Roman"/>
          <w:sz w:val="24"/>
          <w:szCs w:val="24"/>
        </w:rPr>
        <w:t>1% increase</w:t>
      </w:r>
      <w:r>
        <w:rPr>
          <w:rFonts w:ascii="Times New Roman" w:hAnsi="Times New Roman" w:cs="Times New Roman"/>
          <w:sz w:val="24"/>
          <w:szCs w:val="24"/>
        </w:rPr>
        <w:t>:</w:t>
      </w:r>
      <w:r w:rsidRPr="004B2E12">
        <w:rPr>
          <w:rFonts w:ascii="Times New Roman" w:hAnsi="Times New Roman" w:cs="Times New Roman"/>
          <w:sz w:val="24"/>
          <w:szCs w:val="24"/>
          <w:vertAlign w:val="superscript"/>
        </w:rPr>
        <w:footnoteReference w:id="311"/>
      </w:r>
      <w:r w:rsidRPr="004B2E12">
        <w:rPr>
          <w:rFonts w:ascii="Times New Roman" w:hAnsi="Times New Roman" w:cs="Times New Roman"/>
          <w:sz w:val="24"/>
          <w:szCs w:val="24"/>
        </w:rPr>
        <w:tab/>
      </w:r>
      <w:r w:rsidRPr="004B2E12">
        <w:rPr>
          <w:rFonts w:ascii="Times New Roman" w:hAnsi="Times New Roman" w:cs="Times New Roman"/>
          <w:sz w:val="24"/>
          <w:szCs w:val="24"/>
        </w:rPr>
        <w:tab/>
      </w:r>
      <w:r>
        <w:rPr>
          <w:rFonts w:ascii="Times New Roman" w:hAnsi="Times New Roman" w:cs="Times New Roman"/>
          <w:sz w:val="24"/>
          <w:szCs w:val="24"/>
        </w:rPr>
        <w:t xml:space="preserve">Schedules 15, 52, 54, 57, Street and Area </w:t>
      </w:r>
      <w:r w:rsidRPr="004B2E12">
        <w:rPr>
          <w:rFonts w:ascii="Times New Roman" w:hAnsi="Times New Roman" w:cs="Times New Roman"/>
          <w:sz w:val="24"/>
          <w:szCs w:val="24"/>
        </w:rPr>
        <w:t>Lighting</w:t>
      </w:r>
    </w:p>
    <w:p w:rsidR="003C14CB" w:rsidRPr="00FC6A8C" w:rsidRDefault="003C14C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33093A">
        <w:rPr>
          <w:rFonts w:ascii="Times New Roman" w:hAnsi="Times New Roman" w:cs="Times New Roman"/>
          <w:sz w:val="24"/>
          <w:szCs w:val="24"/>
        </w:rPr>
        <w:t>The Company accepts and supports Staff’s methodology to allocate greater than average increases to Residential and Industrial schedules, less than average increases to Commercial and Irrigation schedules, and a one percent increase to Lighting schedules.</w:t>
      </w:r>
      <w:r w:rsidRPr="000E1BB9">
        <w:rPr>
          <w:vertAlign w:val="superscript"/>
        </w:rPr>
        <w:footnoteReference w:id="312"/>
      </w:r>
      <w:r w:rsidR="00FC6A8C">
        <w:rPr>
          <w:rFonts w:ascii="Times New Roman" w:hAnsi="Times New Roman" w:cs="Times New Roman"/>
          <w:sz w:val="24"/>
          <w:szCs w:val="24"/>
        </w:rPr>
        <w:t xml:space="preserve">  </w:t>
      </w:r>
      <w:r w:rsidRPr="00FC6A8C">
        <w:rPr>
          <w:rFonts w:ascii="Times New Roman" w:hAnsi="Times New Roman" w:cs="Times New Roman"/>
          <w:sz w:val="24"/>
          <w:szCs w:val="24"/>
        </w:rPr>
        <w:t>Staff’s proposal is also consistent with Wal</w:t>
      </w:r>
      <w:r w:rsidR="001107F3">
        <w:rPr>
          <w:rFonts w:ascii="Times New Roman" w:hAnsi="Times New Roman" w:cs="Times New Roman"/>
          <w:sz w:val="24"/>
          <w:szCs w:val="24"/>
        </w:rPr>
        <w:t>-M</w:t>
      </w:r>
      <w:r w:rsidRPr="00FC6A8C">
        <w:rPr>
          <w:rFonts w:ascii="Times New Roman" w:hAnsi="Times New Roman" w:cs="Times New Roman"/>
          <w:sz w:val="24"/>
          <w:szCs w:val="24"/>
        </w:rPr>
        <w:t>art’s proposal, which also moves rate schedules closer to cost.</w:t>
      </w:r>
      <w:r w:rsidR="00576F98" w:rsidRPr="00104B01">
        <w:rPr>
          <w:rFonts w:ascii="Times New Roman" w:hAnsi="Times New Roman" w:cs="Times New Roman"/>
          <w:sz w:val="24"/>
          <w:szCs w:val="24"/>
          <w:vertAlign w:val="superscript"/>
        </w:rPr>
        <w:footnoteReference w:id="313"/>
      </w:r>
      <w:r w:rsidRPr="00FC6A8C">
        <w:rPr>
          <w:rFonts w:ascii="Times New Roman" w:hAnsi="Times New Roman" w:cs="Times New Roman"/>
          <w:sz w:val="24"/>
          <w:szCs w:val="24"/>
        </w:rPr>
        <w:t xml:space="preserve">  </w:t>
      </w:r>
    </w:p>
    <w:p w:rsidR="003C14CB" w:rsidRPr="0033093A" w:rsidRDefault="003C14CB" w:rsidP="00C16EA4">
      <w:pPr>
        <w:pStyle w:val="ListParagraph"/>
        <w:numPr>
          <w:ilvl w:val="0"/>
          <w:numId w:val="3"/>
        </w:numPr>
        <w:spacing w:after="0" w:line="480" w:lineRule="exact"/>
        <w:rPr>
          <w:rFonts w:ascii="Times New Roman" w:hAnsi="Times New Roman" w:cs="Times New Roman"/>
          <w:sz w:val="24"/>
          <w:szCs w:val="24"/>
        </w:rPr>
      </w:pPr>
      <w:r w:rsidRPr="00FC6A8C">
        <w:rPr>
          <w:rFonts w:ascii="Times New Roman" w:hAnsi="Times New Roman" w:cs="Times New Roman"/>
          <w:sz w:val="24"/>
          <w:szCs w:val="24"/>
        </w:rPr>
        <w:tab/>
        <w:t xml:space="preserve">Only </w:t>
      </w:r>
      <w:r w:rsidR="00123A6B">
        <w:rPr>
          <w:rFonts w:ascii="Times New Roman" w:hAnsi="Times New Roman" w:cs="Times New Roman"/>
          <w:sz w:val="24"/>
          <w:szCs w:val="24"/>
        </w:rPr>
        <w:t>ICNU objects.  ICNU wants to use an equal percentage increase to all schedules except Lighting.</w:t>
      </w:r>
      <w:r w:rsidR="00576F98" w:rsidRPr="00104B01">
        <w:rPr>
          <w:rFonts w:ascii="Times New Roman" w:hAnsi="Times New Roman" w:cs="Times New Roman"/>
          <w:sz w:val="24"/>
          <w:szCs w:val="24"/>
          <w:vertAlign w:val="superscript"/>
        </w:rPr>
        <w:footnoteReference w:id="314"/>
      </w:r>
      <w:r w:rsidRPr="00FC6A8C">
        <w:rPr>
          <w:rFonts w:ascii="Times New Roman" w:hAnsi="Times New Roman" w:cs="Times New Roman"/>
          <w:sz w:val="24"/>
          <w:szCs w:val="24"/>
        </w:rPr>
        <w:t xml:space="preserve">  ICNU opposes moving rate schedules closer to cost on the ba</w:t>
      </w:r>
      <w:r w:rsidR="00123A6B">
        <w:rPr>
          <w:rFonts w:ascii="Times New Roman" w:hAnsi="Times New Roman" w:cs="Times New Roman"/>
          <w:sz w:val="24"/>
          <w:szCs w:val="24"/>
        </w:rPr>
        <w:t>sis that “most major classes are within a few percentage points of a cost-based level under</w:t>
      </w:r>
      <w:r w:rsidRPr="0033093A">
        <w:rPr>
          <w:rFonts w:ascii="Times New Roman" w:hAnsi="Times New Roman" w:cs="Times New Roman"/>
          <w:sz w:val="24"/>
          <w:szCs w:val="24"/>
        </w:rPr>
        <w:t xml:space="preserve"> </w:t>
      </w:r>
      <w:r w:rsidRPr="00FC6A8C">
        <w:rPr>
          <w:rFonts w:ascii="Times New Roman" w:hAnsi="Times New Roman" w:cs="Times New Roman"/>
          <w:sz w:val="24"/>
          <w:szCs w:val="24"/>
        </w:rPr>
        <w:t>the</w:t>
      </w:r>
      <w:r w:rsidRPr="0033093A">
        <w:rPr>
          <w:rFonts w:ascii="Times New Roman" w:hAnsi="Times New Roman" w:cs="Times New Roman"/>
          <w:sz w:val="24"/>
          <w:szCs w:val="24"/>
        </w:rPr>
        <w:t xml:space="preserve"> Company’s [cost of service] study,”</w:t>
      </w:r>
      <w:r w:rsidRPr="004B2E12">
        <w:rPr>
          <w:vertAlign w:val="superscript"/>
        </w:rPr>
        <w:footnoteReference w:id="315"/>
      </w:r>
      <w:r w:rsidRPr="0033093A">
        <w:rPr>
          <w:rFonts w:ascii="Times New Roman" w:hAnsi="Times New Roman" w:cs="Times New Roman"/>
          <w:sz w:val="24"/>
          <w:szCs w:val="24"/>
        </w:rPr>
        <w:t xml:space="preserve"> and also, ICNU fears the Commission would be moving to “a policy where it will use a single cost study” to determine rate spread.</w:t>
      </w:r>
      <w:r w:rsidRPr="004B2E12">
        <w:rPr>
          <w:vertAlign w:val="superscript"/>
        </w:rPr>
        <w:footnoteReference w:id="316"/>
      </w:r>
      <w:r w:rsidRPr="0033093A">
        <w:rPr>
          <w:rFonts w:ascii="Times New Roman" w:hAnsi="Times New Roman" w:cs="Times New Roman"/>
          <w:sz w:val="24"/>
          <w:szCs w:val="24"/>
        </w:rPr>
        <w:t xml:space="preserve">  </w:t>
      </w:r>
    </w:p>
    <w:p w:rsidR="003C14CB" w:rsidRPr="0033093A" w:rsidRDefault="003C14C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33093A">
        <w:rPr>
          <w:rFonts w:ascii="Times New Roman" w:hAnsi="Times New Roman" w:cs="Times New Roman"/>
          <w:sz w:val="24"/>
          <w:szCs w:val="24"/>
        </w:rPr>
        <w:t>The Commission should reject ICNU’s position.  First, Staff’s proposed revenue allocation gives effect to the revision in the peak credit method.</w:t>
      </w:r>
      <w:r w:rsidRPr="004B2E12">
        <w:rPr>
          <w:vertAlign w:val="superscript"/>
        </w:rPr>
        <w:footnoteReference w:id="317"/>
      </w:r>
      <w:r w:rsidRPr="0033093A">
        <w:rPr>
          <w:rFonts w:ascii="Times New Roman" w:hAnsi="Times New Roman" w:cs="Times New Roman"/>
          <w:sz w:val="24"/>
          <w:szCs w:val="24"/>
        </w:rPr>
        <w:t xml:space="preserve">  This revision all by itself </w:t>
      </w:r>
      <w:r w:rsidRPr="0033093A">
        <w:rPr>
          <w:rFonts w:ascii="Times New Roman" w:hAnsi="Times New Roman" w:cs="Times New Roman"/>
          <w:sz w:val="24"/>
          <w:szCs w:val="24"/>
        </w:rPr>
        <w:lastRenderedPageBreak/>
        <w:t>justifies the above average increase to the Residential schedule and mitigates the potential for even greater increases to the Industrial schedules.</w:t>
      </w:r>
      <w:r>
        <w:rPr>
          <w:rStyle w:val="FootnoteReference"/>
          <w:rFonts w:ascii="Times New Roman" w:hAnsi="Times New Roman" w:cs="Times New Roman"/>
          <w:sz w:val="24"/>
          <w:szCs w:val="24"/>
        </w:rPr>
        <w:footnoteReference w:id="318"/>
      </w:r>
      <w:r w:rsidRPr="0033093A">
        <w:rPr>
          <w:rFonts w:ascii="Times New Roman" w:hAnsi="Times New Roman" w:cs="Times New Roman"/>
          <w:sz w:val="24"/>
          <w:szCs w:val="24"/>
        </w:rPr>
        <w:t xml:space="preserve">  By contrast, ICNU’s equal percentage proposal not only fails to </w:t>
      </w:r>
      <w:r w:rsidR="00FC6A8C">
        <w:rPr>
          <w:rFonts w:ascii="Times New Roman" w:hAnsi="Times New Roman" w:cs="Times New Roman"/>
          <w:sz w:val="24"/>
          <w:szCs w:val="24"/>
        </w:rPr>
        <w:t xml:space="preserve">reflect the impact of </w:t>
      </w:r>
      <w:r w:rsidRPr="0033093A">
        <w:rPr>
          <w:rFonts w:ascii="Times New Roman" w:hAnsi="Times New Roman" w:cs="Times New Roman"/>
          <w:sz w:val="24"/>
          <w:szCs w:val="24"/>
        </w:rPr>
        <w:t>this change in allocation, but it also fails to address the notable and chronic under-recovery of costs by Schedule 48T customers.</w:t>
      </w:r>
      <w:r w:rsidRPr="004B2E12">
        <w:rPr>
          <w:vertAlign w:val="superscript"/>
        </w:rPr>
        <w:footnoteReference w:id="319"/>
      </w:r>
      <w:r w:rsidRPr="0033093A">
        <w:rPr>
          <w:rFonts w:ascii="Times New Roman" w:hAnsi="Times New Roman" w:cs="Times New Roman"/>
          <w:sz w:val="24"/>
          <w:szCs w:val="24"/>
          <w:vertAlign w:val="superscript"/>
        </w:rPr>
        <w:t xml:space="preserve"> </w:t>
      </w:r>
      <w:r w:rsidRPr="0033093A">
        <w:rPr>
          <w:rFonts w:ascii="Times New Roman" w:hAnsi="Times New Roman" w:cs="Times New Roman"/>
          <w:sz w:val="24"/>
          <w:szCs w:val="24"/>
        </w:rPr>
        <w:t xml:space="preserve"> </w:t>
      </w:r>
    </w:p>
    <w:p w:rsidR="003C14CB" w:rsidRDefault="003C14C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33093A">
        <w:rPr>
          <w:rFonts w:ascii="Times New Roman" w:hAnsi="Times New Roman" w:cs="Times New Roman"/>
          <w:sz w:val="24"/>
          <w:szCs w:val="24"/>
        </w:rPr>
        <w:t xml:space="preserve">As </w:t>
      </w:r>
      <w:r w:rsidR="000C2919">
        <w:rPr>
          <w:rFonts w:ascii="Times New Roman" w:hAnsi="Times New Roman" w:cs="Times New Roman"/>
          <w:sz w:val="24"/>
          <w:szCs w:val="24"/>
        </w:rPr>
        <w:t>for</w:t>
      </w:r>
      <w:r w:rsidRPr="0033093A">
        <w:rPr>
          <w:rFonts w:ascii="Times New Roman" w:hAnsi="Times New Roman" w:cs="Times New Roman"/>
          <w:sz w:val="24"/>
          <w:szCs w:val="24"/>
        </w:rPr>
        <w:t xml:space="preserve"> ICNU’s fears, while Staff is unaware of any Commission mandate to use multiple cost-of-service studies, the Commission needs to base its decisions on the record before it, and ICNU had ample opportunity to contribute to that record.  For its part, Staff carefully analyzed the large amount of evidence in this case, and performed its own test of the sensitivity of allocating demand by varying the peak hours.</w:t>
      </w:r>
      <w:r w:rsidRPr="004B2E12">
        <w:rPr>
          <w:vertAlign w:val="superscript"/>
        </w:rPr>
        <w:footnoteReference w:id="320"/>
      </w:r>
      <w:r w:rsidRPr="0033093A">
        <w:rPr>
          <w:rFonts w:ascii="Times New Roman" w:hAnsi="Times New Roman" w:cs="Times New Roman"/>
          <w:sz w:val="24"/>
          <w:szCs w:val="24"/>
        </w:rPr>
        <w:t xml:space="preserve">  The results show that even under the extreme case of the two peak winter hours, Schedule 48T, Dedicated Facilities, remains below parity.</w:t>
      </w:r>
      <w:r w:rsidRPr="004B2E12">
        <w:rPr>
          <w:vertAlign w:val="superscript"/>
        </w:rPr>
        <w:footnoteReference w:id="321"/>
      </w:r>
      <w:r w:rsidRPr="0033093A">
        <w:rPr>
          <w:rFonts w:ascii="Times New Roman" w:hAnsi="Times New Roman" w:cs="Times New Roman"/>
          <w:sz w:val="24"/>
          <w:szCs w:val="24"/>
        </w:rPr>
        <w:t xml:space="preserve">  </w:t>
      </w:r>
    </w:p>
    <w:p w:rsidR="003C14CB" w:rsidRPr="0033093A" w:rsidRDefault="003C14C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33093A">
        <w:rPr>
          <w:rFonts w:ascii="Times New Roman" w:hAnsi="Times New Roman" w:cs="Times New Roman"/>
          <w:sz w:val="24"/>
          <w:szCs w:val="24"/>
        </w:rPr>
        <w:t>In sum, Staff’s proposed revenue allocation is reasonable, fair, balanced and cost-based, and the Commission should accept it.  The Commission should reject ICNU’s non-fact based arguments for keeping existing rate relationships intact and ignoring changes in cost responsibility</w:t>
      </w:r>
      <w:r w:rsidR="00FC6A8C">
        <w:rPr>
          <w:rFonts w:ascii="Times New Roman" w:hAnsi="Times New Roman" w:cs="Times New Roman"/>
          <w:sz w:val="24"/>
          <w:szCs w:val="24"/>
        </w:rPr>
        <w:t>.</w:t>
      </w:r>
      <w:r w:rsidRPr="004B2E12">
        <w:rPr>
          <w:vertAlign w:val="superscript"/>
        </w:rPr>
        <w:footnoteReference w:id="322"/>
      </w:r>
      <w:r w:rsidRPr="0033093A">
        <w:rPr>
          <w:rFonts w:ascii="Times New Roman" w:hAnsi="Times New Roman" w:cs="Times New Roman"/>
          <w:sz w:val="24"/>
          <w:szCs w:val="24"/>
        </w:rPr>
        <w:t xml:space="preserve"> </w:t>
      </w:r>
    </w:p>
    <w:p w:rsidR="003C14CB" w:rsidRPr="00C964FD" w:rsidRDefault="00A04C7E" w:rsidP="00B65199">
      <w:pPr>
        <w:pStyle w:val="ListParagraph"/>
        <w:spacing w:after="0" w:line="480" w:lineRule="exact"/>
        <w:ind w:left="0"/>
        <w:jc w:val="center"/>
        <w:rPr>
          <w:rFonts w:ascii="Times New Roman" w:hAnsi="Times New Roman" w:cs="Times New Roman"/>
          <w:b/>
          <w:sz w:val="24"/>
          <w:szCs w:val="24"/>
        </w:rPr>
      </w:pPr>
      <w:r>
        <w:rPr>
          <w:rFonts w:ascii="Times New Roman" w:hAnsi="Times New Roman" w:cs="Times New Roman"/>
          <w:b/>
          <w:sz w:val="24"/>
          <w:szCs w:val="24"/>
        </w:rPr>
        <w:t>IX</w:t>
      </w:r>
      <w:r w:rsidR="003C14CB">
        <w:rPr>
          <w:rFonts w:ascii="Times New Roman" w:hAnsi="Times New Roman" w:cs="Times New Roman"/>
          <w:b/>
          <w:sz w:val="24"/>
          <w:szCs w:val="24"/>
        </w:rPr>
        <w:t>.</w:t>
      </w:r>
      <w:r w:rsidR="003C14CB">
        <w:rPr>
          <w:rFonts w:ascii="Times New Roman" w:hAnsi="Times New Roman" w:cs="Times New Roman"/>
          <w:b/>
          <w:sz w:val="24"/>
          <w:szCs w:val="24"/>
        </w:rPr>
        <w:tab/>
      </w:r>
      <w:r w:rsidR="003C14CB" w:rsidRPr="00C964FD">
        <w:rPr>
          <w:rFonts w:ascii="Times New Roman" w:hAnsi="Times New Roman" w:cs="Times New Roman"/>
          <w:b/>
          <w:sz w:val="24"/>
          <w:szCs w:val="24"/>
        </w:rPr>
        <w:t>RATE DESIGN</w:t>
      </w:r>
    </w:p>
    <w:p w:rsidR="003C14CB" w:rsidRDefault="003C14C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FC6A8C">
        <w:rPr>
          <w:rFonts w:ascii="Times New Roman" w:hAnsi="Times New Roman" w:cs="Times New Roman"/>
          <w:sz w:val="24"/>
          <w:szCs w:val="24"/>
        </w:rPr>
        <w:t xml:space="preserve">There is </w:t>
      </w:r>
      <w:r w:rsidR="00747FA0">
        <w:rPr>
          <w:rFonts w:ascii="Times New Roman" w:hAnsi="Times New Roman" w:cs="Times New Roman"/>
          <w:sz w:val="24"/>
          <w:szCs w:val="24"/>
        </w:rPr>
        <w:t xml:space="preserve">one </w:t>
      </w:r>
      <w:r w:rsidRPr="0033093A">
        <w:rPr>
          <w:rFonts w:ascii="Times New Roman" w:hAnsi="Times New Roman" w:cs="Times New Roman"/>
          <w:sz w:val="24"/>
          <w:szCs w:val="24"/>
        </w:rPr>
        <w:t>contested rate design issue</w:t>
      </w:r>
      <w:r w:rsidR="00747FA0">
        <w:rPr>
          <w:rFonts w:ascii="Times New Roman" w:hAnsi="Times New Roman" w:cs="Times New Roman"/>
          <w:sz w:val="24"/>
          <w:szCs w:val="24"/>
        </w:rPr>
        <w:t xml:space="preserve">, and it involves </w:t>
      </w:r>
      <w:r w:rsidRPr="0033093A">
        <w:rPr>
          <w:rFonts w:ascii="Times New Roman" w:hAnsi="Times New Roman" w:cs="Times New Roman"/>
          <w:sz w:val="24"/>
          <w:szCs w:val="24"/>
        </w:rPr>
        <w:t xml:space="preserve">the customer basic charge.  For the reasons that follow, the Commission should raise the basic charge from $6.00 to $7.50. </w:t>
      </w:r>
    </w:p>
    <w:p w:rsidR="00B65199" w:rsidRPr="0033093A" w:rsidRDefault="00B65199" w:rsidP="00B65199">
      <w:pPr>
        <w:pStyle w:val="ListParagraph"/>
        <w:spacing w:after="0" w:line="240" w:lineRule="exact"/>
        <w:ind w:left="0"/>
        <w:rPr>
          <w:rFonts w:ascii="Times New Roman" w:hAnsi="Times New Roman" w:cs="Times New Roman"/>
          <w:sz w:val="24"/>
          <w:szCs w:val="24"/>
        </w:rPr>
      </w:pPr>
    </w:p>
    <w:p w:rsidR="003C14CB" w:rsidRPr="008F6367" w:rsidRDefault="003C14CB" w:rsidP="008F6367">
      <w:pPr>
        <w:pStyle w:val="ListParagraph"/>
        <w:spacing w:after="0" w:line="240" w:lineRule="exact"/>
        <w:ind w:hanging="720"/>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Pr="00C964FD">
        <w:rPr>
          <w:rFonts w:ascii="Times New Roman" w:hAnsi="Times New Roman" w:cs="Times New Roman"/>
          <w:b/>
          <w:sz w:val="24"/>
          <w:szCs w:val="24"/>
        </w:rPr>
        <w:t xml:space="preserve">The Commission Should Accept a $7.50 </w:t>
      </w:r>
      <w:r>
        <w:rPr>
          <w:rFonts w:ascii="Times New Roman" w:hAnsi="Times New Roman" w:cs="Times New Roman"/>
          <w:b/>
          <w:sz w:val="24"/>
          <w:szCs w:val="24"/>
        </w:rPr>
        <w:t xml:space="preserve">Residential </w:t>
      </w:r>
      <w:r w:rsidRPr="00C964FD">
        <w:rPr>
          <w:rFonts w:ascii="Times New Roman" w:hAnsi="Times New Roman" w:cs="Times New Roman"/>
          <w:b/>
          <w:sz w:val="24"/>
          <w:szCs w:val="24"/>
        </w:rPr>
        <w:t xml:space="preserve">Basic Charge Because it is Cost-Based </w:t>
      </w:r>
    </w:p>
    <w:p w:rsidR="003C14CB" w:rsidRPr="0033093A" w:rsidRDefault="003C14C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33093A">
        <w:rPr>
          <w:rFonts w:ascii="Times New Roman" w:hAnsi="Times New Roman" w:cs="Times New Roman"/>
          <w:sz w:val="24"/>
          <w:szCs w:val="24"/>
        </w:rPr>
        <w:t>The basic charge includes the cost of the meter, service drop, billing and meter reading.</w:t>
      </w:r>
      <w:r>
        <w:rPr>
          <w:rStyle w:val="FootnoteReference"/>
          <w:rFonts w:ascii="Times New Roman" w:hAnsi="Times New Roman" w:cs="Times New Roman"/>
          <w:sz w:val="24"/>
          <w:szCs w:val="24"/>
        </w:rPr>
        <w:footnoteReference w:id="323"/>
      </w:r>
      <w:r w:rsidRPr="0033093A">
        <w:rPr>
          <w:rFonts w:ascii="Times New Roman" w:hAnsi="Times New Roman" w:cs="Times New Roman"/>
          <w:sz w:val="24"/>
          <w:szCs w:val="24"/>
        </w:rPr>
        <w:t xml:space="preserve">  It is entirely consistent with cost causation principles to use a flat charge to recover those costs that vary by the addition or subtraction of customers.</w:t>
      </w:r>
      <w:r>
        <w:rPr>
          <w:rStyle w:val="FootnoteReference"/>
          <w:rFonts w:ascii="Times New Roman" w:hAnsi="Times New Roman" w:cs="Times New Roman"/>
          <w:sz w:val="24"/>
          <w:szCs w:val="24"/>
        </w:rPr>
        <w:footnoteReference w:id="324"/>
      </w:r>
      <w:r w:rsidRPr="0033093A">
        <w:rPr>
          <w:rFonts w:ascii="Times New Roman" w:hAnsi="Times New Roman" w:cs="Times New Roman"/>
          <w:sz w:val="24"/>
          <w:szCs w:val="24"/>
        </w:rPr>
        <w:t xml:space="preserve">  Staff supports a $7.50 basic </w:t>
      </w:r>
      <w:r w:rsidRPr="0033093A">
        <w:rPr>
          <w:rFonts w:ascii="Times New Roman" w:hAnsi="Times New Roman" w:cs="Times New Roman"/>
          <w:sz w:val="24"/>
          <w:szCs w:val="24"/>
        </w:rPr>
        <w:lastRenderedPageBreak/>
        <w:t>charge, which, although well below the cost of $9.68 (based on Staff’s case), is a reasonable movement towards appropriately recovering the costs that vary by the number of customers.</w:t>
      </w:r>
      <w:r w:rsidRPr="00C964FD">
        <w:rPr>
          <w:vertAlign w:val="superscript"/>
        </w:rPr>
        <w:footnoteReference w:id="325"/>
      </w:r>
      <w:r w:rsidRPr="0033093A">
        <w:rPr>
          <w:rFonts w:ascii="Times New Roman" w:hAnsi="Times New Roman" w:cs="Times New Roman"/>
          <w:sz w:val="24"/>
          <w:szCs w:val="24"/>
        </w:rPr>
        <w:t xml:space="preserve">  </w:t>
      </w:r>
    </w:p>
    <w:p w:rsidR="003C14CB" w:rsidRDefault="003C14CB" w:rsidP="00C16EA4">
      <w:pPr>
        <w:pStyle w:val="ListParagraph"/>
        <w:numPr>
          <w:ilvl w:val="0"/>
          <w:numId w:val="3"/>
        </w:numPr>
        <w:spacing w:after="0" w:line="480" w:lineRule="exact"/>
        <w:rPr>
          <w:rFonts w:ascii="Times New Roman" w:hAnsi="Times New Roman" w:cs="Times New Roman"/>
          <w:sz w:val="24"/>
          <w:szCs w:val="24"/>
        </w:rPr>
      </w:pPr>
      <w:r w:rsidRPr="00D43F77">
        <w:rPr>
          <w:rFonts w:ascii="Times New Roman" w:hAnsi="Times New Roman" w:cs="Times New Roman"/>
          <w:sz w:val="24"/>
          <w:szCs w:val="24"/>
        </w:rPr>
        <w:tab/>
        <w:t xml:space="preserve">PacifiCorp </w:t>
      </w:r>
      <w:r>
        <w:rPr>
          <w:rFonts w:ascii="Times New Roman" w:hAnsi="Times New Roman" w:cs="Times New Roman"/>
          <w:sz w:val="24"/>
          <w:szCs w:val="24"/>
        </w:rPr>
        <w:t>wants</w:t>
      </w:r>
      <w:r w:rsidRPr="00D43F77">
        <w:rPr>
          <w:rFonts w:ascii="Times New Roman" w:hAnsi="Times New Roman" w:cs="Times New Roman"/>
          <w:sz w:val="24"/>
          <w:szCs w:val="24"/>
        </w:rPr>
        <w:t xml:space="preserve"> to increase the basic charge to $8.50, which is also below the cost of $10.27 (based on the Company’s rebuttal case</w:t>
      </w:r>
      <w:r w:rsidRPr="004B2E12">
        <w:rPr>
          <w:vertAlign w:val="superscript"/>
        </w:rPr>
        <w:footnoteReference w:id="326"/>
      </w:r>
      <w:r w:rsidRPr="00D43F77">
        <w:rPr>
          <w:rFonts w:ascii="Times New Roman" w:hAnsi="Times New Roman" w:cs="Times New Roman"/>
          <w:sz w:val="24"/>
          <w:szCs w:val="24"/>
        </w:rPr>
        <w:t>).  Staff support</w:t>
      </w:r>
      <w:r>
        <w:rPr>
          <w:rFonts w:ascii="Times New Roman" w:hAnsi="Times New Roman" w:cs="Times New Roman"/>
          <w:sz w:val="24"/>
          <w:szCs w:val="24"/>
        </w:rPr>
        <w:t>s</w:t>
      </w:r>
      <w:r w:rsidRPr="00D43F77">
        <w:rPr>
          <w:rFonts w:ascii="Times New Roman" w:hAnsi="Times New Roman" w:cs="Times New Roman"/>
          <w:sz w:val="24"/>
          <w:szCs w:val="24"/>
        </w:rPr>
        <w:t xml:space="preserve"> </w:t>
      </w:r>
      <w:r>
        <w:rPr>
          <w:rFonts w:ascii="Times New Roman" w:hAnsi="Times New Roman" w:cs="Times New Roman"/>
          <w:sz w:val="24"/>
          <w:szCs w:val="24"/>
        </w:rPr>
        <w:t>its own proposed $7.50 charge, but can support PacifiCorp’s proposed $8.50 charge for much the same reasons.</w:t>
      </w:r>
    </w:p>
    <w:p w:rsidR="00B65199" w:rsidRPr="00D43F77" w:rsidRDefault="00B65199" w:rsidP="00B65199">
      <w:pPr>
        <w:pStyle w:val="ListParagraph"/>
        <w:spacing w:after="0" w:line="240" w:lineRule="exact"/>
        <w:ind w:left="0"/>
        <w:rPr>
          <w:rFonts w:ascii="Times New Roman" w:hAnsi="Times New Roman" w:cs="Times New Roman"/>
          <w:sz w:val="24"/>
          <w:szCs w:val="24"/>
        </w:rPr>
      </w:pPr>
    </w:p>
    <w:p w:rsidR="003C14CB" w:rsidRPr="008F6367" w:rsidRDefault="003C14CB" w:rsidP="008F6367">
      <w:pPr>
        <w:pStyle w:val="ListParagraph"/>
        <w:keepNext/>
        <w:spacing w:after="0" w:line="240" w:lineRule="exact"/>
        <w:ind w:hanging="720"/>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 xml:space="preserve">The Energy Project’s Proposal to Have No Increase in the Residential Basic Charge Violates Cost Causation Principles; </w:t>
      </w:r>
      <w:r w:rsidR="00387F4A">
        <w:rPr>
          <w:rFonts w:ascii="Times New Roman" w:hAnsi="Times New Roman" w:cs="Times New Roman"/>
          <w:b/>
          <w:sz w:val="24"/>
          <w:szCs w:val="24"/>
        </w:rPr>
        <w:t xml:space="preserve">In Any Event, </w:t>
      </w:r>
      <w:r>
        <w:rPr>
          <w:rFonts w:ascii="Times New Roman" w:hAnsi="Times New Roman" w:cs="Times New Roman"/>
          <w:b/>
          <w:sz w:val="24"/>
          <w:szCs w:val="24"/>
        </w:rPr>
        <w:t>Recovering These Costs Through Volumetric Charges Sends No Meaningful Price Signal</w:t>
      </w:r>
    </w:p>
    <w:p w:rsidR="003C14CB" w:rsidRPr="0033093A" w:rsidRDefault="003C14C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33093A">
        <w:rPr>
          <w:rFonts w:ascii="Times New Roman" w:hAnsi="Times New Roman" w:cs="Times New Roman"/>
          <w:sz w:val="24"/>
          <w:szCs w:val="24"/>
        </w:rPr>
        <w:t>The Energy Project objects to any increase to the basic charge, claiming it “sends the wrong price signal”.</w:t>
      </w:r>
      <w:r w:rsidRPr="004B2E12">
        <w:rPr>
          <w:vertAlign w:val="superscript"/>
        </w:rPr>
        <w:footnoteReference w:id="327"/>
      </w:r>
      <w:r w:rsidRPr="0033093A">
        <w:rPr>
          <w:rFonts w:ascii="Times New Roman" w:hAnsi="Times New Roman" w:cs="Times New Roman"/>
          <w:sz w:val="24"/>
          <w:szCs w:val="24"/>
        </w:rPr>
        <w:t xml:space="preserve">  Instead, The Energy Project </w:t>
      </w:r>
      <w:r w:rsidR="000C2919">
        <w:rPr>
          <w:rFonts w:ascii="Times New Roman" w:hAnsi="Times New Roman" w:cs="Times New Roman"/>
          <w:sz w:val="24"/>
          <w:szCs w:val="24"/>
        </w:rPr>
        <w:t xml:space="preserve">would </w:t>
      </w:r>
      <w:r w:rsidRPr="0033093A">
        <w:rPr>
          <w:rFonts w:ascii="Times New Roman" w:hAnsi="Times New Roman" w:cs="Times New Roman"/>
          <w:sz w:val="24"/>
          <w:szCs w:val="24"/>
        </w:rPr>
        <w:t>increase volumetric usage rates</w:t>
      </w:r>
      <w:r w:rsidR="000C2919">
        <w:rPr>
          <w:rFonts w:ascii="Times New Roman" w:hAnsi="Times New Roman" w:cs="Times New Roman"/>
          <w:sz w:val="24"/>
          <w:szCs w:val="24"/>
        </w:rPr>
        <w:t xml:space="preserve"> only</w:t>
      </w:r>
      <w:r w:rsidRPr="0033093A">
        <w:rPr>
          <w:rFonts w:ascii="Times New Roman" w:hAnsi="Times New Roman" w:cs="Times New Roman"/>
          <w:sz w:val="24"/>
          <w:szCs w:val="24"/>
        </w:rPr>
        <w:t>.  This is plainly wrong, because using volumetric rates to recover costs that do not vary with volume violates cost causation principles.  If The Energy Project truly believes an additional price signal is needed to encourage more efficient use of electricity, it could propose a redesign of the two-block rate structure.</w:t>
      </w:r>
      <w:r>
        <w:rPr>
          <w:rStyle w:val="FootnoteReference"/>
          <w:rFonts w:ascii="Times New Roman" w:hAnsi="Times New Roman" w:cs="Times New Roman"/>
          <w:sz w:val="24"/>
          <w:szCs w:val="24"/>
        </w:rPr>
        <w:footnoteReference w:id="328"/>
      </w:r>
      <w:r w:rsidRPr="0033093A">
        <w:rPr>
          <w:rFonts w:ascii="Times New Roman" w:hAnsi="Times New Roman" w:cs="Times New Roman"/>
          <w:sz w:val="24"/>
          <w:szCs w:val="24"/>
        </w:rPr>
        <w:t xml:space="preserve">  </w:t>
      </w:r>
    </w:p>
    <w:p w:rsidR="003C14CB" w:rsidRPr="0033093A" w:rsidRDefault="003C14C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AA7D2A">
        <w:rPr>
          <w:rFonts w:ascii="Times New Roman" w:hAnsi="Times New Roman" w:cs="Times New Roman"/>
          <w:sz w:val="24"/>
          <w:szCs w:val="24"/>
        </w:rPr>
        <w:t xml:space="preserve">Moreover, </w:t>
      </w:r>
      <w:r w:rsidRPr="0033093A">
        <w:rPr>
          <w:rFonts w:ascii="Times New Roman" w:hAnsi="Times New Roman" w:cs="Times New Roman"/>
          <w:sz w:val="24"/>
          <w:szCs w:val="24"/>
        </w:rPr>
        <w:t xml:space="preserve">customers </w:t>
      </w:r>
      <w:r w:rsidR="001107F3">
        <w:rPr>
          <w:rFonts w:ascii="Times New Roman" w:hAnsi="Times New Roman" w:cs="Times New Roman"/>
          <w:sz w:val="24"/>
          <w:szCs w:val="24"/>
        </w:rPr>
        <w:t xml:space="preserve">do not </w:t>
      </w:r>
      <w:r w:rsidRPr="0033093A">
        <w:rPr>
          <w:rFonts w:ascii="Times New Roman" w:hAnsi="Times New Roman" w:cs="Times New Roman"/>
          <w:sz w:val="24"/>
          <w:szCs w:val="24"/>
        </w:rPr>
        <w:t>need any additional price signal, given the tail block rate already is over nine cents per kilowatt-hour.</w:t>
      </w:r>
      <w:r w:rsidRPr="004B2E12">
        <w:rPr>
          <w:vertAlign w:val="superscript"/>
        </w:rPr>
        <w:footnoteReference w:id="329"/>
      </w:r>
      <w:r w:rsidRPr="0033093A">
        <w:rPr>
          <w:rFonts w:ascii="Times New Roman" w:hAnsi="Times New Roman" w:cs="Times New Roman"/>
          <w:sz w:val="24"/>
          <w:szCs w:val="24"/>
        </w:rPr>
        <w:t xml:space="preserve">  </w:t>
      </w:r>
      <w:r w:rsidR="00AA7D2A">
        <w:rPr>
          <w:rFonts w:ascii="Times New Roman" w:hAnsi="Times New Roman" w:cs="Times New Roman"/>
          <w:sz w:val="24"/>
          <w:szCs w:val="24"/>
        </w:rPr>
        <w:t>In any event, the incremental increase to the tail block rate reflecting the additional revenue from a</w:t>
      </w:r>
      <w:r w:rsidRPr="0033093A">
        <w:rPr>
          <w:rFonts w:ascii="Times New Roman" w:hAnsi="Times New Roman" w:cs="Times New Roman"/>
          <w:sz w:val="24"/>
          <w:szCs w:val="24"/>
        </w:rPr>
        <w:t xml:space="preserve"> basic charge </w:t>
      </w:r>
      <w:r w:rsidR="00AA7D2A">
        <w:rPr>
          <w:rFonts w:ascii="Times New Roman" w:hAnsi="Times New Roman" w:cs="Times New Roman"/>
          <w:sz w:val="24"/>
          <w:szCs w:val="24"/>
        </w:rPr>
        <w:t xml:space="preserve">of </w:t>
      </w:r>
      <w:r w:rsidRPr="0033093A">
        <w:rPr>
          <w:rFonts w:ascii="Times New Roman" w:hAnsi="Times New Roman" w:cs="Times New Roman"/>
          <w:sz w:val="24"/>
          <w:szCs w:val="24"/>
        </w:rPr>
        <w:t xml:space="preserve">$7.50 </w:t>
      </w:r>
      <w:r w:rsidR="00AA7D2A">
        <w:rPr>
          <w:rFonts w:ascii="Times New Roman" w:hAnsi="Times New Roman" w:cs="Times New Roman"/>
          <w:sz w:val="24"/>
          <w:szCs w:val="24"/>
        </w:rPr>
        <w:t xml:space="preserve">is </w:t>
      </w:r>
      <w:r w:rsidRPr="0033093A">
        <w:rPr>
          <w:rFonts w:ascii="Times New Roman" w:hAnsi="Times New Roman" w:cs="Times New Roman"/>
          <w:sz w:val="24"/>
          <w:szCs w:val="24"/>
        </w:rPr>
        <w:t>a mere 0.135 cents per kWh</w:t>
      </w:r>
      <w:r w:rsidR="001107F3">
        <w:rPr>
          <w:rFonts w:ascii="Times New Roman" w:hAnsi="Times New Roman" w:cs="Times New Roman"/>
          <w:sz w:val="24"/>
          <w:szCs w:val="24"/>
        </w:rPr>
        <w:t>,</w:t>
      </w:r>
      <w:r w:rsidRPr="004B2E12">
        <w:rPr>
          <w:vertAlign w:val="superscript"/>
        </w:rPr>
        <w:footnoteReference w:id="330"/>
      </w:r>
      <w:r>
        <w:rPr>
          <w:rFonts w:ascii="Times New Roman" w:hAnsi="Times New Roman" w:cs="Times New Roman"/>
          <w:sz w:val="24"/>
          <w:szCs w:val="24"/>
        </w:rPr>
        <w:t xml:space="preserve"> </w:t>
      </w:r>
      <w:r w:rsidR="001107F3">
        <w:rPr>
          <w:rFonts w:ascii="Times New Roman" w:hAnsi="Times New Roman" w:cs="Times New Roman"/>
          <w:sz w:val="24"/>
          <w:szCs w:val="24"/>
        </w:rPr>
        <w:t>which is no signal at all.</w:t>
      </w:r>
      <w:r>
        <w:rPr>
          <w:rFonts w:ascii="Times New Roman" w:hAnsi="Times New Roman" w:cs="Times New Roman"/>
          <w:sz w:val="24"/>
          <w:szCs w:val="24"/>
        </w:rPr>
        <w:t xml:space="preserve"> </w:t>
      </w:r>
    </w:p>
    <w:p w:rsidR="003C14CB" w:rsidRPr="0033093A" w:rsidRDefault="003C14C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33093A">
        <w:rPr>
          <w:rFonts w:ascii="Times New Roman" w:hAnsi="Times New Roman" w:cs="Times New Roman"/>
          <w:sz w:val="24"/>
          <w:szCs w:val="24"/>
        </w:rPr>
        <w:t>Staff’s basic charge of $7.50 is reasonable, cost-based, and otherwise well-supported</w:t>
      </w:r>
      <w:r w:rsidR="001107F3">
        <w:rPr>
          <w:rFonts w:ascii="Times New Roman" w:hAnsi="Times New Roman" w:cs="Times New Roman"/>
          <w:sz w:val="24"/>
          <w:szCs w:val="24"/>
        </w:rPr>
        <w:t>.</w:t>
      </w:r>
    </w:p>
    <w:p w:rsidR="003C14CB" w:rsidRPr="00DA2B1E" w:rsidRDefault="004A31B0" w:rsidP="00B65199">
      <w:pPr>
        <w:pStyle w:val="ListParagraph"/>
        <w:keepNext/>
        <w:spacing w:after="0" w:line="480" w:lineRule="exact"/>
        <w:ind w:left="0"/>
        <w:jc w:val="center"/>
        <w:rPr>
          <w:rFonts w:ascii="Times New Roman" w:hAnsi="Times New Roman" w:cs="Times New Roman"/>
          <w:b/>
          <w:sz w:val="24"/>
          <w:szCs w:val="24"/>
        </w:rPr>
      </w:pPr>
      <w:r>
        <w:rPr>
          <w:rFonts w:ascii="Times New Roman" w:hAnsi="Times New Roman" w:cs="Times New Roman"/>
          <w:b/>
          <w:sz w:val="24"/>
          <w:szCs w:val="24"/>
        </w:rPr>
        <w:t>X</w:t>
      </w:r>
      <w:r w:rsidR="003C14CB">
        <w:rPr>
          <w:rFonts w:ascii="Times New Roman" w:hAnsi="Times New Roman" w:cs="Times New Roman"/>
          <w:b/>
          <w:sz w:val="24"/>
          <w:szCs w:val="24"/>
        </w:rPr>
        <w:t>.</w:t>
      </w:r>
      <w:r w:rsidR="003C14CB">
        <w:rPr>
          <w:rFonts w:ascii="Times New Roman" w:hAnsi="Times New Roman" w:cs="Times New Roman"/>
          <w:b/>
          <w:sz w:val="24"/>
          <w:szCs w:val="24"/>
        </w:rPr>
        <w:tab/>
      </w:r>
      <w:r w:rsidR="003C14CB" w:rsidRPr="00DA2B1E">
        <w:rPr>
          <w:rFonts w:ascii="Times New Roman" w:hAnsi="Times New Roman" w:cs="Times New Roman"/>
          <w:b/>
          <w:sz w:val="24"/>
          <w:szCs w:val="24"/>
        </w:rPr>
        <w:t>LOW INCOME ISSUES</w:t>
      </w:r>
    </w:p>
    <w:p w:rsidR="003C14CB" w:rsidRPr="0033093A" w:rsidRDefault="003C14C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33093A">
        <w:rPr>
          <w:rFonts w:ascii="Times New Roman" w:hAnsi="Times New Roman" w:cs="Times New Roman"/>
          <w:sz w:val="24"/>
          <w:szCs w:val="24"/>
        </w:rPr>
        <w:t xml:space="preserve">The contested low income issues in this case include programmatic changes to the Low Income Bill Assistance Program (LIBA) and a proposal by The Energy Project to increase low income weatherization funding by half a million dollars annually.  </w:t>
      </w:r>
    </w:p>
    <w:p w:rsidR="003C14CB" w:rsidRPr="0033093A" w:rsidRDefault="003C14CB" w:rsidP="00B65199">
      <w:pPr>
        <w:keepNext/>
        <w:spacing w:after="0" w:line="480" w:lineRule="exact"/>
        <w:rPr>
          <w:rFonts w:ascii="Times New Roman" w:hAnsi="Times New Roman" w:cs="Times New Roman"/>
          <w:b/>
          <w:sz w:val="24"/>
          <w:szCs w:val="24"/>
        </w:rPr>
      </w:pPr>
      <w:r>
        <w:rPr>
          <w:rFonts w:ascii="Times New Roman" w:hAnsi="Times New Roman" w:cs="Times New Roman"/>
          <w:b/>
          <w:sz w:val="24"/>
          <w:szCs w:val="24"/>
        </w:rPr>
        <w:lastRenderedPageBreak/>
        <w:t>A.</w:t>
      </w:r>
      <w:r>
        <w:rPr>
          <w:rFonts w:ascii="Times New Roman" w:hAnsi="Times New Roman" w:cs="Times New Roman"/>
          <w:b/>
          <w:sz w:val="24"/>
          <w:szCs w:val="24"/>
        </w:rPr>
        <w:tab/>
      </w:r>
      <w:r w:rsidRPr="0033093A">
        <w:rPr>
          <w:rFonts w:ascii="Times New Roman" w:hAnsi="Times New Roman" w:cs="Times New Roman"/>
          <w:b/>
          <w:sz w:val="24"/>
          <w:szCs w:val="24"/>
        </w:rPr>
        <w:t>Low Income Bill Assistance (LIBA)</w:t>
      </w:r>
    </w:p>
    <w:p w:rsidR="003C14CB" w:rsidRPr="00C31DB6" w:rsidRDefault="003C14C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33093A">
        <w:rPr>
          <w:rFonts w:ascii="Times New Roman" w:hAnsi="Times New Roman" w:cs="Times New Roman"/>
          <w:sz w:val="24"/>
          <w:szCs w:val="24"/>
        </w:rPr>
        <w:t>Ratepayers subsidize the payment of low income ratepayer’s bills via the Company’s the Bill Assistance Surcharge, contained in Schedule 91.  PacifiCorp proposes several changes to LIBA.</w:t>
      </w:r>
      <w:r w:rsidR="00C31DB6">
        <w:rPr>
          <w:rStyle w:val="FootnoteReference"/>
          <w:rFonts w:ascii="Times New Roman" w:hAnsi="Times New Roman" w:cs="Times New Roman"/>
          <w:sz w:val="24"/>
          <w:szCs w:val="24"/>
        </w:rPr>
        <w:footnoteReference w:id="331"/>
      </w:r>
      <w:r w:rsidRPr="0033093A">
        <w:rPr>
          <w:rFonts w:ascii="Times New Roman" w:hAnsi="Times New Roman" w:cs="Times New Roman"/>
          <w:sz w:val="24"/>
          <w:szCs w:val="24"/>
        </w:rPr>
        <w:t xml:space="preserve">  </w:t>
      </w:r>
      <w:r w:rsidRPr="00C31DB6">
        <w:rPr>
          <w:rFonts w:ascii="Times New Roman" w:hAnsi="Times New Roman" w:cs="Times New Roman"/>
          <w:sz w:val="24"/>
          <w:szCs w:val="24"/>
        </w:rPr>
        <w:t xml:space="preserve">The </w:t>
      </w:r>
      <w:r w:rsidR="001107F3" w:rsidRPr="00C31DB6">
        <w:rPr>
          <w:rFonts w:ascii="Times New Roman" w:hAnsi="Times New Roman" w:cs="Times New Roman"/>
          <w:sz w:val="24"/>
          <w:szCs w:val="24"/>
        </w:rPr>
        <w:t>contested</w:t>
      </w:r>
      <w:r w:rsidRPr="00C31DB6">
        <w:rPr>
          <w:rFonts w:ascii="Times New Roman" w:hAnsi="Times New Roman" w:cs="Times New Roman"/>
          <w:sz w:val="24"/>
          <w:szCs w:val="24"/>
        </w:rPr>
        <w:t xml:space="preserve"> changes to LIBA are PacifiCorp’s proposals to:  1) increase the number of participating customers by</w:t>
      </w:r>
      <w:r w:rsidRPr="005E43DF">
        <w:rPr>
          <w:rFonts w:ascii="Times New Roman" w:hAnsi="Times New Roman" w:cs="Times New Roman"/>
          <w:sz w:val="24"/>
          <w:szCs w:val="24"/>
        </w:rPr>
        <w:t xml:space="preserve"> </w:t>
      </w:r>
      <w:r w:rsidRPr="00C31DB6">
        <w:rPr>
          <w:rFonts w:ascii="Times New Roman" w:hAnsi="Times New Roman" w:cs="Times New Roman"/>
          <w:sz w:val="24"/>
          <w:szCs w:val="24"/>
        </w:rPr>
        <w:t xml:space="preserve">applying 30 percent of the surcharge increase to additional households, and 70 percent to increasing the </w:t>
      </w:r>
      <w:r w:rsidRPr="005E43DF">
        <w:rPr>
          <w:rFonts w:ascii="Times New Roman" w:hAnsi="Times New Roman" w:cs="Times New Roman"/>
          <w:sz w:val="24"/>
          <w:szCs w:val="24"/>
        </w:rPr>
        <w:t>r</w:t>
      </w:r>
      <w:r w:rsidRPr="00C31DB6">
        <w:rPr>
          <w:rFonts w:ascii="Times New Roman" w:hAnsi="Times New Roman" w:cs="Times New Roman"/>
          <w:sz w:val="24"/>
          <w:szCs w:val="24"/>
        </w:rPr>
        <w:t>ate subsidy; and 2) improve efficiencies by recertifying participants every other year, rather than each year.</w:t>
      </w:r>
      <w:r w:rsidRPr="00C31DB6">
        <w:rPr>
          <w:rStyle w:val="FootnoteReference"/>
          <w:rFonts w:ascii="Times New Roman" w:hAnsi="Times New Roman" w:cs="Times New Roman"/>
          <w:sz w:val="24"/>
          <w:szCs w:val="24"/>
        </w:rPr>
        <w:footnoteReference w:id="332"/>
      </w:r>
      <w:r w:rsidRPr="00C31DB6">
        <w:rPr>
          <w:rFonts w:ascii="Times New Roman" w:hAnsi="Times New Roman" w:cs="Times New Roman"/>
          <w:sz w:val="24"/>
          <w:szCs w:val="24"/>
        </w:rPr>
        <w:t xml:space="preserve">  </w:t>
      </w:r>
      <w:r w:rsidR="001107F3" w:rsidRPr="00C31DB6">
        <w:rPr>
          <w:rFonts w:ascii="Times New Roman" w:hAnsi="Times New Roman" w:cs="Times New Roman"/>
          <w:sz w:val="24"/>
          <w:szCs w:val="24"/>
        </w:rPr>
        <w:t>Also</w:t>
      </w:r>
      <w:r w:rsidRPr="00C31DB6">
        <w:rPr>
          <w:rFonts w:ascii="Times New Roman" w:hAnsi="Times New Roman" w:cs="Times New Roman"/>
          <w:sz w:val="24"/>
          <w:szCs w:val="24"/>
        </w:rPr>
        <w:t>, Th</w:t>
      </w:r>
      <w:r w:rsidRPr="005E43DF">
        <w:rPr>
          <w:rFonts w:ascii="Times New Roman" w:hAnsi="Times New Roman" w:cs="Times New Roman"/>
          <w:sz w:val="24"/>
          <w:szCs w:val="24"/>
        </w:rPr>
        <w:t>e</w:t>
      </w:r>
      <w:r w:rsidRPr="00C31DB6">
        <w:rPr>
          <w:rFonts w:ascii="Times New Roman" w:hAnsi="Times New Roman" w:cs="Times New Roman"/>
          <w:sz w:val="24"/>
          <w:szCs w:val="24"/>
        </w:rPr>
        <w:t xml:space="preserve"> Energy Project proposes to increase the certification fee paid to low income agencies to $65.00 per household.</w:t>
      </w:r>
      <w:r w:rsidRPr="00104B01">
        <w:rPr>
          <w:rFonts w:ascii="Times New Roman" w:hAnsi="Times New Roman" w:cs="Times New Roman"/>
          <w:sz w:val="24"/>
          <w:szCs w:val="24"/>
          <w:vertAlign w:val="superscript"/>
        </w:rPr>
        <w:footnoteReference w:id="333"/>
      </w:r>
      <w:r w:rsidRPr="00C31DB6">
        <w:rPr>
          <w:rFonts w:ascii="Times New Roman" w:hAnsi="Times New Roman" w:cs="Times New Roman"/>
          <w:sz w:val="24"/>
          <w:szCs w:val="24"/>
        </w:rPr>
        <w:t xml:space="preserve">  </w:t>
      </w:r>
    </w:p>
    <w:p w:rsidR="003C14CB" w:rsidRPr="00C31DB6" w:rsidRDefault="003C14CB" w:rsidP="00C16EA4">
      <w:pPr>
        <w:pStyle w:val="ListParagraph"/>
        <w:numPr>
          <w:ilvl w:val="0"/>
          <w:numId w:val="3"/>
        </w:numPr>
        <w:spacing w:after="0" w:line="480" w:lineRule="exact"/>
        <w:rPr>
          <w:rFonts w:ascii="Times New Roman" w:hAnsi="Times New Roman" w:cs="Times New Roman"/>
          <w:sz w:val="24"/>
          <w:szCs w:val="24"/>
        </w:rPr>
      </w:pPr>
      <w:r w:rsidRPr="00C31DB6">
        <w:rPr>
          <w:rFonts w:ascii="Times New Roman" w:hAnsi="Times New Roman" w:cs="Times New Roman"/>
          <w:sz w:val="24"/>
          <w:szCs w:val="24"/>
        </w:rPr>
        <w:tab/>
        <w:t xml:space="preserve">For the reasons </w:t>
      </w:r>
      <w:r w:rsidR="00AA7D2A">
        <w:rPr>
          <w:rFonts w:ascii="Times New Roman" w:hAnsi="Times New Roman" w:cs="Times New Roman"/>
          <w:sz w:val="24"/>
          <w:szCs w:val="24"/>
        </w:rPr>
        <w:t>below</w:t>
      </w:r>
      <w:r w:rsidRPr="00C31DB6">
        <w:rPr>
          <w:rFonts w:ascii="Times New Roman" w:hAnsi="Times New Roman" w:cs="Times New Roman"/>
          <w:sz w:val="24"/>
          <w:szCs w:val="24"/>
        </w:rPr>
        <w:t>, the Commission should accept these PacifiCorp proposals and reject The Energy Project’s proposal.  While The Energy Project objects to the above programmatic changes the Company proposes and boldly claims they “endanger the abili</w:t>
      </w:r>
      <w:r w:rsidRPr="00ED0489">
        <w:rPr>
          <w:rFonts w:ascii="Times New Roman" w:hAnsi="Times New Roman" w:cs="Times New Roman"/>
          <w:sz w:val="24"/>
          <w:szCs w:val="24"/>
        </w:rPr>
        <w:t>t</w:t>
      </w:r>
      <w:r w:rsidRPr="00C31DB6">
        <w:rPr>
          <w:rFonts w:ascii="Times New Roman" w:hAnsi="Times New Roman" w:cs="Times New Roman"/>
          <w:sz w:val="24"/>
          <w:szCs w:val="24"/>
        </w:rPr>
        <w:t>y of the agencies to provide service”</w:t>
      </w:r>
      <w:r w:rsidRPr="00104B01">
        <w:rPr>
          <w:rFonts w:ascii="Times New Roman" w:hAnsi="Times New Roman" w:cs="Times New Roman"/>
          <w:sz w:val="24"/>
          <w:szCs w:val="24"/>
          <w:vertAlign w:val="superscript"/>
        </w:rPr>
        <w:footnoteReference w:id="334"/>
      </w:r>
      <w:r w:rsidRPr="00C31DB6">
        <w:rPr>
          <w:rFonts w:ascii="Times New Roman" w:hAnsi="Times New Roman" w:cs="Times New Roman"/>
          <w:sz w:val="24"/>
          <w:szCs w:val="24"/>
        </w:rPr>
        <w:t xml:space="preserve"> the evidence simply does not </w:t>
      </w:r>
      <w:r w:rsidR="00AA7D2A">
        <w:rPr>
          <w:rFonts w:ascii="Times New Roman" w:hAnsi="Times New Roman" w:cs="Times New Roman"/>
          <w:sz w:val="24"/>
          <w:szCs w:val="24"/>
        </w:rPr>
        <w:t xml:space="preserve">back that </w:t>
      </w:r>
      <w:r w:rsidRPr="00C31DB6">
        <w:rPr>
          <w:rFonts w:ascii="Times New Roman" w:hAnsi="Times New Roman" w:cs="Times New Roman"/>
          <w:sz w:val="24"/>
          <w:szCs w:val="24"/>
        </w:rPr>
        <w:t>up.</w:t>
      </w:r>
    </w:p>
    <w:p w:rsidR="00B65199" w:rsidRPr="00C31DB6" w:rsidRDefault="00B65199" w:rsidP="00B65199">
      <w:pPr>
        <w:pStyle w:val="ListParagraph"/>
        <w:spacing w:after="0" w:line="240" w:lineRule="exact"/>
        <w:ind w:left="0"/>
        <w:rPr>
          <w:rFonts w:ascii="Times New Roman" w:hAnsi="Times New Roman" w:cs="Times New Roman"/>
          <w:sz w:val="24"/>
          <w:szCs w:val="24"/>
        </w:rPr>
      </w:pPr>
    </w:p>
    <w:p w:rsidR="003C14CB" w:rsidRPr="008F6367" w:rsidRDefault="003C14CB" w:rsidP="00B65199">
      <w:pPr>
        <w:pStyle w:val="ListParagraph"/>
        <w:numPr>
          <w:ilvl w:val="0"/>
          <w:numId w:val="2"/>
        </w:numPr>
        <w:spacing w:after="0" w:line="240" w:lineRule="exact"/>
        <w:ind w:left="1440" w:hanging="720"/>
        <w:rPr>
          <w:rFonts w:ascii="Times New Roman" w:hAnsi="Times New Roman" w:cs="Times New Roman"/>
          <w:sz w:val="24"/>
          <w:szCs w:val="24"/>
        </w:rPr>
      </w:pPr>
      <w:r w:rsidRPr="00C31DB6">
        <w:rPr>
          <w:rFonts w:ascii="Times New Roman" w:hAnsi="Times New Roman" w:cs="Times New Roman"/>
          <w:b/>
          <w:sz w:val="24"/>
          <w:szCs w:val="24"/>
        </w:rPr>
        <w:t>The Increase in LIBA Funding Should be</w:t>
      </w:r>
      <w:r w:rsidRPr="00924E63">
        <w:rPr>
          <w:rFonts w:ascii="Times New Roman" w:hAnsi="Times New Roman" w:cs="Times New Roman"/>
          <w:b/>
          <w:sz w:val="24"/>
          <w:szCs w:val="24"/>
        </w:rPr>
        <w:t xml:space="preserve"> </w:t>
      </w:r>
      <w:r w:rsidRPr="00C31DB6">
        <w:rPr>
          <w:rFonts w:ascii="Times New Roman" w:hAnsi="Times New Roman" w:cs="Times New Roman"/>
          <w:b/>
          <w:sz w:val="24"/>
          <w:szCs w:val="24"/>
        </w:rPr>
        <w:t>Use</w:t>
      </w:r>
      <w:r w:rsidRPr="00924E63">
        <w:rPr>
          <w:rFonts w:ascii="Times New Roman" w:hAnsi="Times New Roman" w:cs="Times New Roman"/>
          <w:b/>
          <w:sz w:val="24"/>
          <w:szCs w:val="24"/>
        </w:rPr>
        <w:t xml:space="preserve">d to Welcome More Needy </w:t>
      </w:r>
      <w:r w:rsidR="000C2919">
        <w:rPr>
          <w:rFonts w:ascii="Times New Roman" w:hAnsi="Times New Roman" w:cs="Times New Roman"/>
          <w:b/>
          <w:sz w:val="24"/>
          <w:szCs w:val="24"/>
        </w:rPr>
        <w:t>Households</w:t>
      </w:r>
      <w:r w:rsidRPr="00924E63">
        <w:rPr>
          <w:rFonts w:ascii="Times New Roman" w:hAnsi="Times New Roman" w:cs="Times New Roman"/>
          <w:b/>
          <w:sz w:val="24"/>
          <w:szCs w:val="24"/>
        </w:rPr>
        <w:t xml:space="preserve"> Without More of an Increase in Funding Than PacifiCorp Proposes</w:t>
      </w:r>
    </w:p>
    <w:p w:rsidR="003C14CB" w:rsidRPr="00ED0489" w:rsidRDefault="003C14C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ED0489">
        <w:rPr>
          <w:rFonts w:ascii="Times New Roman" w:hAnsi="Times New Roman" w:cs="Times New Roman"/>
          <w:sz w:val="24"/>
          <w:szCs w:val="24"/>
        </w:rPr>
        <w:t xml:space="preserve">PacifiCorp proposes applying 30 percent of the increased funds raised by the surcharge to increasing the number of qualifying customers, and 70 percent to increase the amount of rate </w:t>
      </w:r>
      <w:r w:rsidRPr="00ED0489">
        <w:rPr>
          <w:rFonts w:ascii="Times New Roman" w:hAnsi="Times New Roman" w:cs="Times New Roman"/>
          <w:sz w:val="24"/>
          <w:szCs w:val="24"/>
        </w:rPr>
        <w:lastRenderedPageBreak/>
        <w:t>subsidy</w:t>
      </w:r>
      <w:r w:rsidR="000C2919">
        <w:rPr>
          <w:rFonts w:ascii="Times New Roman" w:hAnsi="Times New Roman" w:cs="Times New Roman"/>
          <w:sz w:val="24"/>
          <w:szCs w:val="24"/>
        </w:rPr>
        <w:t>.</w:t>
      </w:r>
      <w:r w:rsidRPr="00165C3A">
        <w:rPr>
          <w:vertAlign w:val="superscript"/>
        </w:rPr>
        <w:footnoteReference w:id="335"/>
      </w:r>
      <w:r w:rsidRPr="00ED0489">
        <w:rPr>
          <w:rFonts w:ascii="Times New Roman" w:hAnsi="Times New Roman" w:cs="Times New Roman"/>
          <w:sz w:val="24"/>
          <w:szCs w:val="24"/>
        </w:rPr>
        <w:t xml:space="preserve">  Staff accepts this proposal because it extends the reach of the bill assistance program to 245 more </w:t>
      </w:r>
      <w:r w:rsidR="000C2919">
        <w:rPr>
          <w:rFonts w:ascii="Times New Roman" w:hAnsi="Times New Roman" w:cs="Times New Roman"/>
          <w:sz w:val="24"/>
          <w:szCs w:val="24"/>
        </w:rPr>
        <w:t>households</w:t>
      </w:r>
      <w:r>
        <w:rPr>
          <w:rFonts w:ascii="Times New Roman" w:hAnsi="Times New Roman" w:cs="Times New Roman"/>
          <w:sz w:val="24"/>
          <w:szCs w:val="24"/>
        </w:rPr>
        <w:t>.</w:t>
      </w:r>
      <w:r w:rsidRPr="00165C3A">
        <w:rPr>
          <w:vertAlign w:val="superscript"/>
        </w:rPr>
        <w:footnoteReference w:id="336"/>
      </w:r>
      <w:r w:rsidRPr="00ED0489">
        <w:rPr>
          <w:rFonts w:ascii="Times New Roman" w:hAnsi="Times New Roman" w:cs="Times New Roman"/>
          <w:sz w:val="24"/>
          <w:szCs w:val="24"/>
        </w:rPr>
        <w:t xml:space="preserve">  </w:t>
      </w:r>
    </w:p>
    <w:p w:rsidR="003C14CB" w:rsidRPr="001107F3" w:rsidRDefault="003C14C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ED0489">
        <w:rPr>
          <w:rFonts w:ascii="Times New Roman" w:hAnsi="Times New Roman" w:cs="Times New Roman"/>
          <w:sz w:val="24"/>
          <w:szCs w:val="24"/>
        </w:rPr>
        <w:t>Only The Energy Project opposes this idea.  The Energy Project agrees more people would be served, but notes the increase in the bill discounts would be less</w:t>
      </w:r>
      <w:r>
        <w:rPr>
          <w:rFonts w:ascii="Times New Roman" w:hAnsi="Times New Roman" w:cs="Times New Roman"/>
          <w:sz w:val="24"/>
          <w:szCs w:val="24"/>
        </w:rPr>
        <w:t>.</w:t>
      </w:r>
      <w:r w:rsidRPr="00165C3A">
        <w:rPr>
          <w:vertAlign w:val="superscript"/>
        </w:rPr>
        <w:footnoteReference w:id="337"/>
      </w:r>
      <w:r w:rsidRPr="00ED0489">
        <w:rPr>
          <w:rFonts w:ascii="Times New Roman" w:hAnsi="Times New Roman" w:cs="Times New Roman"/>
          <w:sz w:val="24"/>
          <w:szCs w:val="24"/>
        </w:rPr>
        <w:t xml:space="preserve">  The Energy Project</w:t>
      </w:r>
      <w:r w:rsidR="000C2919">
        <w:rPr>
          <w:rFonts w:ascii="Times New Roman" w:hAnsi="Times New Roman" w:cs="Times New Roman"/>
          <w:sz w:val="24"/>
          <w:szCs w:val="24"/>
        </w:rPr>
        <w:t xml:space="preserve">’s solution?  Use </w:t>
      </w:r>
      <w:r w:rsidRPr="00ED0489">
        <w:rPr>
          <w:rFonts w:ascii="Times New Roman" w:hAnsi="Times New Roman" w:cs="Times New Roman"/>
          <w:sz w:val="24"/>
          <w:szCs w:val="24"/>
        </w:rPr>
        <w:t>more ratepayer money</w:t>
      </w:r>
      <w:r w:rsidR="001107F3">
        <w:rPr>
          <w:rFonts w:ascii="Times New Roman" w:hAnsi="Times New Roman" w:cs="Times New Roman"/>
          <w:sz w:val="24"/>
          <w:szCs w:val="24"/>
        </w:rPr>
        <w:t xml:space="preserve"> </w:t>
      </w:r>
      <w:r w:rsidRPr="00ED0489">
        <w:rPr>
          <w:rFonts w:ascii="Times New Roman" w:hAnsi="Times New Roman" w:cs="Times New Roman"/>
          <w:sz w:val="24"/>
          <w:szCs w:val="24"/>
        </w:rPr>
        <w:t xml:space="preserve">to fund both an increase in participants and an increase </w:t>
      </w:r>
      <w:r w:rsidR="000C2919">
        <w:rPr>
          <w:rFonts w:ascii="Times New Roman" w:hAnsi="Times New Roman" w:cs="Times New Roman"/>
          <w:sz w:val="24"/>
          <w:szCs w:val="24"/>
        </w:rPr>
        <w:t>in</w:t>
      </w:r>
      <w:r w:rsidRPr="00ED0489">
        <w:rPr>
          <w:rFonts w:ascii="Times New Roman" w:hAnsi="Times New Roman" w:cs="Times New Roman"/>
          <w:sz w:val="24"/>
          <w:szCs w:val="24"/>
        </w:rPr>
        <w:t xml:space="preserve"> the level of subsidy.  </w:t>
      </w:r>
      <w:r w:rsidRPr="001107F3">
        <w:rPr>
          <w:rFonts w:ascii="Times New Roman" w:hAnsi="Times New Roman" w:cs="Times New Roman"/>
          <w:sz w:val="24"/>
          <w:szCs w:val="24"/>
        </w:rPr>
        <w:t>However, The Energy Project failed to provide any evidence showing how much the increased subsidy would be on a monthly usage basis,</w:t>
      </w:r>
      <w:r w:rsidRPr="00104B01">
        <w:rPr>
          <w:rFonts w:ascii="Times New Roman" w:hAnsi="Times New Roman" w:cs="Times New Roman"/>
          <w:sz w:val="24"/>
          <w:szCs w:val="24"/>
          <w:vertAlign w:val="superscript"/>
        </w:rPr>
        <w:footnoteReference w:id="338"/>
      </w:r>
      <w:r w:rsidRPr="001107F3">
        <w:rPr>
          <w:rFonts w:ascii="Times New Roman" w:hAnsi="Times New Roman" w:cs="Times New Roman"/>
          <w:sz w:val="24"/>
          <w:szCs w:val="24"/>
        </w:rPr>
        <w:t xml:space="preserve"> so the Commission cannot</w:t>
      </w:r>
      <w:r w:rsidRPr="00ED0489">
        <w:rPr>
          <w:rFonts w:ascii="Times New Roman" w:hAnsi="Times New Roman" w:cs="Times New Roman"/>
          <w:sz w:val="24"/>
          <w:szCs w:val="24"/>
        </w:rPr>
        <w:t xml:space="preserve"> </w:t>
      </w:r>
      <w:r w:rsidRPr="001107F3">
        <w:rPr>
          <w:rFonts w:ascii="Times New Roman" w:hAnsi="Times New Roman" w:cs="Times New Roman"/>
          <w:sz w:val="24"/>
          <w:szCs w:val="24"/>
        </w:rPr>
        <w:t xml:space="preserve">test whether The Energy Project’s proposal would make a material difference or not.  What we do know is that increasing the participation in the LIBA program by 245 </w:t>
      </w:r>
      <w:r w:rsidR="000C2919" w:rsidRPr="001107F3">
        <w:rPr>
          <w:rFonts w:ascii="Times New Roman" w:hAnsi="Times New Roman" w:cs="Times New Roman"/>
          <w:sz w:val="24"/>
          <w:szCs w:val="24"/>
        </w:rPr>
        <w:t>households</w:t>
      </w:r>
      <w:r w:rsidRPr="001107F3">
        <w:rPr>
          <w:rFonts w:ascii="Times New Roman" w:hAnsi="Times New Roman" w:cs="Times New Roman"/>
          <w:sz w:val="24"/>
          <w:szCs w:val="24"/>
        </w:rPr>
        <w:t xml:space="preserve"> will make a material difference to those </w:t>
      </w:r>
      <w:r w:rsidR="000C2919" w:rsidRPr="001107F3">
        <w:rPr>
          <w:rFonts w:ascii="Times New Roman" w:hAnsi="Times New Roman" w:cs="Times New Roman"/>
          <w:sz w:val="24"/>
          <w:szCs w:val="24"/>
        </w:rPr>
        <w:t>households</w:t>
      </w:r>
      <w:r w:rsidRPr="001107F3">
        <w:rPr>
          <w:rFonts w:ascii="Times New Roman" w:hAnsi="Times New Roman" w:cs="Times New Roman"/>
          <w:sz w:val="24"/>
          <w:szCs w:val="24"/>
        </w:rPr>
        <w:t xml:space="preserve">.  </w:t>
      </w:r>
    </w:p>
    <w:p w:rsidR="003C14CB" w:rsidRDefault="003C14CB" w:rsidP="00C16EA4">
      <w:pPr>
        <w:pStyle w:val="ListParagraph"/>
        <w:numPr>
          <w:ilvl w:val="0"/>
          <w:numId w:val="3"/>
        </w:numPr>
        <w:spacing w:after="0" w:line="480" w:lineRule="exact"/>
        <w:rPr>
          <w:rFonts w:ascii="Times New Roman" w:hAnsi="Times New Roman" w:cs="Times New Roman"/>
          <w:sz w:val="24"/>
          <w:szCs w:val="24"/>
        </w:rPr>
      </w:pPr>
      <w:r w:rsidRPr="001107F3">
        <w:rPr>
          <w:rFonts w:ascii="Times New Roman" w:hAnsi="Times New Roman" w:cs="Times New Roman"/>
          <w:sz w:val="24"/>
          <w:szCs w:val="24"/>
        </w:rPr>
        <w:tab/>
        <w:t xml:space="preserve">The Commission should accept PacifiCorp’s proposal to increase the number of participants in the LIBA program.  More people in need will be served, </w:t>
      </w:r>
      <w:r w:rsidR="00AA7D2A">
        <w:rPr>
          <w:rFonts w:ascii="Times New Roman" w:hAnsi="Times New Roman" w:cs="Times New Roman"/>
          <w:sz w:val="24"/>
          <w:szCs w:val="24"/>
        </w:rPr>
        <w:t xml:space="preserve">and </w:t>
      </w:r>
      <w:r w:rsidRPr="001107F3">
        <w:rPr>
          <w:rFonts w:ascii="Times New Roman" w:hAnsi="Times New Roman" w:cs="Times New Roman"/>
          <w:sz w:val="24"/>
          <w:szCs w:val="24"/>
        </w:rPr>
        <w:t>the rate subsi</w:t>
      </w:r>
      <w:r w:rsidRPr="00993033">
        <w:rPr>
          <w:rFonts w:ascii="Times New Roman" w:hAnsi="Times New Roman" w:cs="Times New Roman"/>
          <w:sz w:val="24"/>
          <w:szCs w:val="24"/>
        </w:rPr>
        <w:t>d</w:t>
      </w:r>
      <w:r w:rsidRPr="001107F3">
        <w:rPr>
          <w:rFonts w:ascii="Times New Roman" w:hAnsi="Times New Roman" w:cs="Times New Roman"/>
          <w:sz w:val="24"/>
          <w:szCs w:val="24"/>
        </w:rPr>
        <w:t>y will increase to 4.7 cents per kWh from the current 4.07 cents (a 15.5 percent increase), which is greater than Staff’s proposed overall revenue increase percentage.  This proposal is just, reasonable and more than fair, and th</w:t>
      </w:r>
      <w:r w:rsidRPr="00993033">
        <w:rPr>
          <w:rFonts w:ascii="Times New Roman" w:hAnsi="Times New Roman" w:cs="Times New Roman"/>
          <w:sz w:val="24"/>
          <w:szCs w:val="24"/>
        </w:rPr>
        <w:t>e Commission should accept it.</w:t>
      </w:r>
    </w:p>
    <w:p w:rsidR="00034966" w:rsidRDefault="00034966" w:rsidP="00034966">
      <w:pPr>
        <w:pStyle w:val="ListParagraph"/>
        <w:spacing w:after="0" w:line="240" w:lineRule="exact"/>
        <w:ind w:left="0"/>
        <w:rPr>
          <w:rFonts w:ascii="Times New Roman" w:hAnsi="Times New Roman" w:cs="Times New Roman"/>
          <w:sz w:val="24"/>
          <w:szCs w:val="24"/>
        </w:rPr>
      </w:pPr>
    </w:p>
    <w:p w:rsidR="003C14CB" w:rsidRPr="008F6367" w:rsidRDefault="003C14CB" w:rsidP="008F6367">
      <w:pPr>
        <w:spacing w:after="0" w:line="240" w:lineRule="exact"/>
        <w:ind w:left="1440" w:hanging="72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Pr="00924E63">
        <w:rPr>
          <w:rFonts w:ascii="Times New Roman" w:hAnsi="Times New Roman" w:cs="Times New Roman"/>
          <w:b/>
          <w:sz w:val="24"/>
          <w:szCs w:val="24"/>
        </w:rPr>
        <w:t>The Commission Should Change the Low Income Customer Certification Process to Improve Efficiency</w:t>
      </w:r>
    </w:p>
    <w:p w:rsidR="003C14CB" w:rsidRPr="00993033" w:rsidRDefault="003C14C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993033">
        <w:rPr>
          <w:rFonts w:ascii="Times New Roman" w:hAnsi="Times New Roman" w:cs="Times New Roman"/>
          <w:sz w:val="24"/>
          <w:szCs w:val="24"/>
        </w:rPr>
        <w:t>PacifiCorp proposes that the low income agencies certify participants in LIBA every other year, rather than every year, to reduce administrative costs and free up dollars to provide greater benefits to those in need.</w:t>
      </w:r>
      <w:r w:rsidRPr="00165C3A">
        <w:rPr>
          <w:vertAlign w:val="superscript"/>
        </w:rPr>
        <w:footnoteReference w:id="339"/>
      </w:r>
      <w:r w:rsidRPr="00993033">
        <w:rPr>
          <w:rFonts w:ascii="Times New Roman" w:hAnsi="Times New Roman" w:cs="Times New Roman"/>
          <w:sz w:val="24"/>
          <w:szCs w:val="24"/>
        </w:rPr>
        <w:t xml:space="preserve">  Staff accepts the concept, but recognizes the low income agencies would see a reduction in revenues.  </w:t>
      </w:r>
    </w:p>
    <w:p w:rsidR="003C14CB" w:rsidRPr="00993033" w:rsidRDefault="003C14C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993033">
        <w:rPr>
          <w:rFonts w:ascii="Times New Roman" w:hAnsi="Times New Roman" w:cs="Times New Roman"/>
          <w:sz w:val="24"/>
          <w:szCs w:val="24"/>
        </w:rPr>
        <w:t xml:space="preserve">Once again, The Energy Project </w:t>
      </w:r>
      <w:r w:rsidR="00174344">
        <w:rPr>
          <w:rFonts w:ascii="Times New Roman" w:hAnsi="Times New Roman" w:cs="Times New Roman"/>
          <w:sz w:val="24"/>
          <w:szCs w:val="24"/>
        </w:rPr>
        <w:t>objects</w:t>
      </w:r>
      <w:r w:rsidRPr="00993033">
        <w:rPr>
          <w:rFonts w:ascii="Times New Roman" w:hAnsi="Times New Roman" w:cs="Times New Roman"/>
          <w:sz w:val="24"/>
          <w:szCs w:val="24"/>
        </w:rPr>
        <w:t xml:space="preserve">, charging </w:t>
      </w:r>
      <w:r w:rsidR="00C31DB6">
        <w:rPr>
          <w:rFonts w:ascii="Times New Roman" w:hAnsi="Times New Roman" w:cs="Times New Roman"/>
          <w:sz w:val="24"/>
          <w:szCs w:val="24"/>
        </w:rPr>
        <w:t xml:space="preserve">this proposal </w:t>
      </w:r>
      <w:r w:rsidRPr="00993033">
        <w:rPr>
          <w:rFonts w:ascii="Times New Roman" w:hAnsi="Times New Roman" w:cs="Times New Roman"/>
          <w:sz w:val="24"/>
          <w:szCs w:val="24"/>
        </w:rPr>
        <w:t>would “crippl[e] the ability of the agencies to provide income certification</w:t>
      </w:r>
      <w:r w:rsidR="00174344">
        <w:rPr>
          <w:rFonts w:ascii="Times New Roman" w:hAnsi="Times New Roman" w:cs="Times New Roman"/>
          <w:sz w:val="24"/>
          <w:szCs w:val="24"/>
        </w:rPr>
        <w:t>,</w:t>
      </w:r>
      <w:r w:rsidRPr="00993033">
        <w:rPr>
          <w:rFonts w:ascii="Times New Roman" w:hAnsi="Times New Roman" w:cs="Times New Roman"/>
          <w:sz w:val="24"/>
          <w:szCs w:val="24"/>
        </w:rPr>
        <w:t>”</w:t>
      </w:r>
      <w:r w:rsidRPr="00165C3A">
        <w:rPr>
          <w:vertAlign w:val="superscript"/>
        </w:rPr>
        <w:footnoteReference w:id="340"/>
      </w:r>
      <w:r w:rsidRPr="00993033">
        <w:rPr>
          <w:rFonts w:ascii="Times New Roman" w:hAnsi="Times New Roman" w:cs="Times New Roman"/>
          <w:sz w:val="24"/>
          <w:szCs w:val="24"/>
        </w:rPr>
        <w:t xml:space="preserve"> </w:t>
      </w:r>
      <w:r w:rsidR="00174344">
        <w:rPr>
          <w:rFonts w:ascii="Times New Roman" w:hAnsi="Times New Roman" w:cs="Times New Roman"/>
          <w:sz w:val="24"/>
          <w:szCs w:val="24"/>
        </w:rPr>
        <w:t xml:space="preserve">and </w:t>
      </w:r>
      <w:r w:rsidR="00174344" w:rsidRPr="00174344">
        <w:rPr>
          <w:rFonts w:ascii="Times New Roman" w:hAnsi="Times New Roman" w:cs="Times New Roman"/>
          <w:sz w:val="24"/>
          <w:szCs w:val="24"/>
        </w:rPr>
        <w:t>create “logistical nightmares.”</w:t>
      </w:r>
      <w:r w:rsidR="00174344" w:rsidRPr="00174344">
        <w:rPr>
          <w:rFonts w:ascii="Times New Roman" w:hAnsi="Times New Roman" w:cs="Times New Roman"/>
          <w:sz w:val="24"/>
          <w:szCs w:val="24"/>
          <w:vertAlign w:val="superscript"/>
        </w:rPr>
        <w:footnoteReference w:id="341"/>
      </w:r>
      <w:r w:rsidR="00174344">
        <w:rPr>
          <w:rFonts w:ascii="Times New Roman" w:hAnsi="Times New Roman" w:cs="Times New Roman"/>
          <w:sz w:val="24"/>
          <w:szCs w:val="24"/>
        </w:rPr>
        <w:t xml:space="preserve">  </w:t>
      </w:r>
      <w:r w:rsidRPr="00993033">
        <w:rPr>
          <w:rFonts w:ascii="Times New Roman" w:hAnsi="Times New Roman" w:cs="Times New Roman"/>
          <w:sz w:val="24"/>
          <w:szCs w:val="24"/>
        </w:rPr>
        <w:lastRenderedPageBreak/>
        <w:t>Although The Energy Project’s support for this claim is somewhat obtuse,</w:t>
      </w:r>
      <w:r w:rsidRPr="00165C3A">
        <w:rPr>
          <w:vertAlign w:val="superscript"/>
        </w:rPr>
        <w:footnoteReference w:id="342"/>
      </w:r>
      <w:r w:rsidRPr="00993033">
        <w:rPr>
          <w:rFonts w:ascii="Times New Roman" w:hAnsi="Times New Roman" w:cs="Times New Roman"/>
          <w:sz w:val="24"/>
          <w:szCs w:val="24"/>
        </w:rPr>
        <w:t xml:space="preserve"> their point seems to be that under the Company’s proposal, in Year 1, every client would be recertified for two years, so that in Year 2, the low income agencies would have virtually nobody to recertify.  </w:t>
      </w:r>
      <w:r>
        <w:rPr>
          <w:rFonts w:ascii="Times New Roman" w:hAnsi="Times New Roman" w:cs="Times New Roman"/>
          <w:sz w:val="24"/>
          <w:szCs w:val="24"/>
        </w:rPr>
        <w:t xml:space="preserve"> </w:t>
      </w:r>
      <w:r w:rsidRPr="00993033">
        <w:rPr>
          <w:rFonts w:ascii="Times New Roman" w:hAnsi="Times New Roman" w:cs="Times New Roman"/>
          <w:sz w:val="24"/>
          <w:szCs w:val="24"/>
        </w:rPr>
        <w:t xml:space="preserve"> </w:t>
      </w:r>
    </w:p>
    <w:p w:rsidR="003C14CB" w:rsidRDefault="003C14C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174344">
        <w:rPr>
          <w:rFonts w:ascii="Times New Roman" w:hAnsi="Times New Roman" w:cs="Times New Roman"/>
          <w:sz w:val="24"/>
          <w:szCs w:val="24"/>
        </w:rPr>
        <w:t>Staff ig</w:t>
      </w:r>
      <w:r w:rsidRPr="00996399">
        <w:rPr>
          <w:rFonts w:ascii="Times New Roman" w:hAnsi="Times New Roman" w:cs="Times New Roman"/>
          <w:sz w:val="24"/>
          <w:szCs w:val="24"/>
        </w:rPr>
        <w:t>nor</w:t>
      </w:r>
      <w:r w:rsidR="00174344">
        <w:rPr>
          <w:rFonts w:ascii="Times New Roman" w:hAnsi="Times New Roman" w:cs="Times New Roman"/>
          <w:sz w:val="24"/>
          <w:szCs w:val="24"/>
        </w:rPr>
        <w:t>ed</w:t>
      </w:r>
      <w:r w:rsidRPr="00996399">
        <w:rPr>
          <w:rFonts w:ascii="Times New Roman" w:hAnsi="Times New Roman" w:cs="Times New Roman"/>
          <w:sz w:val="24"/>
          <w:szCs w:val="24"/>
        </w:rPr>
        <w:t xml:space="preserve"> the hyperbole, recognized the problem and offered a creative solution:  the low income agencies would certify one-half the participants for two years in Year 1, and the other half for two years in Year 2.  Thereafter, each participant would be recertified every two years, thereby resolving the “nightmares” that seem to concern The Energy Project.</w:t>
      </w:r>
      <w:r w:rsidRPr="00165C3A">
        <w:rPr>
          <w:vertAlign w:val="superscript"/>
        </w:rPr>
        <w:footnoteReference w:id="343"/>
      </w:r>
      <w:r w:rsidRPr="00996399">
        <w:rPr>
          <w:rFonts w:ascii="Times New Roman" w:hAnsi="Times New Roman" w:cs="Times New Roman"/>
          <w:sz w:val="24"/>
          <w:szCs w:val="24"/>
        </w:rPr>
        <w:t xml:space="preserve">  The Commission should adopt this solution so the program can move forward more successfully.</w:t>
      </w:r>
      <w:r w:rsidR="00B65199">
        <w:rPr>
          <w:rFonts w:ascii="Times New Roman" w:hAnsi="Times New Roman" w:cs="Times New Roman"/>
          <w:sz w:val="24"/>
          <w:szCs w:val="24"/>
        </w:rPr>
        <w:t xml:space="preserve">  </w:t>
      </w:r>
    </w:p>
    <w:p w:rsidR="00B65199" w:rsidRPr="00996399" w:rsidRDefault="00B65199" w:rsidP="00B65199">
      <w:pPr>
        <w:pStyle w:val="ListParagraph"/>
        <w:spacing w:after="0" w:line="240" w:lineRule="exact"/>
        <w:ind w:left="0"/>
        <w:rPr>
          <w:rFonts w:ascii="Times New Roman" w:hAnsi="Times New Roman" w:cs="Times New Roman"/>
          <w:sz w:val="24"/>
          <w:szCs w:val="24"/>
        </w:rPr>
      </w:pPr>
    </w:p>
    <w:p w:rsidR="003C14CB" w:rsidRDefault="003C14CB" w:rsidP="008F6367">
      <w:pPr>
        <w:spacing w:after="0" w:line="240" w:lineRule="exact"/>
        <w:ind w:left="1350" w:hanging="630"/>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Pr="00924E63">
        <w:rPr>
          <w:rFonts w:ascii="Times New Roman" w:hAnsi="Times New Roman" w:cs="Times New Roman"/>
          <w:b/>
          <w:sz w:val="24"/>
          <w:szCs w:val="24"/>
        </w:rPr>
        <w:t xml:space="preserve">There is No Justification for </w:t>
      </w:r>
      <w:r w:rsidR="00252998">
        <w:rPr>
          <w:rFonts w:ascii="Times New Roman" w:hAnsi="Times New Roman" w:cs="Times New Roman"/>
          <w:b/>
          <w:sz w:val="24"/>
          <w:szCs w:val="24"/>
        </w:rPr>
        <w:t>I</w:t>
      </w:r>
      <w:r w:rsidR="00DF7F80">
        <w:rPr>
          <w:rFonts w:ascii="Times New Roman" w:hAnsi="Times New Roman" w:cs="Times New Roman"/>
          <w:b/>
          <w:sz w:val="24"/>
          <w:szCs w:val="24"/>
        </w:rPr>
        <w:t xml:space="preserve">ncreasing </w:t>
      </w:r>
      <w:r w:rsidRPr="00924E63">
        <w:rPr>
          <w:rFonts w:ascii="Times New Roman" w:hAnsi="Times New Roman" w:cs="Times New Roman"/>
          <w:b/>
          <w:sz w:val="24"/>
          <w:szCs w:val="24"/>
        </w:rPr>
        <w:t>the Low Income Customer Certification Fee</w:t>
      </w:r>
    </w:p>
    <w:p w:rsidR="00AA7D2A" w:rsidRDefault="003C14C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Pr="00996399">
        <w:rPr>
          <w:rFonts w:ascii="Times New Roman" w:hAnsi="Times New Roman" w:cs="Times New Roman"/>
          <w:sz w:val="24"/>
          <w:szCs w:val="24"/>
        </w:rPr>
        <w:t>The Energy Project proposes a certification fee of $65 per household</w:t>
      </w:r>
      <w:r>
        <w:rPr>
          <w:rFonts w:ascii="Times New Roman" w:hAnsi="Times New Roman" w:cs="Times New Roman"/>
          <w:sz w:val="24"/>
          <w:szCs w:val="24"/>
        </w:rPr>
        <w:t>.</w:t>
      </w:r>
      <w:r w:rsidRPr="00165C3A">
        <w:rPr>
          <w:vertAlign w:val="superscript"/>
        </w:rPr>
        <w:footnoteReference w:id="344"/>
      </w:r>
      <w:r>
        <w:rPr>
          <w:rFonts w:ascii="Times New Roman" w:hAnsi="Times New Roman" w:cs="Times New Roman"/>
          <w:sz w:val="24"/>
          <w:szCs w:val="24"/>
        </w:rPr>
        <w:t xml:space="preserve">  </w:t>
      </w:r>
      <w:r w:rsidRPr="00C31DB6">
        <w:rPr>
          <w:rFonts w:ascii="Times New Roman" w:hAnsi="Times New Roman" w:cs="Times New Roman"/>
          <w:sz w:val="24"/>
          <w:szCs w:val="24"/>
        </w:rPr>
        <w:t>However, the Commission will find no reliable support for this proposal.  The Energy Project offers only Exhibit No. CME-4, which purports to justify a $73.14 certification fee, which is over 52</w:t>
      </w:r>
      <w:r w:rsidRPr="00996399">
        <w:rPr>
          <w:rFonts w:ascii="Times New Roman" w:hAnsi="Times New Roman" w:cs="Times New Roman"/>
          <w:sz w:val="24"/>
          <w:szCs w:val="24"/>
        </w:rPr>
        <w:t xml:space="preserve"> </w:t>
      </w:r>
      <w:r w:rsidRPr="00C31DB6">
        <w:rPr>
          <w:rFonts w:ascii="Times New Roman" w:hAnsi="Times New Roman" w:cs="Times New Roman"/>
          <w:sz w:val="24"/>
          <w:szCs w:val="24"/>
        </w:rPr>
        <w:t>percent more than the current $48.00</w:t>
      </w:r>
      <w:r w:rsidR="00AA7D2A">
        <w:rPr>
          <w:rFonts w:ascii="Times New Roman" w:hAnsi="Times New Roman" w:cs="Times New Roman"/>
          <w:sz w:val="24"/>
          <w:szCs w:val="24"/>
        </w:rPr>
        <w:t xml:space="preserve"> fee</w:t>
      </w:r>
      <w:r w:rsidRPr="00C31DB6">
        <w:rPr>
          <w:rFonts w:ascii="Times New Roman" w:hAnsi="Times New Roman" w:cs="Times New Roman"/>
          <w:sz w:val="24"/>
          <w:szCs w:val="24"/>
        </w:rPr>
        <w:t>.</w:t>
      </w:r>
      <w:r w:rsidRPr="00104B01">
        <w:rPr>
          <w:rFonts w:ascii="Times New Roman" w:hAnsi="Times New Roman" w:cs="Times New Roman"/>
          <w:sz w:val="24"/>
          <w:szCs w:val="24"/>
          <w:vertAlign w:val="superscript"/>
        </w:rPr>
        <w:footnoteReference w:id="345"/>
      </w:r>
      <w:r w:rsidRPr="00C31DB6">
        <w:rPr>
          <w:rFonts w:ascii="Times New Roman" w:hAnsi="Times New Roman" w:cs="Times New Roman"/>
          <w:sz w:val="24"/>
          <w:szCs w:val="24"/>
        </w:rPr>
        <w:t xml:space="preserve">  </w:t>
      </w:r>
      <w:r w:rsidR="00C31DB6" w:rsidRPr="00AA7D2A">
        <w:rPr>
          <w:rFonts w:ascii="Times New Roman" w:hAnsi="Times New Roman" w:cs="Times New Roman"/>
          <w:sz w:val="24"/>
          <w:szCs w:val="24"/>
        </w:rPr>
        <w:tab/>
      </w:r>
      <w:r w:rsidRPr="00AA7D2A">
        <w:rPr>
          <w:rFonts w:ascii="Times New Roman" w:hAnsi="Times New Roman" w:cs="Times New Roman"/>
          <w:sz w:val="24"/>
          <w:szCs w:val="24"/>
        </w:rPr>
        <w:t>As Staff pointed out, that exhibit proves nothing, because it reflect</w:t>
      </w:r>
      <w:r w:rsidRPr="00C31DB6">
        <w:rPr>
          <w:rFonts w:ascii="Times New Roman" w:hAnsi="Times New Roman" w:cs="Times New Roman"/>
          <w:sz w:val="24"/>
          <w:szCs w:val="24"/>
        </w:rPr>
        <w:t>s</w:t>
      </w:r>
      <w:r w:rsidRPr="00AA7D2A">
        <w:rPr>
          <w:rFonts w:ascii="Times New Roman" w:hAnsi="Times New Roman" w:cs="Times New Roman"/>
          <w:sz w:val="24"/>
          <w:szCs w:val="24"/>
        </w:rPr>
        <w:t xml:space="preserve"> just one month of expense for just one of the three low income agencies.</w:t>
      </w:r>
      <w:r w:rsidRPr="00AA7D2A">
        <w:rPr>
          <w:rFonts w:ascii="Times New Roman" w:hAnsi="Times New Roman" w:cs="Times New Roman"/>
          <w:sz w:val="24"/>
          <w:szCs w:val="24"/>
          <w:vertAlign w:val="superscript"/>
        </w:rPr>
        <w:footnoteReference w:id="346"/>
      </w:r>
      <w:r w:rsidRPr="00AA7D2A">
        <w:rPr>
          <w:rFonts w:ascii="Times New Roman" w:hAnsi="Times New Roman" w:cs="Times New Roman"/>
          <w:sz w:val="24"/>
          <w:szCs w:val="24"/>
        </w:rPr>
        <w:t xml:space="preserve">  That is no way to carry the burden of proof in any context, let alone this one.  </w:t>
      </w:r>
    </w:p>
    <w:p w:rsidR="003C14CB" w:rsidRPr="00AA7D2A" w:rsidRDefault="00AA7D2A"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3C14CB" w:rsidRPr="00AA7D2A">
        <w:rPr>
          <w:rFonts w:ascii="Times New Roman" w:hAnsi="Times New Roman" w:cs="Times New Roman"/>
          <w:sz w:val="24"/>
          <w:szCs w:val="24"/>
        </w:rPr>
        <w:t>Moreover, PacifiCorp presents evidence that the administrative costs of low incom</w:t>
      </w:r>
      <w:r w:rsidR="003C14CB" w:rsidRPr="00C31DB6">
        <w:rPr>
          <w:rFonts w:ascii="Times New Roman" w:hAnsi="Times New Roman" w:cs="Times New Roman"/>
          <w:sz w:val="24"/>
          <w:szCs w:val="24"/>
        </w:rPr>
        <w:t>e</w:t>
      </w:r>
      <w:r w:rsidR="003C14CB" w:rsidRPr="00AA7D2A">
        <w:rPr>
          <w:rFonts w:ascii="Times New Roman" w:hAnsi="Times New Roman" w:cs="Times New Roman"/>
          <w:sz w:val="24"/>
          <w:szCs w:val="24"/>
        </w:rPr>
        <w:t xml:space="preserve"> agencies in its Washington service area are 21 percent of the total program costs, while </w:t>
      </w:r>
      <w:r>
        <w:rPr>
          <w:rFonts w:ascii="Times New Roman" w:hAnsi="Times New Roman" w:cs="Times New Roman"/>
          <w:sz w:val="24"/>
          <w:szCs w:val="24"/>
        </w:rPr>
        <w:t xml:space="preserve">the costs of </w:t>
      </w:r>
      <w:r w:rsidR="003C14CB" w:rsidRPr="00AA7D2A">
        <w:rPr>
          <w:rFonts w:ascii="Times New Roman" w:hAnsi="Times New Roman" w:cs="Times New Roman"/>
          <w:sz w:val="24"/>
          <w:szCs w:val="24"/>
        </w:rPr>
        <w:t xml:space="preserve">similar programs in its other states are </w:t>
      </w:r>
      <w:r>
        <w:rPr>
          <w:rFonts w:ascii="Times New Roman" w:hAnsi="Times New Roman" w:cs="Times New Roman"/>
          <w:sz w:val="24"/>
          <w:szCs w:val="24"/>
        </w:rPr>
        <w:t xml:space="preserve">at </w:t>
      </w:r>
      <w:r w:rsidR="003C14CB" w:rsidRPr="00AA7D2A">
        <w:rPr>
          <w:rFonts w:ascii="Times New Roman" w:hAnsi="Times New Roman" w:cs="Times New Roman"/>
          <w:sz w:val="24"/>
          <w:szCs w:val="24"/>
        </w:rPr>
        <w:t>a much lower pe</w:t>
      </w:r>
      <w:r w:rsidR="003C14CB" w:rsidRPr="00C31DB6">
        <w:rPr>
          <w:rFonts w:ascii="Times New Roman" w:hAnsi="Times New Roman" w:cs="Times New Roman"/>
          <w:sz w:val="24"/>
          <w:szCs w:val="24"/>
        </w:rPr>
        <w:t>r</w:t>
      </w:r>
      <w:r w:rsidR="003C14CB" w:rsidRPr="00AA7D2A">
        <w:rPr>
          <w:rFonts w:ascii="Times New Roman" w:hAnsi="Times New Roman" w:cs="Times New Roman"/>
          <w:sz w:val="24"/>
          <w:szCs w:val="24"/>
        </w:rPr>
        <w:t>centage.</w:t>
      </w:r>
      <w:r w:rsidR="003C14CB" w:rsidRPr="00AA7D2A">
        <w:rPr>
          <w:rFonts w:ascii="Times New Roman" w:hAnsi="Times New Roman" w:cs="Times New Roman"/>
          <w:sz w:val="24"/>
          <w:szCs w:val="24"/>
          <w:vertAlign w:val="superscript"/>
        </w:rPr>
        <w:footnoteReference w:id="347"/>
      </w:r>
      <w:r w:rsidR="003C14CB" w:rsidRPr="00AA7D2A">
        <w:rPr>
          <w:rFonts w:ascii="Times New Roman" w:hAnsi="Times New Roman" w:cs="Times New Roman"/>
          <w:sz w:val="24"/>
          <w:szCs w:val="24"/>
        </w:rPr>
        <w:t xml:space="preserve">  </w:t>
      </w:r>
    </w:p>
    <w:p w:rsidR="003C14CB" w:rsidRPr="00AA7D2A" w:rsidRDefault="003C14CB" w:rsidP="00C16EA4">
      <w:pPr>
        <w:pStyle w:val="ListParagraph"/>
        <w:numPr>
          <w:ilvl w:val="0"/>
          <w:numId w:val="3"/>
        </w:numPr>
        <w:spacing w:after="0" w:line="480" w:lineRule="exact"/>
        <w:rPr>
          <w:rFonts w:ascii="Times New Roman" w:hAnsi="Times New Roman" w:cs="Times New Roman"/>
          <w:sz w:val="24"/>
          <w:szCs w:val="24"/>
        </w:rPr>
      </w:pPr>
      <w:r w:rsidRPr="00AA7D2A">
        <w:rPr>
          <w:rFonts w:ascii="Times New Roman" w:hAnsi="Times New Roman" w:cs="Times New Roman"/>
          <w:sz w:val="24"/>
          <w:szCs w:val="24"/>
        </w:rPr>
        <w:tab/>
        <w:t>While certainly, the low-income agencies should receive fair compensation for their work,</w:t>
      </w:r>
      <w:r w:rsidRPr="00AA7D2A">
        <w:rPr>
          <w:rFonts w:ascii="Times New Roman" w:hAnsi="Times New Roman" w:cs="Times New Roman"/>
          <w:sz w:val="24"/>
          <w:szCs w:val="24"/>
          <w:vertAlign w:val="superscript"/>
        </w:rPr>
        <w:footnoteReference w:id="348"/>
      </w:r>
      <w:r w:rsidRPr="00AA7D2A">
        <w:rPr>
          <w:rFonts w:ascii="Times New Roman" w:hAnsi="Times New Roman" w:cs="Times New Roman"/>
          <w:sz w:val="24"/>
          <w:szCs w:val="24"/>
        </w:rPr>
        <w:t xml:space="preserve"> The Energy Project’s evidence for a higher fee clearly misses the mark.</w:t>
      </w:r>
    </w:p>
    <w:p w:rsidR="003C14CB" w:rsidRPr="00741D70" w:rsidRDefault="003C14CB" w:rsidP="00C16EA4">
      <w:pPr>
        <w:pStyle w:val="ListParagraph"/>
        <w:numPr>
          <w:ilvl w:val="0"/>
          <w:numId w:val="3"/>
        </w:numPr>
        <w:spacing w:after="0" w:line="480" w:lineRule="exact"/>
        <w:rPr>
          <w:rFonts w:ascii="Times New Roman" w:hAnsi="Times New Roman" w:cs="Times New Roman"/>
          <w:sz w:val="24"/>
          <w:szCs w:val="24"/>
        </w:rPr>
      </w:pPr>
      <w:r w:rsidRPr="00AA7D2A">
        <w:rPr>
          <w:rFonts w:ascii="Times New Roman" w:hAnsi="Times New Roman" w:cs="Times New Roman"/>
          <w:sz w:val="24"/>
          <w:szCs w:val="24"/>
        </w:rPr>
        <w:tab/>
      </w:r>
      <w:r w:rsidR="00C31DB6" w:rsidRPr="00AA7D2A">
        <w:rPr>
          <w:rFonts w:ascii="Times New Roman" w:hAnsi="Times New Roman" w:cs="Times New Roman"/>
          <w:sz w:val="24"/>
          <w:szCs w:val="24"/>
        </w:rPr>
        <w:t>M</w:t>
      </w:r>
      <w:r w:rsidRPr="00AA7D2A">
        <w:rPr>
          <w:rFonts w:ascii="Times New Roman" w:hAnsi="Times New Roman" w:cs="Times New Roman"/>
          <w:sz w:val="24"/>
          <w:szCs w:val="24"/>
        </w:rPr>
        <w:t xml:space="preserve">ore analysis and more understanding on all sides of this issue are needed.  PacifiCorp offers further discussions among interested parties on </w:t>
      </w:r>
      <w:r w:rsidRPr="00741D70">
        <w:rPr>
          <w:rFonts w:ascii="Times New Roman" w:hAnsi="Times New Roman" w:cs="Times New Roman"/>
          <w:sz w:val="24"/>
          <w:szCs w:val="24"/>
        </w:rPr>
        <w:t>h</w:t>
      </w:r>
      <w:r w:rsidRPr="00AA7D2A">
        <w:rPr>
          <w:rFonts w:ascii="Times New Roman" w:hAnsi="Times New Roman" w:cs="Times New Roman"/>
          <w:sz w:val="24"/>
          <w:szCs w:val="24"/>
        </w:rPr>
        <w:t xml:space="preserve">ow </w:t>
      </w:r>
      <w:r w:rsidRPr="00741D70">
        <w:rPr>
          <w:rFonts w:ascii="Times New Roman" w:hAnsi="Times New Roman" w:cs="Times New Roman"/>
          <w:sz w:val="24"/>
          <w:szCs w:val="24"/>
        </w:rPr>
        <w:t xml:space="preserve">the certification process can be </w:t>
      </w:r>
      <w:r w:rsidRPr="00741D70">
        <w:rPr>
          <w:rFonts w:ascii="Times New Roman" w:hAnsi="Times New Roman" w:cs="Times New Roman"/>
          <w:sz w:val="24"/>
          <w:szCs w:val="24"/>
        </w:rPr>
        <w:lastRenderedPageBreak/>
        <w:t>streamlined to lower administrative expenses</w:t>
      </w:r>
      <w:r>
        <w:rPr>
          <w:rFonts w:ascii="Times New Roman" w:hAnsi="Times New Roman" w:cs="Times New Roman"/>
          <w:sz w:val="24"/>
          <w:szCs w:val="24"/>
        </w:rPr>
        <w:t>.</w:t>
      </w:r>
      <w:r w:rsidRPr="00165C3A">
        <w:rPr>
          <w:vertAlign w:val="superscript"/>
        </w:rPr>
        <w:footnoteReference w:id="349"/>
      </w:r>
      <w:r w:rsidRPr="00741D70">
        <w:rPr>
          <w:rFonts w:ascii="Times New Roman" w:hAnsi="Times New Roman" w:cs="Times New Roman"/>
          <w:sz w:val="24"/>
          <w:szCs w:val="24"/>
        </w:rPr>
        <w:t xml:space="preserve">  That is a reasonable suggestion.  In the meantime, the Commission should </w:t>
      </w:r>
      <w:r w:rsidR="00C31DB6">
        <w:rPr>
          <w:rFonts w:ascii="Times New Roman" w:hAnsi="Times New Roman" w:cs="Times New Roman"/>
          <w:sz w:val="24"/>
          <w:szCs w:val="24"/>
        </w:rPr>
        <w:t xml:space="preserve">not </w:t>
      </w:r>
      <w:r w:rsidRPr="00741D70">
        <w:rPr>
          <w:rFonts w:ascii="Times New Roman" w:hAnsi="Times New Roman" w:cs="Times New Roman"/>
          <w:sz w:val="24"/>
          <w:szCs w:val="24"/>
        </w:rPr>
        <w:t>increase the certification fee.</w:t>
      </w:r>
    </w:p>
    <w:p w:rsidR="003C14CB" w:rsidRPr="00945F69" w:rsidRDefault="003C14CB" w:rsidP="00B65199">
      <w:pPr>
        <w:pStyle w:val="ListParagraph"/>
        <w:spacing w:after="0" w:line="480" w:lineRule="exact"/>
        <w:ind w:left="0"/>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Pr="00945F69">
        <w:rPr>
          <w:rFonts w:ascii="Times New Roman" w:hAnsi="Times New Roman" w:cs="Times New Roman"/>
          <w:b/>
          <w:sz w:val="24"/>
          <w:szCs w:val="24"/>
        </w:rPr>
        <w:t xml:space="preserve">Low </w:t>
      </w:r>
      <w:r w:rsidR="00DF7F80">
        <w:rPr>
          <w:rFonts w:ascii="Times New Roman" w:hAnsi="Times New Roman" w:cs="Times New Roman"/>
          <w:b/>
          <w:sz w:val="24"/>
          <w:szCs w:val="24"/>
        </w:rPr>
        <w:t>I</w:t>
      </w:r>
      <w:r w:rsidRPr="00945F69">
        <w:rPr>
          <w:rFonts w:ascii="Times New Roman" w:hAnsi="Times New Roman" w:cs="Times New Roman"/>
          <w:b/>
          <w:sz w:val="24"/>
          <w:szCs w:val="24"/>
        </w:rPr>
        <w:t xml:space="preserve">ncome </w:t>
      </w:r>
      <w:r w:rsidR="00DF7F80">
        <w:rPr>
          <w:rFonts w:ascii="Times New Roman" w:hAnsi="Times New Roman" w:cs="Times New Roman"/>
          <w:b/>
          <w:sz w:val="24"/>
          <w:szCs w:val="24"/>
        </w:rPr>
        <w:t>W</w:t>
      </w:r>
      <w:r w:rsidRPr="00945F69">
        <w:rPr>
          <w:rFonts w:ascii="Times New Roman" w:hAnsi="Times New Roman" w:cs="Times New Roman"/>
          <w:b/>
          <w:sz w:val="24"/>
          <w:szCs w:val="24"/>
        </w:rPr>
        <w:t>eatherization</w:t>
      </w:r>
      <w:r w:rsidR="00DF7F80">
        <w:rPr>
          <w:rFonts w:ascii="Times New Roman" w:hAnsi="Times New Roman" w:cs="Times New Roman"/>
          <w:b/>
          <w:sz w:val="24"/>
          <w:szCs w:val="24"/>
        </w:rPr>
        <w:t xml:space="preserve"> Issues are Not </w:t>
      </w:r>
      <w:r w:rsidR="00F34F0C">
        <w:rPr>
          <w:rFonts w:ascii="Times New Roman" w:hAnsi="Times New Roman" w:cs="Times New Roman"/>
          <w:b/>
          <w:sz w:val="24"/>
          <w:szCs w:val="24"/>
        </w:rPr>
        <w:t xml:space="preserve">Properly </w:t>
      </w:r>
      <w:r w:rsidR="00DF7F80">
        <w:rPr>
          <w:rFonts w:ascii="Times New Roman" w:hAnsi="Times New Roman" w:cs="Times New Roman"/>
          <w:b/>
          <w:sz w:val="24"/>
          <w:szCs w:val="24"/>
        </w:rPr>
        <w:t>Before the Commission</w:t>
      </w:r>
    </w:p>
    <w:p w:rsidR="00C31DB6" w:rsidRDefault="003C14CB"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A7552B">
        <w:rPr>
          <w:rFonts w:ascii="Times New Roman" w:hAnsi="Times New Roman" w:cs="Times New Roman"/>
          <w:sz w:val="24"/>
          <w:szCs w:val="24"/>
        </w:rPr>
        <w:t xml:space="preserve">PacifiCorp’s </w:t>
      </w:r>
      <w:r w:rsidR="00A7552B" w:rsidRPr="00A7552B">
        <w:rPr>
          <w:rFonts w:ascii="Times New Roman" w:hAnsi="Times New Roman" w:cs="Times New Roman"/>
          <w:sz w:val="24"/>
          <w:szCs w:val="24"/>
        </w:rPr>
        <w:t xml:space="preserve">low-income weatherization program is funded </w:t>
      </w:r>
      <w:r w:rsidR="00A7552B">
        <w:rPr>
          <w:rFonts w:ascii="Times New Roman" w:hAnsi="Times New Roman" w:cs="Times New Roman"/>
          <w:sz w:val="24"/>
          <w:szCs w:val="24"/>
        </w:rPr>
        <w:t xml:space="preserve">by ratepayers through </w:t>
      </w:r>
      <w:r w:rsidR="00A7552B" w:rsidRPr="00A7552B">
        <w:rPr>
          <w:rFonts w:ascii="Times New Roman" w:hAnsi="Times New Roman" w:cs="Times New Roman"/>
          <w:sz w:val="24"/>
          <w:szCs w:val="24"/>
        </w:rPr>
        <w:t xml:space="preserve">the Schedule 191 system benefits surcharge.  </w:t>
      </w:r>
      <w:r w:rsidRPr="00741D70">
        <w:rPr>
          <w:rFonts w:ascii="Times New Roman" w:hAnsi="Times New Roman" w:cs="Times New Roman"/>
          <w:sz w:val="24"/>
          <w:szCs w:val="24"/>
        </w:rPr>
        <w:t>The Energy Project proposes increasing the funding for low-income weatherization programs</w:t>
      </w:r>
      <w:r w:rsidRPr="00165C3A">
        <w:rPr>
          <w:rStyle w:val="FootnoteReference"/>
          <w:rFonts w:ascii="Times New Roman" w:hAnsi="Times New Roman" w:cs="Times New Roman"/>
          <w:sz w:val="24"/>
          <w:szCs w:val="24"/>
        </w:rPr>
        <w:footnoteReference w:id="350"/>
      </w:r>
      <w:r w:rsidRPr="00741D70">
        <w:rPr>
          <w:rFonts w:ascii="Times New Roman" w:hAnsi="Times New Roman" w:cs="Times New Roman"/>
          <w:sz w:val="24"/>
          <w:szCs w:val="24"/>
        </w:rPr>
        <w:t xml:space="preserve"> “by $500,000, regardless of whatever rate increase the Commission might ultimately approve”.</w:t>
      </w:r>
      <w:r w:rsidRPr="00165C3A">
        <w:rPr>
          <w:rStyle w:val="FootnoteReference"/>
          <w:rFonts w:ascii="Times New Roman" w:hAnsi="Times New Roman" w:cs="Times New Roman"/>
          <w:sz w:val="24"/>
          <w:szCs w:val="24"/>
        </w:rPr>
        <w:footnoteReference w:id="351"/>
      </w:r>
      <w:r w:rsidRPr="00741D70">
        <w:rPr>
          <w:rFonts w:ascii="Times New Roman" w:hAnsi="Times New Roman" w:cs="Times New Roman"/>
          <w:sz w:val="24"/>
          <w:szCs w:val="24"/>
        </w:rPr>
        <w:t xml:space="preserve">  </w:t>
      </w:r>
    </w:p>
    <w:p w:rsidR="001C21B5" w:rsidRPr="00C31DB6" w:rsidRDefault="00BD1834" w:rsidP="00BD183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3C14CB" w:rsidRPr="00C31DB6">
        <w:rPr>
          <w:rFonts w:ascii="Times New Roman" w:hAnsi="Times New Roman" w:cs="Times New Roman"/>
          <w:sz w:val="24"/>
          <w:szCs w:val="24"/>
        </w:rPr>
        <w:t xml:space="preserve">However, PacifiCorp did not file any revisions to </w:t>
      </w:r>
      <w:r w:rsidR="00A7552B" w:rsidRPr="00C31DB6">
        <w:rPr>
          <w:rFonts w:ascii="Times New Roman" w:hAnsi="Times New Roman" w:cs="Times New Roman"/>
          <w:sz w:val="24"/>
          <w:szCs w:val="24"/>
        </w:rPr>
        <w:t>S</w:t>
      </w:r>
      <w:r w:rsidR="003C14CB" w:rsidRPr="00C31DB6">
        <w:rPr>
          <w:rFonts w:ascii="Times New Roman" w:hAnsi="Times New Roman" w:cs="Times New Roman"/>
          <w:sz w:val="24"/>
          <w:szCs w:val="24"/>
        </w:rPr>
        <w:t xml:space="preserve">chedule </w:t>
      </w:r>
      <w:r w:rsidR="00A7552B" w:rsidRPr="00C31DB6">
        <w:rPr>
          <w:rFonts w:ascii="Times New Roman" w:hAnsi="Times New Roman" w:cs="Times New Roman"/>
          <w:sz w:val="24"/>
          <w:szCs w:val="24"/>
        </w:rPr>
        <w:t xml:space="preserve">191 </w:t>
      </w:r>
      <w:r w:rsidR="003C14CB" w:rsidRPr="00C31DB6">
        <w:rPr>
          <w:rFonts w:ascii="Times New Roman" w:hAnsi="Times New Roman" w:cs="Times New Roman"/>
          <w:sz w:val="24"/>
          <w:szCs w:val="24"/>
        </w:rPr>
        <w:t>when it initiated this case</w:t>
      </w:r>
      <w:r w:rsidR="00C31DB6">
        <w:rPr>
          <w:rFonts w:ascii="Times New Roman" w:hAnsi="Times New Roman" w:cs="Times New Roman"/>
          <w:sz w:val="24"/>
          <w:szCs w:val="24"/>
        </w:rPr>
        <w:t>.</w:t>
      </w:r>
      <w:r w:rsidR="003C14CB" w:rsidRPr="00C31DB6">
        <w:rPr>
          <w:rFonts w:ascii="Times New Roman" w:hAnsi="Times New Roman" w:cs="Times New Roman"/>
          <w:sz w:val="24"/>
          <w:szCs w:val="24"/>
        </w:rPr>
        <w:t xml:space="preserve">  Under the Commission’s suspension authority in RCW 80.04.130(1), the Commission may determine the justness and reasonableness of “such proposed change”, and that phrase refers back to the changes made by the tariffs the utility files and the Commission suspends.  </w:t>
      </w:r>
      <w:r w:rsidR="00A7552B" w:rsidRPr="00C31DB6">
        <w:rPr>
          <w:rFonts w:ascii="Times New Roman" w:hAnsi="Times New Roman" w:cs="Times New Roman"/>
          <w:sz w:val="24"/>
          <w:szCs w:val="24"/>
        </w:rPr>
        <w:t xml:space="preserve">Because </w:t>
      </w:r>
      <w:r w:rsidR="003C14CB" w:rsidRPr="00C31DB6">
        <w:rPr>
          <w:rFonts w:ascii="Times New Roman" w:hAnsi="Times New Roman" w:cs="Times New Roman"/>
          <w:sz w:val="24"/>
          <w:szCs w:val="24"/>
        </w:rPr>
        <w:t>PacifiCorp filed no change to the low income weatherization tariff</w:t>
      </w:r>
      <w:r w:rsidR="00A7552B" w:rsidRPr="00C31DB6">
        <w:rPr>
          <w:rFonts w:ascii="Times New Roman" w:hAnsi="Times New Roman" w:cs="Times New Roman"/>
          <w:sz w:val="24"/>
          <w:szCs w:val="24"/>
        </w:rPr>
        <w:t xml:space="preserve">, the funding </w:t>
      </w:r>
      <w:r w:rsidR="003C14CB" w:rsidRPr="00C31DB6">
        <w:rPr>
          <w:rFonts w:ascii="Times New Roman" w:hAnsi="Times New Roman" w:cs="Times New Roman"/>
          <w:sz w:val="24"/>
          <w:szCs w:val="24"/>
        </w:rPr>
        <w:t xml:space="preserve">issue is not properly before the Commission, and the Commission should </w:t>
      </w:r>
      <w:r w:rsidR="00A7552B" w:rsidRPr="00C31DB6">
        <w:rPr>
          <w:rFonts w:ascii="Times New Roman" w:hAnsi="Times New Roman" w:cs="Times New Roman"/>
          <w:sz w:val="24"/>
          <w:szCs w:val="24"/>
        </w:rPr>
        <w:t>not consider it</w:t>
      </w:r>
      <w:r w:rsidR="003C14CB" w:rsidRPr="00C31DB6">
        <w:rPr>
          <w:rFonts w:ascii="Times New Roman" w:hAnsi="Times New Roman" w:cs="Times New Roman"/>
          <w:sz w:val="24"/>
          <w:szCs w:val="24"/>
        </w:rPr>
        <w:t>.</w:t>
      </w:r>
      <w:r w:rsidR="00C31DB6" w:rsidRPr="00C31DB6">
        <w:rPr>
          <w:rFonts w:ascii="Times New Roman" w:hAnsi="Times New Roman" w:cs="Times New Roman"/>
          <w:sz w:val="24"/>
          <w:szCs w:val="24"/>
          <w:vertAlign w:val="superscript"/>
        </w:rPr>
        <w:footnoteReference w:id="352"/>
      </w:r>
      <w:r w:rsidR="00C31DB6">
        <w:rPr>
          <w:rFonts w:ascii="Times New Roman" w:hAnsi="Times New Roman" w:cs="Times New Roman"/>
          <w:sz w:val="24"/>
          <w:szCs w:val="24"/>
        </w:rPr>
        <w:t xml:space="preserve"> </w:t>
      </w:r>
    </w:p>
    <w:p w:rsidR="001C21B5" w:rsidRDefault="003C14CB" w:rsidP="00C16EA4">
      <w:pPr>
        <w:pStyle w:val="ListParagraph"/>
        <w:numPr>
          <w:ilvl w:val="0"/>
          <w:numId w:val="3"/>
        </w:numPr>
        <w:spacing w:after="0" w:line="480" w:lineRule="exact"/>
        <w:rPr>
          <w:rFonts w:ascii="Times New Roman" w:hAnsi="Times New Roman" w:cs="Times New Roman"/>
          <w:sz w:val="24"/>
          <w:szCs w:val="24"/>
        </w:rPr>
      </w:pPr>
      <w:r w:rsidRPr="00C31DB6">
        <w:rPr>
          <w:rFonts w:ascii="Times New Roman" w:hAnsi="Times New Roman" w:cs="Times New Roman"/>
          <w:sz w:val="24"/>
          <w:szCs w:val="24"/>
        </w:rPr>
        <w:tab/>
      </w:r>
      <w:r w:rsidR="001C21B5" w:rsidRPr="001C21B5">
        <w:rPr>
          <w:rFonts w:ascii="Times New Roman" w:hAnsi="Times New Roman" w:cs="Times New Roman"/>
          <w:sz w:val="24"/>
          <w:szCs w:val="24"/>
        </w:rPr>
        <w:t xml:space="preserve">The Commission reached the same conclusion in PSE Docket UE-090704.  In that case, the Commission did not allow a change in PSE’s low income Schedule 129:  </w:t>
      </w:r>
    </w:p>
    <w:p w:rsidR="001C21B5" w:rsidRDefault="001C21B5" w:rsidP="00104B01">
      <w:pPr>
        <w:pStyle w:val="ListParagraph"/>
        <w:spacing w:after="0" w:line="240" w:lineRule="auto"/>
        <w:ind w:left="0"/>
        <w:rPr>
          <w:rFonts w:ascii="Times New Roman" w:hAnsi="Times New Roman" w:cs="Times New Roman"/>
          <w:sz w:val="24"/>
          <w:szCs w:val="24"/>
        </w:rPr>
      </w:pPr>
    </w:p>
    <w:p w:rsidR="001C21B5" w:rsidRDefault="001C21B5" w:rsidP="00104B01">
      <w:pPr>
        <w:pStyle w:val="ListParagraph"/>
        <w:spacing w:after="0" w:line="240" w:lineRule="auto"/>
        <w:rPr>
          <w:rFonts w:ascii="Times New Roman" w:hAnsi="Times New Roman" w:cs="Times New Roman"/>
          <w:sz w:val="24"/>
          <w:szCs w:val="24"/>
        </w:rPr>
      </w:pPr>
      <w:r w:rsidRPr="001C21B5">
        <w:rPr>
          <w:rFonts w:ascii="Times New Roman" w:hAnsi="Times New Roman" w:cs="Times New Roman"/>
          <w:sz w:val="24"/>
          <w:szCs w:val="24"/>
        </w:rPr>
        <w:t>PSE did not file any proposed revisions to Schedule 129 and, therefore, the Commission’s suspension order and notice of hearing cannot be considered to have given due and proper notice that it might make a determination in this proceeding that would lead to a change in that tariff schedule either now or in the future.</w:t>
      </w:r>
      <w:r w:rsidRPr="001C21B5">
        <w:rPr>
          <w:rFonts w:ascii="Times New Roman" w:hAnsi="Times New Roman" w:cs="Times New Roman"/>
          <w:sz w:val="24"/>
          <w:szCs w:val="24"/>
          <w:vertAlign w:val="superscript"/>
        </w:rPr>
        <w:footnoteReference w:id="353"/>
      </w:r>
      <w:r w:rsidRPr="001C21B5">
        <w:rPr>
          <w:rFonts w:ascii="Times New Roman" w:hAnsi="Times New Roman" w:cs="Times New Roman"/>
          <w:sz w:val="24"/>
          <w:szCs w:val="24"/>
        </w:rPr>
        <w:t xml:space="preserve">  </w:t>
      </w:r>
    </w:p>
    <w:p w:rsidR="001C21B5" w:rsidRDefault="001C21B5" w:rsidP="00104B01">
      <w:pPr>
        <w:spacing w:after="0" w:line="240" w:lineRule="auto"/>
        <w:rPr>
          <w:rFonts w:ascii="Times New Roman" w:hAnsi="Times New Roman" w:cs="Times New Roman"/>
          <w:sz w:val="24"/>
          <w:szCs w:val="24"/>
        </w:rPr>
      </w:pPr>
    </w:p>
    <w:p w:rsidR="001C21B5" w:rsidRPr="00104B01" w:rsidRDefault="001C21B5" w:rsidP="00104B01">
      <w:pPr>
        <w:spacing w:after="0" w:line="240" w:lineRule="auto"/>
        <w:rPr>
          <w:rFonts w:ascii="Times New Roman" w:hAnsi="Times New Roman" w:cs="Times New Roman"/>
          <w:sz w:val="24"/>
          <w:szCs w:val="24"/>
        </w:rPr>
      </w:pPr>
      <w:r w:rsidRPr="001C21B5">
        <w:rPr>
          <w:rFonts w:ascii="Times New Roman" w:hAnsi="Times New Roman" w:cs="Times New Roman"/>
          <w:sz w:val="24"/>
          <w:szCs w:val="24"/>
        </w:rPr>
        <w:t>The same result should obtain here.</w:t>
      </w:r>
    </w:p>
    <w:p w:rsidR="003C14CB" w:rsidRDefault="001C21B5" w:rsidP="00C16EA4">
      <w:pPr>
        <w:pStyle w:val="ListParagraph"/>
        <w:numPr>
          <w:ilvl w:val="0"/>
          <w:numId w:val="3"/>
        </w:numPr>
        <w:spacing w:after="0" w:line="480" w:lineRule="exact"/>
        <w:rPr>
          <w:rFonts w:ascii="Times New Roman" w:hAnsi="Times New Roman" w:cs="Times New Roman"/>
          <w:sz w:val="24"/>
          <w:szCs w:val="24"/>
        </w:rPr>
      </w:pPr>
      <w:r>
        <w:rPr>
          <w:rFonts w:ascii="Times New Roman" w:hAnsi="Times New Roman" w:cs="Times New Roman"/>
          <w:sz w:val="24"/>
          <w:szCs w:val="24"/>
        </w:rPr>
        <w:tab/>
      </w:r>
      <w:r w:rsidR="003C14CB" w:rsidRPr="00C31DB6">
        <w:rPr>
          <w:rFonts w:ascii="Times New Roman" w:hAnsi="Times New Roman" w:cs="Times New Roman"/>
          <w:sz w:val="24"/>
          <w:szCs w:val="24"/>
        </w:rPr>
        <w:t>If the Commission elects not to decide this legal issue, the Commission should reject The Energy Project’s proposal on the merits.  First, the</w:t>
      </w:r>
      <w:r w:rsidR="003C14CB" w:rsidRPr="00741D70">
        <w:rPr>
          <w:rFonts w:ascii="Times New Roman" w:hAnsi="Times New Roman" w:cs="Times New Roman"/>
          <w:sz w:val="24"/>
          <w:szCs w:val="24"/>
        </w:rPr>
        <w:t xml:space="preserve"> low income agencies currently are not even spending the current levels of monies budgeted for low-income weatherization.</w:t>
      </w:r>
      <w:r w:rsidR="003C14CB" w:rsidRPr="00165C3A">
        <w:rPr>
          <w:rStyle w:val="FootnoteReference"/>
          <w:rFonts w:ascii="Times New Roman" w:hAnsi="Times New Roman" w:cs="Times New Roman"/>
          <w:sz w:val="24"/>
          <w:szCs w:val="24"/>
        </w:rPr>
        <w:footnoteReference w:id="354"/>
      </w:r>
      <w:r w:rsidR="003C14CB" w:rsidRPr="00741D70">
        <w:rPr>
          <w:rFonts w:ascii="Times New Roman" w:hAnsi="Times New Roman" w:cs="Times New Roman"/>
          <w:sz w:val="24"/>
          <w:szCs w:val="24"/>
        </w:rPr>
        <w:t xml:space="preserve">  Second, The Energy Project has provided no reason why PacifiCorp’s Washington customers should bear the </w:t>
      </w:r>
      <w:r w:rsidR="003C14CB" w:rsidRPr="00741D70">
        <w:rPr>
          <w:rFonts w:ascii="Times New Roman" w:hAnsi="Times New Roman" w:cs="Times New Roman"/>
          <w:sz w:val="24"/>
          <w:szCs w:val="24"/>
        </w:rPr>
        <w:lastRenderedPageBreak/>
        <w:t>burden of replacing funding from the federal government.</w:t>
      </w:r>
      <w:r w:rsidR="003C14CB" w:rsidRPr="00165C3A">
        <w:rPr>
          <w:vertAlign w:val="superscript"/>
        </w:rPr>
        <w:footnoteReference w:id="355"/>
      </w:r>
      <w:r w:rsidR="003C14CB" w:rsidRPr="00741D70">
        <w:rPr>
          <w:rFonts w:ascii="Times New Roman" w:hAnsi="Times New Roman" w:cs="Times New Roman"/>
          <w:sz w:val="24"/>
          <w:szCs w:val="24"/>
        </w:rPr>
        <w:t xml:space="preserve">  Finally, before more money is generated by Schedule 191, there should be a thorough review of the entire system benefit charge and the programs it funds.  That review was not done in this case.</w:t>
      </w:r>
      <w:r w:rsidR="003C14CB">
        <w:rPr>
          <w:rFonts w:ascii="Times New Roman" w:hAnsi="Times New Roman" w:cs="Times New Roman"/>
          <w:sz w:val="24"/>
          <w:szCs w:val="24"/>
        </w:rPr>
        <w:t xml:space="preserve">  </w:t>
      </w:r>
    </w:p>
    <w:p w:rsidR="00A93499" w:rsidRPr="00A93499" w:rsidRDefault="00576F98" w:rsidP="00A93499">
      <w:pPr>
        <w:pStyle w:val="ListParagraph"/>
        <w:spacing w:after="0" w:line="480" w:lineRule="exact"/>
        <w:ind w:left="0"/>
        <w:jc w:val="center"/>
        <w:rPr>
          <w:rFonts w:ascii="Times New Roman" w:hAnsi="Times New Roman" w:cs="Times New Roman"/>
          <w:b/>
          <w:sz w:val="24"/>
          <w:szCs w:val="24"/>
        </w:rPr>
      </w:pPr>
      <w:r w:rsidRPr="00104B01">
        <w:rPr>
          <w:rFonts w:ascii="Times New Roman" w:hAnsi="Times New Roman" w:cs="Times New Roman"/>
          <w:b/>
          <w:sz w:val="24"/>
          <w:szCs w:val="24"/>
        </w:rPr>
        <w:t>XI.</w:t>
      </w:r>
      <w:r w:rsidR="00A93499" w:rsidRPr="00A93499">
        <w:rPr>
          <w:rFonts w:ascii="Times New Roman" w:hAnsi="Times New Roman" w:cs="Times New Roman"/>
          <w:sz w:val="24"/>
          <w:szCs w:val="24"/>
        </w:rPr>
        <w:tab/>
      </w:r>
      <w:r w:rsidR="00A93499" w:rsidRPr="00A93499">
        <w:rPr>
          <w:rFonts w:ascii="Times New Roman" w:hAnsi="Times New Roman" w:cs="Times New Roman"/>
          <w:b/>
          <w:sz w:val="24"/>
          <w:szCs w:val="24"/>
        </w:rPr>
        <w:t>CONCLUSION</w:t>
      </w:r>
    </w:p>
    <w:p w:rsidR="00A93499" w:rsidRDefault="00A93499" w:rsidP="00A93499">
      <w:pPr>
        <w:pStyle w:val="ListParagraph"/>
        <w:numPr>
          <w:ilvl w:val="0"/>
          <w:numId w:val="3"/>
        </w:numPr>
        <w:spacing w:after="0" w:line="480" w:lineRule="exact"/>
        <w:rPr>
          <w:rFonts w:ascii="Times New Roman" w:hAnsi="Times New Roman" w:cs="Times New Roman"/>
          <w:sz w:val="24"/>
          <w:szCs w:val="24"/>
        </w:rPr>
      </w:pPr>
      <w:r w:rsidRPr="00A93499">
        <w:rPr>
          <w:rFonts w:ascii="Times New Roman" w:hAnsi="Times New Roman" w:cs="Times New Roman"/>
          <w:b/>
          <w:sz w:val="24"/>
          <w:szCs w:val="24"/>
        </w:rPr>
        <w:tab/>
      </w:r>
      <w:r w:rsidRPr="00A93499">
        <w:rPr>
          <w:rFonts w:ascii="Times New Roman" w:hAnsi="Times New Roman" w:cs="Times New Roman"/>
          <w:sz w:val="24"/>
          <w:szCs w:val="24"/>
        </w:rPr>
        <w:t xml:space="preserve">For the reasons stated in this brief, the Commission should reject the tariffs PacifiCorp filed in this docket and permit the Company to file tariffs reflecting an overall rate increase of </w:t>
      </w:r>
      <w:r w:rsidR="00761A61">
        <w:rPr>
          <w:rFonts w:ascii="Times New Roman" w:hAnsi="Times New Roman" w:cs="Times New Roman"/>
          <w:sz w:val="24"/>
          <w:szCs w:val="24"/>
        </w:rPr>
        <w:t>9.</w:t>
      </w:r>
      <w:r w:rsidR="0092619D">
        <w:rPr>
          <w:rFonts w:ascii="Times New Roman" w:hAnsi="Times New Roman" w:cs="Times New Roman"/>
          <w:sz w:val="24"/>
          <w:szCs w:val="24"/>
        </w:rPr>
        <w:t>5</w:t>
      </w:r>
      <w:r w:rsidRPr="00A93499">
        <w:rPr>
          <w:rFonts w:ascii="Times New Roman" w:hAnsi="Times New Roman" w:cs="Times New Roman"/>
          <w:sz w:val="24"/>
          <w:szCs w:val="24"/>
        </w:rPr>
        <w:t xml:space="preserve"> percent, and consistent with Staff’s rate spread and rate design recommendations described in detail above.</w:t>
      </w:r>
    </w:p>
    <w:p w:rsidR="008B143A" w:rsidRDefault="008B143A" w:rsidP="008B143A">
      <w:pPr>
        <w:spacing w:after="0" w:line="240" w:lineRule="exact"/>
        <w:rPr>
          <w:rFonts w:ascii="Times New Roman" w:hAnsi="Times New Roman" w:cs="Times New Roman"/>
          <w:sz w:val="24"/>
          <w:szCs w:val="24"/>
        </w:rPr>
      </w:pPr>
    </w:p>
    <w:p w:rsidR="008B143A" w:rsidRPr="008B143A" w:rsidRDefault="008B143A" w:rsidP="008B143A">
      <w:pPr>
        <w:spacing w:after="0" w:line="240" w:lineRule="exact"/>
        <w:ind w:firstLine="720"/>
        <w:rPr>
          <w:rFonts w:ascii="Times New Roman" w:hAnsi="Times New Roman" w:cs="Times New Roman"/>
          <w:sz w:val="24"/>
          <w:szCs w:val="24"/>
        </w:rPr>
      </w:pPr>
      <w:r w:rsidRPr="008B143A">
        <w:rPr>
          <w:rFonts w:ascii="Times New Roman" w:hAnsi="Times New Roman" w:cs="Times New Roman"/>
          <w:sz w:val="24"/>
          <w:szCs w:val="24"/>
        </w:rPr>
        <w:t xml:space="preserve">DATED this </w:t>
      </w:r>
      <w:r>
        <w:rPr>
          <w:rFonts w:ascii="Times New Roman" w:hAnsi="Times New Roman" w:cs="Times New Roman"/>
          <w:sz w:val="24"/>
          <w:szCs w:val="24"/>
        </w:rPr>
        <w:t>11</w:t>
      </w:r>
      <w:r w:rsidRPr="008B143A">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8B143A">
        <w:rPr>
          <w:rFonts w:ascii="Times New Roman" w:hAnsi="Times New Roman" w:cs="Times New Roman"/>
          <w:sz w:val="24"/>
          <w:szCs w:val="24"/>
        </w:rPr>
        <w:t xml:space="preserve">day of </w:t>
      </w:r>
      <w:r>
        <w:rPr>
          <w:rFonts w:ascii="Times New Roman" w:hAnsi="Times New Roman" w:cs="Times New Roman"/>
          <w:sz w:val="24"/>
          <w:szCs w:val="24"/>
        </w:rPr>
        <w:t xml:space="preserve">February </w:t>
      </w:r>
      <w:r w:rsidRPr="008B143A">
        <w:rPr>
          <w:rFonts w:ascii="Times New Roman" w:hAnsi="Times New Roman" w:cs="Times New Roman"/>
          <w:sz w:val="24"/>
          <w:szCs w:val="24"/>
        </w:rPr>
        <w:t>20</w:t>
      </w:r>
      <w:r>
        <w:rPr>
          <w:rFonts w:ascii="Times New Roman" w:hAnsi="Times New Roman" w:cs="Times New Roman"/>
          <w:sz w:val="24"/>
          <w:szCs w:val="24"/>
        </w:rPr>
        <w:t>11</w:t>
      </w:r>
      <w:r w:rsidRPr="008B143A">
        <w:rPr>
          <w:rFonts w:ascii="Times New Roman" w:hAnsi="Times New Roman" w:cs="Times New Roman"/>
          <w:sz w:val="24"/>
          <w:szCs w:val="24"/>
        </w:rPr>
        <w:t>.</w:t>
      </w:r>
    </w:p>
    <w:p w:rsidR="008B143A" w:rsidRPr="008B143A" w:rsidRDefault="008B143A" w:rsidP="008B143A">
      <w:pPr>
        <w:pStyle w:val="BodyTextIndent2"/>
        <w:spacing w:after="0" w:line="240" w:lineRule="exact"/>
        <w:ind w:left="4320"/>
        <w:rPr>
          <w:rFonts w:ascii="Times New Roman" w:hAnsi="Times New Roman" w:cs="Times New Roman"/>
          <w:sz w:val="24"/>
          <w:szCs w:val="24"/>
        </w:rPr>
      </w:pPr>
    </w:p>
    <w:p w:rsidR="00747FA0" w:rsidRDefault="00747FA0" w:rsidP="008B143A">
      <w:pPr>
        <w:spacing w:after="0" w:line="240" w:lineRule="exact"/>
        <w:ind w:left="4320"/>
        <w:jc w:val="both"/>
        <w:rPr>
          <w:rFonts w:ascii="Times New Roman" w:hAnsi="Times New Roman" w:cs="Times New Roman"/>
          <w:sz w:val="24"/>
          <w:szCs w:val="24"/>
        </w:rPr>
      </w:pPr>
    </w:p>
    <w:p w:rsidR="008B143A" w:rsidRPr="008B143A" w:rsidRDefault="008B143A" w:rsidP="008B143A">
      <w:pPr>
        <w:spacing w:after="0" w:line="240" w:lineRule="exact"/>
        <w:ind w:left="4320"/>
        <w:jc w:val="both"/>
        <w:rPr>
          <w:rFonts w:ascii="Times New Roman" w:hAnsi="Times New Roman" w:cs="Times New Roman"/>
          <w:sz w:val="24"/>
          <w:szCs w:val="24"/>
        </w:rPr>
      </w:pPr>
      <w:r w:rsidRPr="008B143A">
        <w:rPr>
          <w:rFonts w:ascii="Times New Roman" w:hAnsi="Times New Roman" w:cs="Times New Roman"/>
          <w:sz w:val="24"/>
          <w:szCs w:val="24"/>
        </w:rPr>
        <w:t xml:space="preserve">ROBERT M. MCKENNA </w:t>
      </w:r>
    </w:p>
    <w:p w:rsidR="008B143A" w:rsidRPr="008B143A" w:rsidRDefault="008B143A" w:rsidP="008B143A">
      <w:pPr>
        <w:spacing w:after="0" w:line="240" w:lineRule="exact"/>
        <w:ind w:left="4320"/>
        <w:jc w:val="both"/>
        <w:rPr>
          <w:rFonts w:ascii="Times New Roman" w:hAnsi="Times New Roman" w:cs="Times New Roman"/>
          <w:sz w:val="24"/>
          <w:szCs w:val="24"/>
        </w:rPr>
      </w:pPr>
      <w:r w:rsidRPr="008B143A">
        <w:rPr>
          <w:rFonts w:ascii="Times New Roman" w:hAnsi="Times New Roman" w:cs="Times New Roman"/>
          <w:sz w:val="24"/>
          <w:szCs w:val="24"/>
        </w:rPr>
        <w:t>Attorney General</w:t>
      </w:r>
    </w:p>
    <w:p w:rsidR="008B143A" w:rsidRPr="008B143A" w:rsidRDefault="008B143A" w:rsidP="008B143A">
      <w:pPr>
        <w:spacing w:after="0" w:line="240" w:lineRule="exact"/>
        <w:ind w:left="4320"/>
        <w:jc w:val="both"/>
        <w:rPr>
          <w:rFonts w:ascii="Times New Roman" w:hAnsi="Times New Roman" w:cs="Times New Roman"/>
          <w:sz w:val="24"/>
          <w:szCs w:val="24"/>
        </w:rPr>
      </w:pPr>
    </w:p>
    <w:p w:rsidR="008B143A" w:rsidRPr="008B143A" w:rsidRDefault="008B143A" w:rsidP="008B143A">
      <w:pPr>
        <w:spacing w:after="0" w:line="240" w:lineRule="exact"/>
        <w:ind w:left="4320"/>
        <w:jc w:val="both"/>
        <w:rPr>
          <w:rFonts w:ascii="Times New Roman" w:hAnsi="Times New Roman" w:cs="Times New Roman"/>
          <w:sz w:val="24"/>
          <w:szCs w:val="24"/>
        </w:rPr>
      </w:pPr>
    </w:p>
    <w:p w:rsidR="008B143A" w:rsidRPr="008B143A" w:rsidRDefault="008B143A" w:rsidP="008B143A">
      <w:pPr>
        <w:spacing w:after="0" w:line="240" w:lineRule="exact"/>
        <w:ind w:left="4320"/>
        <w:jc w:val="both"/>
        <w:rPr>
          <w:rFonts w:ascii="Times New Roman" w:hAnsi="Times New Roman" w:cs="Times New Roman"/>
          <w:sz w:val="24"/>
          <w:szCs w:val="24"/>
        </w:rPr>
      </w:pPr>
      <w:r w:rsidRPr="008B143A">
        <w:rPr>
          <w:rFonts w:ascii="Times New Roman" w:hAnsi="Times New Roman" w:cs="Times New Roman"/>
          <w:sz w:val="24"/>
          <w:szCs w:val="24"/>
        </w:rPr>
        <w:t>_____</w:t>
      </w:r>
      <w:r w:rsidR="007148D2">
        <w:rPr>
          <w:rFonts w:ascii="Times New Roman" w:hAnsi="Times New Roman" w:cs="Times New Roman"/>
          <w:sz w:val="24"/>
          <w:szCs w:val="24"/>
        </w:rPr>
        <w:t>_________________________</w:t>
      </w:r>
      <w:r w:rsidRPr="008B143A">
        <w:rPr>
          <w:rFonts w:ascii="Times New Roman" w:hAnsi="Times New Roman" w:cs="Times New Roman"/>
          <w:sz w:val="24"/>
          <w:szCs w:val="24"/>
        </w:rPr>
        <w:t>_</w:t>
      </w:r>
    </w:p>
    <w:p w:rsidR="008B143A" w:rsidRPr="008B143A" w:rsidRDefault="008F6367" w:rsidP="008B143A">
      <w:pPr>
        <w:spacing w:after="0" w:line="240" w:lineRule="exact"/>
        <w:ind w:left="4320"/>
        <w:jc w:val="both"/>
        <w:rPr>
          <w:rFonts w:ascii="Times New Roman" w:hAnsi="Times New Roman" w:cs="Times New Roman"/>
          <w:sz w:val="24"/>
          <w:szCs w:val="24"/>
        </w:rPr>
      </w:pPr>
      <w:r>
        <w:rPr>
          <w:rFonts w:ascii="Times New Roman" w:hAnsi="Times New Roman" w:cs="Times New Roman"/>
          <w:sz w:val="24"/>
          <w:szCs w:val="24"/>
        </w:rPr>
        <w:t xml:space="preserve">DONALD T. TROTTER </w:t>
      </w:r>
    </w:p>
    <w:p w:rsidR="008B143A" w:rsidRPr="008B143A" w:rsidRDefault="008B143A" w:rsidP="008B143A">
      <w:pPr>
        <w:spacing w:after="0" w:line="240" w:lineRule="exact"/>
        <w:ind w:left="4320"/>
        <w:jc w:val="both"/>
        <w:rPr>
          <w:rFonts w:ascii="Times New Roman" w:hAnsi="Times New Roman" w:cs="Times New Roman"/>
          <w:sz w:val="24"/>
          <w:szCs w:val="24"/>
        </w:rPr>
      </w:pPr>
      <w:r w:rsidRPr="008B143A">
        <w:rPr>
          <w:rFonts w:ascii="Times New Roman" w:hAnsi="Times New Roman" w:cs="Times New Roman"/>
          <w:sz w:val="24"/>
          <w:szCs w:val="24"/>
        </w:rPr>
        <w:t>Assistant Attorney General</w:t>
      </w:r>
    </w:p>
    <w:p w:rsidR="008B143A" w:rsidRPr="008B143A" w:rsidRDefault="008B143A" w:rsidP="008B143A">
      <w:pPr>
        <w:spacing w:after="0" w:line="240" w:lineRule="exact"/>
        <w:ind w:left="4320"/>
        <w:jc w:val="both"/>
        <w:rPr>
          <w:rFonts w:ascii="Times New Roman" w:hAnsi="Times New Roman" w:cs="Times New Roman"/>
          <w:sz w:val="24"/>
          <w:szCs w:val="24"/>
        </w:rPr>
      </w:pPr>
      <w:r w:rsidRPr="008B143A">
        <w:rPr>
          <w:rFonts w:ascii="Times New Roman" w:hAnsi="Times New Roman" w:cs="Times New Roman"/>
          <w:sz w:val="24"/>
          <w:szCs w:val="24"/>
        </w:rPr>
        <w:t>Counsel for Washington Utilities and</w:t>
      </w:r>
    </w:p>
    <w:p w:rsidR="008B143A" w:rsidRPr="008B143A" w:rsidRDefault="008B143A" w:rsidP="00104B01">
      <w:pPr>
        <w:spacing w:after="0" w:line="240" w:lineRule="exact"/>
        <w:ind w:left="4320"/>
        <w:jc w:val="both"/>
        <w:rPr>
          <w:rFonts w:ascii="Times New Roman" w:hAnsi="Times New Roman" w:cs="Times New Roman"/>
          <w:sz w:val="24"/>
          <w:szCs w:val="24"/>
        </w:rPr>
      </w:pPr>
      <w:r w:rsidRPr="008B143A">
        <w:rPr>
          <w:rFonts w:ascii="Times New Roman" w:hAnsi="Times New Roman" w:cs="Times New Roman"/>
          <w:sz w:val="24"/>
          <w:szCs w:val="24"/>
        </w:rPr>
        <w:t>Transportation Commission Staff</w:t>
      </w:r>
    </w:p>
    <w:p w:rsidR="002B710A" w:rsidRPr="00A93499" w:rsidRDefault="002B710A" w:rsidP="00795020">
      <w:pPr>
        <w:pStyle w:val="ListParagraph"/>
        <w:spacing w:after="0" w:line="480" w:lineRule="exact"/>
        <w:ind w:left="0"/>
        <w:rPr>
          <w:rFonts w:ascii="Times New Roman" w:hAnsi="Times New Roman" w:cs="Times New Roman"/>
          <w:sz w:val="24"/>
          <w:szCs w:val="24"/>
        </w:rPr>
      </w:pPr>
    </w:p>
    <w:sectPr w:rsidR="002B710A" w:rsidRPr="00A93499" w:rsidSect="00D54A2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7A9" w:rsidRDefault="004767A9" w:rsidP="003E48C0">
      <w:pPr>
        <w:spacing w:after="0" w:line="240" w:lineRule="auto"/>
      </w:pPr>
      <w:r>
        <w:separator/>
      </w:r>
    </w:p>
  </w:endnote>
  <w:endnote w:type="continuationSeparator" w:id="0">
    <w:p w:rsidR="004767A9" w:rsidRDefault="004767A9" w:rsidP="003E4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7A9" w:rsidRDefault="004767A9">
    <w:pPr>
      <w:pStyle w:val="Footer"/>
      <w:rPr>
        <w:rFonts w:ascii="Times New Roman" w:hAnsi="Times New Roman" w:cs="Times New Roman"/>
        <w:sz w:val="20"/>
        <w:szCs w:val="20"/>
      </w:rPr>
    </w:pPr>
  </w:p>
  <w:p w:rsidR="004767A9" w:rsidRPr="00924E63" w:rsidRDefault="004767A9">
    <w:pPr>
      <w:pStyle w:val="Footer"/>
      <w:rPr>
        <w:rFonts w:ascii="Times New Roman" w:hAnsi="Times New Roman" w:cs="Times New Roman"/>
        <w:sz w:val="20"/>
        <w:szCs w:val="20"/>
      </w:rPr>
    </w:pPr>
    <w:r>
      <w:rPr>
        <w:rFonts w:ascii="Times New Roman" w:hAnsi="Times New Roman" w:cs="Times New Roman"/>
        <w:sz w:val="20"/>
        <w:szCs w:val="20"/>
      </w:rPr>
      <w:t xml:space="preserve">BRIEF ON BEHALF OF COMMISSION STAFF - </w:t>
    </w:r>
    <w:r w:rsidR="005F7905" w:rsidRPr="00924E63">
      <w:rPr>
        <w:rFonts w:ascii="Times New Roman" w:hAnsi="Times New Roman" w:cs="Times New Roman"/>
        <w:sz w:val="20"/>
        <w:szCs w:val="20"/>
      </w:rPr>
      <w:fldChar w:fldCharType="begin"/>
    </w:r>
    <w:r w:rsidRPr="00924E63">
      <w:rPr>
        <w:rFonts w:ascii="Times New Roman" w:hAnsi="Times New Roman" w:cs="Times New Roman"/>
        <w:sz w:val="20"/>
        <w:szCs w:val="20"/>
      </w:rPr>
      <w:instrText xml:space="preserve"> PAGE   \* MERGEFORMAT </w:instrText>
    </w:r>
    <w:r w:rsidR="005F7905" w:rsidRPr="00924E63">
      <w:rPr>
        <w:rFonts w:ascii="Times New Roman" w:hAnsi="Times New Roman" w:cs="Times New Roman"/>
        <w:sz w:val="20"/>
        <w:szCs w:val="20"/>
      </w:rPr>
      <w:fldChar w:fldCharType="separate"/>
    </w:r>
    <w:r w:rsidR="002F6F4B">
      <w:rPr>
        <w:rFonts w:ascii="Times New Roman" w:hAnsi="Times New Roman" w:cs="Times New Roman"/>
        <w:noProof/>
        <w:sz w:val="20"/>
        <w:szCs w:val="20"/>
      </w:rPr>
      <w:t>vi</w:t>
    </w:r>
    <w:r w:rsidR="005F7905" w:rsidRPr="00924E63">
      <w:rPr>
        <w:rFonts w:ascii="Times New Roman" w:hAnsi="Times New Roman" w:cs="Times New Roman"/>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7A9" w:rsidRDefault="004767A9">
    <w:pPr>
      <w:pStyle w:val="Footer"/>
      <w:rPr>
        <w:rFonts w:ascii="Times New Roman" w:hAnsi="Times New Roman" w:cs="Times New Roman"/>
        <w:sz w:val="20"/>
        <w:szCs w:val="20"/>
      </w:rPr>
    </w:pPr>
  </w:p>
  <w:p w:rsidR="004767A9" w:rsidRPr="00924E63" w:rsidRDefault="004767A9">
    <w:pPr>
      <w:pStyle w:val="Footer"/>
      <w:rPr>
        <w:rFonts w:ascii="Times New Roman" w:hAnsi="Times New Roman" w:cs="Times New Roman"/>
        <w:sz w:val="20"/>
        <w:szCs w:val="20"/>
      </w:rPr>
    </w:pPr>
    <w:r>
      <w:rPr>
        <w:rFonts w:ascii="Times New Roman" w:hAnsi="Times New Roman" w:cs="Times New Roman"/>
        <w:sz w:val="20"/>
        <w:szCs w:val="20"/>
      </w:rPr>
      <w:t xml:space="preserve">BRIEF ON BEHALF OF COMMISSION STAFF - </w:t>
    </w:r>
    <w:r w:rsidR="005F7905" w:rsidRPr="00924E63">
      <w:rPr>
        <w:rFonts w:ascii="Times New Roman" w:hAnsi="Times New Roman" w:cs="Times New Roman"/>
        <w:sz w:val="20"/>
        <w:szCs w:val="20"/>
      </w:rPr>
      <w:fldChar w:fldCharType="begin"/>
    </w:r>
    <w:r w:rsidRPr="00924E63">
      <w:rPr>
        <w:rFonts w:ascii="Times New Roman" w:hAnsi="Times New Roman" w:cs="Times New Roman"/>
        <w:sz w:val="20"/>
        <w:szCs w:val="20"/>
      </w:rPr>
      <w:instrText xml:space="preserve"> PAGE   \* MERGEFORMAT </w:instrText>
    </w:r>
    <w:r w:rsidR="005F7905" w:rsidRPr="00924E63">
      <w:rPr>
        <w:rFonts w:ascii="Times New Roman" w:hAnsi="Times New Roman" w:cs="Times New Roman"/>
        <w:sz w:val="20"/>
        <w:szCs w:val="20"/>
      </w:rPr>
      <w:fldChar w:fldCharType="separate"/>
    </w:r>
    <w:r w:rsidR="002F6F4B">
      <w:rPr>
        <w:rFonts w:ascii="Times New Roman" w:hAnsi="Times New Roman" w:cs="Times New Roman"/>
        <w:noProof/>
        <w:sz w:val="20"/>
        <w:szCs w:val="20"/>
      </w:rPr>
      <w:t>15</w:t>
    </w:r>
    <w:r w:rsidR="005F7905" w:rsidRPr="00924E63">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A24" w:rsidRDefault="00D54A24">
    <w:pPr>
      <w:pStyle w:val="Footer"/>
      <w:rPr>
        <w:rFonts w:ascii="Times New Roman" w:hAnsi="Times New Roman" w:cs="Times New Roman"/>
        <w:sz w:val="20"/>
        <w:szCs w:val="20"/>
      </w:rPr>
    </w:pPr>
  </w:p>
  <w:p w:rsidR="00D54A24" w:rsidRPr="00924E63" w:rsidRDefault="00D54A24">
    <w:pPr>
      <w:pStyle w:val="Footer"/>
      <w:rPr>
        <w:rFonts w:ascii="Times New Roman" w:hAnsi="Times New Roman" w:cs="Times New Roman"/>
        <w:sz w:val="20"/>
        <w:szCs w:val="20"/>
      </w:rPr>
    </w:pPr>
    <w:r>
      <w:rPr>
        <w:rFonts w:ascii="Times New Roman" w:hAnsi="Times New Roman" w:cs="Times New Roman"/>
        <w:sz w:val="20"/>
        <w:szCs w:val="20"/>
      </w:rPr>
      <w:t xml:space="preserve">BRIEF ON BEHALF OF COMMISSION STAFF - </w:t>
    </w:r>
    <w:r w:rsidRPr="00924E63">
      <w:rPr>
        <w:rFonts w:ascii="Times New Roman" w:hAnsi="Times New Roman" w:cs="Times New Roman"/>
        <w:sz w:val="20"/>
        <w:szCs w:val="20"/>
      </w:rPr>
      <w:fldChar w:fldCharType="begin"/>
    </w:r>
    <w:r w:rsidRPr="00924E63">
      <w:rPr>
        <w:rFonts w:ascii="Times New Roman" w:hAnsi="Times New Roman" w:cs="Times New Roman"/>
        <w:sz w:val="20"/>
        <w:szCs w:val="20"/>
      </w:rPr>
      <w:instrText xml:space="preserve"> PAGE   \* MERGEFORMAT </w:instrText>
    </w:r>
    <w:r w:rsidRPr="00924E63">
      <w:rPr>
        <w:rFonts w:ascii="Times New Roman" w:hAnsi="Times New Roman" w:cs="Times New Roman"/>
        <w:sz w:val="20"/>
        <w:szCs w:val="20"/>
      </w:rPr>
      <w:fldChar w:fldCharType="separate"/>
    </w:r>
    <w:r w:rsidR="002F6F4B">
      <w:rPr>
        <w:rFonts w:ascii="Times New Roman" w:hAnsi="Times New Roman" w:cs="Times New Roman"/>
        <w:noProof/>
        <w:sz w:val="20"/>
        <w:szCs w:val="20"/>
      </w:rPr>
      <w:t>16</w:t>
    </w:r>
    <w:r w:rsidRPr="00924E63">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w:t>
    </w:r>
    <w:r>
      <w:rPr>
        <w:rFonts w:ascii="Times New Roman" w:hAnsi="Times New Roman" w:cs="Times New Roman"/>
        <w:noProof/>
        <w:sz w:val="20"/>
        <w:szCs w:val="20"/>
      </w:rPr>
      <w:tab/>
    </w:r>
    <w:r>
      <w:rPr>
        <w:rFonts w:ascii="Times New Roman" w:hAnsi="Times New Roman" w:cs="Times New Roman"/>
        <w:noProof/>
        <w:sz w:val="20"/>
        <w:szCs w:val="20"/>
      </w:rPr>
      <w:tab/>
    </w:r>
    <w:r w:rsidRPr="00D54A24">
      <w:rPr>
        <w:rFonts w:ascii="Times New Roman" w:hAnsi="Times New Roman" w:cs="Times New Roman"/>
        <w:b/>
        <w:noProof/>
        <w:sz w:val="20"/>
        <w:szCs w:val="20"/>
      </w:rPr>
      <w:t>CONFIDENTIAL PER PROTECTIVE ORDER</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A24" w:rsidRDefault="00D54A24">
    <w:pPr>
      <w:pStyle w:val="Footer"/>
      <w:rPr>
        <w:rFonts w:ascii="Times New Roman" w:hAnsi="Times New Roman" w:cs="Times New Roman"/>
        <w:sz w:val="20"/>
        <w:szCs w:val="20"/>
      </w:rPr>
    </w:pPr>
  </w:p>
  <w:p w:rsidR="00D54A24" w:rsidRPr="00924E63" w:rsidRDefault="00D54A24">
    <w:pPr>
      <w:pStyle w:val="Footer"/>
      <w:rPr>
        <w:rFonts w:ascii="Times New Roman" w:hAnsi="Times New Roman" w:cs="Times New Roman"/>
        <w:sz w:val="20"/>
        <w:szCs w:val="20"/>
      </w:rPr>
    </w:pPr>
    <w:r>
      <w:rPr>
        <w:rFonts w:ascii="Times New Roman" w:hAnsi="Times New Roman" w:cs="Times New Roman"/>
        <w:sz w:val="20"/>
        <w:szCs w:val="20"/>
      </w:rPr>
      <w:t xml:space="preserve">BRIEF ON BEHALF OF COMMISSION STAFF - </w:t>
    </w:r>
    <w:r w:rsidRPr="00924E63">
      <w:rPr>
        <w:rFonts w:ascii="Times New Roman" w:hAnsi="Times New Roman" w:cs="Times New Roman"/>
        <w:sz w:val="20"/>
        <w:szCs w:val="20"/>
      </w:rPr>
      <w:fldChar w:fldCharType="begin"/>
    </w:r>
    <w:r w:rsidRPr="00924E63">
      <w:rPr>
        <w:rFonts w:ascii="Times New Roman" w:hAnsi="Times New Roman" w:cs="Times New Roman"/>
        <w:sz w:val="20"/>
        <w:szCs w:val="20"/>
      </w:rPr>
      <w:instrText xml:space="preserve"> PAGE   \* MERGEFORMAT </w:instrText>
    </w:r>
    <w:r w:rsidRPr="00924E63">
      <w:rPr>
        <w:rFonts w:ascii="Times New Roman" w:hAnsi="Times New Roman" w:cs="Times New Roman"/>
        <w:sz w:val="20"/>
        <w:szCs w:val="20"/>
      </w:rPr>
      <w:fldChar w:fldCharType="separate"/>
    </w:r>
    <w:r w:rsidR="002F6F4B">
      <w:rPr>
        <w:rFonts w:ascii="Times New Roman" w:hAnsi="Times New Roman" w:cs="Times New Roman"/>
        <w:noProof/>
        <w:sz w:val="20"/>
        <w:szCs w:val="20"/>
      </w:rPr>
      <w:t>18</w:t>
    </w:r>
    <w:r w:rsidRPr="00924E63">
      <w:rPr>
        <w:rFonts w:ascii="Times New Roman" w:hAnsi="Times New Roman" w:cs="Times New Roman"/>
        <w:noProof/>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A24" w:rsidRDefault="00D54A24">
    <w:pPr>
      <w:pStyle w:val="Footer"/>
      <w:rPr>
        <w:rFonts w:ascii="Times New Roman" w:hAnsi="Times New Roman" w:cs="Times New Roman"/>
        <w:sz w:val="20"/>
        <w:szCs w:val="20"/>
      </w:rPr>
    </w:pPr>
  </w:p>
  <w:p w:rsidR="00D54A24" w:rsidRPr="00D54A24" w:rsidRDefault="00D54A24">
    <w:pPr>
      <w:pStyle w:val="Footer"/>
      <w:rPr>
        <w:rFonts w:ascii="Times New Roman" w:hAnsi="Times New Roman" w:cs="Times New Roman"/>
        <w:b/>
        <w:sz w:val="20"/>
        <w:szCs w:val="20"/>
      </w:rPr>
    </w:pPr>
    <w:r>
      <w:rPr>
        <w:rFonts w:ascii="Times New Roman" w:hAnsi="Times New Roman" w:cs="Times New Roman"/>
        <w:sz w:val="20"/>
        <w:szCs w:val="20"/>
      </w:rPr>
      <w:t xml:space="preserve">BRIEF ON BEHALF OF COMMISSION STAFF - </w:t>
    </w:r>
    <w:r w:rsidRPr="00924E63">
      <w:rPr>
        <w:rFonts w:ascii="Times New Roman" w:hAnsi="Times New Roman" w:cs="Times New Roman"/>
        <w:sz w:val="20"/>
        <w:szCs w:val="20"/>
      </w:rPr>
      <w:fldChar w:fldCharType="begin"/>
    </w:r>
    <w:r w:rsidRPr="00924E63">
      <w:rPr>
        <w:rFonts w:ascii="Times New Roman" w:hAnsi="Times New Roman" w:cs="Times New Roman"/>
        <w:sz w:val="20"/>
        <w:szCs w:val="20"/>
      </w:rPr>
      <w:instrText xml:space="preserve"> PAGE   \* MERGEFORMAT </w:instrText>
    </w:r>
    <w:r w:rsidRPr="00924E63">
      <w:rPr>
        <w:rFonts w:ascii="Times New Roman" w:hAnsi="Times New Roman" w:cs="Times New Roman"/>
        <w:sz w:val="20"/>
        <w:szCs w:val="20"/>
      </w:rPr>
      <w:fldChar w:fldCharType="separate"/>
    </w:r>
    <w:r w:rsidR="002F6F4B">
      <w:rPr>
        <w:rFonts w:ascii="Times New Roman" w:hAnsi="Times New Roman" w:cs="Times New Roman"/>
        <w:noProof/>
        <w:sz w:val="20"/>
        <w:szCs w:val="20"/>
      </w:rPr>
      <w:t>19</w:t>
    </w:r>
    <w:r w:rsidRPr="00924E63">
      <w:rPr>
        <w:rFonts w:ascii="Times New Roman" w:hAnsi="Times New Roman" w:cs="Times New Roman"/>
        <w:noProof/>
        <w:sz w:val="20"/>
        <w:szCs w:val="20"/>
      </w:rPr>
      <w:fldChar w:fldCharType="end"/>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b/>
        <w:noProof/>
        <w:sz w:val="20"/>
        <w:szCs w:val="20"/>
      </w:rPr>
      <w:t>CONFIDENTIAL PER PROTECTIVE ORDER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A24" w:rsidRDefault="00D54A24">
    <w:pPr>
      <w:pStyle w:val="Footer"/>
      <w:rPr>
        <w:rFonts w:ascii="Times New Roman" w:hAnsi="Times New Roman" w:cs="Times New Roman"/>
        <w:sz w:val="20"/>
        <w:szCs w:val="20"/>
      </w:rPr>
    </w:pPr>
  </w:p>
  <w:p w:rsidR="00D54A24" w:rsidRPr="00924E63" w:rsidRDefault="00D54A24">
    <w:pPr>
      <w:pStyle w:val="Footer"/>
      <w:rPr>
        <w:rFonts w:ascii="Times New Roman" w:hAnsi="Times New Roman" w:cs="Times New Roman"/>
        <w:sz w:val="20"/>
        <w:szCs w:val="20"/>
      </w:rPr>
    </w:pPr>
    <w:r>
      <w:rPr>
        <w:rFonts w:ascii="Times New Roman" w:hAnsi="Times New Roman" w:cs="Times New Roman"/>
        <w:sz w:val="20"/>
        <w:szCs w:val="20"/>
      </w:rPr>
      <w:t xml:space="preserve">BRIEF ON BEHALF OF COMMISSION STAFF - </w:t>
    </w:r>
    <w:r w:rsidRPr="00924E63">
      <w:rPr>
        <w:rFonts w:ascii="Times New Roman" w:hAnsi="Times New Roman" w:cs="Times New Roman"/>
        <w:sz w:val="20"/>
        <w:szCs w:val="20"/>
      </w:rPr>
      <w:fldChar w:fldCharType="begin"/>
    </w:r>
    <w:r w:rsidRPr="00924E63">
      <w:rPr>
        <w:rFonts w:ascii="Times New Roman" w:hAnsi="Times New Roman" w:cs="Times New Roman"/>
        <w:sz w:val="20"/>
        <w:szCs w:val="20"/>
      </w:rPr>
      <w:instrText xml:space="preserve"> PAGE   \* MERGEFORMAT </w:instrText>
    </w:r>
    <w:r w:rsidRPr="00924E63">
      <w:rPr>
        <w:rFonts w:ascii="Times New Roman" w:hAnsi="Times New Roman" w:cs="Times New Roman"/>
        <w:sz w:val="20"/>
        <w:szCs w:val="20"/>
      </w:rPr>
      <w:fldChar w:fldCharType="separate"/>
    </w:r>
    <w:r w:rsidR="002F6F4B">
      <w:rPr>
        <w:rFonts w:ascii="Times New Roman" w:hAnsi="Times New Roman" w:cs="Times New Roman"/>
        <w:noProof/>
        <w:sz w:val="20"/>
        <w:szCs w:val="20"/>
      </w:rPr>
      <w:t>60</w:t>
    </w:r>
    <w:r w:rsidRPr="00924E63">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7A9" w:rsidRDefault="004767A9" w:rsidP="003E48C0">
      <w:pPr>
        <w:spacing w:after="0" w:line="240" w:lineRule="auto"/>
      </w:pPr>
      <w:r>
        <w:separator/>
      </w:r>
    </w:p>
  </w:footnote>
  <w:footnote w:type="continuationSeparator" w:id="0">
    <w:p w:rsidR="004767A9" w:rsidRDefault="004767A9" w:rsidP="003E48C0">
      <w:pPr>
        <w:spacing w:after="0" w:line="240" w:lineRule="auto"/>
      </w:pPr>
      <w:r>
        <w:continuationSeparator/>
      </w:r>
    </w:p>
  </w:footnote>
  <w:footnote w:id="1">
    <w:p w:rsidR="004767A9" w:rsidRPr="00A66520" w:rsidRDefault="004767A9" w:rsidP="00CE373E">
      <w:pPr>
        <w:pStyle w:val="FootnoteText"/>
        <w:rPr>
          <w:rFonts w:cs="Times New Roman"/>
        </w:rPr>
      </w:pPr>
      <w:r w:rsidRPr="00A66520">
        <w:rPr>
          <w:rStyle w:val="FootnoteReference"/>
          <w:rFonts w:cs="Times New Roman"/>
        </w:rPr>
        <w:footnoteRef/>
      </w:r>
      <w:r w:rsidRPr="00A66520">
        <w:rPr>
          <w:rFonts w:cs="Times New Roman"/>
        </w:rPr>
        <w:t xml:space="preserve"> Reiten, Exhibit No. RPR-1T at 4:7-8.</w:t>
      </w:r>
    </w:p>
  </w:footnote>
  <w:footnote w:id="2">
    <w:p w:rsidR="004767A9" w:rsidRPr="00A66520" w:rsidRDefault="004767A9" w:rsidP="00CE373E">
      <w:pPr>
        <w:pStyle w:val="FootnoteText"/>
        <w:rPr>
          <w:rFonts w:cs="Times New Roman"/>
        </w:rPr>
      </w:pPr>
      <w:r w:rsidRPr="00A66520">
        <w:rPr>
          <w:rStyle w:val="FootnoteReference"/>
          <w:rFonts w:cs="Times New Roman"/>
        </w:rPr>
        <w:footnoteRef/>
      </w:r>
      <w:r w:rsidRPr="00A66520">
        <w:rPr>
          <w:rFonts w:cs="Times New Roman"/>
        </w:rPr>
        <w:t xml:space="preserve"> Foisy, Exhibit No. MDF-2 at 6:1, column G.  This figure is based on the per books net operating income and rate base and the differing rates of return (ROR) for Staff and Company.  The profit difference between PacifiCorp’s and ICNU’s rate of return recommendations is </w:t>
      </w:r>
      <w:r>
        <w:rPr>
          <w:rFonts w:cs="Times New Roman"/>
        </w:rPr>
        <w:t xml:space="preserve">approximately </w:t>
      </w:r>
      <w:r w:rsidRPr="00A66520">
        <w:rPr>
          <w:rFonts w:cs="Times New Roman"/>
        </w:rPr>
        <w:t>$9.8 million.</w:t>
      </w:r>
    </w:p>
  </w:footnote>
  <w:footnote w:id="3">
    <w:p w:rsidR="004767A9" w:rsidRPr="00A66520" w:rsidRDefault="004767A9" w:rsidP="00CE373E">
      <w:pPr>
        <w:pStyle w:val="FootnoteText"/>
        <w:rPr>
          <w:rFonts w:cs="Times New Roman"/>
        </w:rPr>
      </w:pPr>
      <w:r w:rsidRPr="00A66520">
        <w:rPr>
          <w:rStyle w:val="FootnoteReference"/>
          <w:rFonts w:cs="Times New Roman"/>
        </w:rPr>
        <w:footnoteRef/>
      </w:r>
      <w:r w:rsidRPr="00A66520">
        <w:rPr>
          <w:rFonts w:cs="Times New Roman"/>
        </w:rPr>
        <w:t xml:space="preserve"> Williams, Exhibit No. BNW-1T at 3:1-7.</w:t>
      </w:r>
    </w:p>
  </w:footnote>
  <w:footnote w:id="4">
    <w:p w:rsidR="004767A9" w:rsidRPr="00A66520" w:rsidRDefault="004767A9" w:rsidP="00CE373E">
      <w:pPr>
        <w:pStyle w:val="FootnoteText"/>
        <w:rPr>
          <w:rFonts w:cs="Times New Roman"/>
        </w:rPr>
      </w:pPr>
      <w:r w:rsidRPr="00A66520">
        <w:rPr>
          <w:rStyle w:val="FootnoteReference"/>
          <w:rFonts w:cs="Times New Roman"/>
        </w:rPr>
        <w:footnoteRef/>
      </w:r>
      <w:r w:rsidRPr="00A66520">
        <w:rPr>
          <w:rFonts w:cs="Times New Roman"/>
        </w:rPr>
        <w:t xml:space="preserve"> Williams, Exhibit No. BNW-1T at 3:1-7.</w:t>
      </w:r>
    </w:p>
  </w:footnote>
  <w:footnote w:id="5">
    <w:p w:rsidR="004767A9" w:rsidRPr="00A66520" w:rsidRDefault="004767A9" w:rsidP="00CE373E">
      <w:pPr>
        <w:pStyle w:val="FootnoteText"/>
        <w:rPr>
          <w:rFonts w:cs="Times New Roman"/>
        </w:rPr>
      </w:pPr>
      <w:r w:rsidRPr="00A66520">
        <w:rPr>
          <w:rStyle w:val="FootnoteReference"/>
          <w:rFonts w:cs="Times New Roman"/>
        </w:rPr>
        <w:footnoteRef/>
      </w:r>
      <w:r w:rsidRPr="00A66520">
        <w:rPr>
          <w:rFonts w:cs="Times New Roman"/>
        </w:rPr>
        <w:t xml:space="preserve"> Hadaway, Exhibit No. SCH-8T at 30:9-10 (range of 10.3 percent to 10.8 percent; the midpoint is 10.55 percent.</w:t>
      </w:r>
    </w:p>
  </w:footnote>
  <w:footnote w:id="6">
    <w:p w:rsidR="004767A9" w:rsidRPr="00A66520" w:rsidRDefault="004767A9" w:rsidP="00CE373E">
      <w:pPr>
        <w:pStyle w:val="FootnoteText"/>
        <w:rPr>
          <w:rFonts w:cs="Times New Roman"/>
        </w:rPr>
      </w:pPr>
      <w:r w:rsidRPr="00A66520">
        <w:rPr>
          <w:rStyle w:val="FootnoteReference"/>
          <w:rFonts w:cs="Times New Roman"/>
        </w:rPr>
        <w:footnoteRef/>
      </w:r>
      <w:r w:rsidRPr="00A66520">
        <w:rPr>
          <w:rFonts w:cs="Times New Roman"/>
        </w:rPr>
        <w:t xml:space="preserve"> Reiten, Exhibit No. RPR-1T at 6:2-3.</w:t>
      </w:r>
    </w:p>
  </w:footnote>
  <w:footnote w:id="7">
    <w:p w:rsidR="004767A9" w:rsidRPr="00A66520" w:rsidRDefault="004767A9" w:rsidP="00CE373E">
      <w:pPr>
        <w:pStyle w:val="FootnoteText"/>
        <w:rPr>
          <w:rFonts w:cs="Times New Roman"/>
        </w:rPr>
      </w:pPr>
      <w:r w:rsidRPr="00A66520">
        <w:rPr>
          <w:rStyle w:val="FootnoteReference"/>
          <w:rFonts w:cs="Times New Roman"/>
        </w:rPr>
        <w:footnoteRef/>
      </w:r>
      <w:r w:rsidRPr="00A66520">
        <w:rPr>
          <w:rFonts w:cs="Times New Roman"/>
        </w:rPr>
        <w:t xml:space="preserve"> RCW 80.04.130(4): “At any hearing involving any changes in any schedule … the effect of which is to increase any rate … theretofore charged, the burden of proof to show that such increase is just and reasonable shall be upon the public service company.”</w:t>
      </w:r>
    </w:p>
  </w:footnote>
  <w:footnote w:id="8">
    <w:p w:rsidR="004767A9" w:rsidRDefault="004767A9">
      <w:pPr>
        <w:pStyle w:val="FootnoteText"/>
      </w:pPr>
      <w:r>
        <w:rPr>
          <w:rStyle w:val="FootnoteReference"/>
        </w:rPr>
        <w:footnoteRef/>
      </w:r>
      <w:r>
        <w:t xml:space="preserve"> This figure is calculated in Appendix 1, Staff Revenue Requirement</w:t>
      </w:r>
      <w:r w:rsidR="00DD1FEA">
        <w:t>s</w:t>
      </w:r>
      <w:r>
        <w:t xml:space="preserve"> </w:t>
      </w:r>
      <w:r w:rsidR="00DD1FEA">
        <w:t>Summary</w:t>
      </w:r>
      <w:r>
        <w:t xml:space="preserve">.  Appendix 2 is </w:t>
      </w:r>
      <w:r w:rsidR="00DD1FEA">
        <w:t xml:space="preserve">Revenue Requirement Impact of </w:t>
      </w:r>
      <w:r>
        <w:t>Staff Adjustments, and Appendix 3 contains a list of Staff’s net power cost adjustments.</w:t>
      </w:r>
    </w:p>
  </w:footnote>
  <w:footnote w:id="9">
    <w:p w:rsidR="004767A9" w:rsidRPr="00A66520" w:rsidRDefault="004767A9" w:rsidP="002B710A">
      <w:pPr>
        <w:pStyle w:val="FootnoteText"/>
        <w:rPr>
          <w:rFonts w:cs="Times New Roman"/>
        </w:rPr>
      </w:pPr>
      <w:r w:rsidRPr="00A66520">
        <w:rPr>
          <w:rStyle w:val="FootnoteReference"/>
          <w:rFonts w:cs="Times New Roman"/>
        </w:rPr>
        <w:footnoteRef/>
      </w:r>
      <w:r w:rsidRPr="00A66520">
        <w:rPr>
          <w:rFonts w:cs="Times New Roman"/>
        </w:rPr>
        <w:t xml:space="preserve"> Novak, Exhibit No. VN-1CT at 4:1-9.</w:t>
      </w:r>
    </w:p>
  </w:footnote>
  <w:footnote w:id="10">
    <w:p w:rsidR="004767A9" w:rsidRPr="00A66520" w:rsidRDefault="004767A9" w:rsidP="002B710A">
      <w:pPr>
        <w:pStyle w:val="FootnoteText"/>
        <w:rPr>
          <w:rFonts w:cs="Times New Roman"/>
        </w:rPr>
      </w:pPr>
      <w:r w:rsidRPr="00A66520">
        <w:rPr>
          <w:rStyle w:val="FootnoteReference"/>
          <w:rFonts w:cs="Times New Roman"/>
        </w:rPr>
        <w:footnoteRef/>
      </w:r>
      <w:r w:rsidRPr="00A66520">
        <w:rPr>
          <w:rFonts w:cs="Times New Roman"/>
        </w:rPr>
        <w:t xml:space="preserve"> Novak, Exhibit No. VN-1CT at 2:14 to 3:20.</w:t>
      </w:r>
    </w:p>
  </w:footnote>
  <w:footnote w:id="11">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Novak, Exhibit No. VN-1CT at 2:14-15.</w:t>
      </w:r>
    </w:p>
  </w:footnote>
  <w:footnote w:id="12">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Novak, Exhibit No. VN-1CT at 8:20.</w:t>
      </w:r>
    </w:p>
  </w:footnote>
  <w:footnote w:id="13">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Novak, Exhibit No. VN-1CT at 8:5-8.</w:t>
      </w:r>
    </w:p>
  </w:footnote>
  <w:footnote w:id="14">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Novak, Exhibit No. VN-1CT at 11:1-14.</w:t>
      </w:r>
    </w:p>
  </w:footnote>
  <w:footnote w:id="15">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 9:11-19,</w:t>
      </w:r>
    </w:p>
  </w:footnote>
  <w:footnote w:id="16">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 10:15-17.</w:t>
      </w:r>
    </w:p>
  </w:footnote>
  <w:footnote w:id="17">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 10:18-23. </w:t>
      </w:r>
    </w:p>
  </w:footnote>
  <w:footnote w:id="18">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 4-11.</w:t>
      </w:r>
    </w:p>
  </w:footnote>
  <w:footnote w:id="19">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Duvall, TR. 324:13-19.</w:t>
      </w:r>
    </w:p>
  </w:footnote>
  <w:footnote w:id="20">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Novak, Exhibit No. VN-1CT at 9:1-5.</w:t>
      </w:r>
    </w:p>
  </w:footnote>
  <w:footnote w:id="21">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Novak, Exhibit No. VN-1CT at 11:16-23.</w:t>
      </w:r>
    </w:p>
  </w:footnote>
  <w:footnote w:id="22">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 11:1-5.</w:t>
      </w:r>
    </w:p>
  </w:footnote>
  <w:footnote w:id="23">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Meyer, Exhibit No. GRM-1T at 16-18:13.</w:t>
      </w:r>
    </w:p>
  </w:footnote>
  <w:footnote w:id="24">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Meyer, Exhibit No. GRM-1T at 17, Table 3.</w:t>
      </w:r>
    </w:p>
  </w:footnote>
  <w:footnote w:id="25">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Meyer, TR. 512:11.</w:t>
      </w:r>
    </w:p>
  </w:footnote>
  <w:footnote w:id="26">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Meyer, Exhibit No. GRM-1T at 18:12-13.</w:t>
      </w:r>
    </w:p>
  </w:footnote>
  <w:footnote w:id="27">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Meyer, TR. 512:6-8.</w:t>
      </w:r>
    </w:p>
  </w:footnote>
  <w:footnote w:id="28">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Schooley, Exhibit No. TES-4T at 5:1-13.</w:t>
      </w:r>
    </w:p>
  </w:footnote>
  <w:footnote w:id="29">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Schooley, Exhibit No. TES-4T at 5:14-16.</w:t>
      </w:r>
    </w:p>
  </w:footnote>
  <w:footnote w:id="30">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Meyer, TR. 489:13-18 &amp; TR; 490:15-22.</w:t>
      </w:r>
    </w:p>
  </w:footnote>
  <w:footnote w:id="31">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Novak, Exhibit No. VN-1CT at 4:11 to 6:18.</w:t>
      </w:r>
    </w:p>
  </w:footnote>
  <w:footnote w:id="32">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Novak, Exhibit No. VN-1CT at 8:18-22.</w:t>
      </w:r>
    </w:p>
  </w:footnote>
  <w:footnote w:id="33">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Even if this ICNU/Public Counsel adjustment had conceptual merit, the adjustment is incomplete, because it fails to account for the impact on inter-jurisdictional allocation factors and the production factor.  Schooley, Exhibit No. TES-4T at 6:6-8 and Exhibit No. TES-6T at 2:11-14.</w:t>
      </w:r>
    </w:p>
  </w:footnote>
  <w:footnote w:id="34">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These credits are also referred to as “Green Tags” or “Green Tag Revenues” in this case.</w:t>
      </w:r>
    </w:p>
  </w:footnote>
  <w:footnote w:id="35">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w:t>
      </w:r>
      <w:r w:rsidRPr="00104B01">
        <w:rPr>
          <w:rFonts w:cs="Times New Roman"/>
          <w:i/>
        </w:rPr>
        <w:t>Utilities and Transportation Commission v. Puget Sound Energy Co.,</w:t>
      </w:r>
      <w:r w:rsidRPr="00104B01">
        <w:rPr>
          <w:rFonts w:cs="Times New Roman"/>
        </w:rPr>
        <w:t xml:space="preserve"> Docket UE-070725, Order 03 (May 20, 2010) at 17-19, ¶¶ 41-47. </w:t>
      </w:r>
    </w:p>
  </w:footnote>
  <w:footnote w:id="36">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Id. at 30, Conclusion of Law 84.</w:t>
      </w:r>
    </w:p>
  </w:footnote>
  <w:footnote w:id="37">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Foisy, Exhibit No. MDF-1CT at 9:20.</w:t>
      </w:r>
    </w:p>
  </w:footnote>
  <w:footnote w:id="38">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 3:18.</w:t>
      </w:r>
    </w:p>
  </w:footnote>
  <w:footnote w:id="39">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Dalley, Exhibit No. RBD-4T at 10:3.</w:t>
      </w:r>
    </w:p>
  </w:footnote>
  <w:footnote w:id="40">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Foisy, Exhibit No. MDF-1CT at 10:21.</w:t>
      </w:r>
    </w:p>
  </w:footnote>
  <w:footnote w:id="41">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 6:4-9.</w:t>
      </w:r>
    </w:p>
  </w:footnote>
  <w:footnote w:id="42">
    <w:p w:rsidR="004767A9" w:rsidRPr="00A66520" w:rsidRDefault="004767A9">
      <w:pPr>
        <w:pStyle w:val="FootnoteText"/>
        <w:rPr>
          <w:rFonts w:cs="Times New Roman"/>
        </w:rPr>
      </w:pPr>
      <w:r w:rsidRPr="00CD4C56">
        <w:rPr>
          <w:rStyle w:val="FootnoteReference"/>
          <w:rFonts w:cs="Times New Roman"/>
        </w:rPr>
        <w:footnoteRef/>
      </w:r>
      <w:r w:rsidRPr="00104B01">
        <w:rPr>
          <w:rFonts w:cs="Times New Roman"/>
        </w:rPr>
        <w:t xml:space="preserve"> If the Commission believes the Company’s “double-count” claim is ripe and has merit, the Commission should simply adopt Staff’s alternative, surcredit recommendation.  See Foisy, Exhibit No. MDF-1CT at 11:3-8. </w:t>
      </w:r>
    </w:p>
  </w:footnote>
  <w:footnote w:id="43">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 6:17 to 7:6.</w:t>
      </w:r>
    </w:p>
  </w:footnote>
  <w:footnote w:id="44">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 7:2-6.</w:t>
      </w:r>
    </w:p>
  </w:footnote>
  <w:footnote w:id="45">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Duvall, TR. 320:8 to 323-10.</w:t>
      </w:r>
    </w:p>
  </w:footnote>
  <w:footnote w:id="46">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 7:7-17. </w:t>
      </w:r>
    </w:p>
  </w:footnote>
  <w:footnote w:id="47">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 9-17.</w:t>
      </w:r>
    </w:p>
  </w:footnote>
  <w:footnote w:id="48">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Dalley, Exhibit No. RBT-4T at 4:19.</w:t>
      </w:r>
    </w:p>
  </w:footnote>
  <w:footnote w:id="49">
    <w:p w:rsidR="004767A9" w:rsidRPr="00A66520" w:rsidRDefault="004767A9" w:rsidP="0080703B">
      <w:pPr>
        <w:pStyle w:val="FootnoteText"/>
        <w:rPr>
          <w:rFonts w:cs="Times New Roman"/>
          <w:i/>
        </w:rPr>
      </w:pPr>
      <w:r w:rsidRPr="00CD4C56">
        <w:rPr>
          <w:rStyle w:val="FootnoteReference"/>
          <w:rFonts w:cs="Times New Roman"/>
        </w:rPr>
        <w:footnoteRef/>
      </w:r>
      <w:r w:rsidRPr="00104B01">
        <w:rPr>
          <w:rFonts w:cs="Times New Roman"/>
        </w:rPr>
        <w:t xml:space="preserve"> </w:t>
      </w:r>
      <w:r w:rsidRPr="00104B01">
        <w:rPr>
          <w:rFonts w:cs="Times New Roman"/>
          <w:i/>
        </w:rPr>
        <w:t xml:space="preserve">Utilities and Transportation Commission vs. PacifiCorp, </w:t>
      </w:r>
      <w:r w:rsidRPr="00104B01">
        <w:rPr>
          <w:rFonts w:cs="Times New Roman"/>
        </w:rPr>
        <w:t>Docket UE-940947, Commission Decision and Order Granting Authorization (September 14, 1994) at 3.</w:t>
      </w:r>
    </w:p>
  </w:footnote>
  <w:footnote w:id="50">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w:t>
      </w:r>
      <w:r w:rsidRPr="00104B01">
        <w:rPr>
          <w:rFonts w:cs="Times New Roman"/>
          <w:i/>
        </w:rPr>
        <w:t xml:space="preserve">Utilities and Transportation Commission v. Avista Corp., </w:t>
      </w:r>
      <w:r w:rsidRPr="00104B01">
        <w:rPr>
          <w:rFonts w:cs="Times New Roman"/>
        </w:rPr>
        <w:t>Dockets UE-991606 and UG-991607, Third Supplemental Order (September 29, 2000) at 10, ¶ 22.</w:t>
      </w:r>
    </w:p>
  </w:footnote>
  <w:footnote w:id="51">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Id. at 27, ¶ 71.</w:t>
      </w:r>
    </w:p>
  </w:footnote>
  <w:footnote w:id="52">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Id. at 28, ¶ 74.  The $18 million figure was $16.2 million plus the booked amount of $1.8 million.</w:t>
      </w:r>
    </w:p>
  </w:footnote>
  <w:footnote w:id="53">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w:t>
      </w:r>
      <w:r w:rsidRPr="00104B01">
        <w:rPr>
          <w:rFonts w:cs="Times New Roman"/>
          <w:i/>
        </w:rPr>
        <w:t xml:space="preserve">Utilities and Transportation Commission v. Avista Corp., </w:t>
      </w:r>
      <w:r w:rsidRPr="00104B01">
        <w:rPr>
          <w:rFonts w:cs="Times New Roman"/>
        </w:rPr>
        <w:t>Dockets UE-991606 and UG-991607, Fourth Supplemental Order on Reconsideration (November 9, 2000) at 3-4, ¶ 12.</w:t>
      </w:r>
    </w:p>
  </w:footnote>
  <w:footnote w:id="54">
    <w:p w:rsidR="004767A9" w:rsidRPr="00A66520" w:rsidRDefault="004767A9" w:rsidP="002B710A">
      <w:pPr>
        <w:pStyle w:val="FootnoteText"/>
        <w:rPr>
          <w:rFonts w:cs="Times New Roman"/>
        </w:rPr>
      </w:pPr>
      <w:r w:rsidRPr="00CD4C56">
        <w:rPr>
          <w:rStyle w:val="FootnoteReference"/>
          <w:rFonts w:cs="Times New Roman"/>
        </w:rPr>
        <w:footnoteRef/>
      </w:r>
      <w:r w:rsidRPr="00104B01">
        <w:rPr>
          <w:rFonts w:cs="Times New Roman"/>
        </w:rPr>
        <w:t xml:space="preserve"> </w:t>
      </w:r>
      <w:r w:rsidRPr="00104B01">
        <w:rPr>
          <w:rFonts w:cs="Times New Roman"/>
          <w:i/>
        </w:rPr>
        <w:t>Petition of PacifiCorp,</w:t>
      </w:r>
      <w:r w:rsidRPr="00104B01">
        <w:rPr>
          <w:rFonts w:cs="Times New Roman"/>
        </w:rPr>
        <w:t xml:space="preserve"> Docket UE-020714, Third Supplemental Order (September 27, 2002) at 7, ¶ 24, citing and quoting Leonard Saul Goodman, </w:t>
      </w:r>
      <w:r w:rsidRPr="00104B01">
        <w:rPr>
          <w:rFonts w:cs="Times New Roman"/>
          <w:i/>
        </w:rPr>
        <w:t>The Process of Ratemaking</w:t>
      </w:r>
      <w:r w:rsidRPr="00104B01">
        <w:rPr>
          <w:rFonts w:cs="Times New Roman"/>
        </w:rPr>
        <w:t xml:space="preserve"> (1998)</w:t>
      </w:r>
      <w:r w:rsidRPr="00104B01">
        <w:rPr>
          <w:rFonts w:cs="Times New Roman"/>
          <w:i/>
        </w:rPr>
        <w:t>,</w:t>
      </w:r>
      <w:r w:rsidRPr="00104B01">
        <w:rPr>
          <w:rFonts w:cs="Times New Roman"/>
        </w:rPr>
        <w:t xml:space="preserve"> at 322</w:t>
      </w:r>
      <w:r w:rsidRPr="00104B01">
        <w:rPr>
          <w:rFonts w:cs="Times New Roman"/>
          <w:i/>
          <w:iCs/>
        </w:rPr>
        <w:t>.</w:t>
      </w:r>
    </w:p>
  </w:footnote>
  <w:footnote w:id="55">
    <w:p w:rsidR="004767A9" w:rsidRPr="00A66520" w:rsidRDefault="004767A9" w:rsidP="002B710A">
      <w:pPr>
        <w:pStyle w:val="FootnoteText"/>
        <w:rPr>
          <w:rFonts w:cs="Times New Roman"/>
          <w:i/>
        </w:rPr>
      </w:pPr>
      <w:r w:rsidRPr="00CD4C56">
        <w:rPr>
          <w:rStyle w:val="FootnoteReference"/>
          <w:rFonts w:cs="Times New Roman"/>
        </w:rPr>
        <w:footnoteRef/>
      </w:r>
      <w:r w:rsidRPr="00104B01">
        <w:rPr>
          <w:rFonts w:cs="Times New Roman"/>
        </w:rPr>
        <w:t xml:space="preserve"> See, e.g., Stefan H. Krieger, </w:t>
      </w:r>
      <w:r w:rsidRPr="00104B01">
        <w:rPr>
          <w:rFonts w:cs="Times New Roman"/>
          <w:i/>
        </w:rPr>
        <w:t xml:space="preserve">The Ghost of Regulation Past:  Current Applications of the Rule Against Retroactive Ratemaking in Public Utility Proceedings”, </w:t>
      </w:r>
      <w:r w:rsidRPr="00104B01">
        <w:rPr>
          <w:rFonts w:cs="Times New Roman"/>
        </w:rPr>
        <w:t xml:space="preserve">1991 Univ. Ill. L. Rev. 983. </w:t>
      </w:r>
    </w:p>
  </w:footnote>
  <w:footnote w:id="56">
    <w:p w:rsidR="004767A9" w:rsidRPr="00A66520" w:rsidRDefault="004767A9" w:rsidP="004F685E">
      <w:pPr>
        <w:pStyle w:val="FootnoteText"/>
        <w:rPr>
          <w:rFonts w:cs="Times New Roman"/>
        </w:rPr>
      </w:pPr>
      <w:r w:rsidRPr="00CD4C56">
        <w:rPr>
          <w:rStyle w:val="FootnoteReference"/>
          <w:rFonts w:cs="Times New Roman"/>
        </w:rPr>
        <w:footnoteRef/>
      </w:r>
      <w:r w:rsidRPr="00104B01">
        <w:rPr>
          <w:rFonts w:cs="Times New Roman"/>
        </w:rPr>
        <w:t xml:space="preserve"> Dalley, Exhibit No. RBD-1T at 10:15-18.</w:t>
      </w:r>
    </w:p>
  </w:footnote>
  <w:footnote w:id="57">
    <w:p w:rsidR="004767A9" w:rsidRPr="00A66520" w:rsidRDefault="004767A9" w:rsidP="004F685E">
      <w:pPr>
        <w:pStyle w:val="FootnoteText"/>
        <w:rPr>
          <w:rFonts w:cs="Times New Roman"/>
        </w:rPr>
      </w:pPr>
      <w:r w:rsidRPr="00CD4C56">
        <w:rPr>
          <w:rStyle w:val="FootnoteReference"/>
          <w:rFonts w:cs="Times New Roman"/>
        </w:rPr>
        <w:footnoteRef/>
      </w:r>
      <w:r w:rsidRPr="00104B01">
        <w:rPr>
          <w:rFonts w:cs="Times New Roman"/>
        </w:rPr>
        <w:t xml:space="preserve"> Meyer, Exhibit No. GRM-1CT at 29:9.</w:t>
      </w:r>
    </w:p>
  </w:footnote>
  <w:footnote w:id="58">
    <w:p w:rsidR="004767A9" w:rsidRPr="00A66520" w:rsidRDefault="004767A9" w:rsidP="004F685E">
      <w:pPr>
        <w:pStyle w:val="FootnoteText"/>
        <w:rPr>
          <w:rFonts w:cs="Times New Roman"/>
        </w:rPr>
      </w:pPr>
      <w:r w:rsidRPr="00CD4C56">
        <w:rPr>
          <w:rStyle w:val="FootnoteReference"/>
          <w:rFonts w:cs="Times New Roman"/>
        </w:rPr>
        <w:footnoteRef/>
      </w:r>
      <w:r w:rsidRPr="00104B01">
        <w:rPr>
          <w:rFonts w:cs="Times New Roman"/>
        </w:rPr>
        <w:t xml:space="preserve"> Meyer, Exhibit No. GRM-1CT at 30:1-5.</w:t>
      </w:r>
    </w:p>
  </w:footnote>
  <w:footnote w:id="59">
    <w:p w:rsidR="004767A9" w:rsidRPr="00A66520" w:rsidRDefault="004767A9" w:rsidP="004F685E">
      <w:pPr>
        <w:pStyle w:val="FootnoteText"/>
        <w:rPr>
          <w:rFonts w:cs="Times New Roman"/>
        </w:rPr>
      </w:pPr>
      <w:r w:rsidRPr="00CD4C56">
        <w:rPr>
          <w:rStyle w:val="FootnoteReference"/>
          <w:rFonts w:cs="Times New Roman"/>
        </w:rPr>
        <w:footnoteRef/>
      </w:r>
      <w:r w:rsidRPr="00104B01">
        <w:rPr>
          <w:rFonts w:cs="Times New Roman"/>
        </w:rPr>
        <w:t xml:space="preserve"> Meyer, Exhibit No. GRM-1CT at 31-32.</w:t>
      </w:r>
    </w:p>
  </w:footnote>
  <w:footnote w:id="60">
    <w:p w:rsidR="004767A9" w:rsidRPr="00A66520" w:rsidRDefault="004767A9" w:rsidP="004F685E">
      <w:pPr>
        <w:pStyle w:val="FootnoteText"/>
        <w:rPr>
          <w:rFonts w:cs="Times New Roman"/>
        </w:rPr>
      </w:pPr>
      <w:r w:rsidRPr="00CD4C56">
        <w:rPr>
          <w:rStyle w:val="FootnoteReference"/>
          <w:rFonts w:cs="Times New Roman"/>
        </w:rPr>
        <w:footnoteRef/>
      </w:r>
      <w:r w:rsidRPr="00104B01">
        <w:rPr>
          <w:rFonts w:cs="Times New Roman"/>
        </w:rPr>
        <w:t xml:space="preserve"> Wilson, Exhibit No. EDW-3T at 13:9-17.</w:t>
      </w:r>
    </w:p>
  </w:footnote>
  <w:footnote w:id="61">
    <w:p w:rsidR="004767A9" w:rsidRPr="00A66520" w:rsidRDefault="004767A9" w:rsidP="004F685E">
      <w:pPr>
        <w:pStyle w:val="FootnoteText"/>
        <w:rPr>
          <w:rFonts w:cs="Times New Roman"/>
        </w:rPr>
      </w:pPr>
      <w:r w:rsidRPr="00CD4C56">
        <w:rPr>
          <w:rStyle w:val="FootnoteReference"/>
          <w:rFonts w:cs="Times New Roman"/>
        </w:rPr>
        <w:footnoteRef/>
      </w:r>
      <w:r w:rsidRPr="00104B01">
        <w:rPr>
          <w:rFonts w:cs="Times New Roman"/>
        </w:rPr>
        <w:t xml:space="preserve"> Meyer, Exhibit No. EDW-3T at 12:14 to 13:4.</w:t>
      </w:r>
    </w:p>
  </w:footnote>
  <w:footnote w:id="62">
    <w:p w:rsidR="004767A9" w:rsidRPr="00A66520" w:rsidRDefault="004767A9" w:rsidP="004F685E">
      <w:pPr>
        <w:pStyle w:val="FootnoteText"/>
        <w:rPr>
          <w:rFonts w:cs="Times New Roman"/>
        </w:rPr>
      </w:pPr>
      <w:r w:rsidRPr="00CD4C56">
        <w:rPr>
          <w:rStyle w:val="FootnoteReference"/>
          <w:rFonts w:cs="Times New Roman"/>
        </w:rPr>
        <w:footnoteRef/>
      </w:r>
      <w:r w:rsidRPr="00104B01">
        <w:rPr>
          <w:rFonts w:cs="Times New Roman"/>
        </w:rPr>
        <w:t xml:space="preserve"> Dalley, Exhibit No. RBD-1T at 10:18-20.</w:t>
      </w:r>
    </w:p>
  </w:footnote>
  <w:footnote w:id="63">
    <w:p w:rsidR="004767A9" w:rsidRPr="00A66520" w:rsidRDefault="004767A9" w:rsidP="004F685E">
      <w:pPr>
        <w:pStyle w:val="FootnoteText"/>
        <w:rPr>
          <w:rFonts w:cs="Times New Roman"/>
        </w:rPr>
      </w:pPr>
      <w:r w:rsidRPr="00CD4C56">
        <w:rPr>
          <w:rStyle w:val="FootnoteReference"/>
          <w:rFonts w:cs="Times New Roman"/>
        </w:rPr>
        <w:footnoteRef/>
      </w:r>
      <w:r w:rsidRPr="00104B01">
        <w:rPr>
          <w:rFonts w:cs="Times New Roman"/>
        </w:rPr>
        <w:t xml:space="preserve"> Dalley, Exhibit No. RBD-1T, Tab 4, O&amp;M Adjustments at page 4.3.3; Wilson, Exhibit No. EDW-3T at 15:12.</w:t>
      </w:r>
    </w:p>
  </w:footnote>
  <w:footnote w:id="64">
    <w:p w:rsidR="004767A9" w:rsidRPr="00A66520" w:rsidRDefault="004767A9" w:rsidP="00A3673A">
      <w:pPr>
        <w:pStyle w:val="FootnoteText"/>
        <w:rPr>
          <w:rFonts w:cs="Times New Roman"/>
        </w:rPr>
      </w:pPr>
      <w:r w:rsidRPr="00CD4C56">
        <w:rPr>
          <w:rStyle w:val="FootnoteReference"/>
          <w:rFonts w:cs="Times New Roman"/>
        </w:rPr>
        <w:footnoteRef/>
      </w:r>
      <w:r w:rsidRPr="00104B01">
        <w:rPr>
          <w:rFonts w:cs="Times New Roman"/>
        </w:rPr>
        <w:t xml:space="preserve"> </w:t>
      </w:r>
      <w:r w:rsidRPr="00104B01">
        <w:rPr>
          <w:rFonts w:cs="Times New Roman"/>
          <w:i/>
        </w:rPr>
        <w:t xml:space="preserve">Utilities and Transportation Commission v. Puget Sound Energy, </w:t>
      </w:r>
      <w:r w:rsidRPr="00104B01">
        <w:rPr>
          <w:rFonts w:cs="Times New Roman"/>
        </w:rPr>
        <w:t xml:space="preserve">Dockets UE-090704 and UG-090705, Order 11 (April 2, 2010). </w:t>
      </w:r>
    </w:p>
  </w:footnote>
  <w:footnote w:id="65">
    <w:p w:rsidR="004767A9" w:rsidRPr="00A66520" w:rsidRDefault="004767A9" w:rsidP="004F685E">
      <w:pPr>
        <w:pStyle w:val="FootnoteText"/>
        <w:rPr>
          <w:rFonts w:cs="Times New Roman"/>
        </w:rPr>
      </w:pPr>
      <w:r w:rsidRPr="00104B01">
        <w:rPr>
          <w:rStyle w:val="FootnoteReference"/>
          <w:rFonts w:cs="Times New Roman"/>
        </w:rPr>
        <w:footnoteRef/>
      </w:r>
      <w:r w:rsidRPr="00104B01">
        <w:rPr>
          <w:rFonts w:cs="Times New Roman"/>
        </w:rPr>
        <w:t xml:space="preserve"> Meyer, Exhibit No. GRM-1CT at 24:7.</w:t>
      </w:r>
    </w:p>
  </w:footnote>
  <w:footnote w:id="66">
    <w:p w:rsidR="004767A9" w:rsidRPr="00A66520" w:rsidRDefault="004767A9">
      <w:pPr>
        <w:pStyle w:val="FootnoteText"/>
        <w:rPr>
          <w:rFonts w:cs="Times New Roman"/>
        </w:rPr>
      </w:pPr>
      <w:r w:rsidRPr="00104B01">
        <w:rPr>
          <w:rStyle w:val="FootnoteReference"/>
          <w:rFonts w:cs="Times New Roman"/>
        </w:rPr>
        <w:footnoteRef/>
      </w:r>
      <w:r w:rsidRPr="00104B01">
        <w:rPr>
          <w:rFonts w:cs="Times New Roman"/>
        </w:rPr>
        <w:t xml:space="preserve"> </w:t>
      </w:r>
      <w:r w:rsidRPr="00104B01">
        <w:rPr>
          <w:rFonts w:cs="Times New Roman"/>
          <w:i/>
        </w:rPr>
        <w:t xml:space="preserve">Utilities and Transportation Commission v. Puget Sound Energy, </w:t>
      </w:r>
      <w:r w:rsidRPr="00104B01">
        <w:rPr>
          <w:rFonts w:cs="Times New Roman"/>
        </w:rPr>
        <w:t>Dockets UE-090704 and UG-090705, Order 11 (April 2, 2010) at 12, ¶¶ 27-28, quoted by Mr. Meyer on page 23 of Exhibit No. GRM-1T.</w:t>
      </w:r>
    </w:p>
  </w:footnote>
  <w:footnote w:id="67">
    <w:p w:rsidR="004767A9" w:rsidRPr="00A66520" w:rsidRDefault="004767A9" w:rsidP="004F685E">
      <w:pPr>
        <w:pStyle w:val="FootnoteText"/>
        <w:rPr>
          <w:rFonts w:cs="Times New Roman"/>
        </w:rPr>
      </w:pPr>
      <w:r w:rsidRPr="00CD4C56">
        <w:rPr>
          <w:rStyle w:val="FootnoteReference"/>
          <w:rFonts w:cs="Times New Roman"/>
        </w:rPr>
        <w:footnoteRef/>
      </w:r>
      <w:r w:rsidRPr="00104B01">
        <w:rPr>
          <w:rFonts w:cs="Times New Roman"/>
        </w:rPr>
        <w:t xml:space="preserve"> Meyer, Exhibit No. GRM-1T at 24:19 to 25:5.</w:t>
      </w:r>
    </w:p>
  </w:footnote>
  <w:footnote w:id="68">
    <w:p w:rsidR="004767A9" w:rsidRPr="00A66520" w:rsidRDefault="004767A9" w:rsidP="004F685E">
      <w:pPr>
        <w:pStyle w:val="FootnoteText"/>
        <w:rPr>
          <w:rFonts w:cs="Times New Roman"/>
        </w:rPr>
      </w:pPr>
      <w:r w:rsidRPr="00CD4C56">
        <w:rPr>
          <w:rStyle w:val="FootnoteReference"/>
          <w:rFonts w:cs="Times New Roman"/>
        </w:rPr>
        <w:footnoteRef/>
      </w:r>
      <w:r w:rsidRPr="00104B01">
        <w:rPr>
          <w:rFonts w:cs="Times New Roman"/>
        </w:rPr>
        <w:t xml:space="preserve"> Wilson, TR. 423:12 to 424:10.</w:t>
      </w:r>
    </w:p>
  </w:footnote>
  <w:footnote w:id="69">
    <w:p w:rsidR="004767A9" w:rsidRPr="00A66520" w:rsidRDefault="004767A9" w:rsidP="004F685E">
      <w:pPr>
        <w:pStyle w:val="FootnoteText"/>
        <w:rPr>
          <w:rFonts w:cs="Times New Roman"/>
        </w:rPr>
      </w:pPr>
      <w:r w:rsidRPr="00CD4C56">
        <w:rPr>
          <w:rStyle w:val="FootnoteReference"/>
          <w:rFonts w:cs="Times New Roman"/>
        </w:rPr>
        <w:footnoteRef/>
      </w:r>
      <w:r w:rsidRPr="00104B01">
        <w:rPr>
          <w:rFonts w:cs="Times New Roman"/>
        </w:rPr>
        <w:t xml:space="preserve"> Wilson, Exhibit No. EDW-1T at 3:1-14.</w:t>
      </w:r>
    </w:p>
  </w:footnote>
  <w:footnote w:id="70">
    <w:p w:rsidR="004767A9" w:rsidRPr="00A66520" w:rsidRDefault="004767A9" w:rsidP="004F685E">
      <w:pPr>
        <w:pStyle w:val="FootnoteText"/>
        <w:rPr>
          <w:rFonts w:cs="Times New Roman"/>
        </w:rPr>
      </w:pPr>
      <w:r w:rsidRPr="00CD4C56">
        <w:rPr>
          <w:rStyle w:val="FootnoteReference"/>
          <w:rFonts w:cs="Times New Roman"/>
        </w:rPr>
        <w:footnoteRef/>
      </w:r>
      <w:r w:rsidRPr="00104B01">
        <w:rPr>
          <w:rFonts w:cs="Times New Roman"/>
        </w:rPr>
        <w:t xml:space="preserve"> Wilson, Exhibit No. EDW-1T at 3:7-14.</w:t>
      </w:r>
    </w:p>
  </w:footnote>
  <w:footnote w:id="71">
    <w:p w:rsidR="004767A9" w:rsidRPr="00A66520" w:rsidRDefault="004767A9" w:rsidP="004F685E">
      <w:pPr>
        <w:pStyle w:val="FootnoteText"/>
        <w:rPr>
          <w:rFonts w:cs="Times New Roman"/>
        </w:rPr>
      </w:pPr>
      <w:r w:rsidRPr="00CD4C56">
        <w:rPr>
          <w:rStyle w:val="FootnoteReference"/>
          <w:rFonts w:cs="Times New Roman"/>
        </w:rPr>
        <w:footnoteRef/>
      </w:r>
      <w:r w:rsidRPr="00104B01">
        <w:rPr>
          <w:rFonts w:cs="Times New Roman"/>
        </w:rPr>
        <w:t xml:space="preserve"> Meyer, Exhibit No. GRM-1CT, at 9:18.</w:t>
      </w:r>
    </w:p>
  </w:footnote>
  <w:footnote w:id="72">
    <w:p w:rsidR="004767A9" w:rsidRPr="00A66520" w:rsidRDefault="004767A9" w:rsidP="004F685E">
      <w:pPr>
        <w:pStyle w:val="FootnoteText"/>
        <w:rPr>
          <w:rFonts w:cs="Times New Roman"/>
        </w:rPr>
      </w:pPr>
      <w:r w:rsidRPr="00CD4C56">
        <w:rPr>
          <w:rStyle w:val="FootnoteReference"/>
          <w:rFonts w:cs="Times New Roman"/>
        </w:rPr>
        <w:footnoteRef/>
      </w:r>
      <w:r w:rsidRPr="00104B01">
        <w:rPr>
          <w:rFonts w:cs="Times New Roman"/>
        </w:rPr>
        <w:t xml:space="preserve"> Meyer, Exhibit No. GRM-1T at 9:18 to 10:2. As part of his recommendation, Mr. Meyer reasoned that because the Company’s individual goals are weighted at 70% of wages and group goals are weighted at 30%, a 50% reduction is appropriate.  This number appears arbitrary.</w:t>
      </w:r>
    </w:p>
  </w:footnote>
  <w:footnote w:id="73">
    <w:p w:rsidR="004767A9" w:rsidRPr="00A66520" w:rsidRDefault="004767A9" w:rsidP="004F685E">
      <w:pPr>
        <w:pStyle w:val="FootnoteText"/>
        <w:rPr>
          <w:rFonts w:cs="Times New Roman"/>
        </w:rPr>
      </w:pPr>
      <w:r w:rsidRPr="00CD4C56">
        <w:rPr>
          <w:rStyle w:val="FootnoteReference"/>
          <w:rFonts w:cs="Times New Roman"/>
        </w:rPr>
        <w:footnoteRef/>
      </w:r>
      <w:r w:rsidRPr="00104B01">
        <w:rPr>
          <w:rFonts w:cs="Times New Roman"/>
        </w:rPr>
        <w:t xml:space="preserve"> </w:t>
      </w:r>
      <w:r w:rsidRPr="00104B01">
        <w:rPr>
          <w:rFonts w:cs="Times New Roman"/>
          <w:i/>
        </w:rPr>
        <w:t xml:space="preserve">Utilities and Transportation Commission v. PacifiCorp, </w:t>
      </w:r>
      <w:r w:rsidRPr="00104B01">
        <w:rPr>
          <w:rFonts w:cs="Times New Roman"/>
        </w:rPr>
        <w:t xml:space="preserve">Docket UE-050684, Order 03 </w:t>
      </w:r>
      <w:r w:rsidRPr="00E25492">
        <w:rPr>
          <w:rFonts w:cs="Times New Roman"/>
        </w:rPr>
        <w:t>(June 9, 2005)</w:t>
      </w:r>
      <w:r w:rsidRPr="00FD740E">
        <w:rPr>
          <w:rFonts w:cs="Times New Roman"/>
          <w:sz w:val="24"/>
          <w:szCs w:val="24"/>
        </w:rPr>
        <w:t xml:space="preserve"> </w:t>
      </w:r>
      <w:r w:rsidRPr="00104B01">
        <w:rPr>
          <w:rFonts w:cs="Times New Roman"/>
        </w:rPr>
        <w:t>at 48, ¶ 128.</w:t>
      </w:r>
    </w:p>
  </w:footnote>
  <w:footnote w:id="74">
    <w:p w:rsidR="004767A9" w:rsidRPr="00A66520" w:rsidRDefault="004767A9" w:rsidP="004F685E">
      <w:pPr>
        <w:pStyle w:val="FootnoteText"/>
        <w:rPr>
          <w:rFonts w:cs="Times New Roman"/>
        </w:rPr>
      </w:pPr>
      <w:r w:rsidRPr="00CD4C56">
        <w:rPr>
          <w:rStyle w:val="FootnoteReference"/>
          <w:rFonts w:cs="Times New Roman"/>
        </w:rPr>
        <w:footnoteRef/>
      </w:r>
      <w:r w:rsidRPr="00104B01">
        <w:rPr>
          <w:rFonts w:cs="Times New Roman"/>
        </w:rPr>
        <w:t xml:space="preserve"> Colloquy, TR. 512:18 to 513:5.</w:t>
      </w:r>
    </w:p>
  </w:footnote>
  <w:footnote w:id="75">
    <w:p w:rsidR="004767A9" w:rsidRPr="00A66520" w:rsidRDefault="004767A9" w:rsidP="004F685E">
      <w:pPr>
        <w:pStyle w:val="FootnoteText"/>
        <w:rPr>
          <w:rFonts w:cs="Times New Roman"/>
        </w:rPr>
      </w:pPr>
      <w:r w:rsidRPr="00CD4C56">
        <w:rPr>
          <w:rStyle w:val="FootnoteReference"/>
          <w:rFonts w:cs="Times New Roman"/>
        </w:rPr>
        <w:footnoteRef/>
      </w:r>
      <w:r w:rsidRPr="00104B01">
        <w:rPr>
          <w:rFonts w:cs="Times New Roman"/>
        </w:rPr>
        <w:t xml:space="preserve"> </w:t>
      </w:r>
      <w:r w:rsidRPr="00104B01">
        <w:rPr>
          <w:rFonts w:cs="Times New Roman"/>
          <w:i/>
        </w:rPr>
        <w:t xml:space="preserve">Joint Application of MidAmerican Energy Holdings Company and PacifiCorp, </w:t>
      </w:r>
      <w:r w:rsidRPr="00104B01">
        <w:rPr>
          <w:rFonts w:cs="Times New Roman"/>
        </w:rPr>
        <w:t xml:space="preserve">Docket UE-051090, Order 07 (February 23, 2006), Stipulation Appendix at 14, ¶ WA 4(b). </w:t>
      </w:r>
    </w:p>
  </w:footnote>
  <w:footnote w:id="76">
    <w:p w:rsidR="004767A9" w:rsidRPr="00A66520" w:rsidRDefault="004767A9" w:rsidP="004F685E">
      <w:pPr>
        <w:pStyle w:val="FootnoteText"/>
        <w:rPr>
          <w:rFonts w:cs="Times New Roman"/>
        </w:rPr>
      </w:pPr>
      <w:r w:rsidRPr="00CD4C56">
        <w:rPr>
          <w:rStyle w:val="FootnoteReference"/>
          <w:rFonts w:cs="Times New Roman"/>
        </w:rPr>
        <w:footnoteRef/>
      </w:r>
      <w:r w:rsidRPr="00104B01">
        <w:rPr>
          <w:rFonts w:cs="Times New Roman"/>
        </w:rPr>
        <w:t xml:space="preserve"> Id. at ¶ 4(a).</w:t>
      </w:r>
    </w:p>
  </w:footnote>
  <w:footnote w:id="77">
    <w:p w:rsidR="004767A9" w:rsidRPr="00A66520" w:rsidRDefault="004767A9" w:rsidP="004F685E">
      <w:pPr>
        <w:pStyle w:val="FootnoteText"/>
        <w:rPr>
          <w:rFonts w:cs="Times New Roman"/>
        </w:rPr>
      </w:pPr>
      <w:r w:rsidRPr="00CD4C56">
        <w:rPr>
          <w:rStyle w:val="FootnoteReference"/>
          <w:rFonts w:cs="Times New Roman"/>
        </w:rPr>
        <w:footnoteRef/>
      </w:r>
      <w:r w:rsidRPr="00104B01">
        <w:rPr>
          <w:rFonts w:cs="Times New Roman"/>
        </w:rPr>
        <w:t xml:space="preserve"> Dalley, Exhibit No. RBD-4T at 7:11 to 9:6.</w:t>
      </w:r>
    </w:p>
  </w:footnote>
  <w:footnote w:id="78">
    <w:p w:rsidR="004767A9" w:rsidRPr="00193CAD" w:rsidRDefault="004767A9" w:rsidP="00193CAD">
      <w:pPr>
        <w:pStyle w:val="FootnoteText"/>
      </w:pPr>
      <w:r>
        <w:rPr>
          <w:rStyle w:val="FootnoteReference"/>
        </w:rPr>
        <w:footnoteRef/>
      </w:r>
      <w:r>
        <w:t xml:space="preserve"> </w:t>
      </w:r>
      <w:r w:rsidRPr="00193CAD">
        <w:t>Staff provides in Appendix 3 a table summarizing the remaining contested Staff adjustments to Net Power Costs.</w:t>
      </w:r>
      <w:r>
        <w:t xml:space="preserve">  </w:t>
      </w:r>
      <w:r w:rsidRPr="00193CAD">
        <w:t xml:space="preserve">Many Net Power Supply adjustments are uncontested as between Staff, Company and ICNU.  First, the Company has accepted certain adjustments proposed by Staff and/or ICNU, and included those adjustments in the Company’s calculation of Net Power Costs in its rebuttal case.  These adjustments are: updating Screens; limiting SMUD contract energy; removing inter-hour wind integration costs for non-owned wind projects, removal of certain wheeling expenses serving PACE loads; adjusting certain intra-hour wind integration costs; and shifting the timing of Colstrip planned outages.  Duvall, Exhibit No. GND-5T at 22:1 to 29:23.  These adjustments are in addition to those uncontested updates contained in the Company’s Response to Staff Data Request 143, and the updates to coal prices and the official forward price curves subsequently agreed to.  </w:t>
      </w:r>
    </w:p>
    <w:p w:rsidR="004767A9" w:rsidRPr="00193CAD" w:rsidRDefault="004767A9" w:rsidP="00193CAD">
      <w:pPr>
        <w:pStyle w:val="FootnoteText"/>
      </w:pPr>
      <w:r w:rsidRPr="00193CAD">
        <w:tab/>
        <w:t>The Company also shows these adjustments on Page 12.6.4 of Exhibit No. 15C, the Company’s Response to Bench Request 3.  Please note Staff is not recommending the Commission accept the Company’s proposal to treat non-firm transmission costs, as we discuss later.</w:t>
      </w:r>
    </w:p>
    <w:p w:rsidR="004767A9" w:rsidRPr="00193CAD" w:rsidRDefault="004767A9" w:rsidP="00193CAD">
      <w:pPr>
        <w:pStyle w:val="FootnoteText"/>
      </w:pPr>
      <w:r w:rsidRPr="00193CAD">
        <w:tab/>
        <w:t xml:space="preserve">In addition, two power supply adjustments contested during the hearings have since been resolved, for purposes of this case only and have been included as part of the Company’s response to Bench Request 3 Update:  PacifiCorp agrees to remove the update to the Chehalis operating reserves, while Staff, Company and ICNU agree to support the Company’s SCL Stateline Contract Adjustment per Mr. Duvall’s rebuttal.  This resolution is reflected in Exhibit 15C, second paragraph.  </w:t>
      </w:r>
    </w:p>
    <w:p w:rsidR="004767A9" w:rsidRDefault="004767A9" w:rsidP="00193CAD">
      <w:pPr>
        <w:pStyle w:val="FootnoteText"/>
      </w:pPr>
      <w:r w:rsidRPr="00193CAD">
        <w:tab/>
        <w:t>We do not address these items further.  We address the remaining disputed issues below.</w:t>
      </w:r>
    </w:p>
  </w:footnote>
  <w:footnote w:id="79">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Exhibit No. APB-1CT at 6:3-10. </w:t>
      </w:r>
    </w:p>
  </w:footnote>
  <w:footnote w:id="80">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Exhibit No. APB-1CT at 7:11-22.</w:t>
      </w:r>
    </w:p>
  </w:footnote>
  <w:footnote w:id="81">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Exhibit No. APB-1CT at 8:6-15.</w:t>
      </w:r>
    </w:p>
  </w:footnote>
  <w:footnote w:id="82">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Exhibit No. APB-1CT at 9:6-8, adjusted for allocation factors.</w:t>
      </w:r>
    </w:p>
  </w:footnote>
  <w:footnote w:id="83">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Falkenburg, Exhibit No. RJF-1CT at 6:6 to 10:24.</w:t>
      </w:r>
    </w:p>
  </w:footnote>
  <w:footnote w:id="84">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TR. 600:5-14.</w:t>
      </w:r>
    </w:p>
  </w:footnote>
  <w:footnote w:id="85">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 31:22 to 32:1.</w:t>
      </w:r>
    </w:p>
  </w:footnote>
  <w:footnote w:id="86">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Duvall, Exhibit No. GND-18.  </w:t>
      </w:r>
    </w:p>
  </w:footnote>
  <w:footnote w:id="87">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 32:4-5.</w:t>
      </w:r>
    </w:p>
  </w:footnote>
  <w:footnote w:id="88">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Exhibit No. APB-1CT at 11:22 to 12:6.</w:t>
      </w:r>
    </w:p>
  </w:footnote>
  <w:footnote w:id="89">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Exhibit No. APB-1CT at 12:6-9.</w:t>
      </w:r>
    </w:p>
  </w:footnote>
  <w:footnote w:id="90">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Exhibit No. APB-1CT at 13:1-4.</w:t>
      </w:r>
    </w:p>
  </w:footnote>
  <w:footnote w:id="91">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Exhibit No. APB-1CT at 13:12 to 14:8 and Exhibit No. APB-4C.</w:t>
      </w:r>
    </w:p>
  </w:footnote>
  <w:footnote w:id="92">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Falkenburg, Exhibit No. RJF-1CT at 25:1 to 31:2.</w:t>
      </w:r>
    </w:p>
  </w:footnote>
  <w:footnote w:id="93">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 36:13-14.  </w:t>
      </w:r>
    </w:p>
  </w:footnote>
  <w:footnote w:id="94">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 37: 9-12.</w:t>
      </w:r>
    </w:p>
  </w:footnote>
  <w:footnote w:id="95">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 39:7-19.</w:t>
      </w:r>
    </w:p>
  </w:footnote>
  <w:footnote w:id="96">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Exhibit No. APB-1CT at 14:12-16. </w:t>
      </w:r>
    </w:p>
  </w:footnote>
  <w:footnote w:id="97">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Exhibit No. APB-1CT at 17:8 to 18:5.</w:t>
      </w:r>
    </w:p>
  </w:footnote>
  <w:footnote w:id="98">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 50:4-5.</w:t>
      </w:r>
    </w:p>
  </w:footnote>
  <w:footnote w:id="99">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Exhibit No. APB-1CT at 14:18-19.</w:t>
      </w:r>
    </w:p>
  </w:footnote>
  <w:footnote w:id="100">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Exhibit No. APB-1CT at 15:1-2.</w:t>
      </w:r>
    </w:p>
  </w:footnote>
  <w:footnote w:id="101">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at.50:6-14.  </w:t>
      </w:r>
    </w:p>
  </w:footnote>
  <w:footnote w:id="102">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TR. 581:20 to 582:6.</w:t>
      </w:r>
    </w:p>
  </w:footnote>
  <w:footnote w:id="103">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TR. 582:1 to 582:12.</w:t>
      </w:r>
    </w:p>
  </w:footnote>
  <w:footnote w:id="104">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Exhibit No. APB-1CT at 18:9-11, adjusted for allocation factors.</w:t>
      </w:r>
    </w:p>
  </w:footnote>
  <w:footnote w:id="105">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Duvall, Exhibit No. GND-13C.</w:t>
      </w:r>
    </w:p>
  </w:footnote>
  <w:footnote w:id="106">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Exhibit No. APB-1CT at 20:5-18; Duvall, Exhibit No. GND-13C. </w:t>
      </w:r>
    </w:p>
  </w:footnote>
  <w:footnote w:id="107">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Exhibit No. APB-1CT at 20:20 to 21:5, adjusted for allocation factors. </w:t>
      </w:r>
    </w:p>
  </w:footnote>
  <w:footnote w:id="108">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 32:17 to 33:5. </w:t>
      </w:r>
    </w:p>
  </w:footnote>
  <w:footnote w:id="109">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Exhibit No. APB-1CT at 18:17-23.  </w:t>
      </w:r>
    </w:p>
  </w:footnote>
  <w:footnote w:id="110">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Exhibit No. APB-1CT at 19:3-8.</w:t>
      </w:r>
    </w:p>
  </w:footnote>
  <w:footnote w:id="111">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Exhibit No. APB-1CT at 19:15-23, adjusted for allocation factors.  Like certain other Staff adjustments, this adjustment removes the costs allocated to Washington by the WCA model.  Like those other adjustments, this is simply an appropriate way to make an adjustment; it is not a change to the WCA model.  For example, the same result would obtain if the costs of the DC Intertie remain, and offsetting revenues are imputed to match costs with benefits.</w:t>
      </w:r>
    </w:p>
  </w:footnote>
  <w:footnote w:id="112">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 41:17 to 42:20.  </w:t>
      </w:r>
    </w:p>
  </w:footnote>
  <w:footnote w:id="113">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Duvall, Exhibit Nos. GND-19 &amp; GND-20.</w:t>
      </w:r>
    </w:p>
  </w:footnote>
  <w:footnote w:id="114">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Duvall, Exhibit Nos. GND-19 &amp; GND-20.  </w:t>
      </w:r>
    </w:p>
  </w:footnote>
  <w:footnote w:id="115">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 42:13-15. </w:t>
      </w:r>
    </w:p>
  </w:footnote>
  <w:footnote w:id="116">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Duvall, Exhibit No. GND-21. </w:t>
      </w:r>
    </w:p>
  </w:footnote>
  <w:footnote w:id="117">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OATT stands for Open Access Transmission tariff.  Duvall, Exhibit No. GND-5T at 44:8-11.</w:t>
      </w:r>
    </w:p>
  </w:footnote>
  <w:footnote w:id="118">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 44:8 to 45:6.</w:t>
      </w:r>
    </w:p>
  </w:footnote>
  <w:footnote w:id="119">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 45:7 to 46:11.</w:t>
      </w:r>
    </w:p>
  </w:footnote>
  <w:footnote w:id="120">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 46:21 to 47:10.  </w:t>
      </w:r>
    </w:p>
  </w:footnote>
  <w:footnote w:id="121">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Duvall, Exhibit No. GND-1T at 6:18-21.</w:t>
      </w:r>
    </w:p>
  </w:footnote>
  <w:footnote w:id="122">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Duvall, Exhibit No. GND-1T at 6:4-14.</w:t>
      </w:r>
    </w:p>
  </w:footnote>
  <w:footnote w:id="123">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Duvall, Exhibit No. GND-1T at 17:9-12.</w:t>
      </w:r>
    </w:p>
  </w:footnote>
  <w:footnote w:id="124">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Exhibit No. APB-1CT at 22:10-12.</w:t>
      </w:r>
    </w:p>
  </w:footnote>
  <w:footnote w:id="125">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Exhibit No. APB-1CT at 22:12-15.</w:t>
      </w:r>
    </w:p>
  </w:footnote>
  <w:footnote w:id="126">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Exhibit No. APB-1CT at 22:15-20.</w:t>
      </w:r>
    </w:p>
  </w:footnote>
  <w:footnote w:id="127">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Exhibit No. APB-1CT at 24-25: Projects where the Company 1) provides wheeling but gets no power for Washington ratepayers:  non-SCL owned Stateline project</w:t>
      </w:r>
      <w:r w:rsidRPr="00104B01">
        <w:rPr>
          <w:rFonts w:cs="Times New Roman"/>
          <w:bCs/>
        </w:rPr>
        <w:t xml:space="preserve">  and Cambell wind farm; 2) assigns costs on a situs basis to another state, so the wind integration costs should not follow: Oregon Qualifying Facilities; or 3) the contract is expiring: SCL’s Stateline wind farm.  </w:t>
      </w:r>
    </w:p>
  </w:footnote>
  <w:footnote w:id="128">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Buckley, Exhibit No. APB-6, with only non-owned, intra-hour projects, and adjusted for allocation factors.</w:t>
      </w:r>
    </w:p>
  </w:footnote>
  <w:footnote w:id="129">
    <w:p w:rsidR="004767A9" w:rsidRDefault="004767A9" w:rsidP="00840A46">
      <w:pPr>
        <w:pStyle w:val="FootnoteText"/>
      </w:pPr>
      <w:r>
        <w:rPr>
          <w:rStyle w:val="FootnoteReference"/>
        </w:rPr>
        <w:footnoteRef/>
      </w:r>
      <w:r>
        <w:t xml:space="preserve"> </w:t>
      </w:r>
      <w:r w:rsidRPr="00362109">
        <w:t>Th</w:t>
      </w:r>
      <w:r>
        <w:t xml:space="preserve">e Company initially </w:t>
      </w:r>
      <w:r w:rsidRPr="00362109">
        <w:t xml:space="preserve">identified </w:t>
      </w:r>
      <w:r>
        <w:t xml:space="preserve">this item in its </w:t>
      </w:r>
      <w:r w:rsidRPr="00362109">
        <w:t xml:space="preserve">response to UTC Data Request 143 and carried </w:t>
      </w:r>
      <w:r>
        <w:t xml:space="preserve">it </w:t>
      </w:r>
      <w:r w:rsidRPr="00362109">
        <w:t>though to the rebuttal case</w:t>
      </w:r>
      <w:r>
        <w:t xml:space="preserve"> (Duvall, Exhibit No. GND-7, line 7)</w:t>
      </w:r>
      <w:r w:rsidRPr="00362109">
        <w:t xml:space="preserve"> and </w:t>
      </w:r>
      <w:r>
        <w:t>Exhibit No. 15C; PacifiCorp’s</w:t>
      </w:r>
      <w:r w:rsidRPr="00362109">
        <w:t xml:space="preserve"> to Bench Request 3.</w:t>
      </w:r>
    </w:p>
  </w:footnote>
  <w:footnote w:id="130">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Exhibit No. RJF-1CT, 34:7-22.</w:t>
      </w:r>
    </w:p>
  </w:footnote>
  <w:footnote w:id="131">
    <w:p w:rsidR="004767A9" w:rsidRPr="00A66520" w:rsidRDefault="004767A9" w:rsidP="008678EA">
      <w:pPr>
        <w:pStyle w:val="FootnoteText"/>
        <w:rPr>
          <w:rFonts w:cs="Times New Roman"/>
        </w:rPr>
      </w:pPr>
      <w:r w:rsidRPr="00CD4C56">
        <w:rPr>
          <w:rStyle w:val="FootnoteReference"/>
          <w:rFonts w:cs="Times New Roman"/>
        </w:rPr>
        <w:footnoteRef/>
      </w:r>
      <w:r w:rsidRPr="00104B01">
        <w:rPr>
          <w:rFonts w:cs="Times New Roman"/>
        </w:rPr>
        <w:t xml:space="preserve"> Duvall, Exhibit No. GND-5T at 26:16 to 27:22.</w:t>
      </w:r>
    </w:p>
  </w:footnote>
  <w:footnote w:id="132">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w:t>
      </w:r>
      <w:r w:rsidRPr="00104B01">
        <w:rPr>
          <w:rFonts w:cs="Times New Roman"/>
          <w:i/>
        </w:rPr>
        <w:t xml:space="preserve">Utilities and Transportation Commission v. PacifiCorp, </w:t>
      </w:r>
      <w:r w:rsidRPr="00104B01">
        <w:rPr>
          <w:rFonts w:cs="Times New Roman"/>
        </w:rPr>
        <w:t>Docket UE-050684, Order 04 (April 17, 2006) at 66, ¶183.</w:t>
      </w:r>
    </w:p>
  </w:footnote>
  <w:footnote w:id="133">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w:t>
      </w:r>
      <w:r w:rsidRPr="00104B01">
        <w:rPr>
          <w:rFonts w:cs="Times New Roman"/>
          <w:i/>
        </w:rPr>
        <w:t xml:space="preserve">Utilities and Transportation Commission v. PacifiCorp, </w:t>
      </w:r>
      <w:r w:rsidRPr="00104B01">
        <w:rPr>
          <w:rFonts w:cs="Times New Roman"/>
        </w:rPr>
        <w:t>Docket UE-061546 and UE-060817 (consolidated), Order 08 (June 21, 2007) at 42, ¶ 163.</w:t>
      </w:r>
    </w:p>
  </w:footnote>
  <w:footnote w:id="134">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Id. at 42, ¶ 162.</w:t>
      </w:r>
    </w:p>
  </w:footnote>
  <w:footnote w:id="135">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Id.</w:t>
      </w:r>
    </w:p>
  </w:footnote>
  <w:footnote w:id="136">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Id.</w:t>
      </w:r>
    </w:p>
  </w:footnote>
  <w:footnote w:id="137">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Schooley, Exhibit No. TES-1T at 8:16-19.</w:t>
      </w:r>
    </w:p>
  </w:footnote>
  <w:footnote w:id="138">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Dalley, Exhibit No. RBD-1T at 21:8-17.</w:t>
      </w:r>
    </w:p>
  </w:footnote>
  <w:footnote w:id="139">
    <w:p w:rsidR="004767A9" w:rsidRPr="00A66520" w:rsidRDefault="004767A9" w:rsidP="00AE72F6">
      <w:pPr>
        <w:pStyle w:val="FootnoteText"/>
        <w:rPr>
          <w:rFonts w:cs="Times New Roman"/>
        </w:rPr>
      </w:pPr>
      <w:r w:rsidRPr="00CD4C56">
        <w:rPr>
          <w:rStyle w:val="FootnoteReference"/>
          <w:rFonts w:cs="Times New Roman"/>
        </w:rPr>
        <w:footnoteRef/>
      </w:r>
      <w:r w:rsidRPr="00104B01">
        <w:rPr>
          <w:rFonts w:cs="Times New Roman"/>
        </w:rPr>
        <w:t xml:space="preserve"> Schooley, Exhibit No. TES-1T at 23:3-9.</w:t>
      </w:r>
    </w:p>
  </w:footnote>
  <w:footnote w:id="140">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Schooley, Exhibit No. TES-1T at 5:1-11.</w:t>
      </w:r>
    </w:p>
  </w:footnote>
  <w:footnote w:id="141">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Schooley, Exhibit No. TES-1T at 13:15-22.</w:t>
      </w:r>
    </w:p>
  </w:footnote>
  <w:footnote w:id="142">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Schooley, Exhibit No. TES-2.</w:t>
      </w:r>
    </w:p>
  </w:footnote>
  <w:footnote w:id="143">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Schooley, Exhibit No.TES-1T at 18:13-14. </w:t>
      </w:r>
    </w:p>
  </w:footnote>
  <w:footnote w:id="144">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Schooley, Exhibit No.TES-1T at 19:6-7. </w:t>
      </w:r>
    </w:p>
  </w:footnote>
  <w:footnote w:id="145">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Schooley, Exhibit No. 23:11 to 26:15.</w:t>
      </w:r>
    </w:p>
  </w:footnote>
  <w:footnote w:id="146">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Dalley, Exhibit No. RBD-4T at 14:21-22. </w:t>
      </w:r>
    </w:p>
  </w:footnote>
  <w:footnote w:id="147">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w:t>
      </w:r>
      <w:r w:rsidRPr="00104B01">
        <w:rPr>
          <w:rFonts w:cs="Times New Roman"/>
          <w:i/>
        </w:rPr>
        <w:t xml:space="preserve">Utilities and Transportation Commission v. PacifiCorp, </w:t>
      </w:r>
      <w:r w:rsidRPr="00104B01">
        <w:rPr>
          <w:rFonts w:cs="Times New Roman"/>
        </w:rPr>
        <w:t>Docket UE-061546 and UE-060817 (consolidated), Order 08 (June 21, 2007)  at 42, ¶ 162.</w:t>
      </w:r>
    </w:p>
  </w:footnote>
  <w:footnote w:id="148">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Schooley, Exhibit No. TES-1T at 9:1-6.</w:t>
      </w:r>
    </w:p>
  </w:footnote>
  <w:footnote w:id="149">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E.g., </w:t>
      </w:r>
      <w:r w:rsidRPr="00104B01">
        <w:rPr>
          <w:rFonts w:cs="Times New Roman"/>
          <w:i/>
        </w:rPr>
        <w:t xml:space="preserve">Utilities and Transportation Commission v. US WEST Communications, Inc., </w:t>
      </w:r>
      <w:r w:rsidRPr="00104B01">
        <w:rPr>
          <w:rFonts w:cs="Times New Roman"/>
        </w:rPr>
        <w:t>Docket UT-950200, 15</w:t>
      </w:r>
      <w:r w:rsidRPr="00CD4C56">
        <w:rPr>
          <w:rFonts w:cs="Times New Roman"/>
          <w:vertAlign w:val="superscript"/>
        </w:rPr>
        <w:t>th</w:t>
      </w:r>
      <w:r w:rsidRPr="00104B01">
        <w:rPr>
          <w:rFonts w:cs="Times New Roman"/>
        </w:rPr>
        <w:t xml:space="preserve"> Supplemental Order (April 11, 1996) at 68.  In that case, the Staff used a total company balance sheet.  “The Commission accepts the Commission Staff’s approach to working capital in this proceeding.  The Commission believes that it is more comprehensive and more accurate than the lead-lag approach.  It allows the calculation to take place in the context of a balance sheet analysis of company performance rather than examining limited factors. While we understand the Company’s situation, not having an amiable Washington balance sheet to work from, we believe the additional accuracy gained from the effort to prepare the balance sheet outweighs the expedience available in the lead-lag study.  Consequently, we accept the Commission Staff methodology.”  </w:t>
      </w:r>
    </w:p>
  </w:footnote>
  <w:footnote w:id="150">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Further doubt is cast on the Company’s interpretation because, consistently applied, that interpretation would also mean the Commission could not use the investor-supplied working capital method for Avista (a multi-jurisdictional utility) either.  </w:t>
      </w:r>
    </w:p>
  </w:footnote>
  <w:footnote w:id="151">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Id. at 21:16-17.</w:t>
      </w:r>
    </w:p>
  </w:footnote>
  <w:footnote w:id="152">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Schooley Exhibit No. TES-1T at 14:15-18 and Exhibit No. TES-2; Meyer, Exhibit No. GRM-1T at 6:23 to 7:1-8.</w:t>
      </w:r>
    </w:p>
  </w:footnote>
  <w:footnote w:id="153">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Dalley, TR. 355:25 to 356:2; Schooley, Exhibit No. TES-1T at 22:7-9; Meyer, Exhibit No. GRM-1T at 6:4-5.</w:t>
      </w:r>
    </w:p>
  </w:footnote>
  <w:footnote w:id="154">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Staff made this point is its direct testimony (Schooley, Exhibit No. TES-1T at 22:9-11).  The Company did not respond on rebuttal.</w:t>
      </w:r>
    </w:p>
  </w:footnote>
  <w:footnote w:id="155">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Dalley, TR. 359:21-24.</w:t>
      </w:r>
    </w:p>
  </w:footnote>
  <w:footnote w:id="156">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Schooley, Exhibit No. TES-1T at 22:13-20, citing Dalley, Exhibit No. RBD-3, Tab 2, page 2.2, lines 42 &amp; 43.</w:t>
      </w:r>
    </w:p>
  </w:footnote>
  <w:footnote w:id="157">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Dalley, Exhibit No. RBD-4T at 16:20-21 and at 17:6-7.</w:t>
      </w:r>
    </w:p>
  </w:footnote>
  <w:footnote w:id="158">
    <w:p w:rsidR="004767A9" w:rsidRPr="00A66520" w:rsidRDefault="004767A9" w:rsidP="00CC4653">
      <w:pPr>
        <w:pStyle w:val="FootnoteText"/>
        <w:rPr>
          <w:rFonts w:cs="Times New Roman"/>
        </w:rPr>
      </w:pPr>
      <w:r w:rsidRPr="00CD4C56">
        <w:rPr>
          <w:rStyle w:val="FootnoteReference"/>
          <w:rFonts w:cs="Times New Roman"/>
        </w:rPr>
        <w:footnoteRef/>
      </w:r>
      <w:r w:rsidRPr="00104B01">
        <w:rPr>
          <w:rFonts w:cs="Times New Roman"/>
        </w:rPr>
        <w:t xml:space="preserve"> Dalley, TR.355:6-12.</w:t>
      </w:r>
    </w:p>
  </w:footnote>
  <w:footnote w:id="159">
    <w:p w:rsidR="004767A9" w:rsidRPr="00A66520" w:rsidRDefault="004767A9" w:rsidP="00AE72F6">
      <w:pPr>
        <w:pStyle w:val="FootnoteText"/>
        <w:rPr>
          <w:rFonts w:cs="Times New Roman"/>
        </w:rPr>
      </w:pPr>
      <w:r w:rsidRPr="00CD4C56">
        <w:rPr>
          <w:rStyle w:val="FootnoteReference"/>
          <w:rFonts w:cs="Times New Roman"/>
        </w:rPr>
        <w:footnoteRef/>
      </w:r>
      <w:r w:rsidRPr="00104B01">
        <w:rPr>
          <w:rFonts w:cs="Times New Roman"/>
        </w:rPr>
        <w:t xml:space="preserve"> Staff notes that Commission acceptance of PacifiCorp’s 1/8</w:t>
      </w:r>
      <w:r w:rsidRPr="00CD4C56">
        <w:rPr>
          <w:rFonts w:cs="Times New Roman"/>
          <w:vertAlign w:val="superscript"/>
        </w:rPr>
        <w:t>th</w:t>
      </w:r>
      <w:r w:rsidRPr="00104B01">
        <w:rPr>
          <w:rFonts w:cs="Times New Roman"/>
        </w:rPr>
        <w:t xml:space="preserve"> method does not necessarily mean the Commission must accept fuel stock and </w:t>
      </w:r>
      <w:r>
        <w:rPr>
          <w:rFonts w:cs="Times New Roman"/>
        </w:rPr>
        <w:t>M</w:t>
      </w:r>
      <w:r w:rsidRPr="00104B01">
        <w:rPr>
          <w:rFonts w:cs="Times New Roman"/>
        </w:rPr>
        <w:t xml:space="preserve">aterials </w:t>
      </w:r>
      <w:r>
        <w:rPr>
          <w:rFonts w:cs="Times New Roman"/>
        </w:rPr>
        <w:t>&amp;</w:t>
      </w:r>
      <w:r w:rsidRPr="00104B01">
        <w:rPr>
          <w:rFonts w:cs="Times New Roman"/>
        </w:rPr>
        <w:t xml:space="preserve"> </w:t>
      </w:r>
      <w:r>
        <w:rPr>
          <w:rFonts w:cs="Times New Roman"/>
        </w:rPr>
        <w:t>S</w:t>
      </w:r>
      <w:r w:rsidRPr="00104B01">
        <w:rPr>
          <w:rFonts w:cs="Times New Roman"/>
        </w:rPr>
        <w:t>upplies as rate base items.  The decisions are independent of each other.</w:t>
      </w:r>
    </w:p>
  </w:footnote>
  <w:footnote w:id="160">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Fuller, Exhibit No. RF-8T at 3:6-10; Fuller, Exhibit No. RF-1T at 10:14 to 11:2.</w:t>
      </w:r>
    </w:p>
  </w:footnote>
  <w:footnote w:id="161">
    <w:p w:rsidR="004767A9" w:rsidRPr="00104B01" w:rsidRDefault="004767A9" w:rsidP="00C16EA4">
      <w:pPr>
        <w:pStyle w:val="FootnoteText"/>
        <w:rPr>
          <w:rFonts w:cs="Times New Roman"/>
        </w:rPr>
      </w:pPr>
      <w:r w:rsidRPr="00A66520">
        <w:rPr>
          <w:rStyle w:val="FootnoteReference"/>
          <w:rFonts w:cs="Times New Roman"/>
        </w:rPr>
        <w:footnoteRef/>
      </w:r>
      <w:r w:rsidRPr="00A66520">
        <w:rPr>
          <w:rFonts w:cs="Times New Roman"/>
        </w:rPr>
        <w:t xml:space="preserve"> </w:t>
      </w:r>
      <w:r w:rsidRPr="00104B01">
        <w:rPr>
          <w:rFonts w:cs="Times New Roman"/>
        </w:rPr>
        <w:t>The test year includes $5.4 million embedded by the Company to reflect the cumulative increase for the change to full normalization.  Staff removed this amount in Adjustment 7.9 (Exhibit No. KHB-6 page 16 and 18 column y) to reflect flow-through treatment of federal income tax.  The ratepayers have not received the benefit of a reduction to income tax expense that created this rate base adjustment.  This would be the regulatory liability PacifiCorp should amortize over a period of time to reflect this change.</w:t>
      </w:r>
    </w:p>
  </w:footnote>
  <w:footnote w:id="162">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Repairs deduction refers to PacifiCorp’s request to change its “method of accounting for routine repair and maintenance costs properly deductible under IRC Section 162.”  Breda, Exhibit No. KHB-1T at 10.19 to 12:2; Fuller, Exhibit No. RF-1T at 2:11 to 3:3.</w:t>
      </w:r>
    </w:p>
  </w:footnote>
  <w:footnote w:id="163">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Fuller, Exhibit No. RF-1T at 1:1-6 and at 5:11-16; Fuller, Exhibit No. RF-8T at 13:10 to 14:12.</w:t>
      </w:r>
    </w:p>
  </w:footnote>
  <w:footnote w:id="164">
    <w:p w:rsidR="004767A9" w:rsidRPr="00104B01" w:rsidRDefault="004767A9" w:rsidP="00C16EA4">
      <w:pPr>
        <w:pStyle w:val="FootnoteText"/>
        <w:rPr>
          <w:rFonts w:cs="Times New Roman"/>
        </w:rPr>
      </w:pPr>
      <w:r w:rsidRPr="00A66520">
        <w:rPr>
          <w:rStyle w:val="FootnoteReference"/>
          <w:rFonts w:cs="Times New Roman"/>
        </w:rPr>
        <w:footnoteRef/>
      </w:r>
      <w:r w:rsidRPr="00104B01">
        <w:rPr>
          <w:rFonts w:cs="Times New Roman"/>
        </w:rPr>
        <w:t xml:space="preserve"> The book-tax differences are listed on Exhibit No. KHB-6 at 16, column y, lines 1 to 43 and 50, plus page 18, column y, lines 55 to 78.</w:t>
      </w:r>
    </w:p>
  </w:footnote>
  <w:footnote w:id="165">
    <w:p w:rsidR="004767A9" w:rsidRPr="00104B01" w:rsidRDefault="004767A9" w:rsidP="00C16EA4">
      <w:pPr>
        <w:pStyle w:val="FootnoteText"/>
        <w:rPr>
          <w:rFonts w:cs="Times New Roman"/>
        </w:rPr>
      </w:pPr>
      <w:r w:rsidRPr="00A66520">
        <w:rPr>
          <w:rStyle w:val="FootnoteReference"/>
          <w:rFonts w:cs="Times New Roman"/>
        </w:rPr>
        <w:footnoteRef/>
      </w:r>
      <w:r w:rsidRPr="00A66520">
        <w:rPr>
          <w:rFonts w:cs="Times New Roman"/>
        </w:rPr>
        <w:t xml:space="preserve"> </w:t>
      </w:r>
      <w:r w:rsidRPr="00104B01">
        <w:rPr>
          <w:rFonts w:cs="Times New Roman"/>
        </w:rPr>
        <w:t>Breda, Exhibit No. KHB-1T at 7:10-21.</w:t>
      </w:r>
    </w:p>
  </w:footnote>
  <w:footnote w:id="166">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w:t>
      </w:r>
      <w:r w:rsidRPr="00104B01">
        <w:rPr>
          <w:rFonts w:cs="Times New Roman"/>
          <w:i/>
        </w:rPr>
        <w:t xml:space="preserve">Utilities and Transportation Commission, v. Puget Sound Power &amp; Light Co., </w:t>
      </w:r>
      <w:r w:rsidRPr="00104B01">
        <w:rPr>
          <w:rFonts w:cs="Times New Roman"/>
        </w:rPr>
        <w:t>Docket UE-910626, First Supplemental Order (September 25, 1991)</w:t>
      </w:r>
      <w:r>
        <w:rPr>
          <w:rFonts w:cs="Times New Roman"/>
        </w:rPr>
        <w:t xml:space="preserve"> at 13.</w:t>
      </w:r>
      <w:r w:rsidRPr="00104B01">
        <w:rPr>
          <w:rFonts w:cs="Times New Roman"/>
        </w:rPr>
        <w:t>.</w:t>
      </w:r>
    </w:p>
  </w:footnote>
  <w:footnote w:id="167">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For items where normalization is required by the IRC, the related asset is included in the rate base and therefore matched with its related deferred tax.  Regulatory assets and liabilities are also typically matched with their related deferred tax. </w:t>
      </w:r>
    </w:p>
  </w:footnote>
  <w:footnote w:id="168">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This benefit to the utility is due to the fact that the liability generates a debit to the accumulated deferred income tax, which is not offset directly by it</w:t>
      </w:r>
      <w:r>
        <w:rPr>
          <w:rFonts w:cs="Times New Roman"/>
        </w:rPr>
        <w:t>s</w:t>
      </w:r>
      <w:r w:rsidRPr="00104B01">
        <w:rPr>
          <w:rFonts w:cs="Times New Roman"/>
        </w:rPr>
        <w:t xml:space="preserve"> related liability in the rate base.   </w:t>
      </w:r>
    </w:p>
  </w:footnote>
  <w:footnote w:id="169">
    <w:p w:rsidR="004767A9" w:rsidRPr="00104B01" w:rsidRDefault="004767A9" w:rsidP="00C16EA4">
      <w:pPr>
        <w:pStyle w:val="FootnoteText"/>
        <w:rPr>
          <w:rFonts w:cs="Times New Roman"/>
        </w:rPr>
      </w:pPr>
      <w:r w:rsidRPr="00A66520">
        <w:rPr>
          <w:rStyle w:val="FootnoteReference"/>
          <w:rFonts w:cs="Times New Roman"/>
        </w:rPr>
        <w:footnoteRef/>
      </w:r>
      <w:r w:rsidRPr="00CD4C56">
        <w:rPr>
          <w:rFonts w:cs="Times New Roman"/>
        </w:rPr>
        <w:t xml:space="preserve"> Breda</w:t>
      </w:r>
      <w:r w:rsidRPr="00104B01">
        <w:rPr>
          <w:rFonts w:cs="Times New Roman"/>
        </w:rPr>
        <w:t>, Exhibit No. KHB-1T at 5:15 to 6:16 &amp; Exhibit No. KHB-5T at 1:14 to 21.</w:t>
      </w:r>
    </w:p>
  </w:footnote>
  <w:footnote w:id="170">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Exhibit No. RF-9 is Staff’s response to PacifiCorp Data Request 1.27 and includes some examples where normalization </w:t>
      </w:r>
      <w:r>
        <w:rPr>
          <w:rFonts w:cs="Times New Roman"/>
        </w:rPr>
        <w:t xml:space="preserve">was </w:t>
      </w:r>
      <w:r w:rsidRPr="00104B01">
        <w:rPr>
          <w:rFonts w:cs="Times New Roman"/>
        </w:rPr>
        <w:t>specifically addressed in Commission orders.</w:t>
      </w:r>
    </w:p>
  </w:footnote>
  <w:footnote w:id="171">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Equity AFUDC has no income impact.</w:t>
      </w:r>
    </w:p>
  </w:footnote>
  <w:footnote w:id="172">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Fuller, Exhibit No. RF-1T at 8:17-19.</w:t>
      </w:r>
    </w:p>
  </w:footnote>
  <w:footnote w:id="173">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Fuller, Exhibit No. RF-1T at 10:14 to 11:2.</w:t>
      </w:r>
    </w:p>
  </w:footnote>
  <w:footnote w:id="174">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Breda, Exhibit No. KHB-1T at 10:5-13.</w:t>
      </w:r>
    </w:p>
  </w:footnote>
  <w:footnote w:id="175">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Fuller, Exhibit No. RF-8T at 2:13 to 3:17.</w:t>
      </w:r>
    </w:p>
  </w:footnote>
  <w:footnote w:id="176">
    <w:p w:rsidR="004767A9" w:rsidRPr="00A66520" w:rsidRDefault="004767A9" w:rsidP="00C16EA4">
      <w:pPr>
        <w:pStyle w:val="FootnoteText"/>
        <w:rPr>
          <w:rFonts w:cs="Times New Roman"/>
        </w:rPr>
      </w:pPr>
      <w:r w:rsidRPr="00A66520">
        <w:rPr>
          <w:rStyle w:val="FootnoteReference"/>
          <w:rFonts w:cs="Times New Roman"/>
        </w:rPr>
        <w:footnoteRef/>
      </w:r>
      <w:r w:rsidRPr="00A66520">
        <w:rPr>
          <w:rFonts w:cs="Times New Roman"/>
        </w:rPr>
        <w:t xml:space="preserve"> </w:t>
      </w:r>
      <w:r w:rsidRPr="00CD4C56">
        <w:rPr>
          <w:rFonts w:cs="Times New Roman"/>
        </w:rPr>
        <w:t>Breda, Exhibit No. KHB-6 at 16, column v, lines 5 to 9, 17, 20, 21, 26, 27 and at 18, column v, line 66.</w:t>
      </w:r>
    </w:p>
  </w:footnote>
  <w:footnote w:id="177">
    <w:p w:rsidR="004767A9" w:rsidRPr="00A66520" w:rsidRDefault="004767A9" w:rsidP="00C16EA4">
      <w:pPr>
        <w:pStyle w:val="FootnoteText"/>
        <w:rPr>
          <w:rFonts w:cs="Times New Roman"/>
        </w:rPr>
      </w:pPr>
      <w:r w:rsidRPr="00CD4C56">
        <w:rPr>
          <w:rStyle w:val="FootnoteReference"/>
          <w:rFonts w:cs="Times New Roman"/>
        </w:rPr>
        <w:footnoteRef/>
      </w:r>
      <w:r w:rsidRPr="00104B01">
        <w:rPr>
          <w:rFonts w:cs="Times New Roman"/>
        </w:rPr>
        <w:t xml:space="preserve"> Breda, Exhibit No. KHB-6 at 16, column v, line 15.</w:t>
      </w:r>
    </w:p>
  </w:footnote>
  <w:footnote w:id="178">
    <w:p w:rsidR="004767A9" w:rsidRPr="00A66520" w:rsidRDefault="004767A9" w:rsidP="00C16EA4">
      <w:pPr>
        <w:pStyle w:val="FootnoteText"/>
        <w:rPr>
          <w:rFonts w:cs="Times New Roman"/>
        </w:rPr>
      </w:pPr>
      <w:r w:rsidRPr="00CD4C56">
        <w:rPr>
          <w:rStyle w:val="FootnoteReference"/>
          <w:rFonts w:cs="Times New Roman"/>
        </w:rPr>
        <w:footnoteRef/>
      </w:r>
      <w:r w:rsidRPr="00104B01">
        <w:rPr>
          <w:rFonts w:cs="Times New Roman"/>
        </w:rPr>
        <w:t xml:space="preserve"> Breda, Exhibit No. KHB-6 at 16, column v, lines 4, 12, and 31.</w:t>
      </w:r>
    </w:p>
  </w:footnote>
  <w:footnote w:id="179">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Breda, Exhibit No. KBH-6 at 16, column v line 11. </w:t>
      </w:r>
    </w:p>
  </w:footnote>
  <w:footnote w:id="180">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Breda, Exhibit No. KBH-6 at 16 and 18, column v, lines 23, 33, 35, 69, 36, 70, 37, 71,38, 72, 39, 73, 40, 74, 41, 75, 42, 43, 77, 55, 56, 57, 58, and 68. </w:t>
      </w:r>
    </w:p>
  </w:footnote>
  <w:footnote w:id="181">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Breda, Exhibit No. KBH-6 at 16 and 18 column v, lines 2, 3, 10, 13, 14, 16, 18, 24, 25, 29, 30, 32, 50, 65, and 67. </w:t>
      </w:r>
    </w:p>
  </w:footnote>
  <w:footnote w:id="182">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Breda, Exhibit No. KHB-6 at 16, column y, continuing to 18, column y.  This amount represents the rate base impact for all non-property related book-tax differences.</w:t>
      </w:r>
    </w:p>
  </w:footnote>
  <w:footnote w:id="183">
    <w:p w:rsidR="004767A9" w:rsidRPr="00A66520" w:rsidRDefault="004767A9">
      <w:pPr>
        <w:pStyle w:val="FootnoteText"/>
        <w:rPr>
          <w:rFonts w:cs="Times New Roman"/>
        </w:rPr>
      </w:pPr>
      <w:r w:rsidRPr="00A66520">
        <w:rPr>
          <w:rStyle w:val="FootnoteReference"/>
          <w:rFonts w:cs="Times New Roman"/>
        </w:rPr>
        <w:footnoteRef/>
      </w:r>
      <w:r w:rsidRPr="00A66520">
        <w:rPr>
          <w:rFonts w:cs="Times New Roman"/>
        </w:rPr>
        <w:t xml:space="preserve"> Breda</w:t>
      </w:r>
      <w:r>
        <w:rPr>
          <w:rFonts w:cs="Times New Roman"/>
        </w:rPr>
        <w:t>,</w:t>
      </w:r>
      <w:r w:rsidRPr="00A66520">
        <w:rPr>
          <w:rFonts w:cs="Times New Roman"/>
        </w:rPr>
        <w:t xml:space="preserve"> TR. 749:8 to 750:15.</w:t>
      </w:r>
    </w:p>
  </w:footnote>
  <w:footnote w:id="184">
    <w:p w:rsidR="004767A9" w:rsidRPr="00104B01" w:rsidRDefault="004767A9" w:rsidP="00C16EA4">
      <w:pPr>
        <w:pStyle w:val="FootnoteText"/>
        <w:rPr>
          <w:rFonts w:cs="Times New Roman"/>
          <w:b/>
        </w:rPr>
      </w:pPr>
      <w:r w:rsidRPr="00104B01">
        <w:rPr>
          <w:rStyle w:val="FootnoteReference"/>
          <w:rFonts w:cs="Times New Roman"/>
        </w:rPr>
        <w:footnoteRef/>
      </w:r>
      <w:r w:rsidRPr="00104B01">
        <w:rPr>
          <w:rFonts w:cs="Times New Roman"/>
        </w:rPr>
        <w:t xml:space="preserve"> Foisy, Exhibit No. MDF-2 at 6:42.</w:t>
      </w:r>
    </w:p>
  </w:footnote>
  <w:footnote w:id="185">
    <w:p w:rsidR="004767A9" w:rsidRPr="00A66520" w:rsidRDefault="004767A9" w:rsidP="00C16EA4">
      <w:pPr>
        <w:pStyle w:val="FootnoteText"/>
        <w:rPr>
          <w:rFonts w:cs="Times New Roman"/>
        </w:rPr>
      </w:pPr>
      <w:r w:rsidRPr="00A66520">
        <w:rPr>
          <w:rStyle w:val="FootnoteReference"/>
          <w:rFonts w:cs="Times New Roman"/>
        </w:rPr>
        <w:footnoteRef/>
      </w:r>
      <w:r w:rsidRPr="00A66520">
        <w:rPr>
          <w:rFonts w:cs="Times New Roman"/>
        </w:rPr>
        <w:t xml:space="preserve"> Fuller, Exhibit No. RF-6.</w:t>
      </w:r>
    </w:p>
  </w:footnote>
  <w:footnote w:id="186">
    <w:p w:rsidR="004767A9" w:rsidRPr="00A66520" w:rsidRDefault="004767A9">
      <w:pPr>
        <w:pStyle w:val="FootnoteText"/>
        <w:rPr>
          <w:rFonts w:cs="Times New Roman"/>
        </w:rPr>
      </w:pPr>
      <w:r w:rsidRPr="00CD4C56">
        <w:rPr>
          <w:rStyle w:val="FootnoteReference"/>
          <w:rFonts w:cs="Times New Roman"/>
        </w:rPr>
        <w:footnoteRef/>
      </w:r>
      <w:r w:rsidRPr="00104B01">
        <w:rPr>
          <w:rFonts w:cs="Times New Roman"/>
        </w:rPr>
        <w:t xml:space="preserve"> See Breda, TR. 750:25 to 752:14.</w:t>
      </w:r>
    </w:p>
  </w:footnote>
  <w:footnote w:id="187">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Breda, Exhibit No. KHB-6 at 16, column ab, line 45 plus page 18, column ab, line 87 plus line 89 &amp; Exhibit No. RF-12 at 6.  The Grid West Loan was originally deferred based on the Commission’s Order in Docket UE-060703, and normalized over a five year period. This was included as an uncontested adjustment in </w:t>
      </w:r>
      <w:r w:rsidRPr="00104B01">
        <w:rPr>
          <w:rFonts w:cs="Times New Roman"/>
          <w:i/>
        </w:rPr>
        <w:t>Washington Utilities and Transportation Commission vs. Pacific Power and Light,</w:t>
      </w:r>
      <w:r w:rsidRPr="00104B01">
        <w:rPr>
          <w:rFonts w:cs="Times New Roman"/>
        </w:rPr>
        <w:t xml:space="preserve"> Docket UE-061546, Order 08 (June 21, 2007).</w:t>
      </w:r>
    </w:p>
  </w:footnote>
  <w:footnote w:id="188">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Breda, Exhibit No. KHB-6 at 18, column ab line 93.  Powerdale was deferred based on the Commission’s Order in Docket UE-070624.</w:t>
      </w:r>
    </w:p>
  </w:footnote>
  <w:footnote w:id="189">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Breda Exhibit No. KHB-6 at 18, column ab line 94.  Chehalis is deferred and amortized over a six year period.  </w:t>
      </w:r>
      <w:r w:rsidRPr="00104B01">
        <w:rPr>
          <w:rFonts w:cs="Times New Roman"/>
          <w:i/>
        </w:rPr>
        <w:t xml:space="preserve">Utilities and Transportation Commission, v. PacifiCorp., </w:t>
      </w:r>
      <w:r w:rsidRPr="00104B01">
        <w:rPr>
          <w:rFonts w:cs="Times New Roman"/>
        </w:rPr>
        <w:t>Docket UE-090205, Order  09 (December 16, 2009).</w:t>
      </w:r>
    </w:p>
  </w:footnote>
  <w:footnote w:id="190">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These regulatory assets are normalized in both the Company and Staff case.  This chart reflects the total amount the Company has included on a flow-through basis in their analysis of the impact of their request for full normalization.  By doing so, the Company has incorrectly portrayed minimal ratepayer impact.  </w:t>
      </w:r>
    </w:p>
  </w:footnote>
  <w:footnote w:id="191">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Fuller, Exhibit No. RF-9 is Staff’s response to PacifiCorp Data Request 1.27 and includes some examples where the Commission specifically referred to normalization in the order.</w:t>
      </w:r>
    </w:p>
  </w:footnote>
  <w:footnote w:id="192">
    <w:p w:rsidR="004767A9" w:rsidRDefault="004767A9">
      <w:pPr>
        <w:pStyle w:val="FootnoteText"/>
      </w:pPr>
      <w:r>
        <w:rPr>
          <w:rStyle w:val="FootnoteReference"/>
        </w:rPr>
        <w:footnoteRef/>
      </w:r>
      <w:r>
        <w:t xml:space="preserve"> </w:t>
      </w:r>
      <w:r w:rsidRPr="00923978">
        <w:rPr>
          <w:i/>
        </w:rPr>
        <w:t>Utilities and Transportation Commission v. PacifiCorp</w:t>
      </w:r>
      <w:r>
        <w:rPr>
          <w:i/>
        </w:rPr>
        <w:t>,</w:t>
      </w:r>
      <w:r w:rsidRPr="00923978">
        <w:t xml:space="preserve"> Docket UE-090</w:t>
      </w:r>
      <w:r>
        <w:t xml:space="preserve">205, Order 09 (December 16, 2009), </w:t>
      </w:r>
      <w:r w:rsidRPr="009C3539">
        <w:t>Set</w:t>
      </w:r>
      <w:r>
        <w:t>tlement Stipulation at 4 ¶</w:t>
      </w:r>
      <w:r>
        <w:rPr>
          <w:rFonts w:cs="Times New Roman"/>
        </w:rPr>
        <w:t>¶</w:t>
      </w:r>
      <w:r>
        <w:t xml:space="preserve"> 12 &amp; 13.</w:t>
      </w:r>
    </w:p>
  </w:footnote>
  <w:footnote w:id="193">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RCW 80.80.060(6): “An electrical company may account for and defer for later consideration by the commission costs incurred in connection with a long-term financial commitment, including operating and maintenance costs, depreciation, taxes, and cost of invested capital.”</w:t>
      </w:r>
    </w:p>
  </w:footnote>
  <w:footnote w:id="194">
    <w:p w:rsidR="004767A9" w:rsidRPr="00A66520" w:rsidRDefault="004767A9">
      <w:pPr>
        <w:pStyle w:val="FootnoteText"/>
        <w:rPr>
          <w:rFonts w:cs="Times New Roman"/>
        </w:rPr>
      </w:pPr>
      <w:r w:rsidRPr="00A66520">
        <w:rPr>
          <w:rStyle w:val="FootnoteReference"/>
          <w:rFonts w:cs="Times New Roman"/>
        </w:rPr>
        <w:footnoteRef/>
      </w:r>
      <w:r w:rsidRPr="00A66520">
        <w:rPr>
          <w:rFonts w:cs="Times New Roman"/>
        </w:rPr>
        <w:t xml:space="preserve"> Breda, TR. 754:17 to 755:12.</w:t>
      </w:r>
    </w:p>
  </w:footnote>
  <w:footnote w:id="195">
    <w:p w:rsidR="004767A9" w:rsidRPr="00A66520" w:rsidRDefault="004767A9" w:rsidP="00C16EA4">
      <w:pPr>
        <w:pStyle w:val="FootnoteText"/>
        <w:rPr>
          <w:rFonts w:cs="Times New Roman"/>
        </w:rPr>
      </w:pPr>
      <w:r>
        <w:rPr>
          <w:rStyle w:val="FootnoteReference"/>
          <w:rFonts w:cs="Times New Roman"/>
        </w:rPr>
        <w:footnoteRef/>
      </w:r>
      <w:r w:rsidRPr="00104B01">
        <w:rPr>
          <w:rFonts w:cs="Times New Roman"/>
        </w:rPr>
        <w:t xml:space="preserve"> Fuller Exhibit No. RF-6 and the supporting calculation of flow-though in Exhibit No. RF-12.</w:t>
      </w:r>
    </w:p>
  </w:footnote>
  <w:footnote w:id="196">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Fuller, Exhibit No. RF-14T at 2:6 to 3:10; Breda, TR. 750:25 to 752:14..</w:t>
      </w:r>
    </w:p>
  </w:footnote>
  <w:footnote w:id="197">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The $5.4 million would be the regulatory liability due ratepayers as of December 31, 2009. This amount would need to be updated through December 2010 if the Commission were to approve full normalization. </w:t>
      </w:r>
    </w:p>
  </w:footnote>
  <w:footnote w:id="198">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Fuller, Exhibit No. RF-8T at 3:11 to 4:5.</w:t>
      </w:r>
    </w:p>
  </w:footnote>
  <w:footnote w:id="199">
    <w:p w:rsidR="004767A9" w:rsidRPr="00A66520" w:rsidRDefault="004767A9" w:rsidP="00C16EA4">
      <w:pPr>
        <w:pStyle w:val="FootnoteText"/>
        <w:rPr>
          <w:rFonts w:cs="Times New Roman"/>
        </w:rPr>
      </w:pPr>
      <w:r w:rsidRPr="00A66520">
        <w:rPr>
          <w:rStyle w:val="FootnoteReference"/>
          <w:rFonts w:cs="Times New Roman"/>
        </w:rPr>
        <w:footnoteRef/>
      </w:r>
      <w:r w:rsidRPr="00CD4C56">
        <w:rPr>
          <w:rFonts w:cs="Times New Roman"/>
        </w:rPr>
        <w:t xml:space="preserve"> Fuller, Exhibit No. RF-8T at 3:6-10</w:t>
      </w:r>
      <w:r w:rsidRPr="00104B01">
        <w:rPr>
          <w:rFonts w:cs="Times New Roman"/>
        </w:rPr>
        <w:t xml:space="preserve"> &amp; Exhibit No. RF-1T at 10:14 to 11:2.</w:t>
      </w:r>
    </w:p>
  </w:footnote>
  <w:footnote w:id="200">
    <w:p w:rsidR="004767A9" w:rsidRPr="00104B01" w:rsidRDefault="004767A9" w:rsidP="00C16EA4">
      <w:pPr>
        <w:pStyle w:val="FootnoteText"/>
        <w:rPr>
          <w:rFonts w:cs="Times New Roman"/>
        </w:rPr>
      </w:pPr>
      <w:r w:rsidRPr="00104B01">
        <w:rPr>
          <w:rStyle w:val="FootnoteReference"/>
          <w:rFonts w:cs="Times New Roman"/>
        </w:rPr>
        <w:footnoteRef/>
      </w:r>
      <w:r w:rsidRPr="00104B01">
        <w:rPr>
          <w:rFonts w:cs="Times New Roman"/>
        </w:rPr>
        <w:t xml:space="preserve"> Fuller, Exhibit No RF-5.</w:t>
      </w:r>
    </w:p>
  </w:footnote>
  <w:footnote w:id="201">
    <w:p w:rsidR="004767A9" w:rsidRPr="009D15A6" w:rsidRDefault="004767A9" w:rsidP="00C16EA4">
      <w:pPr>
        <w:pStyle w:val="FootnoteText"/>
        <w:rPr>
          <w:rFonts w:cs="Times New Roman"/>
        </w:rPr>
      </w:pPr>
      <w:r w:rsidRPr="009D15A6">
        <w:rPr>
          <w:rStyle w:val="FootnoteReference"/>
          <w:rFonts w:cs="Times New Roman"/>
        </w:rPr>
        <w:footnoteRef/>
      </w:r>
      <w:r w:rsidRPr="009D15A6">
        <w:rPr>
          <w:rFonts w:cs="Times New Roman"/>
        </w:rPr>
        <w:t xml:space="preserve"> Breda, Exhibit No. KHB-1T at 12:17 to 14:5.</w:t>
      </w:r>
      <w:r w:rsidRPr="00104B01">
        <w:rPr>
          <w:rFonts w:cs="Times New Roman"/>
        </w:rPr>
        <w:t xml:space="preserve">  Staff Adjustment</w:t>
      </w:r>
      <w:r>
        <w:rPr>
          <w:rFonts w:cs="Times New Roman"/>
        </w:rPr>
        <w:t xml:space="preserve"> </w:t>
      </w:r>
      <w:r w:rsidRPr="00104B01">
        <w:rPr>
          <w:rFonts w:cs="Times New Roman"/>
        </w:rPr>
        <w:t>8.11 is an incremental increase to achieve the total $3,490,623 decrease in revenue requirement.</w:t>
      </w:r>
    </w:p>
  </w:footnote>
  <w:footnote w:id="202">
    <w:p w:rsidR="004767A9" w:rsidRPr="00104B01" w:rsidRDefault="004767A9" w:rsidP="009D15A6">
      <w:pPr>
        <w:pStyle w:val="FootnoteText"/>
      </w:pPr>
      <w:r w:rsidRPr="00104B01">
        <w:rPr>
          <w:rStyle w:val="FootnoteReference"/>
        </w:rPr>
        <w:footnoteRef/>
      </w:r>
      <w:r w:rsidRPr="00104B01">
        <w:t xml:space="preserve"> Breda, Exhibit No. KHB-1T at 24:1 to 9 and 25:2 to 11</w:t>
      </w:r>
    </w:p>
  </w:footnote>
  <w:footnote w:id="203">
    <w:p w:rsidR="004767A9" w:rsidRPr="00A66520" w:rsidRDefault="004767A9">
      <w:pPr>
        <w:pStyle w:val="FootnoteText"/>
        <w:rPr>
          <w:rFonts w:cs="Times New Roman"/>
        </w:rPr>
      </w:pPr>
      <w:r w:rsidRPr="00CD4C56">
        <w:rPr>
          <w:rStyle w:val="FootnoteReference"/>
          <w:rFonts w:cs="Times New Roman"/>
        </w:rPr>
        <w:footnoteRef/>
      </w:r>
      <w:r w:rsidRPr="00104B01">
        <w:rPr>
          <w:rFonts w:cs="Times New Roman"/>
        </w:rPr>
        <w:t xml:space="preserve"> Breda, TR. 757:25 to 758:14.</w:t>
      </w:r>
    </w:p>
  </w:footnote>
  <w:footnote w:id="204">
    <w:p w:rsidR="004767A9" w:rsidRPr="00A66520" w:rsidRDefault="004767A9" w:rsidP="00C16EA4">
      <w:pPr>
        <w:pStyle w:val="FootnoteText"/>
        <w:rPr>
          <w:rFonts w:cs="Times New Roman"/>
        </w:rPr>
      </w:pPr>
      <w:r w:rsidRPr="00CD4C56">
        <w:rPr>
          <w:rStyle w:val="FootnoteReference"/>
          <w:rFonts w:cs="Times New Roman"/>
        </w:rPr>
        <w:footnoteRef/>
      </w:r>
      <w:r w:rsidRPr="00104B01">
        <w:rPr>
          <w:rFonts w:cs="Times New Roman"/>
        </w:rPr>
        <w:t xml:space="preserve"> Breda, Exhibit No. KHB-1T at 19:8 to 22:4.</w:t>
      </w:r>
    </w:p>
  </w:footnote>
  <w:footnote w:id="205">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These figures are summarized in Mr. Elgin’s Exhibit No. KLE-1T at 2:5-15, and defended throughout the remainder of that exhibit.</w:t>
      </w:r>
    </w:p>
  </w:footnote>
  <w:footnote w:id="206">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Exhibit No. KLE-1T at 16: 11-19.</w:t>
      </w:r>
    </w:p>
  </w:footnote>
  <w:footnote w:id="207">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Williams, Exhibit No. BNW-1T at 3:6.</w:t>
      </w:r>
    </w:p>
  </w:footnote>
  <w:footnote w:id="208">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The figures in this paragraph are found in Mr. Gorman’s Exhibit No. MPG-3 at 1.</w:t>
      </w:r>
    </w:p>
  </w:footnote>
  <w:footnote w:id="209">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Exhibit No. KLE-1T at 5:8-11, citing </w:t>
      </w:r>
      <w:r w:rsidRPr="00104B01">
        <w:rPr>
          <w:rFonts w:cs="Times New Roman"/>
          <w:i/>
        </w:rPr>
        <w:t>Federal Power Commission v. Hope Natural Gas Co.</w:t>
      </w:r>
      <w:r w:rsidRPr="00104B01">
        <w:rPr>
          <w:rFonts w:cs="Times New Roman"/>
        </w:rPr>
        <w:t>, 320 U.S. 591, 603 (1942) for the principle that regulators should balance consumer and owner interests in determining a fair rate of return.</w:t>
      </w:r>
    </w:p>
  </w:footnote>
  <w:footnote w:id="210">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Hadaway, TR. 245:5-14.</w:t>
      </w:r>
    </w:p>
  </w:footnote>
  <w:footnote w:id="211">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Williams, Exhibit No. BNW-7Tat 3:12-15.</w:t>
      </w:r>
    </w:p>
  </w:footnote>
  <w:footnote w:id="212">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Hadaway Exhibit No. SCH-1T at 20:4-6.</w:t>
      </w:r>
    </w:p>
  </w:footnote>
  <w:footnote w:id="213">
    <w:p w:rsidR="004767A9" w:rsidRPr="00A66520" w:rsidRDefault="004767A9" w:rsidP="00E60165">
      <w:pPr>
        <w:pStyle w:val="FootnoteText"/>
        <w:tabs>
          <w:tab w:val="right" w:pos="8928"/>
        </w:tabs>
        <w:rPr>
          <w:rFonts w:cs="Times New Roman"/>
        </w:rPr>
      </w:pPr>
      <w:r w:rsidRPr="00CD4C56">
        <w:rPr>
          <w:rStyle w:val="FootnoteReference"/>
          <w:rFonts w:cs="Times New Roman"/>
        </w:rPr>
        <w:footnoteRef/>
      </w:r>
      <w:r w:rsidRPr="00104B01">
        <w:rPr>
          <w:rFonts w:cs="Times New Roman"/>
        </w:rPr>
        <w:t xml:space="preserve"> Elgin, Exhibit No. KLE-1T at 16:11-19 and 18:6-10.</w:t>
      </w:r>
      <w:r w:rsidRPr="00104B01">
        <w:rPr>
          <w:rFonts w:cs="Times New Roman"/>
        </w:rPr>
        <w:tab/>
      </w:r>
    </w:p>
  </w:footnote>
  <w:footnote w:id="214">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Exhibit No. KLE-1T at 15:10-20; S&amp;P </w:t>
      </w:r>
      <w:r w:rsidRPr="00104B01">
        <w:rPr>
          <w:rFonts w:cs="Times New Roman"/>
          <w:i/>
        </w:rPr>
        <w:t>Global Credit Portal</w:t>
      </w:r>
      <w:r w:rsidRPr="00A66520">
        <w:rPr>
          <w:rFonts w:cs="Times New Roman"/>
        </w:rPr>
        <w:t xml:space="preserve"> (September 29, 2010), Exhibit No. BNW-17 at 2, first paragraph.</w:t>
      </w:r>
    </w:p>
  </w:footnote>
  <w:footnote w:id="215">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Exhibit MPG-22T at 2:8-13.</w:t>
      </w:r>
    </w:p>
  </w:footnote>
  <w:footnote w:id="216">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Id. at 2:17-23.</w:t>
      </w:r>
    </w:p>
  </w:footnote>
  <w:footnote w:id="217">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Exhibit MPG-1T at 1:19-20.  In this case ICNU also accepts the preferred equity ratio of 0.3% for a total equity ratio of 49.4%.</w:t>
      </w:r>
    </w:p>
  </w:footnote>
  <w:footnote w:id="218">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To develop his 49.1 percent equity ratio, Mr. Gorman simply makes adjustments to the Company’s actual equity ratio, but only to the extent he believes the Company is not putting that additional equity to productive use by investing in new facilities.  Gorman, Exhibit No. MPG-1T at 12;1 to 14:18.  In effect, he accepts the Company’s actual capital structure, but just defines “actual” differently.</w:t>
      </w:r>
    </w:p>
  </w:footnote>
  <w:footnote w:id="219">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RCW 80.04.130(4).  </w:t>
      </w:r>
    </w:p>
  </w:footnote>
  <w:footnote w:id="220">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t>
      </w:r>
      <w:r w:rsidRPr="00104B01">
        <w:rPr>
          <w:rFonts w:cs="Times New Roman"/>
          <w:i/>
        </w:rPr>
        <w:t>Federal Power Commission v. Hope Natural Gas Co.</w:t>
      </w:r>
      <w:r w:rsidRPr="00104B01">
        <w:rPr>
          <w:rFonts w:cs="Times New Roman"/>
        </w:rPr>
        <w:t>, 320 U.S. 591, 603 (1942).</w:t>
      </w:r>
    </w:p>
  </w:footnote>
  <w:footnote w:id="221">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Put another way, this case is emphatically NOT a “make-whole” case, as the Company seeks to characterize it.  Reiten, Exhibit No. RPR-1T at 6:3. </w:t>
      </w:r>
    </w:p>
  </w:footnote>
  <w:footnote w:id="222">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Williams, Exhibit No. BNW-1T at 8:13-15.  </w:t>
      </w:r>
    </w:p>
  </w:footnote>
  <w:footnote w:id="223">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t>
      </w:r>
      <w:r w:rsidRPr="00104B01">
        <w:rPr>
          <w:rFonts w:cs="Times New Roman"/>
          <w:i/>
        </w:rPr>
        <w:t xml:space="preserve">Utilities and Transportation Commission v. Puget Sound Energy, </w:t>
      </w:r>
      <w:r w:rsidRPr="00104B01">
        <w:rPr>
          <w:rFonts w:cs="Times New Roman"/>
        </w:rPr>
        <w:t>Dockets UE-06</w:t>
      </w:r>
      <w:r>
        <w:rPr>
          <w:rFonts w:cs="Times New Roman"/>
        </w:rPr>
        <w:t>0</w:t>
      </w:r>
      <w:r w:rsidRPr="00104B01">
        <w:rPr>
          <w:rFonts w:cs="Times New Roman"/>
        </w:rPr>
        <w:t>266 and UG-06</w:t>
      </w:r>
      <w:r>
        <w:rPr>
          <w:rFonts w:cs="Times New Roman"/>
        </w:rPr>
        <w:t>0</w:t>
      </w:r>
      <w:r w:rsidRPr="00104B01">
        <w:rPr>
          <w:rFonts w:cs="Times New Roman"/>
        </w:rPr>
        <w:t xml:space="preserve">267, Order 8 at ¶76 (Jan. 5, 2007) </w:t>
      </w:r>
    </w:p>
  </w:footnote>
  <w:footnote w:id="224">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Williams Exhibit No. BNW-13, part (a), quoting </w:t>
      </w:r>
      <w:r w:rsidRPr="00104B01">
        <w:rPr>
          <w:rFonts w:cs="Times New Roman"/>
          <w:i/>
        </w:rPr>
        <w:t>Utilities and Transportation Commission v. Puget Sound Energy, Inc.,</w:t>
      </w:r>
      <w:r w:rsidRPr="00104B01">
        <w:rPr>
          <w:rFonts w:cs="Times New Roman"/>
        </w:rPr>
        <w:t xml:space="preserve"> Dockets UE-060266 and UG-060267 (consolidated), Order 08 (January 5, 2007) at 27, ¶76.  </w:t>
      </w:r>
    </w:p>
  </w:footnote>
  <w:footnote w:id="225">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Williams, Exhibit No. BNW-13, part c &amp; TR. 273:11 to 274:7.</w:t>
      </w:r>
    </w:p>
  </w:footnote>
  <w:footnote w:id="226">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Nonetheless, some clarity from the Commission would be useful.  As Staff testified, the safety and economy standard is soundly supported by “a fundamental principle of finance:  a properly balanced capital structure ensures the Company efficiently finances its long-lived assets dedicated to public service to achieve the lowest possible cost.”  Elgin, Exhibit No. KLE-1T at 13:3-5.  The Commission should reaffirm that standard in this case, and place the burden on the </w:t>
      </w:r>
      <w:r w:rsidRPr="00576F98">
        <w:rPr>
          <w:rFonts w:cs="Times New Roman"/>
        </w:rPr>
        <w:t>utility</w:t>
      </w:r>
      <w:r w:rsidRPr="00104B01">
        <w:rPr>
          <w:rFonts w:cs="Times New Roman"/>
        </w:rPr>
        <w:t xml:space="preserve"> to satisfy that standard.</w:t>
      </w:r>
    </w:p>
  </w:footnote>
  <w:footnote w:id="227">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Staff submits these reasons not only pass a “good reason” threshold, but a “clear and compelling threshold, too, assuming PacifiCorp is wrong that these standards are equivalent.  </w:t>
      </w:r>
    </w:p>
  </w:footnote>
  <w:footnote w:id="228">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Id at 13-16-21.</w:t>
      </w:r>
    </w:p>
  </w:footnote>
  <w:footnote w:id="229">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Gorman, Exhibit No. MPG-1T at 12:3-7.  </w:t>
      </w:r>
    </w:p>
  </w:footnote>
  <w:footnote w:id="230">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Id. </w:t>
      </w:r>
    </w:p>
  </w:footnote>
  <w:footnote w:id="231">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Williams Exhibit Nos. BNW-15 &amp; BNW-22 and Cite to 050684 rate order????  </w:t>
      </w:r>
    </w:p>
  </w:footnote>
  <w:footnote w:id="232">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Williams, TR. 277:19-23.</w:t>
      </w:r>
    </w:p>
  </w:footnote>
  <w:footnote w:id="233">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Williams, Exhibit No. BNW-7T at 4:5-8.  </w:t>
      </w:r>
    </w:p>
  </w:footnote>
  <w:footnote w:id="234">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Williams, Exhibit No. BNW-7T at 4:10-12.  </w:t>
      </w:r>
    </w:p>
  </w:footnote>
  <w:footnote w:id="235">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t>
      </w:r>
      <w:r w:rsidRPr="00104B01">
        <w:rPr>
          <w:rFonts w:cs="Times New Roman"/>
          <w:i/>
        </w:rPr>
        <w:t>Utilities and Transportation Commission v. PacifiCorp,</w:t>
      </w:r>
      <w:r w:rsidRPr="00104B01">
        <w:rPr>
          <w:rFonts w:cs="Times New Roman"/>
        </w:rPr>
        <w:t xml:space="preserve"> Docket UE-050684, Order 04 (April 17, 2006) at 79, ¶224.  </w:t>
      </w:r>
    </w:p>
  </w:footnote>
  <w:footnote w:id="236">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Exhibit No. KLE-1T at 18:19-21.  </w:t>
      </w:r>
    </w:p>
  </w:footnote>
  <w:footnote w:id="237">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Exhibit No. KLE-1T at 19:2-6.  </w:t>
      </w:r>
    </w:p>
  </w:footnote>
  <w:footnote w:id="238">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TR. 732:21 to 733:7 and TR.744:14 to 745:2.</w:t>
      </w:r>
    </w:p>
  </w:footnote>
  <w:footnote w:id="239">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Exhibit BNW-20 at 1, last ¶, and at 4.  </w:t>
      </w:r>
    </w:p>
  </w:footnote>
  <w:footnote w:id="240">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Exhibit No. KLE-1T at 19:14-16 and at 2:11-12.  </w:t>
      </w:r>
    </w:p>
  </w:footnote>
  <w:footnote w:id="241">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Williams, Exhibit No. BNW-7T at 3:20 to 4:2.  </w:t>
      </w:r>
    </w:p>
  </w:footnote>
  <w:footnote w:id="242">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Williams, Exhibit No. BNW-7T at 4:17-19.  </w:t>
      </w:r>
    </w:p>
  </w:footnote>
  <w:footnote w:id="243">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Williams, Exhibit No. 14C at 2, and TR. 276:12 to 277:11.</w:t>
      </w:r>
    </w:p>
  </w:footnote>
  <w:footnote w:id="244">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Williams, Exhibit No. 14C at 1, part (b).  No party recommended removal of these costs.  </w:t>
      </w:r>
    </w:p>
  </w:footnote>
  <w:footnote w:id="245">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Williams, Exhibit No. BNW-7T at 5:18-21 (original version cited at 5:14 to 6:23).  </w:t>
      </w:r>
    </w:p>
  </w:footnote>
  <w:footnote w:id="246">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Williams, Exhibit BNW-16 at 2 &amp; 3.</w:t>
      </w:r>
    </w:p>
  </w:footnote>
  <w:footnote w:id="247">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Williams, Exhibit No. BNW-7T at 6:11 to 12:18.  The Company even goes so far as to say it would calculate AFUDC differently should the Commission include CWIP in rate base.  Id.  In any event, what FERC thinks about AFUDC is of no moment here, because the Commission requires the Company to accrue AFUDC at the overall fair rate of return.  </w:t>
      </w:r>
      <w:r w:rsidRPr="00104B01">
        <w:rPr>
          <w:rFonts w:cs="Times New Roman"/>
          <w:i/>
        </w:rPr>
        <w:t>Utilities &amp; Transportation Commission v. Pacific Power &amp; Light Co.,</w:t>
      </w:r>
      <w:r w:rsidRPr="00104B01">
        <w:rPr>
          <w:rFonts w:cs="Times New Roman"/>
        </w:rPr>
        <w:t xml:space="preserve"> Docket</w:t>
      </w:r>
      <w:r w:rsidR="00F454D6">
        <w:rPr>
          <w:rFonts w:cs="Times New Roman"/>
        </w:rPr>
        <w:t>s</w:t>
      </w:r>
      <w:r w:rsidRPr="00104B01">
        <w:rPr>
          <w:rFonts w:cs="Times New Roman"/>
        </w:rPr>
        <w:t xml:space="preserve"> U-82-12 and 35, </w:t>
      </w:r>
      <w:r>
        <w:rPr>
          <w:rFonts w:cs="Times New Roman"/>
        </w:rPr>
        <w:t>Fourth</w:t>
      </w:r>
      <w:r w:rsidRPr="00104B01">
        <w:rPr>
          <w:rFonts w:cs="Times New Roman"/>
        </w:rPr>
        <w:t xml:space="preserve"> Supplemental Order (February 2, 1983) at 26:  “We reiterate the order that the Company utilize its fair rate of return for calculation of AFUDC …”  Note also that WAC 480-100-203 adopts FERC accounting rules, but that “does not supersede any Commission order regarding accounting treatments.”  WAC 490-100-203(4).</w:t>
      </w:r>
    </w:p>
  </w:footnote>
  <w:footnote w:id="248">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t>
      </w:r>
      <w:r w:rsidRPr="00104B01">
        <w:rPr>
          <w:rFonts w:cs="Times New Roman"/>
          <w:i/>
        </w:rPr>
        <w:t>Utilities &amp; Transportation Commission v. PacifiCorp,</w:t>
      </w:r>
      <w:r w:rsidRPr="00104B01">
        <w:rPr>
          <w:rFonts w:cs="Times New Roman"/>
        </w:rPr>
        <w:t xml:space="preserve"> Docket UE-050684, Order 04 (April 17, 2006) at 79, ¶224.  </w:t>
      </w:r>
    </w:p>
  </w:footnote>
  <w:footnote w:id="249">
    <w:p w:rsidR="004767A9" w:rsidRPr="00A66520" w:rsidRDefault="004767A9" w:rsidP="00E60165">
      <w:pPr>
        <w:pStyle w:val="FootnoteText"/>
        <w:rPr>
          <w:rFonts w:cs="Times New Roman"/>
        </w:rPr>
      </w:pPr>
      <w:r>
        <w:rPr>
          <w:rStyle w:val="FootnoteReference"/>
          <w:rFonts w:cs="Times New Roman"/>
        </w:rPr>
        <w:footnoteRef/>
      </w:r>
      <w:r w:rsidRPr="00104B01">
        <w:rPr>
          <w:rFonts w:cs="Times New Roman"/>
        </w:rPr>
        <w:t xml:space="preserve"> Elgin, Exhibit No. KLE-1T at 21:16-19.  </w:t>
      </w:r>
    </w:p>
  </w:footnote>
  <w:footnote w:id="250">
    <w:p w:rsidR="004767A9" w:rsidRPr="00A66520" w:rsidRDefault="004767A9" w:rsidP="00E60165">
      <w:pPr>
        <w:pStyle w:val="FootnoteText"/>
        <w:rPr>
          <w:rFonts w:cs="Times New Roman"/>
        </w:rPr>
      </w:pPr>
      <w:r>
        <w:rPr>
          <w:rStyle w:val="FootnoteReference"/>
          <w:rFonts w:cs="Times New Roman"/>
        </w:rPr>
        <w:footnoteRef/>
      </w:r>
      <w:r w:rsidRPr="00104B01">
        <w:rPr>
          <w:rFonts w:cs="Times New Roman"/>
        </w:rPr>
        <w:t xml:space="preserve"> Elgin, Exhibit No. KLE-1T at 10:10-19.  </w:t>
      </w:r>
    </w:p>
  </w:footnote>
  <w:footnote w:id="251">
    <w:p w:rsidR="004767A9" w:rsidRPr="00A66520" w:rsidRDefault="004767A9" w:rsidP="00E60165">
      <w:pPr>
        <w:pStyle w:val="FootnoteText"/>
        <w:rPr>
          <w:rFonts w:cs="Times New Roman"/>
        </w:rPr>
      </w:pPr>
      <w:r>
        <w:rPr>
          <w:rStyle w:val="FootnoteReference"/>
          <w:rFonts w:cs="Times New Roman"/>
        </w:rPr>
        <w:footnoteRef/>
      </w:r>
      <w:r w:rsidRPr="00104B01">
        <w:rPr>
          <w:rFonts w:cs="Times New Roman"/>
        </w:rPr>
        <w:t xml:space="preserve"> Elgin, Exhibit No. KLE-1T at 2:8-12.  </w:t>
      </w:r>
    </w:p>
  </w:footnote>
  <w:footnote w:id="252">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Staff selected six of the comparable utilities from Dr. Hadaway’s proxy group of 22, and then added Avista Corporation.</w:t>
      </w:r>
    </w:p>
  </w:footnote>
  <w:footnote w:id="253">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Exhibit No. KLE-1T at 26:4-10.</w:t>
      </w:r>
    </w:p>
  </w:footnote>
  <w:footnote w:id="254">
    <w:p w:rsidR="004767A9" w:rsidRDefault="004767A9">
      <w:pPr>
        <w:pStyle w:val="FootnoteText"/>
      </w:pPr>
      <w:r>
        <w:rPr>
          <w:rStyle w:val="FootnoteReference"/>
        </w:rPr>
        <w:footnoteRef/>
      </w:r>
      <w:r>
        <w:t xml:space="preserve"> Elgin, Exhibit No. KLE-1T at 6:9-18.</w:t>
      </w:r>
    </w:p>
  </w:footnote>
  <w:footnote w:id="255">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Exhibit No. KLE-1T at 27:10-20.</w:t>
      </w:r>
    </w:p>
  </w:footnote>
  <w:footnote w:id="256">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Id.</w:t>
      </w:r>
    </w:p>
  </w:footnote>
  <w:footnote w:id="257">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Exhibit No. KLE-1T at 29:6-7.</w:t>
      </w:r>
    </w:p>
  </w:footnote>
  <w:footnote w:id="258">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Elgin, Exhibit No. KLE-1T at 15-16.</w:t>
      </w:r>
    </w:p>
  </w:footnote>
  <w:footnote w:id="259">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Exhibit No. KLE-1T at 27:15-20.</w:t>
      </w:r>
    </w:p>
  </w:footnote>
  <w:footnote w:id="260">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TR. 721:23 as part of Mr. Elgin’s overall discussion of the point at TR. 720-722.</w:t>
      </w:r>
    </w:p>
  </w:footnote>
  <w:footnote w:id="261">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TR. 705:1-14 &amp; TR. 708:8 to 707:2.</w:t>
      </w:r>
    </w:p>
  </w:footnote>
  <w:footnote w:id="262">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TR. 739:22 to 740:3.</w:t>
      </w:r>
    </w:p>
  </w:footnote>
  <w:footnote w:id="263">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TR. 720:15 to 721:6.</w:t>
      </w:r>
    </w:p>
  </w:footnote>
  <w:footnote w:id="264">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Exhibit No. KLE-1T at 38:2-10.</w:t>
      </w:r>
    </w:p>
  </w:footnote>
  <w:footnote w:id="265">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Exhibit No. KLE-1T at 38:15.</w:t>
      </w:r>
    </w:p>
  </w:footnote>
  <w:footnote w:id="266">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Exhibit No. KLE-1T at 38:20 to 46:16.</w:t>
      </w:r>
    </w:p>
  </w:footnote>
  <w:footnote w:id="267">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Exhibit No. KLE-1T at 43:19 to 44:5 and at 46:10-16.</w:t>
      </w:r>
    </w:p>
  </w:footnote>
  <w:footnote w:id="268">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Exhibit No. KLE-1T at 10:1-6.</w:t>
      </w:r>
    </w:p>
  </w:footnote>
  <w:footnote w:id="269">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Hadaway, Exhibit No. SCH-1T at 26:5-7. </w:t>
      </w:r>
    </w:p>
  </w:footnote>
  <w:footnote w:id="270">
    <w:p w:rsidR="004767A9" w:rsidRPr="00A66520" w:rsidRDefault="004767A9">
      <w:pPr>
        <w:pStyle w:val="FootnoteText"/>
        <w:rPr>
          <w:rFonts w:cs="Times New Roman"/>
        </w:rPr>
      </w:pPr>
      <w:r w:rsidRPr="00CD4C56">
        <w:rPr>
          <w:rStyle w:val="FootnoteReference"/>
          <w:rFonts w:cs="Times New Roman"/>
        </w:rPr>
        <w:footnoteRef/>
      </w:r>
      <w:r w:rsidRPr="00104B01">
        <w:rPr>
          <w:rFonts w:cs="Times New Roman"/>
        </w:rPr>
        <w:t xml:space="preserve"> Hadaw</w:t>
      </w:r>
      <w:r>
        <w:rPr>
          <w:rFonts w:cs="Times New Roman"/>
        </w:rPr>
        <w:t>a</w:t>
      </w:r>
      <w:r w:rsidRPr="00104B01">
        <w:rPr>
          <w:rFonts w:cs="Times New Roman"/>
        </w:rPr>
        <w:t>y, Exhibit No. SCH-1T at 3:1-13.</w:t>
      </w:r>
    </w:p>
  </w:footnote>
  <w:footnote w:id="271">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Hadaway, Exhibit No. SCH-1T at 3:8-9.</w:t>
      </w:r>
    </w:p>
  </w:footnote>
  <w:footnote w:id="272">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Exhibit No. KLE-1T at 24:5-7.</w:t>
      </w:r>
    </w:p>
  </w:footnote>
  <w:footnote w:id="273">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Hadaway, TR. 238:9-11; Elgin, Exhibit No. KLE-1T at 23:23 to 24:1 &amp; TR. 736:19 to 737:5.</w:t>
      </w:r>
    </w:p>
  </w:footnote>
  <w:footnote w:id="274">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Exhibit No. MPG-1T at 17:4.</w:t>
      </w:r>
    </w:p>
  </w:footnote>
  <w:footnote w:id="275">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Id. at 17:12-13.</w:t>
      </w:r>
    </w:p>
  </w:footnote>
  <w:footnote w:id="276">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TR 723:13 to 724:2.</w:t>
      </w:r>
    </w:p>
  </w:footnote>
  <w:footnote w:id="277">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Exhibit No. MPG-4 at 1: last column.</w:t>
      </w:r>
    </w:p>
  </w:footnote>
  <w:footnote w:id="278">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Hadaway Exhibit No. SCH-12 at 1, column entitled “Constant Growth DCF Model Analysts’ Growth Rates.”</w:t>
      </w:r>
    </w:p>
  </w:footnote>
  <w:footnote w:id="279">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Exhibit No. MPG-6 at 1: last column.</w:t>
      </w:r>
    </w:p>
  </w:footnote>
  <w:footnote w:id="280">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Hadaway Exhibit No. SCH-6, page 1 shows a range of 8.4 percent to 12.3 percent.</w:t>
      </w:r>
    </w:p>
  </w:footnote>
  <w:footnote w:id="281">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Exhibit No. KLE-1T at 54:23 to 55:5.</w:t>
      </w:r>
    </w:p>
  </w:footnote>
  <w:footnote w:id="282">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TR. 745:24-25.</w:t>
      </w:r>
    </w:p>
  </w:footnote>
  <w:footnote w:id="283">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t>
      </w:r>
      <w:r w:rsidRPr="00104B01">
        <w:rPr>
          <w:rFonts w:cs="Times New Roman"/>
          <w:i/>
        </w:rPr>
        <w:t xml:space="preserve">Utilities and Transportation Commission v. PacifiCorp, </w:t>
      </w:r>
      <w:r w:rsidRPr="00104B01">
        <w:rPr>
          <w:rFonts w:cs="Times New Roman"/>
        </w:rPr>
        <w:t xml:space="preserve">Docket UE-050684, Order 04 (April 17, 2006) at page 94, ¶ 260.  </w:t>
      </w:r>
    </w:p>
  </w:footnote>
  <w:footnote w:id="284">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TR. 745:13 to 746:3.  Dr. Hadaway’s 6.00 percent GDP growth has a significant impact of in his DCF study.  Indeed, it tames the high variability of his constant growth DCF estimates. Dr. Hadaway’s Exhibit No. SCH-12, page 1, shows this muting effect.  For his constant growth DCF results (“Constant Growth – DCF Model - Analysts’ Growth Rates”), his range of ROE estimates is over 700 basis points: 5.9 percent to 13.2 percent.  As the note to this exhibit page indicates, Dr. Hadaway eliminated the5.9 percent result for Edison International.  Even if this result is eliminated, the range is still 500 basis points: 7.5 percent to 12.5 percent.  The muting effect of Dr. Hadaway’s GDP growth figure is shown in the second column (“Constant Growth – DCF Model – Long Term GDP Growth”).  There, the variability in his ROE estimates is reduced to 320 basis points: from 9.3 percent to 12.5 percent.  In the last column (“Low Near-Term Growth – Two-Stage Growth – DCF Model”) Dr. Hadaway uses what amounts to a virtually 100% weighting of his six percent GDP growth figure, which reduces the variability even further, to 250 basis points: 9.3 percent to 11.8 percent.</w:t>
      </w:r>
    </w:p>
  </w:footnote>
  <w:footnote w:id="285">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Hadaway, TR. 255:10.</w:t>
      </w:r>
    </w:p>
  </w:footnote>
  <w:footnote w:id="286">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To be sure, in recent cases, Staff’s own cost of capital consultants have agreed to use whatever proxy group the utility has advanced.  However, they did so to reduce or avoid controversy.  E.g., Elgin, Exhibit No. KLE-5 at 4:3-4 (testimony of Staff consultant Parcell, selecting a proxy group so as “not [to] form a major controversy in the cost of equity estimation process”); Elgin, Exhibit No. KLE-6 at 3:7-8, (using Dr. Hadaway’s group “to reduce controversy.”)  Suffice it to say, the proxy group issue is in controversy in this docket.   Elgin, TR. 738:5 to 739:4.</w:t>
      </w:r>
    </w:p>
  </w:footnote>
  <w:footnote w:id="287">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t>
      </w:r>
      <w:r w:rsidRPr="00104B01">
        <w:rPr>
          <w:rFonts w:cs="Times New Roman"/>
          <w:i/>
        </w:rPr>
        <w:t>Utilities &amp; Transportation Commission v. PacifiCorp</w:t>
      </w:r>
      <w:r w:rsidRPr="00104B01">
        <w:rPr>
          <w:rFonts w:cs="Times New Roman"/>
        </w:rPr>
        <w:t>, Docket UE-050684, Order 04 (April 17, 2006) at 94, ¶ 261 (emphasis added).</w:t>
      </w:r>
    </w:p>
  </w:footnote>
  <w:footnote w:id="288">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Hadaway, Exhibit No. SCH-14.</w:t>
      </w:r>
    </w:p>
  </w:footnote>
  <w:footnote w:id="289">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Hadaway, Exhibit No. SCH-5.</w:t>
      </w:r>
    </w:p>
  </w:footnote>
  <w:footnote w:id="290">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Exhibit No. KLE-1T at 56:21-23.  Mr. Gorman proceeds with a multi-stage DCF analysis similar to that prepared by Dr. Hadaway.  The difference between the two analyses boils down to the figure used for long-term GDP growth as a proxy for dividend growth.  Mr. Gorman relies upon forecasted growth rather than an arbitrary weighting of historical GDP growth, such as Dr. Hadaway used.  Dr. Gorman’s results are more reasonable as a result.</w:t>
      </w:r>
    </w:p>
  </w:footnote>
  <w:footnote w:id="291">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Exhibit No. KLE-1T at 47:14.  </w:t>
      </w:r>
    </w:p>
  </w:footnote>
  <w:footnote w:id="292">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Williams, Exhibit No. BNW-7T at 12:3-7.  </w:t>
      </w:r>
    </w:p>
  </w:footnote>
  <w:footnote w:id="293">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TR. 725:7-16 (with colloquy).</w:t>
      </w:r>
    </w:p>
  </w:footnote>
  <w:footnote w:id="294">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Exhibit No. BNW-23, page 10, as discussed by Mr. Elgin at TR. 726:20 to 727:9. </w:t>
      </w:r>
    </w:p>
  </w:footnote>
  <w:footnote w:id="295">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Elgin, TR. 722:17-22.</w:t>
      </w:r>
    </w:p>
  </w:footnote>
  <w:footnote w:id="296">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Williams, Exhibit No. BNW-21, first sentence.  </w:t>
      </w:r>
    </w:p>
  </w:footnote>
  <w:footnote w:id="297">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Williams, Exhibit No. BNW-19 and TR. 285:4-19.</w:t>
      </w:r>
    </w:p>
  </w:footnote>
  <w:footnote w:id="298">
    <w:p w:rsidR="004767A9" w:rsidRPr="00A66520" w:rsidRDefault="004767A9" w:rsidP="00E60165">
      <w:pPr>
        <w:pStyle w:val="FootnoteText"/>
        <w:rPr>
          <w:rFonts w:cs="Times New Roman"/>
          <w:b/>
        </w:rPr>
      </w:pPr>
      <w:r w:rsidRPr="00CD4C56">
        <w:rPr>
          <w:rStyle w:val="FootnoteReference"/>
          <w:rFonts w:cs="Times New Roman"/>
        </w:rPr>
        <w:footnoteRef/>
      </w:r>
      <w:r w:rsidRPr="00104B01">
        <w:rPr>
          <w:rFonts w:cs="Times New Roman"/>
        </w:rPr>
        <w:t xml:space="preserve"> Williams, Exhibit No. BNW-19 and TR. 279:11-16</w:t>
      </w:r>
      <w:r w:rsidRPr="00104B01">
        <w:rPr>
          <w:rFonts w:cs="Times New Roman"/>
          <w:b/>
        </w:rPr>
        <w:t>.</w:t>
      </w:r>
    </w:p>
  </w:footnote>
  <w:footnote w:id="299">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Staff asked PacifiCorp to document its decisions in financing its capital budget.  Nowhere in the Company’s initial response or its supplemental response (when Staff asked for it again) does PacifiCorp indicate it considered deferring any projects, or using the flexibility of its short-term borrowing capacity.  See Reiten, Exhibit No. RJR-3C.  It is perplexing to consider that PacifiCorp issued $1 billion of new debt to fund new capital additions, yet the Commission has no information about management’s decision making process to undertake those investment funding decisions.</w:t>
      </w:r>
    </w:p>
  </w:footnote>
  <w:footnote w:id="300">
    <w:p w:rsidR="004767A9" w:rsidRPr="00A66520" w:rsidRDefault="004767A9" w:rsidP="00E60165">
      <w:pPr>
        <w:pStyle w:val="FootnoteText"/>
        <w:rPr>
          <w:rFonts w:cs="Times New Roman"/>
        </w:rPr>
      </w:pPr>
      <w:r w:rsidRPr="00CD4C56">
        <w:rPr>
          <w:rStyle w:val="FootnoteReference"/>
          <w:rFonts w:cs="Times New Roman"/>
        </w:rPr>
        <w:footnoteRef/>
      </w:r>
      <w:r w:rsidRPr="00104B01">
        <w:rPr>
          <w:rFonts w:cs="Times New Roman"/>
        </w:rPr>
        <w:t xml:space="preserve"> Williams, Exhibit No. BNW-21, last sentence.  </w:t>
      </w:r>
    </w:p>
  </w:footnote>
  <w:footnote w:id="301">
    <w:p w:rsidR="004767A9" w:rsidRPr="00A66520" w:rsidRDefault="004767A9" w:rsidP="003C14CB">
      <w:pPr>
        <w:pStyle w:val="FootnoteText"/>
        <w:rPr>
          <w:rFonts w:cs="Times New Roman"/>
        </w:rPr>
      </w:pPr>
      <w:r>
        <w:rPr>
          <w:rStyle w:val="FootnoteReference"/>
          <w:rFonts w:cs="Times New Roman"/>
        </w:rPr>
        <w:footnoteRef/>
      </w:r>
      <w:r w:rsidRPr="00104B01">
        <w:rPr>
          <w:rFonts w:cs="Times New Roman"/>
        </w:rPr>
        <w:t xml:space="preserve"> Paice, Exhibit No. CCP-1T at 6:6-9.</w:t>
      </w:r>
    </w:p>
  </w:footnote>
  <w:footnote w:id="302">
    <w:p w:rsidR="004767A9" w:rsidRPr="00A66520" w:rsidRDefault="004767A9" w:rsidP="003C14CB">
      <w:pPr>
        <w:pStyle w:val="FootnoteText"/>
        <w:rPr>
          <w:rFonts w:cs="Times New Roman"/>
        </w:rPr>
      </w:pPr>
      <w:r>
        <w:rPr>
          <w:rStyle w:val="FootnoteReference"/>
          <w:rFonts w:cs="Times New Roman"/>
        </w:rPr>
        <w:footnoteRef/>
      </w:r>
      <w:r w:rsidRPr="00104B01">
        <w:rPr>
          <w:rFonts w:cs="Times New Roman"/>
        </w:rPr>
        <w:t xml:space="preserve"> Schooley, Exhibit No. TES-1T at 29:13-14.</w:t>
      </w:r>
    </w:p>
  </w:footnote>
  <w:footnote w:id="303">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Schooley, Exhibit No. TES-4T at 7:14-16 and 10:5-8.</w:t>
      </w:r>
    </w:p>
  </w:footnote>
  <w:footnote w:id="304">
    <w:p w:rsidR="004767A9" w:rsidRPr="00A66520" w:rsidRDefault="004767A9" w:rsidP="003C14CB">
      <w:pPr>
        <w:pStyle w:val="FootnoteText"/>
        <w:rPr>
          <w:rFonts w:cs="Times New Roman"/>
        </w:rPr>
      </w:pPr>
      <w:r>
        <w:rPr>
          <w:rStyle w:val="FootnoteReference"/>
          <w:rFonts w:cs="Times New Roman"/>
        </w:rPr>
        <w:footnoteRef/>
      </w:r>
      <w:r w:rsidRPr="00104B01">
        <w:rPr>
          <w:rFonts w:cs="Times New Roman"/>
        </w:rPr>
        <w:t xml:space="preserve"> Schoenbeck, Exhibit No. DWS-1T at 2:21-23.</w:t>
      </w:r>
    </w:p>
  </w:footnote>
  <w:footnote w:id="305">
    <w:p w:rsidR="004767A9" w:rsidRPr="00A66520" w:rsidRDefault="004767A9" w:rsidP="003C14CB">
      <w:pPr>
        <w:pStyle w:val="FootnoteText"/>
        <w:rPr>
          <w:rFonts w:cs="Times New Roman"/>
        </w:rPr>
      </w:pPr>
      <w:r>
        <w:rPr>
          <w:rStyle w:val="FootnoteReference"/>
          <w:rFonts w:cs="Times New Roman"/>
        </w:rPr>
        <w:footnoteRef/>
      </w:r>
      <w:r w:rsidRPr="00104B01">
        <w:rPr>
          <w:rFonts w:cs="Times New Roman"/>
        </w:rPr>
        <w:t xml:space="preserve"> Schoenbeck, Exhibit No. DWS-1T at 3:17.</w:t>
      </w:r>
    </w:p>
  </w:footnote>
  <w:footnote w:id="306">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71 hours ÷ 8760 hours per year = .00081.</w:t>
      </w:r>
    </w:p>
  </w:footnote>
  <w:footnote w:id="307">
    <w:p w:rsidR="004767A9" w:rsidRPr="00A66520" w:rsidRDefault="004767A9" w:rsidP="003C14CB">
      <w:pPr>
        <w:pStyle w:val="FootnoteText"/>
        <w:rPr>
          <w:rFonts w:cs="Times New Roman"/>
        </w:rPr>
      </w:pPr>
      <w:r>
        <w:rPr>
          <w:rStyle w:val="FootnoteReference"/>
          <w:rFonts w:cs="Times New Roman"/>
        </w:rPr>
        <w:footnoteRef/>
      </w:r>
      <w:r w:rsidRPr="00104B01">
        <w:rPr>
          <w:rFonts w:cs="Times New Roman"/>
        </w:rPr>
        <w:t xml:space="preserve"> Schooley, Exhibit No. TES-4T at 7:12-21.</w:t>
      </w:r>
    </w:p>
  </w:footnote>
  <w:footnote w:id="308">
    <w:p w:rsidR="004767A9" w:rsidRPr="00A66520" w:rsidRDefault="004767A9" w:rsidP="003C14CB">
      <w:pPr>
        <w:pStyle w:val="FootnoteText"/>
        <w:rPr>
          <w:rFonts w:cs="Times New Roman"/>
        </w:rPr>
      </w:pPr>
      <w:r>
        <w:rPr>
          <w:rStyle w:val="FootnoteReference"/>
          <w:rFonts w:cs="Times New Roman"/>
        </w:rPr>
        <w:footnoteRef/>
      </w:r>
      <w:r w:rsidRPr="00104B01">
        <w:rPr>
          <w:rFonts w:cs="Times New Roman"/>
        </w:rPr>
        <w:t xml:space="preserve"> Schooley, Exhibit No. TES-4T at 9:22 to 10:2.</w:t>
      </w:r>
    </w:p>
  </w:footnote>
  <w:footnote w:id="309">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Schooley, Exhibit No. TES-1T at 31:8.</w:t>
      </w:r>
    </w:p>
  </w:footnote>
  <w:footnote w:id="310">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Schooley, Exhibit No. TES-1T at 31:11.</w:t>
      </w:r>
    </w:p>
  </w:footnote>
  <w:footnote w:id="311">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Schooley, Exhibit No. TES-1T at 31:13.</w:t>
      </w:r>
    </w:p>
  </w:footnote>
  <w:footnote w:id="312">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Griffith, Exhibit No. WRG-7T at 2:9-11.</w:t>
      </w:r>
    </w:p>
  </w:footnote>
  <w:footnote w:id="313">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Criss, Exhibit No. SWC-1T at 6:19-23.  Wal</w:t>
      </w:r>
      <w:r>
        <w:rPr>
          <w:rFonts w:cs="Times New Roman"/>
        </w:rPr>
        <w:t>-M</w:t>
      </w:r>
      <w:r w:rsidRPr="00104B01">
        <w:rPr>
          <w:rFonts w:cs="Times New Roman"/>
        </w:rPr>
        <w:t>art proposes a minimal increase for the Lighting schedule; the jurisdictional average increase for the Commercial schedules 24, 36, and 40; and “the difference to the rate schedules that include rates that are less than the costs incurred to provide service.”</w:t>
      </w:r>
    </w:p>
  </w:footnote>
  <w:footnote w:id="314">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Schoenbeck, Exhibit No. DWS-1T at 6:7-8; Schoenbeck, Exhibit No. DWS-3T at 20-22 &amp; Exhibit No. DWS-4.</w:t>
      </w:r>
    </w:p>
  </w:footnote>
  <w:footnote w:id="315">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Schoenbeck, Exhibit No. DWS-3T at 3:10-12.</w:t>
      </w:r>
    </w:p>
  </w:footnote>
  <w:footnote w:id="316">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Schoenbeck, Exhibit No. DWS-3T at 3:16.</w:t>
      </w:r>
    </w:p>
  </w:footnote>
  <w:footnote w:id="317">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Schooley, Exhibit No. TES-4T at 12:10-12 and TR. 777:3-6.</w:t>
      </w:r>
    </w:p>
  </w:footnote>
  <w:footnote w:id="318">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The result of the new method is to allocate 33 percent of generation costs to demand, rather than 12 percent under the prior method.  Paice, Exhibit No. CCP-1T at 6:1-5.  This change increases the costs allocated to the Residential schedule and decreases the costs allocated to the Industrial schedules.  Schooley, Exhibit No. TES-1T at 30:15-19.</w:t>
      </w:r>
    </w:p>
  </w:footnote>
  <w:footnote w:id="319">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Schooley, Exhibit No. TES-4T at 11, Table 2.</w:t>
      </w:r>
    </w:p>
  </w:footnote>
  <w:footnote w:id="320">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Schooley, Exhibit No. TES-4T at 8:22, Table 1.</w:t>
      </w:r>
    </w:p>
  </w:footnote>
  <w:footnote w:id="321">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Schooley, Exhibit No. TES-4T at 8:27 to 10:8.</w:t>
      </w:r>
    </w:p>
  </w:footnote>
  <w:footnote w:id="322">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E.g., Schoenbeck, Exhibit No. DWS-3T at 3:18-20.</w:t>
      </w:r>
    </w:p>
  </w:footnote>
  <w:footnote w:id="323">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Griffith, Exhibit No. WRG-1T at 4:15-16.</w:t>
      </w:r>
    </w:p>
  </w:footnote>
  <w:footnote w:id="324">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Schooley, TR. 778:21 to 779:2.</w:t>
      </w:r>
    </w:p>
  </w:footnote>
  <w:footnote w:id="325">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Based on Staff’s lower rate of return.  Schooley, Exhibit No. TES-4T at 16:1-2 and Exhibit No. TES-5.</w:t>
      </w:r>
    </w:p>
  </w:footnote>
  <w:footnote w:id="326">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Griffith, Exhibit WRG-7T at 3:18-23.</w:t>
      </w:r>
    </w:p>
  </w:footnote>
  <w:footnote w:id="327">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Eberdt, Exhibit No. CME-5T at 3:6.</w:t>
      </w:r>
    </w:p>
  </w:footnote>
  <w:footnote w:id="328">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See TR. 780:23-25 and 781:11-15. </w:t>
      </w:r>
    </w:p>
  </w:footnote>
  <w:footnote w:id="329">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Schooley, Exhibit No. TES-4T at 14:10 to 15:2.</w:t>
      </w:r>
    </w:p>
  </w:footnote>
  <w:footnote w:id="330">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Schooley, Exhibit No. TES-4T at 14:14-17.</w:t>
      </w:r>
    </w:p>
  </w:footnote>
  <w:footnote w:id="331">
    <w:p w:rsidR="0096310C" w:rsidRDefault="004767A9" w:rsidP="0022264C">
      <w:pPr>
        <w:pStyle w:val="FootnoteText"/>
      </w:pPr>
      <w:r>
        <w:rPr>
          <w:rStyle w:val="FootnoteReference"/>
        </w:rPr>
        <w:footnoteRef/>
      </w:r>
      <w:r>
        <w:t xml:space="preserve"> </w:t>
      </w:r>
      <w:r w:rsidRPr="00C31DB6">
        <w:t>The uncontested changes are to increase the subsidy by 21 percent, in line with the level of the Company’s initial proposed revenue increase (Griffith, Exhibit No. WRG-1T at 6:11-13; Eberdt, Exhibit CME-5T at 5:24 to 6:1) and to maintain the income eligibility cap at 125 percent of the federal poverty level.  PacifiCorp initially proposed to increase the income eligibility cap under LIBA to 150 percent of the federal poverty level (FPL).  Griffith, Exhibit No. WRG-1T at 7:7-10.  Staff supported that proposal (Schooley, Exhibit No. TES-1T at 42:21 to 43:11), but The Energy Project opposed it on the grounds that many households at the current 125 percent FPL are not being served.  Eberdt, Exhibit No. CME-1T at 8:10-13.  PacifiCorp now agrees to maintain the income eligibility at 125 percent of the FPL.  Eberle, Exhibit No. RME-1T at 5:3-6.  Staff accepts this outcome.</w:t>
      </w:r>
    </w:p>
    <w:p w:rsidR="004767A9" w:rsidRDefault="004767A9" w:rsidP="00AA7D2A">
      <w:pPr>
        <w:pStyle w:val="FootnoteText"/>
      </w:pPr>
      <w:r w:rsidRPr="00C31DB6">
        <w:tab/>
        <w:t>In particular, Staff supports increasing the bill assistance surcharge at 21 percent, regardless of the ultimate rate increase determined by the Commission.  Schooley, Exhibit No. TES-1T at 40:4-6.  This will bring the surcharge more in line with the similar exactions of Puget Sound Energy and Avista.  Schooley, Exhibit No. TES-1T at 41:10-14.  Staff notes that the goal here is not parity between PacifiCorp and the others, because PacifiCorp’s rates are considerably lower.  Griffith, TR. 562:15-18.</w:t>
      </w:r>
    </w:p>
  </w:footnote>
  <w:footnote w:id="332">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Griffith, Exhibit No. WRG-1T at 7:3-16.  </w:t>
      </w:r>
    </w:p>
  </w:footnote>
  <w:footnote w:id="333">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Eberdt, Exhibit No. CME-1T at 10:18-20.</w:t>
      </w:r>
    </w:p>
  </w:footnote>
  <w:footnote w:id="334">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Eberdt, Exhibit No. CME-1T at 3:12.</w:t>
      </w:r>
    </w:p>
  </w:footnote>
  <w:footnote w:id="335">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Griffith, Exhibit No. WRG-1T at 7:3-6.</w:t>
      </w:r>
    </w:p>
  </w:footnote>
  <w:footnote w:id="336">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Schooley, Exhibit No. TES-1T at 42:21 to 43:11.</w:t>
      </w:r>
    </w:p>
  </w:footnote>
  <w:footnote w:id="337">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Eberdt, Exhibit No. CME-1T at 6:11-14.</w:t>
      </w:r>
    </w:p>
  </w:footnote>
  <w:footnote w:id="338">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Eberdt, Exhibit No. CME-1T at 7:7-16.</w:t>
      </w:r>
    </w:p>
  </w:footnote>
  <w:footnote w:id="339">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Griffith, Exhibit No. WRG-1T at 7:13-16.</w:t>
      </w:r>
    </w:p>
  </w:footnote>
  <w:footnote w:id="340">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Eberdt, Exhibit No. CME-1T at 9:11-12.</w:t>
      </w:r>
    </w:p>
  </w:footnote>
  <w:footnote w:id="341">
    <w:p w:rsidR="004767A9" w:rsidRPr="00A66520" w:rsidRDefault="004767A9" w:rsidP="00174344">
      <w:pPr>
        <w:pStyle w:val="FootnoteText"/>
        <w:rPr>
          <w:rFonts w:cs="Times New Roman"/>
        </w:rPr>
      </w:pPr>
      <w:r w:rsidRPr="00CD4C56">
        <w:rPr>
          <w:rStyle w:val="FootnoteReference"/>
          <w:rFonts w:cs="Times New Roman"/>
        </w:rPr>
        <w:footnoteRef/>
      </w:r>
      <w:r w:rsidRPr="00104B01">
        <w:rPr>
          <w:rFonts w:cs="Times New Roman"/>
        </w:rPr>
        <w:t xml:space="preserve"> Eberdt, Exhibit No. CME-1T at 10:23.</w:t>
      </w:r>
    </w:p>
  </w:footnote>
  <w:footnote w:id="342">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Eberdt, Exhibit No. CME-1T at 9:15 to10:20.</w:t>
      </w:r>
    </w:p>
  </w:footnote>
  <w:footnote w:id="343">
    <w:p w:rsidR="004767A9" w:rsidRPr="00A66520" w:rsidRDefault="004767A9" w:rsidP="003C14CB">
      <w:pPr>
        <w:pStyle w:val="FootnoteText"/>
        <w:rPr>
          <w:rFonts w:cs="Times New Roman"/>
        </w:rPr>
      </w:pPr>
      <w:r w:rsidRPr="00104B01">
        <w:rPr>
          <w:rStyle w:val="FootnoteReference"/>
          <w:rFonts w:cs="Times New Roman"/>
        </w:rPr>
        <w:footnoteRef/>
      </w:r>
      <w:r w:rsidRPr="00104B01">
        <w:rPr>
          <w:rFonts w:cs="Times New Roman"/>
        </w:rPr>
        <w:t xml:space="preserve"> Schooley, Exhibit No. TES-4T at 17:1-10.</w:t>
      </w:r>
    </w:p>
  </w:footnote>
  <w:footnote w:id="344">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Eberdt, Exhibit No. CME-1T at 10:18-20.</w:t>
      </w:r>
    </w:p>
  </w:footnote>
  <w:footnote w:id="345">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Eberdt, Exhibit No. CME-1T at 10:1-20.</w:t>
      </w:r>
    </w:p>
  </w:footnote>
  <w:footnote w:id="346">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Schooley, Exhibit No. TES-4T at 17:21-18:1.</w:t>
      </w:r>
    </w:p>
  </w:footnote>
  <w:footnote w:id="347">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Eberle, Exhibit No. RME-1T at 6:19 to 7:6.</w:t>
      </w:r>
    </w:p>
  </w:footnote>
  <w:footnote w:id="348">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Schooley, Exhibit No. TES-4T at 17:20-21.</w:t>
      </w:r>
    </w:p>
  </w:footnote>
  <w:footnote w:id="349">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Eberle, Exhibit No. RME-1T at 7:16-19.</w:t>
      </w:r>
    </w:p>
  </w:footnote>
  <w:footnote w:id="350">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Eberdt, Exhibit No. CME-1T at 3:16-17.</w:t>
      </w:r>
    </w:p>
  </w:footnote>
  <w:footnote w:id="351">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Eberdt, Exhibit No. CME-1T at 16:8-9.</w:t>
      </w:r>
    </w:p>
  </w:footnote>
  <w:footnote w:id="352">
    <w:p w:rsidR="004767A9" w:rsidRPr="00A66520" w:rsidRDefault="004767A9" w:rsidP="00C31DB6">
      <w:pPr>
        <w:pStyle w:val="FootnoteText"/>
        <w:rPr>
          <w:rFonts w:cs="Times New Roman"/>
        </w:rPr>
      </w:pPr>
      <w:r w:rsidRPr="00CD4C56">
        <w:rPr>
          <w:rStyle w:val="FootnoteReference"/>
          <w:rFonts w:cs="Times New Roman"/>
        </w:rPr>
        <w:footnoteRef/>
      </w:r>
      <w:r w:rsidRPr="00576F98">
        <w:rPr>
          <w:rFonts w:cs="Times New Roman"/>
        </w:rPr>
        <w:t xml:space="preserve"> Schooley, Exhibit No. TES-4T at 19:3-5.</w:t>
      </w:r>
    </w:p>
  </w:footnote>
  <w:footnote w:id="353">
    <w:p w:rsidR="004767A9" w:rsidRDefault="004767A9" w:rsidP="001C21B5">
      <w:pPr>
        <w:pStyle w:val="FootnoteText"/>
      </w:pPr>
      <w:r>
        <w:rPr>
          <w:rStyle w:val="FootnoteReference"/>
        </w:rPr>
        <w:footnoteRef/>
      </w:r>
      <w:r>
        <w:t xml:space="preserve"> </w:t>
      </w:r>
      <w:r w:rsidRPr="00C31DB6">
        <w:rPr>
          <w:i/>
        </w:rPr>
        <w:t xml:space="preserve">Utilities and Transportation Commission v. Puget Sound Energy, Inc., </w:t>
      </w:r>
      <w:r w:rsidRPr="00C31DB6">
        <w:t>Docket UE-090704, Order 13 (April 29, 2010) at 4, ¶ 10.</w:t>
      </w:r>
      <w:r>
        <w:t xml:space="preserve">  </w:t>
      </w:r>
    </w:p>
  </w:footnote>
  <w:footnote w:id="354">
    <w:p w:rsidR="004767A9" w:rsidRPr="00A66520" w:rsidRDefault="004767A9" w:rsidP="003C14CB">
      <w:pPr>
        <w:pStyle w:val="FootnoteText"/>
        <w:rPr>
          <w:rFonts w:cs="Times New Roman"/>
        </w:rPr>
      </w:pPr>
      <w:r w:rsidRPr="00CD4C56">
        <w:rPr>
          <w:rStyle w:val="FootnoteReference"/>
          <w:rFonts w:cs="Times New Roman"/>
        </w:rPr>
        <w:footnoteRef/>
      </w:r>
      <w:r w:rsidRPr="00104B01">
        <w:rPr>
          <w:rFonts w:cs="Times New Roman"/>
        </w:rPr>
        <w:t xml:space="preserve"> Eberle, Exhibit No. RME-1T at 8:5-6.</w:t>
      </w:r>
    </w:p>
  </w:footnote>
  <w:footnote w:id="355">
    <w:p w:rsidR="004767A9" w:rsidRDefault="004767A9" w:rsidP="003C14CB">
      <w:pPr>
        <w:pStyle w:val="FootnoteText"/>
      </w:pPr>
      <w:r w:rsidRPr="00CD4C56">
        <w:rPr>
          <w:rStyle w:val="FootnoteReference"/>
          <w:rFonts w:cs="Times New Roman"/>
        </w:rPr>
        <w:footnoteRef/>
      </w:r>
      <w:r w:rsidRPr="00104B01">
        <w:rPr>
          <w:rFonts w:cs="Times New Roman"/>
        </w:rPr>
        <w:t xml:space="preserve"> Schooley, Exhibit No. TES-4T at 19:11-13.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9D4"/>
    <w:multiLevelType w:val="hybridMultilevel"/>
    <w:tmpl w:val="F6E66C7A"/>
    <w:lvl w:ilvl="0" w:tplc="69F68606">
      <w:start w:val="1"/>
      <w:numFmt w:val="decimal"/>
      <w:lvlText w:val="%1"/>
      <w:lvlJc w:val="left"/>
      <w:pPr>
        <w:ind w:left="720" w:hanging="720"/>
      </w:pPr>
      <w:rPr>
        <w:rFonts w:ascii="Palatino Linotype" w:hAnsi="Palatino Linotype" w:hint="default"/>
        <w:b w:val="0"/>
        <w:i/>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4732D3"/>
    <w:multiLevelType w:val="hybridMultilevel"/>
    <w:tmpl w:val="F112EA40"/>
    <w:lvl w:ilvl="0" w:tplc="69F68606">
      <w:start w:val="1"/>
      <w:numFmt w:val="decimal"/>
      <w:lvlText w:val="%1"/>
      <w:lvlJc w:val="left"/>
      <w:pPr>
        <w:ind w:left="720" w:hanging="720"/>
      </w:pPr>
      <w:rPr>
        <w:rFonts w:ascii="Palatino Linotype" w:hAnsi="Palatino Linotype" w:hint="default"/>
        <w:b w:val="0"/>
        <w:i/>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1D2532"/>
    <w:multiLevelType w:val="hybridMultilevel"/>
    <w:tmpl w:val="8A02DE08"/>
    <w:lvl w:ilvl="0" w:tplc="69F68606">
      <w:start w:val="1"/>
      <w:numFmt w:val="decimal"/>
      <w:lvlText w:val="%1"/>
      <w:lvlJc w:val="left"/>
      <w:pPr>
        <w:ind w:left="0" w:hanging="720"/>
      </w:pPr>
      <w:rPr>
        <w:rFonts w:ascii="Palatino Linotype" w:hAnsi="Palatino Linotype" w:hint="default"/>
        <w:b w:val="0"/>
        <w:i/>
        <w:sz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FF5D13"/>
    <w:multiLevelType w:val="hybridMultilevel"/>
    <w:tmpl w:val="C7F6D13A"/>
    <w:lvl w:ilvl="0" w:tplc="69F68606">
      <w:start w:val="1"/>
      <w:numFmt w:val="decimal"/>
      <w:lvlText w:val="%1"/>
      <w:lvlJc w:val="left"/>
      <w:pPr>
        <w:ind w:left="720" w:hanging="720"/>
      </w:pPr>
      <w:rPr>
        <w:rFonts w:ascii="Palatino Linotype" w:hAnsi="Palatino Linotype" w:hint="default"/>
        <w:b w:val="0"/>
        <w:i/>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320683"/>
    <w:multiLevelType w:val="hybridMultilevel"/>
    <w:tmpl w:val="8390B8E4"/>
    <w:lvl w:ilvl="0" w:tplc="32322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6D30E5"/>
    <w:multiLevelType w:val="hybridMultilevel"/>
    <w:tmpl w:val="D1B4A34A"/>
    <w:lvl w:ilvl="0" w:tplc="613CB9A0">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3F9D2382"/>
    <w:multiLevelType w:val="hybridMultilevel"/>
    <w:tmpl w:val="E0BAD43C"/>
    <w:lvl w:ilvl="0" w:tplc="69F68606">
      <w:start w:val="1"/>
      <w:numFmt w:val="decimal"/>
      <w:lvlText w:val="%1"/>
      <w:lvlJc w:val="left"/>
      <w:pPr>
        <w:ind w:left="720" w:hanging="720"/>
      </w:pPr>
      <w:rPr>
        <w:rFonts w:ascii="Palatino Linotype" w:hAnsi="Palatino Linotype" w:hint="default"/>
        <w:b w:val="0"/>
        <w:i/>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35F6852"/>
    <w:multiLevelType w:val="hybridMultilevel"/>
    <w:tmpl w:val="71A09320"/>
    <w:lvl w:ilvl="0" w:tplc="B14074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400396"/>
    <w:multiLevelType w:val="hybridMultilevel"/>
    <w:tmpl w:val="B018FD1E"/>
    <w:lvl w:ilvl="0" w:tplc="604A962C">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63247B7"/>
    <w:multiLevelType w:val="hybridMultilevel"/>
    <w:tmpl w:val="3D02FE74"/>
    <w:lvl w:ilvl="0" w:tplc="910E65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6B901ED"/>
    <w:multiLevelType w:val="hybridMultilevel"/>
    <w:tmpl w:val="0AC46B58"/>
    <w:lvl w:ilvl="0" w:tplc="69F68606">
      <w:start w:val="1"/>
      <w:numFmt w:val="decimal"/>
      <w:lvlText w:val="%1"/>
      <w:lvlJc w:val="left"/>
      <w:pPr>
        <w:ind w:left="720" w:hanging="720"/>
      </w:pPr>
      <w:rPr>
        <w:rFonts w:ascii="Palatino Linotype" w:hAnsi="Palatino Linotype" w:hint="default"/>
        <w:b w:val="0"/>
        <w:i/>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DAB1932"/>
    <w:multiLevelType w:val="hybridMultilevel"/>
    <w:tmpl w:val="6FEE609C"/>
    <w:lvl w:ilvl="0" w:tplc="69F68606">
      <w:start w:val="1"/>
      <w:numFmt w:val="decimal"/>
      <w:lvlText w:val="%1"/>
      <w:lvlJc w:val="left"/>
      <w:pPr>
        <w:ind w:left="720" w:hanging="720"/>
      </w:pPr>
      <w:rPr>
        <w:rFonts w:ascii="Palatino Linotype" w:hAnsi="Palatino Linotype" w:hint="default"/>
        <w:b w:val="0"/>
        <w:i/>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046009E"/>
    <w:multiLevelType w:val="hybridMultilevel"/>
    <w:tmpl w:val="3BE64436"/>
    <w:lvl w:ilvl="0" w:tplc="BC6CEE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E90017"/>
    <w:multiLevelType w:val="hybridMultilevel"/>
    <w:tmpl w:val="2EC4A11C"/>
    <w:lvl w:ilvl="0" w:tplc="69F68606">
      <w:start w:val="1"/>
      <w:numFmt w:val="decimal"/>
      <w:lvlText w:val="%1"/>
      <w:lvlJc w:val="left"/>
      <w:pPr>
        <w:ind w:left="720" w:hanging="720"/>
      </w:pPr>
      <w:rPr>
        <w:rFonts w:ascii="Palatino Linotype" w:hAnsi="Palatino Linotype" w:hint="default"/>
        <w:b w:val="0"/>
        <w:i/>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BB92EB0"/>
    <w:multiLevelType w:val="hybridMultilevel"/>
    <w:tmpl w:val="20187A4A"/>
    <w:lvl w:ilvl="0" w:tplc="62CED6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7"/>
  </w:num>
  <w:num w:numId="3">
    <w:abstractNumId w:val="2"/>
  </w:num>
  <w:num w:numId="4">
    <w:abstractNumId w:val="9"/>
  </w:num>
  <w:num w:numId="5">
    <w:abstractNumId w:val="5"/>
  </w:num>
  <w:num w:numId="6">
    <w:abstractNumId w:val="4"/>
  </w:num>
  <w:num w:numId="7">
    <w:abstractNumId w:val="12"/>
  </w:num>
  <w:num w:numId="8">
    <w:abstractNumId w:val="8"/>
  </w:num>
  <w:num w:numId="9">
    <w:abstractNumId w:val="0"/>
  </w:num>
  <w:num w:numId="10">
    <w:abstractNumId w:val="1"/>
  </w:num>
  <w:num w:numId="11">
    <w:abstractNumId w:val="6"/>
  </w:num>
  <w:num w:numId="12">
    <w:abstractNumId w:val="11"/>
  </w:num>
  <w:num w:numId="13">
    <w:abstractNumId w:val="13"/>
  </w:num>
  <w:num w:numId="14">
    <w:abstractNumId w:val="3"/>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3774ED"/>
    <w:rsid w:val="00002442"/>
    <w:rsid w:val="000073C0"/>
    <w:rsid w:val="00031881"/>
    <w:rsid w:val="00031C41"/>
    <w:rsid w:val="00034966"/>
    <w:rsid w:val="00061789"/>
    <w:rsid w:val="000644E2"/>
    <w:rsid w:val="000A59A1"/>
    <w:rsid w:val="000B1071"/>
    <w:rsid w:val="000B5C2C"/>
    <w:rsid w:val="000C2919"/>
    <w:rsid w:val="000C4C68"/>
    <w:rsid w:val="000D5935"/>
    <w:rsid w:val="000D685B"/>
    <w:rsid w:val="000D7E1E"/>
    <w:rsid w:val="000E1BB9"/>
    <w:rsid w:val="000E2B50"/>
    <w:rsid w:val="000E640C"/>
    <w:rsid w:val="000F1053"/>
    <w:rsid w:val="000F2318"/>
    <w:rsid w:val="000F630E"/>
    <w:rsid w:val="00104B01"/>
    <w:rsid w:val="001107F3"/>
    <w:rsid w:val="0011084A"/>
    <w:rsid w:val="00123A6B"/>
    <w:rsid w:val="0013099A"/>
    <w:rsid w:val="00132125"/>
    <w:rsid w:val="00141B7B"/>
    <w:rsid w:val="00143E29"/>
    <w:rsid w:val="001557EE"/>
    <w:rsid w:val="00165C3A"/>
    <w:rsid w:val="00174344"/>
    <w:rsid w:val="00175FF9"/>
    <w:rsid w:val="00187699"/>
    <w:rsid w:val="00193CAD"/>
    <w:rsid w:val="001A609D"/>
    <w:rsid w:val="001B580F"/>
    <w:rsid w:val="001C21B5"/>
    <w:rsid w:val="001C5AB1"/>
    <w:rsid w:val="001D2543"/>
    <w:rsid w:val="001E1D7A"/>
    <w:rsid w:val="001F0593"/>
    <w:rsid w:val="001F0E25"/>
    <w:rsid w:val="001F333E"/>
    <w:rsid w:val="0022264C"/>
    <w:rsid w:val="002332B8"/>
    <w:rsid w:val="00252998"/>
    <w:rsid w:val="00256E63"/>
    <w:rsid w:val="00257CF2"/>
    <w:rsid w:val="00265345"/>
    <w:rsid w:val="00265AD1"/>
    <w:rsid w:val="00274D66"/>
    <w:rsid w:val="00280BB5"/>
    <w:rsid w:val="00294E46"/>
    <w:rsid w:val="002B710A"/>
    <w:rsid w:val="002C039A"/>
    <w:rsid w:val="002D70F6"/>
    <w:rsid w:val="002E6D4C"/>
    <w:rsid w:val="002F1630"/>
    <w:rsid w:val="002F23BA"/>
    <w:rsid w:val="002F6F4B"/>
    <w:rsid w:val="002F728F"/>
    <w:rsid w:val="00300630"/>
    <w:rsid w:val="00300C05"/>
    <w:rsid w:val="00304348"/>
    <w:rsid w:val="00320403"/>
    <w:rsid w:val="00322A9F"/>
    <w:rsid w:val="00322CB7"/>
    <w:rsid w:val="003250B0"/>
    <w:rsid w:val="00325B59"/>
    <w:rsid w:val="0033093A"/>
    <w:rsid w:val="00336157"/>
    <w:rsid w:val="00337E47"/>
    <w:rsid w:val="003412D0"/>
    <w:rsid w:val="00347101"/>
    <w:rsid w:val="00353566"/>
    <w:rsid w:val="00377121"/>
    <w:rsid w:val="003774ED"/>
    <w:rsid w:val="00387F4A"/>
    <w:rsid w:val="003A544A"/>
    <w:rsid w:val="003A5A2C"/>
    <w:rsid w:val="003A7EF3"/>
    <w:rsid w:val="003B0367"/>
    <w:rsid w:val="003B2148"/>
    <w:rsid w:val="003B2CA7"/>
    <w:rsid w:val="003C14CB"/>
    <w:rsid w:val="003C3613"/>
    <w:rsid w:val="003D7F84"/>
    <w:rsid w:val="003E48C0"/>
    <w:rsid w:val="00406F9E"/>
    <w:rsid w:val="00420C38"/>
    <w:rsid w:val="00426924"/>
    <w:rsid w:val="0043612E"/>
    <w:rsid w:val="004560D6"/>
    <w:rsid w:val="00465E92"/>
    <w:rsid w:val="00467663"/>
    <w:rsid w:val="00470A86"/>
    <w:rsid w:val="0047123C"/>
    <w:rsid w:val="004767A9"/>
    <w:rsid w:val="00481ED0"/>
    <w:rsid w:val="004A31B0"/>
    <w:rsid w:val="004A7BF4"/>
    <w:rsid w:val="004A7C3E"/>
    <w:rsid w:val="004B0054"/>
    <w:rsid w:val="004B2E12"/>
    <w:rsid w:val="004B3E82"/>
    <w:rsid w:val="004B4C2F"/>
    <w:rsid w:val="004B723F"/>
    <w:rsid w:val="004C1AE4"/>
    <w:rsid w:val="004C7622"/>
    <w:rsid w:val="004E0A45"/>
    <w:rsid w:val="004E1A77"/>
    <w:rsid w:val="004F1F2E"/>
    <w:rsid w:val="004F685E"/>
    <w:rsid w:val="004F69FB"/>
    <w:rsid w:val="00504642"/>
    <w:rsid w:val="005075DB"/>
    <w:rsid w:val="00513B7D"/>
    <w:rsid w:val="0051434F"/>
    <w:rsid w:val="00516A68"/>
    <w:rsid w:val="005302E2"/>
    <w:rsid w:val="005309A8"/>
    <w:rsid w:val="00536229"/>
    <w:rsid w:val="00552600"/>
    <w:rsid w:val="005569FF"/>
    <w:rsid w:val="00571857"/>
    <w:rsid w:val="00576EAF"/>
    <w:rsid w:val="00576F0F"/>
    <w:rsid w:val="00576F98"/>
    <w:rsid w:val="00582E20"/>
    <w:rsid w:val="00592423"/>
    <w:rsid w:val="005A311E"/>
    <w:rsid w:val="005A414A"/>
    <w:rsid w:val="005A6C74"/>
    <w:rsid w:val="005B42E8"/>
    <w:rsid w:val="005B6407"/>
    <w:rsid w:val="005C01A9"/>
    <w:rsid w:val="005C0E7F"/>
    <w:rsid w:val="005C1FA9"/>
    <w:rsid w:val="005D791A"/>
    <w:rsid w:val="005E0178"/>
    <w:rsid w:val="005E1BB9"/>
    <w:rsid w:val="005E43DF"/>
    <w:rsid w:val="005E5B0F"/>
    <w:rsid w:val="005F7905"/>
    <w:rsid w:val="00605B2B"/>
    <w:rsid w:val="00616F84"/>
    <w:rsid w:val="00620E51"/>
    <w:rsid w:val="00622366"/>
    <w:rsid w:val="0063672A"/>
    <w:rsid w:val="00644045"/>
    <w:rsid w:val="00653C37"/>
    <w:rsid w:val="00672F7B"/>
    <w:rsid w:val="006738BF"/>
    <w:rsid w:val="00673F85"/>
    <w:rsid w:val="00677537"/>
    <w:rsid w:val="00692951"/>
    <w:rsid w:val="00696112"/>
    <w:rsid w:val="006A41EE"/>
    <w:rsid w:val="006C06F9"/>
    <w:rsid w:val="006C1976"/>
    <w:rsid w:val="006D1491"/>
    <w:rsid w:val="006F02F3"/>
    <w:rsid w:val="006F431B"/>
    <w:rsid w:val="007148D2"/>
    <w:rsid w:val="00727DB0"/>
    <w:rsid w:val="007355FA"/>
    <w:rsid w:val="0073666B"/>
    <w:rsid w:val="00741D70"/>
    <w:rsid w:val="007463E9"/>
    <w:rsid w:val="00747FA0"/>
    <w:rsid w:val="007514CD"/>
    <w:rsid w:val="00757F32"/>
    <w:rsid w:val="00761A61"/>
    <w:rsid w:val="00774EB6"/>
    <w:rsid w:val="00775106"/>
    <w:rsid w:val="0079259B"/>
    <w:rsid w:val="007943BE"/>
    <w:rsid w:val="00795020"/>
    <w:rsid w:val="007A0BDA"/>
    <w:rsid w:val="007A20C9"/>
    <w:rsid w:val="007A3D6D"/>
    <w:rsid w:val="007B053E"/>
    <w:rsid w:val="007B3759"/>
    <w:rsid w:val="007C510E"/>
    <w:rsid w:val="007C68F8"/>
    <w:rsid w:val="007D1714"/>
    <w:rsid w:val="007D7EE8"/>
    <w:rsid w:val="00801382"/>
    <w:rsid w:val="00806F5E"/>
    <w:rsid w:val="0080703B"/>
    <w:rsid w:val="00826999"/>
    <w:rsid w:val="00826E4E"/>
    <w:rsid w:val="008309E8"/>
    <w:rsid w:val="0083728E"/>
    <w:rsid w:val="00840A46"/>
    <w:rsid w:val="008508D3"/>
    <w:rsid w:val="0086114D"/>
    <w:rsid w:val="0086607A"/>
    <w:rsid w:val="008678EA"/>
    <w:rsid w:val="00887781"/>
    <w:rsid w:val="008978DE"/>
    <w:rsid w:val="008A19E1"/>
    <w:rsid w:val="008A4090"/>
    <w:rsid w:val="008B0FB1"/>
    <w:rsid w:val="008B143A"/>
    <w:rsid w:val="008C0792"/>
    <w:rsid w:val="008E66FB"/>
    <w:rsid w:val="008F6367"/>
    <w:rsid w:val="00906EB6"/>
    <w:rsid w:val="00910D6B"/>
    <w:rsid w:val="00915B6F"/>
    <w:rsid w:val="00923978"/>
    <w:rsid w:val="00924E63"/>
    <w:rsid w:val="0092619D"/>
    <w:rsid w:val="00930ACB"/>
    <w:rsid w:val="00934D98"/>
    <w:rsid w:val="00945F69"/>
    <w:rsid w:val="00946CC0"/>
    <w:rsid w:val="00947B20"/>
    <w:rsid w:val="0096310C"/>
    <w:rsid w:val="00963D4F"/>
    <w:rsid w:val="009651B0"/>
    <w:rsid w:val="00965AB4"/>
    <w:rsid w:val="009903A0"/>
    <w:rsid w:val="00993033"/>
    <w:rsid w:val="00996399"/>
    <w:rsid w:val="009B3B75"/>
    <w:rsid w:val="009C3539"/>
    <w:rsid w:val="009C3E1A"/>
    <w:rsid w:val="009C42E7"/>
    <w:rsid w:val="009D15A6"/>
    <w:rsid w:val="009D254C"/>
    <w:rsid w:val="009E2105"/>
    <w:rsid w:val="009E3CE6"/>
    <w:rsid w:val="00A01F96"/>
    <w:rsid w:val="00A04C7E"/>
    <w:rsid w:val="00A12989"/>
    <w:rsid w:val="00A23595"/>
    <w:rsid w:val="00A31975"/>
    <w:rsid w:val="00A3673A"/>
    <w:rsid w:val="00A648ED"/>
    <w:rsid w:val="00A66520"/>
    <w:rsid w:val="00A74E85"/>
    <w:rsid w:val="00A7552B"/>
    <w:rsid w:val="00A84C2A"/>
    <w:rsid w:val="00A93499"/>
    <w:rsid w:val="00AA226B"/>
    <w:rsid w:val="00AA6584"/>
    <w:rsid w:val="00AA69BC"/>
    <w:rsid w:val="00AA7D2A"/>
    <w:rsid w:val="00AB313A"/>
    <w:rsid w:val="00AC4749"/>
    <w:rsid w:val="00AD3312"/>
    <w:rsid w:val="00AE273E"/>
    <w:rsid w:val="00AE34ED"/>
    <w:rsid w:val="00AE72F6"/>
    <w:rsid w:val="00AE7C08"/>
    <w:rsid w:val="00B00398"/>
    <w:rsid w:val="00B03A03"/>
    <w:rsid w:val="00B1022D"/>
    <w:rsid w:val="00B13041"/>
    <w:rsid w:val="00B2076E"/>
    <w:rsid w:val="00B276E4"/>
    <w:rsid w:val="00B36B16"/>
    <w:rsid w:val="00B447FA"/>
    <w:rsid w:val="00B475A6"/>
    <w:rsid w:val="00B53C89"/>
    <w:rsid w:val="00B56D08"/>
    <w:rsid w:val="00B61C33"/>
    <w:rsid w:val="00B65199"/>
    <w:rsid w:val="00B67875"/>
    <w:rsid w:val="00B77106"/>
    <w:rsid w:val="00B92C45"/>
    <w:rsid w:val="00B966E9"/>
    <w:rsid w:val="00BA05A6"/>
    <w:rsid w:val="00BB0C98"/>
    <w:rsid w:val="00BC1514"/>
    <w:rsid w:val="00BC5D08"/>
    <w:rsid w:val="00BD1834"/>
    <w:rsid w:val="00BE32C9"/>
    <w:rsid w:val="00BF2FFA"/>
    <w:rsid w:val="00C148BB"/>
    <w:rsid w:val="00C16B1D"/>
    <w:rsid w:val="00C16EA4"/>
    <w:rsid w:val="00C24B05"/>
    <w:rsid w:val="00C31DB6"/>
    <w:rsid w:val="00C507AF"/>
    <w:rsid w:val="00C745D7"/>
    <w:rsid w:val="00C772E3"/>
    <w:rsid w:val="00C77C1A"/>
    <w:rsid w:val="00C914D4"/>
    <w:rsid w:val="00C939A9"/>
    <w:rsid w:val="00C964FD"/>
    <w:rsid w:val="00CA002C"/>
    <w:rsid w:val="00CA0C32"/>
    <w:rsid w:val="00CA0F55"/>
    <w:rsid w:val="00CA5509"/>
    <w:rsid w:val="00CB1120"/>
    <w:rsid w:val="00CB68F4"/>
    <w:rsid w:val="00CB7B29"/>
    <w:rsid w:val="00CC4653"/>
    <w:rsid w:val="00CD4C56"/>
    <w:rsid w:val="00CD54F6"/>
    <w:rsid w:val="00CD5B8B"/>
    <w:rsid w:val="00CE0174"/>
    <w:rsid w:val="00CE373E"/>
    <w:rsid w:val="00CE56B0"/>
    <w:rsid w:val="00D05142"/>
    <w:rsid w:val="00D311F9"/>
    <w:rsid w:val="00D4100F"/>
    <w:rsid w:val="00D43F77"/>
    <w:rsid w:val="00D54A24"/>
    <w:rsid w:val="00D70FAA"/>
    <w:rsid w:val="00D71DD1"/>
    <w:rsid w:val="00D809F1"/>
    <w:rsid w:val="00D8237D"/>
    <w:rsid w:val="00D8550E"/>
    <w:rsid w:val="00D87E16"/>
    <w:rsid w:val="00DA1B86"/>
    <w:rsid w:val="00DA2B1E"/>
    <w:rsid w:val="00DB1D2D"/>
    <w:rsid w:val="00DB41CD"/>
    <w:rsid w:val="00DD1FEA"/>
    <w:rsid w:val="00DD2A47"/>
    <w:rsid w:val="00DD5752"/>
    <w:rsid w:val="00DE5682"/>
    <w:rsid w:val="00DE5FCA"/>
    <w:rsid w:val="00DF1CA9"/>
    <w:rsid w:val="00DF2CF4"/>
    <w:rsid w:val="00DF7F80"/>
    <w:rsid w:val="00E00350"/>
    <w:rsid w:val="00E0177E"/>
    <w:rsid w:val="00E05405"/>
    <w:rsid w:val="00E113E5"/>
    <w:rsid w:val="00E13C79"/>
    <w:rsid w:val="00E161A2"/>
    <w:rsid w:val="00E23509"/>
    <w:rsid w:val="00E24BBF"/>
    <w:rsid w:val="00E25492"/>
    <w:rsid w:val="00E3321C"/>
    <w:rsid w:val="00E42E17"/>
    <w:rsid w:val="00E53412"/>
    <w:rsid w:val="00E53573"/>
    <w:rsid w:val="00E53BCF"/>
    <w:rsid w:val="00E60165"/>
    <w:rsid w:val="00E7183D"/>
    <w:rsid w:val="00E871FA"/>
    <w:rsid w:val="00E955E4"/>
    <w:rsid w:val="00EB0C7D"/>
    <w:rsid w:val="00EB35F3"/>
    <w:rsid w:val="00EB60C8"/>
    <w:rsid w:val="00EB6352"/>
    <w:rsid w:val="00ED0489"/>
    <w:rsid w:val="00ED08E5"/>
    <w:rsid w:val="00ED75AC"/>
    <w:rsid w:val="00ED7BAA"/>
    <w:rsid w:val="00EE2F74"/>
    <w:rsid w:val="00EE6163"/>
    <w:rsid w:val="00F1055D"/>
    <w:rsid w:val="00F16CAC"/>
    <w:rsid w:val="00F21B68"/>
    <w:rsid w:val="00F22690"/>
    <w:rsid w:val="00F2441E"/>
    <w:rsid w:val="00F2513A"/>
    <w:rsid w:val="00F34F0C"/>
    <w:rsid w:val="00F42D7D"/>
    <w:rsid w:val="00F454D6"/>
    <w:rsid w:val="00F63DA8"/>
    <w:rsid w:val="00F8379B"/>
    <w:rsid w:val="00F87EC1"/>
    <w:rsid w:val="00F9068D"/>
    <w:rsid w:val="00FA626F"/>
    <w:rsid w:val="00FB66A9"/>
    <w:rsid w:val="00FC39A4"/>
    <w:rsid w:val="00FC6A8C"/>
    <w:rsid w:val="00FD1890"/>
    <w:rsid w:val="00FD6B84"/>
    <w:rsid w:val="00FE5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46"/>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294E4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294E46"/>
    <w:rPr>
      <w:rFonts w:ascii="Times New Roman" w:hAnsi="Times New Roman"/>
      <w:sz w:val="20"/>
      <w:szCs w:val="20"/>
    </w:rPr>
  </w:style>
  <w:style w:type="character" w:styleId="FootnoteReference">
    <w:name w:val="footnote reference"/>
    <w:basedOn w:val="DefaultParagraphFont"/>
    <w:uiPriority w:val="99"/>
    <w:semiHidden/>
    <w:unhideWhenUsed/>
    <w:rsid w:val="003E48C0"/>
    <w:rPr>
      <w:vertAlign w:val="superscript"/>
    </w:rPr>
  </w:style>
  <w:style w:type="paragraph" w:styleId="BalloonText">
    <w:name w:val="Balloon Text"/>
    <w:basedOn w:val="Normal"/>
    <w:link w:val="BalloonTextChar"/>
    <w:uiPriority w:val="99"/>
    <w:semiHidden/>
    <w:unhideWhenUsed/>
    <w:rsid w:val="00294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E46"/>
    <w:rPr>
      <w:rFonts w:ascii="Tahoma" w:hAnsi="Tahoma" w:cs="Tahoma"/>
      <w:sz w:val="16"/>
      <w:szCs w:val="16"/>
    </w:rPr>
  </w:style>
  <w:style w:type="character" w:styleId="CommentReference">
    <w:name w:val="annotation reference"/>
    <w:basedOn w:val="DefaultParagraphFont"/>
    <w:uiPriority w:val="99"/>
    <w:semiHidden/>
    <w:unhideWhenUsed/>
    <w:rsid w:val="008508D3"/>
    <w:rPr>
      <w:sz w:val="16"/>
      <w:szCs w:val="16"/>
    </w:rPr>
  </w:style>
  <w:style w:type="paragraph" w:styleId="CommentText">
    <w:name w:val="annotation text"/>
    <w:basedOn w:val="Normal"/>
    <w:link w:val="CommentTextChar"/>
    <w:uiPriority w:val="99"/>
    <w:semiHidden/>
    <w:unhideWhenUsed/>
    <w:rsid w:val="008508D3"/>
    <w:pPr>
      <w:spacing w:line="240" w:lineRule="auto"/>
    </w:pPr>
    <w:rPr>
      <w:sz w:val="20"/>
      <w:szCs w:val="20"/>
    </w:rPr>
  </w:style>
  <w:style w:type="character" w:customStyle="1" w:styleId="CommentTextChar">
    <w:name w:val="Comment Text Char"/>
    <w:basedOn w:val="DefaultParagraphFont"/>
    <w:link w:val="CommentText"/>
    <w:uiPriority w:val="99"/>
    <w:semiHidden/>
    <w:rsid w:val="008508D3"/>
    <w:rPr>
      <w:sz w:val="20"/>
      <w:szCs w:val="20"/>
    </w:rPr>
  </w:style>
  <w:style w:type="paragraph" w:styleId="CommentSubject">
    <w:name w:val="annotation subject"/>
    <w:basedOn w:val="CommentText"/>
    <w:next w:val="CommentText"/>
    <w:link w:val="CommentSubjectChar"/>
    <w:uiPriority w:val="99"/>
    <w:semiHidden/>
    <w:unhideWhenUsed/>
    <w:rsid w:val="008508D3"/>
    <w:rPr>
      <w:b/>
      <w:bCs/>
    </w:rPr>
  </w:style>
  <w:style w:type="character" w:customStyle="1" w:styleId="CommentSubjectChar">
    <w:name w:val="Comment Subject Char"/>
    <w:basedOn w:val="CommentTextChar"/>
    <w:link w:val="CommentSubject"/>
    <w:uiPriority w:val="99"/>
    <w:semiHidden/>
    <w:rsid w:val="008508D3"/>
    <w:rPr>
      <w:b/>
      <w:bCs/>
      <w:sz w:val="20"/>
      <w:szCs w:val="20"/>
    </w:rPr>
  </w:style>
  <w:style w:type="paragraph" w:styleId="ListParagraph">
    <w:name w:val="List Paragraph"/>
    <w:basedOn w:val="Normal"/>
    <w:uiPriority w:val="34"/>
    <w:qFormat/>
    <w:rsid w:val="00165C3A"/>
    <w:pPr>
      <w:ind w:left="720"/>
      <w:contextualSpacing/>
    </w:pPr>
  </w:style>
  <w:style w:type="paragraph" w:styleId="Header">
    <w:name w:val="header"/>
    <w:basedOn w:val="Normal"/>
    <w:link w:val="HeaderChar"/>
    <w:uiPriority w:val="99"/>
    <w:unhideWhenUsed/>
    <w:rsid w:val="00924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E63"/>
  </w:style>
  <w:style w:type="paragraph" w:styleId="Footer">
    <w:name w:val="footer"/>
    <w:basedOn w:val="Normal"/>
    <w:link w:val="FooterChar"/>
    <w:uiPriority w:val="99"/>
    <w:unhideWhenUsed/>
    <w:rsid w:val="00924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E63"/>
  </w:style>
  <w:style w:type="paragraph" w:styleId="BodyTextIndent">
    <w:name w:val="Body Text Indent"/>
    <w:basedOn w:val="Normal"/>
    <w:link w:val="BodyTextIndentChar"/>
    <w:uiPriority w:val="99"/>
    <w:rsid w:val="000B1071"/>
    <w:pPr>
      <w:spacing w:after="0" w:line="480" w:lineRule="auto"/>
      <w:ind w:left="72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0B1071"/>
    <w:rPr>
      <w:rFonts w:ascii="Times New Roman" w:eastAsia="Times New Roman" w:hAnsi="Times New Roman" w:cs="Times New Roman"/>
      <w:sz w:val="24"/>
      <w:szCs w:val="24"/>
    </w:rPr>
  </w:style>
  <w:style w:type="paragraph" w:customStyle="1" w:styleId="Answer">
    <w:name w:val="Answer"/>
    <w:basedOn w:val="Normal"/>
    <w:link w:val="AnswerChar1"/>
    <w:rsid w:val="00C16EA4"/>
    <w:pPr>
      <w:spacing w:after="0" w:line="480" w:lineRule="auto"/>
      <w:ind w:left="720" w:hanging="720"/>
      <w:jc w:val="both"/>
    </w:pPr>
    <w:rPr>
      <w:rFonts w:ascii="Times New Roman" w:eastAsia="Times New Roman" w:hAnsi="Times New Roman" w:cs="Times New Roman"/>
      <w:sz w:val="24"/>
      <w:szCs w:val="20"/>
    </w:rPr>
  </w:style>
  <w:style w:type="character" w:customStyle="1" w:styleId="AnswerChar1">
    <w:name w:val="Answer Char1"/>
    <w:basedOn w:val="DefaultParagraphFont"/>
    <w:link w:val="Answer"/>
    <w:rsid w:val="00C16EA4"/>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8B143A"/>
    <w:pPr>
      <w:spacing w:after="120" w:line="480" w:lineRule="auto"/>
      <w:ind w:left="360"/>
    </w:pPr>
  </w:style>
  <w:style w:type="character" w:customStyle="1" w:styleId="BodyTextIndent2Char">
    <w:name w:val="Body Text Indent 2 Char"/>
    <w:basedOn w:val="DefaultParagraphFont"/>
    <w:link w:val="BodyTextIndent2"/>
    <w:uiPriority w:val="99"/>
    <w:semiHidden/>
    <w:rsid w:val="008B143A"/>
  </w:style>
  <w:style w:type="character" w:styleId="LineNumber">
    <w:name w:val="line number"/>
    <w:basedOn w:val="DefaultParagraphFont"/>
    <w:uiPriority w:val="99"/>
    <w:semiHidden/>
    <w:rsid w:val="00BE32C9"/>
    <w:rPr>
      <w:rFonts w:cs="Times New Roman"/>
    </w:rPr>
  </w:style>
  <w:style w:type="paragraph" w:styleId="Revision">
    <w:name w:val="Revision"/>
    <w:hidden/>
    <w:uiPriority w:val="99"/>
    <w:semiHidden/>
    <w:rsid w:val="007148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2011-02-11T08:00:00+00:00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8304A-CE02-4D41-A162-3C1D0687B143}"/>
</file>

<file path=customXml/itemProps2.xml><?xml version="1.0" encoding="utf-8"?>
<ds:datastoreItem xmlns:ds="http://schemas.openxmlformats.org/officeDocument/2006/customXml" ds:itemID="{D497AAD1-846D-481A-88E7-B6A49AA198B1}"/>
</file>

<file path=customXml/itemProps3.xml><?xml version="1.0" encoding="utf-8"?>
<ds:datastoreItem xmlns:ds="http://schemas.openxmlformats.org/officeDocument/2006/customXml" ds:itemID="{0B2939E0-6BF3-43AC-8E3F-98B0A63CEDA7}"/>
</file>

<file path=customXml/itemProps4.xml><?xml version="1.0" encoding="utf-8"?>
<ds:datastoreItem xmlns:ds="http://schemas.openxmlformats.org/officeDocument/2006/customXml" ds:itemID="{BE062FA4-DEF0-467A-A76D-68B6ABA29B5F}"/>
</file>

<file path=customXml/itemProps5.xml><?xml version="1.0" encoding="utf-8"?>
<ds:datastoreItem xmlns:ds="http://schemas.openxmlformats.org/officeDocument/2006/customXml" ds:itemID="{E3F7232C-9329-4A60-B797-FDD252F3D2A2}"/>
</file>

<file path=docProps/app.xml><?xml version="1.0" encoding="utf-8"?>
<Properties xmlns="http://schemas.openxmlformats.org/officeDocument/2006/extended-properties" xmlns:vt="http://schemas.openxmlformats.org/officeDocument/2006/docPropsVTypes">
  <Template>Normal.dotm</Template>
  <TotalTime>1</TotalTime>
  <Pages>67</Pages>
  <Words>17270</Words>
  <Characters>98444</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Schooley</dc:creator>
  <cp:lastModifiedBy>Krista Gross</cp:lastModifiedBy>
  <cp:revision>4</cp:revision>
  <cp:lastPrinted>2011-02-11T23:14:00Z</cp:lastPrinted>
  <dcterms:created xsi:type="dcterms:W3CDTF">2011-02-11T23:12:00Z</dcterms:created>
  <dcterms:modified xsi:type="dcterms:W3CDTF">2011-02-11T23:14:00Z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