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914F08" w:rsidRPr="005540EB" w:rsidRDefault="00914F08" w:rsidP="001D1FB5">
      <w:pPr>
        <w:tabs>
          <w:tab w:val="left" w:pos="1260"/>
        </w:tabs>
        <w:spacing w:line="480" w:lineRule="auto"/>
      </w:pPr>
    </w:p>
    <w:p w:rsidR="00914F08" w:rsidRDefault="00131A33" w:rsidP="000F6CFB">
      <w:pPr>
        <w:tabs>
          <w:tab w:val="left" w:pos="1260"/>
        </w:tabs>
        <w:spacing w:line="480" w:lineRule="auto"/>
        <w:ind w:left="-270"/>
        <w:jc w:val="center"/>
      </w:pPr>
      <w:r w:rsidRPr="005540EB">
        <w:t>DOCKET NO. UG-</w:t>
      </w:r>
      <w:r w:rsidR="009A0016">
        <w:t>160229</w:t>
      </w:r>
    </w:p>
    <w:p w:rsidR="009A0016" w:rsidRPr="005540EB" w:rsidRDefault="009A0016" w:rsidP="000F6CFB">
      <w:pPr>
        <w:tabs>
          <w:tab w:val="left" w:pos="1260"/>
        </w:tabs>
        <w:spacing w:line="480" w:lineRule="auto"/>
        <w:ind w:left="-270"/>
        <w:jc w:val="center"/>
      </w:pPr>
    </w:p>
    <w:p w:rsidR="00914F08" w:rsidRPr="005540EB" w:rsidRDefault="00823B37" w:rsidP="000F6CFB">
      <w:pPr>
        <w:tabs>
          <w:tab w:val="left" w:pos="1260"/>
        </w:tabs>
        <w:spacing w:line="480" w:lineRule="auto"/>
        <w:ind w:left="-270"/>
        <w:jc w:val="center"/>
      </w:pPr>
      <w:r>
        <w:t>REBUTTAL</w:t>
      </w:r>
      <w:r w:rsidR="00914F08" w:rsidRPr="005540EB">
        <w:t xml:space="preserve"> TESTIMONY OF</w:t>
      </w:r>
    </w:p>
    <w:p w:rsidR="00914F08" w:rsidRPr="005540EB" w:rsidRDefault="009A0016" w:rsidP="000F6CFB">
      <w:pPr>
        <w:tabs>
          <w:tab w:val="left" w:pos="1260"/>
        </w:tabs>
        <w:spacing w:line="480" w:lineRule="auto"/>
        <w:ind w:left="-270"/>
        <w:jc w:val="center"/>
      </w:pPr>
      <w:r>
        <w:t>JOSEPH D. MILLER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9C3105">
        <w:rPr>
          <w:rFonts w:ascii="Times New Roman" w:hAnsi="Times New Roman" w:cs="Times New Roman"/>
        </w:rPr>
        <w:t>Joseph D. Miller</w:t>
      </w:r>
      <w:r w:rsidRPr="005540EB">
        <w:rPr>
          <w:rFonts w:ascii="Times New Roman" w:hAnsi="Times New Roman" w:cs="Times New Roman"/>
        </w:rPr>
        <w:t xml:space="preserve"> and my business address is 1411 East Mission Avenue, Spokane, Washington.  I am presently assigned to the State and Federal Regulation Department as </w:t>
      </w:r>
      <w:r w:rsidR="00495E93">
        <w:rPr>
          <w:rFonts w:ascii="Times New Roman" w:hAnsi="Times New Roman" w:cs="Times New Roman"/>
        </w:rPr>
        <w:t>a Senior Regulatory Analyst</w:t>
      </w:r>
      <w:r w:rsidRPr="005540EB">
        <w:rPr>
          <w:rFonts w:ascii="Times New Roman" w:hAnsi="Times New Roman" w:cs="Times New Roman"/>
        </w:rPr>
        <w:t>.</w:t>
      </w:r>
    </w:p>
    <w:p w:rsidR="00823B37" w:rsidRDefault="00823B37" w:rsidP="00823B37">
      <w:pPr>
        <w:pStyle w:val="P65"/>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t>Have you filed direct testimony in this proceeding?</w:t>
      </w:r>
    </w:p>
    <w:p w:rsidR="00823B37" w:rsidRDefault="00823B37" w:rsidP="00823B37">
      <w:pPr>
        <w:pStyle w:val="P31"/>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I have filed direct testimony in this case addressing </w:t>
      </w:r>
      <w:r w:rsidR="009C3105">
        <w:rPr>
          <w:rFonts w:ascii="Times New Roman" w:hAnsi="Times New Roman" w:cs="Times New Roman"/>
        </w:rPr>
        <w:t>natural gas revenue normalization adjustments and the cost of service study performed for this proceeding</w:t>
      </w:r>
      <w:r>
        <w:rPr>
          <w:rFonts w:ascii="Times New Roman" w:hAnsi="Times New Roman" w:cs="Times New Roman"/>
        </w:rPr>
        <w:t>.</w:t>
      </w:r>
    </w:p>
    <w:p w:rsidR="005540EB" w:rsidRPr="00823B37" w:rsidRDefault="005540EB" w:rsidP="006A4CE9">
      <w:pPr>
        <w:pStyle w:val="P31"/>
        <w:jc w:val="both"/>
        <w:rPr>
          <w:rFonts w:ascii="Times New Roman" w:hAnsi="Times New Roman" w:cs="Times New Roman"/>
          <w:b/>
        </w:rPr>
      </w:pPr>
      <w:r w:rsidRPr="00823B37">
        <w:rPr>
          <w:rFonts w:ascii="Times New Roman" w:hAnsi="Times New Roman" w:cs="Times New Roman"/>
          <w:b/>
        </w:rPr>
        <w:t>Q.</w:t>
      </w:r>
      <w:r w:rsidRPr="00823B37">
        <w:rPr>
          <w:rFonts w:ascii="Times New Roman" w:hAnsi="Times New Roman" w:cs="Times New Roman"/>
          <w:b/>
        </w:rPr>
        <w:tab/>
      </w:r>
      <w:r w:rsidR="00823B37" w:rsidRPr="00823B37">
        <w:rPr>
          <w:rFonts w:ascii="Times New Roman" w:hAnsi="Times New Roman" w:cs="Times New Roman"/>
          <w:b/>
        </w:rPr>
        <w:t>What is the scope of your rebuttal testimony?</w:t>
      </w:r>
    </w:p>
    <w:p w:rsidR="000B6A29" w:rsidRDefault="005540EB" w:rsidP="0059728B">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7D16EF" w:rsidRPr="005540EB">
        <w:rPr>
          <w:rFonts w:ascii="Times New Roman" w:hAnsi="Times New Roman" w:cs="Times New Roman"/>
        </w:rPr>
        <w:t xml:space="preserve">My testimony </w:t>
      </w:r>
      <w:r w:rsidR="007D16EF" w:rsidRPr="000A6734">
        <w:rPr>
          <w:rFonts w:ascii="Times New Roman" w:hAnsi="Times New Roman" w:cs="Times New Roman"/>
        </w:rPr>
        <w:t>will</w:t>
      </w:r>
      <w:r w:rsidR="00823B37">
        <w:rPr>
          <w:rFonts w:ascii="Times New Roman" w:hAnsi="Times New Roman" w:cs="Times New Roman"/>
        </w:rPr>
        <w:t xml:space="preserve"> provide the Company’s response to </w:t>
      </w:r>
      <w:r w:rsidR="0059728B">
        <w:rPr>
          <w:rFonts w:ascii="Times New Roman" w:hAnsi="Times New Roman" w:cs="Times New Roman"/>
        </w:rPr>
        <w:t>the Northwest Industrial Gas User’s (“NWIGU”) natural gas cost of service study proposal</w:t>
      </w:r>
      <w:r w:rsidR="00823B37">
        <w:rPr>
          <w:rFonts w:ascii="Times New Roman" w:hAnsi="Times New Roman" w:cs="Times New Roman"/>
        </w:rPr>
        <w:t xml:space="preserve">.  </w:t>
      </w:r>
      <w:r w:rsidR="00243BE5">
        <w:rPr>
          <w:rFonts w:ascii="Times New Roman" w:hAnsi="Times New Roman" w:cs="Times New Roman"/>
        </w:rPr>
        <w:t>Specifically,</w:t>
      </w:r>
      <w:r w:rsidR="000D39F1">
        <w:rPr>
          <w:rFonts w:ascii="Times New Roman" w:hAnsi="Times New Roman" w:cs="Times New Roman"/>
        </w:rPr>
        <w:t xml:space="preserve"> my rebuttal testimony will cover three main areas</w:t>
      </w:r>
      <w:r w:rsidR="002456CD">
        <w:rPr>
          <w:rFonts w:ascii="Times New Roman" w:hAnsi="Times New Roman" w:cs="Times New Roman"/>
        </w:rPr>
        <w:t xml:space="preserve"> </w:t>
      </w:r>
      <w:r w:rsidR="000D39F1">
        <w:rPr>
          <w:rFonts w:ascii="Times New Roman" w:hAnsi="Times New Roman" w:cs="Times New Roman"/>
        </w:rPr>
        <w:t>as follow:</w:t>
      </w:r>
    </w:p>
    <w:p w:rsidR="000D39F1" w:rsidRDefault="00EB5A81" w:rsidP="000356FC">
      <w:pPr>
        <w:pStyle w:val="P106"/>
        <w:numPr>
          <w:ilvl w:val="0"/>
          <w:numId w:val="39"/>
        </w:numPr>
        <w:jc w:val="both"/>
        <w:rPr>
          <w:rFonts w:ascii="Times New Roman" w:hAnsi="Times New Roman" w:cs="Times New Roman"/>
        </w:rPr>
      </w:pPr>
      <w:r>
        <w:rPr>
          <w:rFonts w:ascii="Times New Roman" w:hAnsi="Times New Roman" w:cs="Times New Roman"/>
        </w:rPr>
        <w:t xml:space="preserve">The </w:t>
      </w:r>
      <w:r w:rsidR="002D430B">
        <w:rPr>
          <w:rFonts w:ascii="Times New Roman" w:hAnsi="Times New Roman" w:cs="Times New Roman"/>
        </w:rPr>
        <w:t>natural gas distribution plant related portion</w:t>
      </w:r>
      <w:r>
        <w:rPr>
          <w:rFonts w:ascii="Times New Roman" w:hAnsi="Times New Roman" w:cs="Times New Roman"/>
        </w:rPr>
        <w:t xml:space="preserve"> of Advanced Metering Infrastructure (“AMI”) costs</w:t>
      </w:r>
      <w:r w:rsidR="002D430B">
        <w:rPr>
          <w:rFonts w:ascii="Times New Roman" w:hAnsi="Times New Roman" w:cs="Times New Roman"/>
        </w:rPr>
        <w:t xml:space="preserve"> should be assigned to FERC Account 381 </w:t>
      </w:r>
      <w:r w:rsidR="00C76697">
        <w:rPr>
          <w:rFonts w:ascii="Times New Roman" w:hAnsi="Times New Roman" w:cs="Times New Roman"/>
        </w:rPr>
        <w:t>–</w:t>
      </w:r>
      <w:r w:rsidR="002D430B">
        <w:rPr>
          <w:rFonts w:ascii="Times New Roman" w:hAnsi="Times New Roman" w:cs="Times New Roman"/>
        </w:rPr>
        <w:t xml:space="preserve"> Meters</w:t>
      </w:r>
      <w:r w:rsidR="00C76697">
        <w:rPr>
          <w:rFonts w:ascii="Times New Roman" w:hAnsi="Times New Roman" w:cs="Times New Roman"/>
        </w:rPr>
        <w:t xml:space="preserve"> as</w:t>
      </w:r>
      <w:r w:rsidR="00113205">
        <w:rPr>
          <w:rFonts w:ascii="Times New Roman" w:hAnsi="Times New Roman" w:cs="Times New Roman"/>
        </w:rPr>
        <w:t xml:space="preserve"> proposed by NWIGU.  T</w:t>
      </w:r>
      <w:r w:rsidR="00C76697">
        <w:rPr>
          <w:rFonts w:ascii="Times New Roman" w:hAnsi="Times New Roman" w:cs="Times New Roman"/>
        </w:rPr>
        <w:t>he effect of incorporating this change is minimal and would not alter the rate spread, as proposed by Company witness Ehrbar</w:t>
      </w:r>
      <w:r w:rsidR="00113205">
        <w:rPr>
          <w:rFonts w:ascii="Times New Roman" w:hAnsi="Times New Roman" w:cs="Times New Roman"/>
        </w:rPr>
        <w:t>,</w:t>
      </w:r>
      <w:r w:rsidR="00C76697">
        <w:rPr>
          <w:rFonts w:ascii="Times New Roman" w:hAnsi="Times New Roman" w:cs="Times New Roman"/>
        </w:rPr>
        <w:t xml:space="preserve"> in this case.</w:t>
      </w:r>
    </w:p>
    <w:p w:rsidR="002456CD" w:rsidRDefault="002456CD" w:rsidP="00C77048">
      <w:pPr>
        <w:pStyle w:val="P106"/>
        <w:numPr>
          <w:ilvl w:val="0"/>
          <w:numId w:val="39"/>
        </w:numPr>
        <w:jc w:val="both"/>
        <w:rPr>
          <w:rFonts w:ascii="Times New Roman" w:hAnsi="Times New Roman" w:cs="Times New Roman"/>
        </w:rPr>
      </w:pPr>
      <w:r w:rsidRPr="002456CD">
        <w:rPr>
          <w:rFonts w:ascii="Times New Roman" w:hAnsi="Times New Roman" w:cs="Times New Roman"/>
        </w:rPr>
        <w:t xml:space="preserve">The Peak and Average </w:t>
      </w:r>
      <w:r w:rsidR="002F18E0">
        <w:rPr>
          <w:rFonts w:ascii="Times New Roman" w:hAnsi="Times New Roman" w:cs="Times New Roman"/>
        </w:rPr>
        <w:t>M</w:t>
      </w:r>
      <w:r w:rsidRPr="002456CD">
        <w:rPr>
          <w:rFonts w:ascii="Times New Roman" w:hAnsi="Times New Roman" w:cs="Times New Roman"/>
        </w:rPr>
        <w:t>ethodology is the proper basis for assigning distribution main and regulator station equipment costs</w:t>
      </w:r>
      <w:r w:rsidR="002F18E0">
        <w:rPr>
          <w:rFonts w:ascii="Times New Roman" w:hAnsi="Times New Roman" w:cs="Times New Roman"/>
        </w:rPr>
        <w:t>,</w:t>
      </w:r>
      <w:r w:rsidRPr="002456CD">
        <w:rPr>
          <w:rFonts w:ascii="Times New Roman" w:hAnsi="Times New Roman" w:cs="Times New Roman"/>
        </w:rPr>
        <w:t xml:space="preserve"> because it provides an appropriate</w:t>
      </w:r>
      <w:r w:rsidR="002D430B" w:rsidRPr="002456CD">
        <w:rPr>
          <w:rFonts w:ascii="Times New Roman" w:hAnsi="Times New Roman" w:cs="Times New Roman"/>
        </w:rPr>
        <w:t xml:space="preserve"> balance between the way the system is designed (to meet peak demand) and the way it is used on an annual basis (throughput based on gas usage that occurs during all conditi</w:t>
      </w:r>
      <w:r>
        <w:rPr>
          <w:rFonts w:ascii="Times New Roman" w:hAnsi="Times New Roman" w:cs="Times New Roman"/>
        </w:rPr>
        <w:t>ons, not only peak conditions) as supported by prior Commission orders.</w:t>
      </w:r>
    </w:p>
    <w:p w:rsidR="00EB5A81" w:rsidRPr="002456CD" w:rsidRDefault="002456CD" w:rsidP="00C77048">
      <w:pPr>
        <w:pStyle w:val="P106"/>
        <w:numPr>
          <w:ilvl w:val="0"/>
          <w:numId w:val="39"/>
        </w:numPr>
        <w:jc w:val="both"/>
        <w:rPr>
          <w:rFonts w:ascii="Times New Roman" w:hAnsi="Times New Roman" w:cs="Times New Roman"/>
        </w:rPr>
      </w:pPr>
      <w:r>
        <w:rPr>
          <w:rFonts w:ascii="Times New Roman" w:hAnsi="Times New Roman" w:cs="Times New Roman"/>
        </w:rPr>
        <w:lastRenderedPageBreak/>
        <w:t>NWIGU’s allocation of a portion of distribution main costs on a customer</w:t>
      </w:r>
      <w:r w:rsidR="002F18E0">
        <w:rPr>
          <w:rFonts w:ascii="Times New Roman" w:hAnsi="Times New Roman" w:cs="Times New Roman"/>
        </w:rPr>
        <w:t>-</w:t>
      </w:r>
      <w:r>
        <w:rPr>
          <w:rFonts w:ascii="Times New Roman" w:hAnsi="Times New Roman" w:cs="Times New Roman"/>
        </w:rPr>
        <w:t xml:space="preserve">related basis is </w:t>
      </w:r>
      <w:r w:rsidRPr="002456CD">
        <w:rPr>
          <w:rFonts w:ascii="Times New Roman" w:hAnsi="Times New Roman" w:cs="Times New Roman"/>
        </w:rPr>
        <w:t xml:space="preserve">unreasonable and </w:t>
      </w:r>
      <w:r w:rsidR="00113205">
        <w:rPr>
          <w:rFonts w:ascii="Times New Roman" w:hAnsi="Times New Roman" w:cs="Times New Roman"/>
        </w:rPr>
        <w:t>significantly over-</w:t>
      </w:r>
      <w:r>
        <w:rPr>
          <w:rFonts w:ascii="Times New Roman" w:hAnsi="Times New Roman" w:cs="Times New Roman"/>
        </w:rPr>
        <w:t>allocates distribution main investment to the mostly residential General Service Schedules 101/102.</w:t>
      </w:r>
    </w:p>
    <w:p w:rsidR="005540EB" w:rsidRPr="003D61F4" w:rsidRDefault="005540EB" w:rsidP="000B6A29">
      <w:pPr>
        <w:pStyle w:val="P106"/>
        <w:jc w:val="both"/>
        <w:rPr>
          <w:rFonts w:ascii="Times New Roman" w:hAnsi="Times New Roman" w:cs="Times New Roman"/>
        </w:rPr>
      </w:pPr>
      <w:r w:rsidRPr="003D61F4">
        <w:rPr>
          <w:rStyle w:val="T11"/>
          <w:rFonts w:ascii="Times New Roman" w:hAnsi="Times New Roman" w:cs="Times New Roman"/>
        </w:rPr>
        <w:t>Q.</w:t>
      </w:r>
      <w:r w:rsidRPr="003D61F4">
        <w:rPr>
          <w:rStyle w:val="T11"/>
          <w:rFonts w:ascii="Times New Roman" w:hAnsi="Times New Roman" w:cs="Times New Roman"/>
        </w:rPr>
        <w:tab/>
        <w:t xml:space="preserve">Are you sponsoring any </w:t>
      </w:r>
      <w:r w:rsidR="00B50A07" w:rsidRPr="003D61F4">
        <w:rPr>
          <w:rStyle w:val="T11"/>
          <w:rFonts w:ascii="Times New Roman" w:hAnsi="Times New Roman" w:cs="Times New Roman"/>
        </w:rPr>
        <w:t>e</w:t>
      </w:r>
      <w:r w:rsidRPr="003D61F4">
        <w:rPr>
          <w:rStyle w:val="T11"/>
          <w:rFonts w:ascii="Times New Roman" w:hAnsi="Times New Roman" w:cs="Times New Roman"/>
        </w:rPr>
        <w:t>xhibits that accompany your testimony?</w:t>
      </w:r>
    </w:p>
    <w:p w:rsidR="00823B37" w:rsidRDefault="005540EB" w:rsidP="00823B37">
      <w:pPr>
        <w:pStyle w:val="P31"/>
        <w:jc w:val="both"/>
        <w:rPr>
          <w:rFonts w:ascii="Times New Roman" w:hAnsi="Times New Roman" w:cs="Times New Roman"/>
        </w:rPr>
      </w:pPr>
      <w:r w:rsidRPr="003D61F4">
        <w:rPr>
          <w:rFonts w:ascii="Times New Roman" w:hAnsi="Times New Roman" w:cs="Times New Roman"/>
        </w:rPr>
        <w:t>A.</w:t>
      </w:r>
      <w:r w:rsidRPr="003D61F4">
        <w:rPr>
          <w:rFonts w:ascii="Times New Roman" w:hAnsi="Times New Roman" w:cs="Times New Roman"/>
        </w:rPr>
        <w:tab/>
      </w:r>
      <w:r w:rsidR="002B29A4" w:rsidRPr="003D61F4">
        <w:rPr>
          <w:rFonts w:ascii="Times New Roman" w:hAnsi="Times New Roman" w:cs="Times New Roman"/>
        </w:rPr>
        <w:t>No.</w:t>
      </w:r>
    </w:p>
    <w:p w:rsidR="00747286" w:rsidRPr="006A743A" w:rsidRDefault="00747286" w:rsidP="00747286">
      <w:pPr>
        <w:pStyle w:val="Heading1"/>
        <w:jc w:val="center"/>
        <w:rPr>
          <w:u w:val="single"/>
        </w:rPr>
      </w:pPr>
      <w:r w:rsidRPr="006A743A">
        <w:rPr>
          <w:u w:val="single"/>
        </w:rPr>
        <w:t>TABLE OF CONTENTS</w:t>
      </w:r>
    </w:p>
    <w:p w:rsidR="00747286" w:rsidRPr="006A743A" w:rsidRDefault="00747286" w:rsidP="00747286">
      <w:pPr>
        <w:pStyle w:val="Heading1"/>
        <w:tabs>
          <w:tab w:val="clear" w:pos="5040"/>
          <w:tab w:val="clear" w:pos="6480"/>
          <w:tab w:val="clear" w:pos="7920"/>
          <w:tab w:val="center" w:pos="8640"/>
        </w:tabs>
        <w:spacing w:line="240" w:lineRule="auto"/>
        <w:ind w:right="-108"/>
        <w:jc w:val="left"/>
      </w:pPr>
      <w:r w:rsidRPr="006A743A">
        <w:tab/>
      </w:r>
      <w:r w:rsidRPr="006A743A">
        <w:rPr>
          <w:u w:val="single"/>
        </w:rPr>
        <w:t>Description</w:t>
      </w:r>
      <w:r w:rsidRPr="006A743A">
        <w:tab/>
      </w:r>
      <w:r w:rsidRPr="006A743A">
        <w:rPr>
          <w:u w:val="single"/>
        </w:rPr>
        <w:t>Page</w:t>
      </w:r>
    </w:p>
    <w:p w:rsidR="00747286" w:rsidRDefault="00747286" w:rsidP="00747286">
      <w:pPr>
        <w:pStyle w:val="Heading1"/>
        <w:tabs>
          <w:tab w:val="clear" w:pos="5040"/>
          <w:tab w:val="clear" w:pos="6480"/>
          <w:tab w:val="clear" w:pos="7920"/>
          <w:tab w:val="center" w:pos="8640"/>
          <w:tab w:val="right" w:pos="9180"/>
        </w:tabs>
        <w:spacing w:line="240" w:lineRule="auto"/>
        <w:ind w:right="-108"/>
        <w:jc w:val="left"/>
        <w:rPr>
          <w:b w:val="0"/>
        </w:rPr>
      </w:pPr>
      <w:r w:rsidRPr="0008655E">
        <w:rPr>
          <w:b w:val="0"/>
        </w:rPr>
        <w:t>I.</w:t>
      </w:r>
      <w:r w:rsidRPr="0008655E">
        <w:rPr>
          <w:b w:val="0"/>
        </w:rPr>
        <w:tab/>
        <w:t>Introduction</w:t>
      </w:r>
      <w:r w:rsidRPr="0008655E">
        <w:rPr>
          <w:b w:val="0"/>
        </w:rPr>
        <w:tab/>
      </w:r>
      <w:r>
        <w:rPr>
          <w:b w:val="0"/>
        </w:rPr>
        <w:t>1</w:t>
      </w:r>
    </w:p>
    <w:p w:rsidR="00700BDB" w:rsidRPr="00700BDB" w:rsidRDefault="00700BDB" w:rsidP="00700BDB"/>
    <w:p w:rsidR="00747286" w:rsidRPr="0008655E" w:rsidRDefault="00700BDB" w:rsidP="00747286">
      <w:pPr>
        <w:pStyle w:val="Heading1"/>
        <w:tabs>
          <w:tab w:val="clear" w:pos="5040"/>
          <w:tab w:val="clear" w:pos="6480"/>
          <w:tab w:val="clear" w:pos="7920"/>
          <w:tab w:val="center" w:pos="8640"/>
          <w:tab w:val="right" w:pos="9180"/>
        </w:tabs>
        <w:spacing w:line="240" w:lineRule="auto"/>
        <w:ind w:right="-108"/>
        <w:jc w:val="left"/>
        <w:rPr>
          <w:b w:val="0"/>
        </w:rPr>
      </w:pPr>
      <w:r>
        <w:rPr>
          <w:b w:val="0"/>
        </w:rPr>
        <w:t>I</w:t>
      </w:r>
      <w:r w:rsidR="00747286">
        <w:rPr>
          <w:b w:val="0"/>
        </w:rPr>
        <w:t>I</w:t>
      </w:r>
      <w:r w:rsidR="00747286" w:rsidRPr="0008655E">
        <w:rPr>
          <w:b w:val="0"/>
        </w:rPr>
        <w:t>.</w:t>
      </w:r>
      <w:r w:rsidR="00747286" w:rsidRPr="0008655E">
        <w:rPr>
          <w:b w:val="0"/>
        </w:rPr>
        <w:tab/>
      </w:r>
      <w:r w:rsidR="001372AD">
        <w:rPr>
          <w:b w:val="0"/>
        </w:rPr>
        <w:t>Proper Allocation of AMI Related Costs</w:t>
      </w:r>
      <w:r w:rsidR="00747286" w:rsidRPr="0008655E">
        <w:rPr>
          <w:b w:val="0"/>
        </w:rPr>
        <w:t xml:space="preserve"> </w:t>
      </w:r>
      <w:r w:rsidR="008E51B6">
        <w:rPr>
          <w:b w:val="0"/>
        </w:rPr>
        <w:tab/>
        <w:t>2</w:t>
      </w:r>
    </w:p>
    <w:p w:rsidR="00747286" w:rsidRPr="001C3474" w:rsidRDefault="00747286" w:rsidP="00747286">
      <w:pPr>
        <w:tabs>
          <w:tab w:val="center" w:pos="8640"/>
        </w:tabs>
        <w:ind w:right="-108"/>
      </w:pPr>
    </w:p>
    <w:p w:rsidR="00747286" w:rsidRPr="009B0C4F" w:rsidRDefault="00700BDB" w:rsidP="00747286">
      <w:pPr>
        <w:pStyle w:val="Heading1"/>
        <w:tabs>
          <w:tab w:val="clear" w:pos="5040"/>
          <w:tab w:val="clear" w:pos="6480"/>
          <w:tab w:val="clear" w:pos="7920"/>
          <w:tab w:val="center" w:pos="8640"/>
          <w:tab w:val="right" w:pos="9180"/>
        </w:tabs>
        <w:spacing w:line="240" w:lineRule="auto"/>
        <w:ind w:right="-108"/>
        <w:jc w:val="left"/>
        <w:rPr>
          <w:b w:val="0"/>
        </w:rPr>
      </w:pPr>
      <w:r>
        <w:rPr>
          <w:b w:val="0"/>
        </w:rPr>
        <w:t>III</w:t>
      </w:r>
      <w:r w:rsidR="00747286">
        <w:rPr>
          <w:b w:val="0"/>
        </w:rPr>
        <w:t>.</w:t>
      </w:r>
      <w:r w:rsidR="00747286">
        <w:rPr>
          <w:b w:val="0"/>
        </w:rPr>
        <w:tab/>
        <w:t>Peak and Average Methodology</w:t>
      </w:r>
      <w:r w:rsidR="00A905DC">
        <w:rPr>
          <w:b w:val="0"/>
        </w:rPr>
        <w:tab/>
        <w:t>4</w:t>
      </w:r>
    </w:p>
    <w:p w:rsidR="00747286" w:rsidRDefault="00747286" w:rsidP="00747286">
      <w:pPr>
        <w:tabs>
          <w:tab w:val="center" w:pos="8640"/>
        </w:tabs>
        <w:ind w:right="-108"/>
      </w:pPr>
    </w:p>
    <w:p w:rsidR="00747286" w:rsidRPr="00747286" w:rsidRDefault="00700BDB" w:rsidP="00747286">
      <w:pPr>
        <w:pStyle w:val="Heading1"/>
        <w:tabs>
          <w:tab w:val="clear" w:pos="5040"/>
          <w:tab w:val="clear" w:pos="6480"/>
          <w:tab w:val="clear" w:pos="7920"/>
          <w:tab w:val="center" w:pos="8640"/>
          <w:tab w:val="right" w:pos="9180"/>
        </w:tabs>
        <w:spacing w:line="240" w:lineRule="auto"/>
        <w:ind w:right="-108"/>
        <w:jc w:val="left"/>
        <w:rPr>
          <w:b w:val="0"/>
          <w:bCs w:val="0"/>
        </w:rPr>
      </w:pPr>
      <w:r>
        <w:rPr>
          <w:b w:val="0"/>
        </w:rPr>
        <w:t>I</w:t>
      </w:r>
      <w:r w:rsidR="00747286" w:rsidRPr="0008655E">
        <w:rPr>
          <w:b w:val="0"/>
        </w:rPr>
        <w:t>V.</w:t>
      </w:r>
      <w:r w:rsidR="00747286" w:rsidRPr="0008655E">
        <w:rPr>
          <w:b w:val="0"/>
        </w:rPr>
        <w:tab/>
      </w:r>
      <w:r w:rsidR="00747286">
        <w:rPr>
          <w:b w:val="0"/>
        </w:rPr>
        <w:t>Customer Component for Distribution Mains</w:t>
      </w:r>
      <w:r w:rsidR="008E51B6">
        <w:rPr>
          <w:b w:val="0"/>
        </w:rPr>
        <w:tab/>
        <w:t>7</w:t>
      </w:r>
    </w:p>
    <w:p w:rsidR="00747286" w:rsidRDefault="00747286" w:rsidP="00747286">
      <w:pPr>
        <w:pStyle w:val="P31"/>
        <w:ind w:firstLine="0"/>
        <w:jc w:val="both"/>
        <w:rPr>
          <w:rFonts w:ascii="Times New Roman" w:hAnsi="Times New Roman" w:cs="Times New Roman"/>
        </w:rPr>
      </w:pPr>
    </w:p>
    <w:p w:rsidR="00962453" w:rsidRPr="00843018" w:rsidRDefault="00962453" w:rsidP="004C2477">
      <w:pPr>
        <w:pStyle w:val="P31"/>
        <w:tabs>
          <w:tab w:val="left" w:pos="720"/>
        </w:tabs>
        <w:ind w:firstLine="0"/>
        <w:jc w:val="both"/>
        <w:rPr>
          <w:rFonts w:ascii="Times New Roman" w:hAnsi="Times New Roman" w:cs="Times New Roman"/>
        </w:rPr>
      </w:pPr>
    </w:p>
    <w:p w:rsidR="00962453" w:rsidRPr="00517BD6" w:rsidRDefault="008E51B6" w:rsidP="00747286">
      <w:pPr>
        <w:pStyle w:val="P31"/>
        <w:tabs>
          <w:tab w:val="left" w:pos="720"/>
        </w:tabs>
        <w:ind w:firstLine="0"/>
        <w:jc w:val="center"/>
        <w:rPr>
          <w:rFonts w:ascii="Times New Roman" w:hAnsi="Times New Roman" w:cs="Times New Roman"/>
          <w:b/>
          <w:u w:val="single"/>
        </w:rPr>
      </w:pPr>
      <w:r>
        <w:rPr>
          <w:rFonts w:ascii="Times New Roman" w:hAnsi="Times New Roman" w:cs="Times New Roman"/>
          <w:b/>
          <w:u w:val="single"/>
        </w:rPr>
        <w:t>I</w:t>
      </w:r>
      <w:r w:rsidR="00747286">
        <w:rPr>
          <w:rFonts w:ascii="Times New Roman" w:hAnsi="Times New Roman" w:cs="Times New Roman"/>
          <w:b/>
          <w:u w:val="single"/>
        </w:rPr>
        <w:t xml:space="preserve">I.     </w:t>
      </w:r>
      <w:r w:rsidR="000356FC">
        <w:rPr>
          <w:rFonts w:ascii="Times New Roman" w:hAnsi="Times New Roman" w:cs="Times New Roman"/>
          <w:b/>
          <w:u w:val="single"/>
        </w:rPr>
        <w:t>PROPER ALLOCATION OF AMI RELATED COSTS</w:t>
      </w:r>
    </w:p>
    <w:p w:rsidR="008033BB" w:rsidRPr="005540EB" w:rsidRDefault="008033BB" w:rsidP="008033BB">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r>
      <w:r w:rsidR="00F17F10">
        <w:rPr>
          <w:rStyle w:val="T11"/>
          <w:rFonts w:ascii="Times New Roman" w:hAnsi="Times New Roman" w:cs="Times New Roman"/>
        </w:rPr>
        <w:t>Do you agree with</w:t>
      </w:r>
      <w:r w:rsidR="005858B9">
        <w:rPr>
          <w:rStyle w:val="T11"/>
          <w:rFonts w:ascii="Times New Roman" w:hAnsi="Times New Roman" w:cs="Times New Roman"/>
        </w:rPr>
        <w:t xml:space="preserve"> NWIGU’s </w:t>
      </w:r>
      <w:r w:rsidR="00F17F10">
        <w:rPr>
          <w:rStyle w:val="T11"/>
          <w:rFonts w:ascii="Times New Roman" w:hAnsi="Times New Roman" w:cs="Times New Roman"/>
        </w:rPr>
        <w:t>testimony</w:t>
      </w:r>
      <w:r w:rsidR="005858B9">
        <w:rPr>
          <w:rStyle w:val="T11"/>
          <w:rFonts w:ascii="Times New Roman" w:hAnsi="Times New Roman" w:cs="Times New Roman"/>
        </w:rPr>
        <w:t xml:space="preserve"> that all AMI-</w:t>
      </w:r>
      <w:r w:rsidR="00C755EE">
        <w:rPr>
          <w:rStyle w:val="T11"/>
          <w:rFonts w:ascii="Times New Roman" w:hAnsi="Times New Roman" w:cs="Times New Roman"/>
        </w:rPr>
        <w:t>related costs should be allocated to FERC Account 381 (Meters).</w:t>
      </w:r>
    </w:p>
    <w:p w:rsidR="00913FDC" w:rsidRPr="00F17F10" w:rsidRDefault="008033BB" w:rsidP="00F17F10">
      <w:pPr>
        <w:autoSpaceDE/>
        <w:autoSpaceDN/>
        <w:spacing w:line="480" w:lineRule="auto"/>
        <w:ind w:firstLine="720"/>
        <w:contextualSpacing/>
        <w:jc w:val="both"/>
        <w:rPr>
          <w:rFonts w:cs="Arial"/>
          <w:bCs/>
          <w:szCs w:val="22"/>
        </w:rPr>
      </w:pPr>
      <w:r>
        <w:t>A.</w:t>
      </w:r>
      <w:r>
        <w:tab/>
      </w:r>
      <w:r w:rsidR="00F17F10">
        <w:t xml:space="preserve">Yes.  </w:t>
      </w:r>
      <w:r w:rsidR="00AE1FDE">
        <w:t xml:space="preserve">NWIGU </w:t>
      </w:r>
      <w:r w:rsidR="00F17F10">
        <w:t>recommends</w:t>
      </w:r>
      <w:r w:rsidR="00AE1FDE">
        <w:t xml:space="preserve"> </w:t>
      </w:r>
      <w:r w:rsidR="00AE1FDE">
        <w:rPr>
          <w:rFonts w:cs="Arial"/>
          <w:bCs/>
        </w:rPr>
        <w:t>that</w:t>
      </w:r>
      <w:r w:rsidR="005858B9">
        <w:rPr>
          <w:rFonts w:cs="Arial"/>
          <w:bCs/>
        </w:rPr>
        <w:t>,</w:t>
      </w:r>
      <w:r w:rsidR="00AE1FDE">
        <w:rPr>
          <w:rFonts w:cs="Arial"/>
          <w:bCs/>
        </w:rPr>
        <w:t xml:space="preserve"> t</w:t>
      </w:r>
      <w:r w:rsidR="00AE1FDE" w:rsidRPr="00AE1FDE">
        <w:rPr>
          <w:rFonts w:cs="Arial"/>
          <w:bCs/>
        </w:rPr>
        <w:t xml:space="preserve">o the extent that the </w:t>
      </w:r>
      <w:r w:rsidR="00AE1FDE">
        <w:rPr>
          <w:rFonts w:cs="Arial"/>
          <w:bCs/>
        </w:rPr>
        <w:t>Commission</w:t>
      </w:r>
      <w:r w:rsidR="00AE1FDE" w:rsidRPr="00AE1FDE">
        <w:rPr>
          <w:rFonts w:cs="Arial"/>
          <w:bCs/>
        </w:rPr>
        <w:t xml:space="preserve"> approves the Company’s proposal for </w:t>
      </w:r>
      <w:r w:rsidR="00AE1FDE">
        <w:rPr>
          <w:rFonts w:cs="Arial"/>
          <w:bCs/>
        </w:rPr>
        <w:t xml:space="preserve">AMI, the Company should </w:t>
      </w:r>
      <w:r w:rsidR="00AE1FDE" w:rsidRPr="00AE1FDE">
        <w:rPr>
          <w:rFonts w:cs="Arial"/>
          <w:bCs/>
        </w:rPr>
        <w:t xml:space="preserve">correct </w:t>
      </w:r>
      <w:r w:rsidR="00AE1FDE">
        <w:rPr>
          <w:rFonts w:cs="Arial"/>
          <w:bCs/>
        </w:rPr>
        <w:t>the</w:t>
      </w:r>
      <w:r w:rsidR="00AE1FDE" w:rsidRPr="00AE1FDE">
        <w:rPr>
          <w:rFonts w:cs="Arial"/>
          <w:bCs/>
        </w:rPr>
        <w:t xml:space="preserve"> </w:t>
      </w:r>
      <w:r w:rsidR="005858B9">
        <w:rPr>
          <w:rFonts w:cs="Arial"/>
          <w:bCs/>
        </w:rPr>
        <w:t>natural gas</w:t>
      </w:r>
      <w:r w:rsidR="00AE1FDE" w:rsidRPr="00AE1FDE">
        <w:rPr>
          <w:rFonts w:cs="Arial"/>
          <w:bCs/>
        </w:rPr>
        <w:t xml:space="preserve"> cost of service study to include all proposed natural gas distribution related AMI investment cost (both plant and expenses) in Account 381 - Meters. </w:t>
      </w:r>
      <w:r w:rsidR="00F17F10">
        <w:rPr>
          <w:rFonts w:cs="Arial"/>
          <w:bCs/>
        </w:rPr>
        <w:t xml:space="preserve"> </w:t>
      </w:r>
      <w:r w:rsidR="00AE1FDE">
        <w:t>The Company made this correction in its response to the data request labeled ICNU-075</w:t>
      </w:r>
      <w:r w:rsidR="00010976">
        <w:t>S</w:t>
      </w:r>
      <w:r w:rsidR="00AE1FDE">
        <w:t xml:space="preserve"> Supplemental.  In that response the Company stated:</w:t>
      </w:r>
    </w:p>
    <w:p w:rsidR="00AE1FDE" w:rsidRDefault="00AE1FDE" w:rsidP="000356FC">
      <w:pPr>
        <w:tabs>
          <w:tab w:val="left" w:pos="1890"/>
          <w:tab w:val="left" w:pos="4320"/>
          <w:tab w:val="left" w:pos="6480"/>
        </w:tabs>
        <w:ind w:left="720" w:right="144"/>
        <w:jc w:val="both"/>
      </w:pPr>
      <w:r>
        <w:t xml:space="preserve">Upon further review, the Company discovered that it had inadvertently allocated the natural gas distribution plant related AMI meter costs (pro forma adjustment 4.03 G-CAMI) similar to the allocation of all other distribution plant.  The Company should have allocated the natural gas distribution plant related AMI meter costs based on the </w:t>
      </w:r>
      <w:r>
        <w:lastRenderedPageBreak/>
        <w:t xml:space="preserve">meter cost allocator (C03), consistent with the allocation described in the Company’s response to ICNU-075 for electric.  </w:t>
      </w:r>
    </w:p>
    <w:p w:rsidR="00AE1FDE" w:rsidRDefault="00AE1FDE" w:rsidP="000356FC">
      <w:pPr>
        <w:tabs>
          <w:tab w:val="left" w:pos="1890"/>
          <w:tab w:val="left" w:pos="4320"/>
          <w:tab w:val="left" w:pos="6480"/>
        </w:tabs>
        <w:ind w:left="720" w:right="144"/>
        <w:jc w:val="both"/>
      </w:pPr>
    </w:p>
    <w:p w:rsidR="00AE1FDE" w:rsidRDefault="00AE1FDE" w:rsidP="000356FC">
      <w:pPr>
        <w:tabs>
          <w:tab w:val="left" w:pos="1890"/>
          <w:tab w:val="left" w:pos="4320"/>
          <w:tab w:val="left" w:pos="6480"/>
        </w:tabs>
        <w:ind w:left="720" w:right="144"/>
        <w:jc w:val="both"/>
      </w:pPr>
      <w:r>
        <w:t>Communication and software pro forma investments related to the Advanced Metering Project did not receive any special treatment in the natural gas cost of service study provided in this case.  Both communication equipment and software were allocated by the Company’s blended 4-part factor consistent with all general plant.  Please note, the communication and software pro forma investments were appropriately allocated in the Company's original filing and therefore no adjustments have been made in this response.</w:t>
      </w:r>
    </w:p>
    <w:p w:rsidR="00AE1FDE" w:rsidRDefault="00AE1FDE" w:rsidP="000356FC">
      <w:pPr>
        <w:tabs>
          <w:tab w:val="left" w:pos="1890"/>
          <w:tab w:val="left" w:pos="4320"/>
          <w:tab w:val="left" w:pos="6480"/>
        </w:tabs>
        <w:ind w:left="720" w:right="144"/>
        <w:jc w:val="both"/>
      </w:pPr>
    </w:p>
    <w:p w:rsidR="00AE1FDE" w:rsidRDefault="00AE1FDE" w:rsidP="000356FC">
      <w:pPr>
        <w:tabs>
          <w:tab w:val="left" w:pos="1890"/>
          <w:tab w:val="left" w:pos="4320"/>
          <w:tab w:val="left" w:pos="6480"/>
        </w:tabs>
        <w:ind w:left="720" w:right="144"/>
        <w:jc w:val="both"/>
      </w:pPr>
      <w:r>
        <w:t>The Company has provided a summary of the rate of return and relative rate of return at present rates as an attachment labeled “ICNU_DR_075 Supplemental Attachment A”.  In addition, a complete electronic version of the cost of service study, reflecting the change described above has been provided as part of the attachment.</w:t>
      </w:r>
    </w:p>
    <w:p w:rsidR="00AE1FDE" w:rsidRDefault="00AE1FDE" w:rsidP="000356FC">
      <w:pPr>
        <w:tabs>
          <w:tab w:val="left" w:pos="1890"/>
          <w:tab w:val="left" w:pos="4320"/>
          <w:tab w:val="left" w:pos="6480"/>
        </w:tabs>
        <w:ind w:left="720" w:right="144"/>
        <w:jc w:val="both"/>
      </w:pPr>
    </w:p>
    <w:p w:rsidR="00AE1FDE" w:rsidRDefault="00AE1FDE" w:rsidP="000356FC">
      <w:pPr>
        <w:tabs>
          <w:tab w:val="left" w:pos="1890"/>
          <w:tab w:val="left" w:pos="4320"/>
          <w:tab w:val="left" w:pos="6480"/>
        </w:tabs>
        <w:ind w:left="720" w:right="144"/>
        <w:jc w:val="both"/>
      </w:pPr>
      <w:r>
        <w:t xml:space="preserve">The result of this adjustment has a minor effect on the present return ratio’s provided to Company witness Ehrbar for his consideration into the proposed rate spread.  The Company believes the results of this adjustment are minor and would not change the proposed rate spread in this case. </w:t>
      </w:r>
    </w:p>
    <w:p w:rsidR="005A1FCD" w:rsidRDefault="005A1FCD" w:rsidP="000356FC">
      <w:pPr>
        <w:tabs>
          <w:tab w:val="left" w:pos="1890"/>
          <w:tab w:val="left" w:pos="4320"/>
          <w:tab w:val="left" w:pos="6480"/>
        </w:tabs>
        <w:ind w:left="720" w:right="144"/>
        <w:jc w:val="both"/>
      </w:pPr>
    </w:p>
    <w:p w:rsidR="005A1FCD" w:rsidRDefault="00700BDB" w:rsidP="00AE1FDE">
      <w:pPr>
        <w:pStyle w:val="P31"/>
        <w:tabs>
          <w:tab w:val="left" w:pos="720"/>
        </w:tabs>
        <w:ind w:firstLine="0"/>
        <w:jc w:val="both"/>
        <w:rPr>
          <w:rFonts w:ascii="Times New Roman" w:hAnsi="Times New Roman" w:cs="Times New Roman"/>
          <w:szCs w:val="24"/>
        </w:rPr>
      </w:pPr>
      <w:r>
        <w:rPr>
          <w:rFonts w:ascii="Times New Roman" w:hAnsi="Times New Roman" w:cs="Times New Roman"/>
          <w:szCs w:val="24"/>
        </w:rPr>
        <w:t>Table No. 1</w:t>
      </w:r>
      <w:r w:rsidR="005A1FCD">
        <w:rPr>
          <w:rFonts w:ascii="Times New Roman" w:hAnsi="Times New Roman" w:cs="Times New Roman"/>
          <w:szCs w:val="24"/>
        </w:rPr>
        <w:t xml:space="preserve"> below shows a comparison of the relative rate of return and return ratio from the Company’s original filing to the results described in the response to the data request labeled ICNU – 075S Supplemental.</w:t>
      </w:r>
      <w:r w:rsidR="005858B9">
        <w:rPr>
          <w:rFonts w:ascii="Times New Roman" w:hAnsi="Times New Roman" w:cs="Times New Roman"/>
          <w:szCs w:val="24"/>
        </w:rPr>
        <w:t xml:space="preserve">  Generally the </w:t>
      </w:r>
      <w:r w:rsidR="00F17F10">
        <w:rPr>
          <w:rFonts w:ascii="Times New Roman" w:hAnsi="Times New Roman" w:cs="Times New Roman"/>
          <w:szCs w:val="24"/>
        </w:rPr>
        <w:t>AMI adjustment had minimal</w:t>
      </w:r>
      <w:r w:rsidR="005858B9">
        <w:rPr>
          <w:rFonts w:ascii="Times New Roman" w:hAnsi="Times New Roman" w:cs="Times New Roman"/>
          <w:szCs w:val="24"/>
        </w:rPr>
        <w:t xml:space="preserve"> impact on the cost of service results.</w:t>
      </w:r>
    </w:p>
    <w:p w:rsidR="005A1FCD" w:rsidRPr="005858B9" w:rsidRDefault="005A1FCD" w:rsidP="005A1FCD">
      <w:pPr>
        <w:pStyle w:val="P158"/>
        <w:ind w:left="0"/>
        <w:jc w:val="both"/>
        <w:rPr>
          <w:rFonts w:ascii="Times New Roman" w:hAnsi="Times New Roman"/>
          <w:b/>
          <w:u w:val="single"/>
        </w:rPr>
      </w:pPr>
      <w:r w:rsidRPr="005858B9">
        <w:rPr>
          <w:noProof/>
          <w:u w:val="single"/>
        </w:rPr>
        <w:drawing>
          <wp:anchor distT="0" distB="0" distL="114300" distR="114300" simplePos="0" relativeHeight="251680768" behindDoc="1" locked="0" layoutInCell="1" allowOverlap="1" wp14:anchorId="07134A8C" wp14:editId="0A1F9E33">
            <wp:simplePos x="0" y="0"/>
            <wp:positionH relativeFrom="margin">
              <wp:align>left</wp:align>
            </wp:positionH>
            <wp:positionV relativeFrom="paragraph">
              <wp:posOffset>276860</wp:posOffset>
            </wp:positionV>
            <wp:extent cx="5067300" cy="2009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8B9">
        <w:rPr>
          <w:rFonts w:ascii="Times New Roman" w:hAnsi="Times New Roman"/>
          <w:b/>
          <w:u w:val="single"/>
        </w:rPr>
        <w:t>Table No</w:t>
      </w:r>
      <w:r w:rsidR="005858B9" w:rsidRPr="005858B9">
        <w:rPr>
          <w:rFonts w:ascii="Times New Roman" w:hAnsi="Times New Roman"/>
          <w:b/>
          <w:u w:val="single"/>
        </w:rPr>
        <w:t>.</w:t>
      </w:r>
      <w:r w:rsidR="00700BDB">
        <w:rPr>
          <w:rFonts w:ascii="Times New Roman" w:hAnsi="Times New Roman"/>
          <w:b/>
          <w:u w:val="single"/>
        </w:rPr>
        <w:t xml:space="preserve"> 1</w:t>
      </w:r>
      <w:r w:rsidRPr="005858B9">
        <w:rPr>
          <w:rFonts w:ascii="Times New Roman" w:hAnsi="Times New Roman"/>
          <w:b/>
          <w:u w:val="single"/>
        </w:rPr>
        <w:t xml:space="preserve"> – Cost of Service AMI Adjustment Comparison</w:t>
      </w:r>
    </w:p>
    <w:p w:rsidR="005A1FCD" w:rsidRDefault="005A1FCD" w:rsidP="005A1FCD">
      <w:pPr>
        <w:pStyle w:val="P158"/>
        <w:ind w:left="0"/>
        <w:jc w:val="both"/>
        <w:rPr>
          <w:rFonts w:ascii="Times New Roman" w:hAnsi="Times New Roman"/>
          <w:b/>
        </w:rPr>
      </w:pPr>
    </w:p>
    <w:p w:rsidR="005A1FCD" w:rsidRDefault="005A1FCD" w:rsidP="005A1FCD">
      <w:pPr>
        <w:pStyle w:val="P158"/>
        <w:ind w:left="0"/>
        <w:jc w:val="both"/>
        <w:rPr>
          <w:rFonts w:ascii="Times New Roman" w:hAnsi="Times New Roman"/>
          <w:b/>
        </w:rPr>
      </w:pPr>
    </w:p>
    <w:p w:rsidR="005A1FCD" w:rsidRDefault="005A1FCD" w:rsidP="005A1FCD">
      <w:pPr>
        <w:pStyle w:val="P158"/>
        <w:ind w:left="0"/>
        <w:jc w:val="both"/>
        <w:rPr>
          <w:rFonts w:ascii="Times New Roman" w:hAnsi="Times New Roman"/>
          <w:b/>
        </w:rPr>
      </w:pPr>
    </w:p>
    <w:p w:rsidR="005A1FCD" w:rsidRDefault="005A1FCD" w:rsidP="005A1FCD">
      <w:pPr>
        <w:pStyle w:val="P158"/>
        <w:ind w:left="0"/>
        <w:jc w:val="both"/>
        <w:rPr>
          <w:rFonts w:ascii="Times New Roman" w:hAnsi="Times New Roman"/>
          <w:b/>
        </w:rPr>
      </w:pPr>
    </w:p>
    <w:p w:rsidR="005A1FCD" w:rsidRDefault="005A1FCD" w:rsidP="00AE1FDE">
      <w:pPr>
        <w:pStyle w:val="P31"/>
        <w:tabs>
          <w:tab w:val="left" w:pos="720"/>
        </w:tabs>
        <w:ind w:firstLine="0"/>
        <w:jc w:val="both"/>
        <w:rPr>
          <w:rFonts w:ascii="Times New Roman" w:hAnsi="Times New Roman" w:cs="Times New Roman"/>
          <w:szCs w:val="24"/>
        </w:rPr>
      </w:pPr>
    </w:p>
    <w:p w:rsidR="005A1FCD" w:rsidRDefault="005A1FCD" w:rsidP="00AE1FDE">
      <w:pPr>
        <w:pStyle w:val="P31"/>
        <w:tabs>
          <w:tab w:val="left" w:pos="720"/>
        </w:tabs>
        <w:ind w:firstLine="0"/>
        <w:jc w:val="both"/>
        <w:rPr>
          <w:rFonts w:ascii="Times New Roman" w:hAnsi="Times New Roman" w:cs="Times New Roman"/>
        </w:rPr>
      </w:pPr>
    </w:p>
    <w:p w:rsidR="00747286" w:rsidRDefault="00747286" w:rsidP="00AE1FDE">
      <w:pPr>
        <w:pStyle w:val="P31"/>
        <w:tabs>
          <w:tab w:val="left" w:pos="720"/>
        </w:tabs>
        <w:ind w:firstLine="0"/>
        <w:jc w:val="both"/>
        <w:rPr>
          <w:rFonts w:ascii="Times New Roman" w:hAnsi="Times New Roman" w:cs="Times New Roman"/>
        </w:rPr>
      </w:pPr>
    </w:p>
    <w:p w:rsidR="00962453" w:rsidRDefault="008E51B6" w:rsidP="00747286">
      <w:pPr>
        <w:pStyle w:val="P31"/>
        <w:tabs>
          <w:tab w:val="left" w:pos="720"/>
        </w:tabs>
        <w:ind w:firstLine="0"/>
        <w:jc w:val="center"/>
        <w:rPr>
          <w:rFonts w:ascii="Times New Roman" w:hAnsi="Times New Roman" w:cs="Times New Roman"/>
          <w:b/>
          <w:u w:val="single"/>
        </w:rPr>
      </w:pPr>
      <w:r>
        <w:rPr>
          <w:rFonts w:ascii="Times New Roman" w:hAnsi="Times New Roman" w:cs="Times New Roman"/>
          <w:b/>
          <w:u w:val="single"/>
        </w:rPr>
        <w:lastRenderedPageBreak/>
        <w:t>III</w:t>
      </w:r>
      <w:r w:rsidR="00747286">
        <w:rPr>
          <w:rFonts w:ascii="Times New Roman" w:hAnsi="Times New Roman" w:cs="Times New Roman"/>
          <w:b/>
          <w:u w:val="single"/>
        </w:rPr>
        <w:t xml:space="preserve">.     </w:t>
      </w:r>
      <w:r w:rsidR="000356FC">
        <w:rPr>
          <w:rFonts w:ascii="Times New Roman" w:hAnsi="Times New Roman" w:cs="Times New Roman"/>
          <w:b/>
          <w:u w:val="single"/>
        </w:rPr>
        <w:t>PEAK AND AVERAGE ALLOC</w:t>
      </w:r>
      <w:r w:rsidR="003A4BB4">
        <w:rPr>
          <w:rFonts w:ascii="Times New Roman" w:hAnsi="Times New Roman" w:cs="Times New Roman"/>
          <w:b/>
          <w:u w:val="single"/>
        </w:rPr>
        <w:t>A</w:t>
      </w:r>
      <w:r w:rsidR="000356FC">
        <w:rPr>
          <w:rFonts w:ascii="Times New Roman" w:hAnsi="Times New Roman" w:cs="Times New Roman"/>
          <w:b/>
          <w:u w:val="single"/>
        </w:rPr>
        <w:t>TION METHODOLOGY</w:t>
      </w:r>
    </w:p>
    <w:p w:rsidR="00745E5A" w:rsidRPr="005540EB" w:rsidRDefault="000F5906" w:rsidP="00745E5A">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r>
      <w:r w:rsidR="00010976">
        <w:rPr>
          <w:rStyle w:val="T11"/>
          <w:rFonts w:ascii="Times New Roman" w:hAnsi="Times New Roman" w:cs="Times New Roman"/>
        </w:rPr>
        <w:t>Q.</w:t>
      </w:r>
      <w:r w:rsidR="00010976">
        <w:rPr>
          <w:rStyle w:val="T11"/>
          <w:rFonts w:ascii="Times New Roman" w:hAnsi="Times New Roman" w:cs="Times New Roman"/>
        </w:rPr>
        <w:tab/>
      </w:r>
      <w:r w:rsidR="00F17F10">
        <w:rPr>
          <w:rStyle w:val="T11"/>
          <w:rFonts w:ascii="Times New Roman" w:hAnsi="Times New Roman" w:cs="Times New Roman"/>
        </w:rPr>
        <w:t>What is Avista’s response to</w:t>
      </w:r>
      <w:r w:rsidR="00010976">
        <w:rPr>
          <w:rStyle w:val="T11"/>
          <w:rFonts w:ascii="Times New Roman" w:hAnsi="Times New Roman" w:cs="Times New Roman"/>
        </w:rPr>
        <w:t xml:space="preserve"> NWIGU’s claim that </w:t>
      </w:r>
      <w:r w:rsidR="00C076D0">
        <w:rPr>
          <w:rStyle w:val="T11"/>
          <w:rFonts w:ascii="Times New Roman" w:hAnsi="Times New Roman" w:cs="Times New Roman"/>
        </w:rPr>
        <w:t>the Peak and Average</w:t>
      </w:r>
      <w:r w:rsidR="00010976">
        <w:rPr>
          <w:rStyle w:val="T11"/>
          <w:rFonts w:ascii="Times New Roman" w:hAnsi="Times New Roman" w:cs="Times New Roman"/>
        </w:rPr>
        <w:t xml:space="preserve"> methodology is not an </w:t>
      </w:r>
      <w:r w:rsidR="00010976" w:rsidRPr="00010976">
        <w:rPr>
          <w:rStyle w:val="T11"/>
          <w:rFonts w:ascii="Times New Roman" w:hAnsi="Times New Roman" w:cs="Times New Roman"/>
        </w:rPr>
        <w:t>appropriate basis for assigning distribution main and regulator station equipment costs.</w:t>
      </w:r>
    </w:p>
    <w:p w:rsidR="00D3282C" w:rsidRDefault="00D3282C" w:rsidP="00D3282C">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596581">
        <w:rPr>
          <w:rFonts w:ascii="Times New Roman" w:hAnsi="Times New Roman" w:cs="Times New Roman"/>
        </w:rPr>
        <w:t>The Peak and Average methodology was the last approved distribu</w:t>
      </w:r>
      <w:r w:rsidR="00087C42">
        <w:rPr>
          <w:rFonts w:ascii="Times New Roman" w:hAnsi="Times New Roman" w:cs="Times New Roman"/>
        </w:rPr>
        <w:t xml:space="preserve">tion main allocation methodology </w:t>
      </w:r>
      <w:r w:rsidR="00745E5A">
        <w:rPr>
          <w:rFonts w:ascii="Times New Roman" w:hAnsi="Times New Roman" w:cs="Times New Roman"/>
        </w:rPr>
        <w:t>in t</w:t>
      </w:r>
      <w:r w:rsidR="00C76697">
        <w:rPr>
          <w:rFonts w:ascii="Times New Roman" w:hAnsi="Times New Roman" w:cs="Times New Roman"/>
        </w:rPr>
        <w:t xml:space="preserve">he State of Washington </w:t>
      </w:r>
      <w:r w:rsidR="00087C42">
        <w:rPr>
          <w:rFonts w:ascii="Times New Roman" w:hAnsi="Times New Roman" w:cs="Times New Roman"/>
        </w:rPr>
        <w:t>in Docket No. UG-940814</w:t>
      </w:r>
      <w:r w:rsidR="006C65FB">
        <w:rPr>
          <w:rFonts w:ascii="Times New Roman" w:hAnsi="Times New Roman" w:cs="Times New Roman"/>
        </w:rPr>
        <w:t>.</w:t>
      </w:r>
      <w:r w:rsidR="005858B9">
        <w:rPr>
          <w:rFonts w:ascii="Times New Roman" w:hAnsi="Times New Roman" w:cs="Times New Roman"/>
        </w:rPr>
        <w:t xml:space="preserve">  Avista has consistently used this methodology since that time.</w:t>
      </w:r>
      <w:r w:rsidR="00C76697">
        <w:rPr>
          <w:rFonts w:ascii="Times New Roman" w:hAnsi="Times New Roman" w:cs="Times New Roman"/>
        </w:rPr>
        <w:t xml:space="preserve">  As the Commission recognized, t</w:t>
      </w:r>
      <w:r w:rsidR="00F17F10">
        <w:rPr>
          <w:rFonts w:ascii="Times New Roman" w:hAnsi="Times New Roman" w:cs="Times New Roman"/>
        </w:rPr>
        <w:t>he Peak and Average methodology provides a necessary balance between the way the system is designed (to meet peak demand) and the way it is used on an annual basis (throughput based on gas usage that occurs during all conditions, not only peak conditions).</w:t>
      </w:r>
      <w:r w:rsidR="00C76697">
        <w:rPr>
          <w:rFonts w:ascii="Times New Roman" w:hAnsi="Times New Roman" w:cs="Times New Roman"/>
        </w:rPr>
        <w:t xml:space="preserve">  Avista believes that this methodology continues to provide an appropriate basis for distribution main and regulator station equipment cost assignment.</w:t>
      </w:r>
    </w:p>
    <w:p w:rsidR="00596581" w:rsidRPr="005540EB" w:rsidRDefault="00596581" w:rsidP="00596581">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t xml:space="preserve">Was there any discussion in the last </w:t>
      </w:r>
      <w:r w:rsidR="0095461D">
        <w:rPr>
          <w:rStyle w:val="T11"/>
          <w:rFonts w:ascii="Times New Roman" w:hAnsi="Times New Roman" w:cs="Times New Roman"/>
        </w:rPr>
        <w:t xml:space="preserve">Commission </w:t>
      </w:r>
      <w:r>
        <w:rPr>
          <w:rStyle w:val="T11"/>
          <w:rFonts w:ascii="Times New Roman" w:hAnsi="Times New Roman" w:cs="Times New Roman"/>
        </w:rPr>
        <w:t xml:space="preserve">order that </w:t>
      </w:r>
      <w:r w:rsidR="003F00A5">
        <w:rPr>
          <w:rStyle w:val="T11"/>
          <w:rFonts w:ascii="Times New Roman" w:hAnsi="Times New Roman" w:cs="Times New Roman"/>
        </w:rPr>
        <w:t>helps to inform the reasoning for approving the Peak and Average methodology</w:t>
      </w:r>
      <w:r>
        <w:rPr>
          <w:rStyle w:val="T11"/>
          <w:rFonts w:ascii="Times New Roman" w:hAnsi="Times New Roman" w:cs="Times New Roman"/>
        </w:rPr>
        <w:t>?</w:t>
      </w:r>
    </w:p>
    <w:p w:rsidR="00596581" w:rsidRDefault="00596581" w:rsidP="00596581">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3F00A5">
        <w:rPr>
          <w:rFonts w:ascii="Times New Roman" w:hAnsi="Times New Roman" w:cs="Times New Roman"/>
        </w:rPr>
        <w:t>Yes, in that Order the Commission adopted Staff’s approach for allocating natural gas distribution mains</w:t>
      </w:r>
      <w:r w:rsidR="0074167B">
        <w:rPr>
          <w:rFonts w:ascii="Times New Roman" w:hAnsi="Times New Roman" w:cs="Times New Roman"/>
        </w:rPr>
        <w:t>,</w:t>
      </w:r>
      <w:r w:rsidR="0095461D">
        <w:rPr>
          <w:rFonts w:ascii="Times New Roman" w:hAnsi="Times New Roman" w:cs="Times New Roman"/>
        </w:rPr>
        <w:t xml:space="preserve"> and stated the following:</w:t>
      </w:r>
      <w:r w:rsidR="005858B9">
        <w:rPr>
          <w:rStyle w:val="FootnoteReference"/>
          <w:rFonts w:ascii="Times New Roman" w:hAnsi="Times New Roman"/>
        </w:rPr>
        <w:footnoteReference w:id="1"/>
      </w:r>
      <w:r w:rsidR="003F00A5">
        <w:rPr>
          <w:rFonts w:ascii="Times New Roman" w:hAnsi="Times New Roman" w:cs="Times New Roman"/>
        </w:rPr>
        <w:t xml:space="preserve">  </w:t>
      </w:r>
    </w:p>
    <w:p w:rsidR="003F00A5" w:rsidRPr="003F00A5" w:rsidRDefault="003F00A5" w:rsidP="003F00A5">
      <w:pPr>
        <w:pStyle w:val="P31"/>
        <w:tabs>
          <w:tab w:val="left" w:pos="720"/>
        </w:tabs>
        <w:spacing w:line="240" w:lineRule="auto"/>
        <w:ind w:left="720" w:firstLine="0"/>
        <w:jc w:val="both"/>
        <w:rPr>
          <w:rFonts w:ascii="Times New Roman" w:hAnsi="Times New Roman" w:cs="Times New Roman"/>
        </w:rPr>
      </w:pPr>
      <w:r>
        <w:rPr>
          <w:rFonts w:ascii="Times New Roman" w:hAnsi="Times New Roman" w:cs="Times New Roman"/>
          <w:b/>
        </w:rPr>
        <w:t>Commission Staff</w:t>
      </w:r>
      <w:r>
        <w:rPr>
          <w:rFonts w:ascii="Times New Roman" w:hAnsi="Times New Roman" w:cs="Times New Roman"/>
        </w:rPr>
        <w:t xml:space="preserve"> would also use a Peak and Average methodology, similar to the Company, but would substitute its peak for that of the Company.  </w:t>
      </w:r>
      <w:r w:rsidRPr="00745E5A">
        <w:rPr>
          <w:rFonts w:ascii="Times New Roman" w:hAnsi="Times New Roman" w:cs="Times New Roman"/>
          <w:u w:val="single"/>
        </w:rPr>
        <w:t>Commission Staff quotes the Commission from prior orders, noting that plant is built to deliver gas year-round, not just on the peak day</w:t>
      </w:r>
      <w:r>
        <w:rPr>
          <w:rFonts w:ascii="Times New Roman" w:hAnsi="Times New Roman" w:cs="Times New Roman"/>
        </w:rPr>
        <w:t>.  Staff allocates distribution mains 49% to commodity and 51% to demand.</w:t>
      </w:r>
      <w:r w:rsidR="00DB20DD">
        <w:rPr>
          <w:rFonts w:ascii="Times New Roman" w:hAnsi="Times New Roman" w:cs="Times New Roman"/>
        </w:rPr>
        <w:t xml:space="preserve"> [</w:t>
      </w:r>
      <w:r w:rsidR="005858B9">
        <w:rPr>
          <w:rFonts w:ascii="Times New Roman" w:hAnsi="Times New Roman" w:cs="Times New Roman"/>
        </w:rPr>
        <w:t>E</w:t>
      </w:r>
      <w:r w:rsidR="00DB20DD">
        <w:rPr>
          <w:rFonts w:ascii="Times New Roman" w:hAnsi="Times New Roman" w:cs="Times New Roman"/>
        </w:rPr>
        <w:t>mphasis added]</w:t>
      </w:r>
    </w:p>
    <w:p w:rsidR="00532F5D" w:rsidRDefault="00532F5D" w:rsidP="0095461D">
      <w:pPr>
        <w:pStyle w:val="P31"/>
        <w:tabs>
          <w:tab w:val="left" w:pos="720"/>
        </w:tabs>
        <w:ind w:firstLine="0"/>
        <w:jc w:val="both"/>
        <w:rPr>
          <w:rFonts w:ascii="Times New Roman" w:hAnsi="Times New Roman" w:cs="Times New Roman"/>
        </w:rPr>
      </w:pPr>
    </w:p>
    <w:p w:rsidR="00E9040F" w:rsidRPr="005540EB" w:rsidRDefault="003F00A5" w:rsidP="00E9040F">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r>
      <w:r w:rsidR="00E9040F">
        <w:rPr>
          <w:rStyle w:val="T11"/>
          <w:rFonts w:ascii="Times New Roman" w:hAnsi="Times New Roman" w:cs="Times New Roman"/>
        </w:rPr>
        <w:t>Q.</w:t>
      </w:r>
      <w:r w:rsidR="00E9040F">
        <w:rPr>
          <w:rStyle w:val="T11"/>
          <w:rFonts w:ascii="Times New Roman" w:hAnsi="Times New Roman" w:cs="Times New Roman"/>
        </w:rPr>
        <w:tab/>
        <w:t xml:space="preserve">Has the Company’s design criteria related to its distribution system materially changed since the Commission last approved the Peak and Average </w:t>
      </w:r>
      <w:r w:rsidR="00E9040F">
        <w:rPr>
          <w:rStyle w:val="T11"/>
          <w:rFonts w:ascii="Times New Roman" w:hAnsi="Times New Roman" w:cs="Times New Roman"/>
        </w:rPr>
        <w:lastRenderedPageBreak/>
        <w:t>methodology?</w:t>
      </w:r>
    </w:p>
    <w:p w:rsidR="00E9040F" w:rsidRDefault="00E9040F" w:rsidP="003F00A5">
      <w:pPr>
        <w:pStyle w:val="P158"/>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E7804">
        <w:rPr>
          <w:rFonts w:ascii="Times New Roman" w:hAnsi="Times New Roman" w:cs="Times New Roman"/>
        </w:rPr>
        <w:t>A.</w:t>
      </w:r>
      <w:r w:rsidR="008E7804">
        <w:rPr>
          <w:rFonts w:ascii="Times New Roman" w:hAnsi="Times New Roman" w:cs="Times New Roman"/>
        </w:rPr>
        <w:tab/>
        <w:t>No</w:t>
      </w:r>
      <w:r w:rsidR="00D138E1">
        <w:rPr>
          <w:rFonts w:ascii="Times New Roman" w:hAnsi="Times New Roman" w:cs="Times New Roman"/>
        </w:rPr>
        <w:t>,</w:t>
      </w:r>
      <w:r w:rsidR="008E7804">
        <w:rPr>
          <w:rFonts w:ascii="Times New Roman" w:hAnsi="Times New Roman" w:cs="Times New Roman"/>
        </w:rPr>
        <w:t xml:space="preserve"> it has not.</w:t>
      </w:r>
    </w:p>
    <w:p w:rsidR="00D84E17" w:rsidRPr="005540EB" w:rsidRDefault="00E1439A" w:rsidP="00D84E17">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t xml:space="preserve">Is </w:t>
      </w:r>
      <w:r w:rsidR="00D84E17">
        <w:rPr>
          <w:rStyle w:val="T11"/>
          <w:rFonts w:ascii="Times New Roman" w:hAnsi="Times New Roman" w:cs="Times New Roman"/>
        </w:rPr>
        <w:t>Staff supportive of the allocation methodology used for assigning distribution main costs?</w:t>
      </w:r>
    </w:p>
    <w:p w:rsidR="00D84E17" w:rsidRDefault="00D84E17" w:rsidP="00D84E17">
      <w:pPr>
        <w:pStyle w:val="P158"/>
        <w:ind w:left="0"/>
        <w:jc w:val="both"/>
        <w:rPr>
          <w:rStyle w:val="T11"/>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Yes.  Staff witness Mr. Ball stated in his direct testimony the following: “The Company has proposed a well-designed allocation methodology for assigning costs among customer classes.  The Company’s proposed main allocation is consistent with the approach proposed by Staff in Avista’s 2012 and 2014 GRCs.”</w:t>
      </w:r>
      <w:r>
        <w:rPr>
          <w:rStyle w:val="FootnoteReference"/>
          <w:rFonts w:ascii="Times New Roman" w:hAnsi="Times New Roman"/>
        </w:rPr>
        <w:footnoteReference w:id="2"/>
      </w:r>
    </w:p>
    <w:p w:rsidR="003F00A5" w:rsidRPr="005540EB" w:rsidRDefault="00E9040F" w:rsidP="003F00A5">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r>
      <w:r w:rsidR="003F00A5">
        <w:rPr>
          <w:rStyle w:val="T11"/>
          <w:rFonts w:ascii="Times New Roman" w:hAnsi="Times New Roman" w:cs="Times New Roman"/>
        </w:rPr>
        <w:t>Q.</w:t>
      </w:r>
      <w:r w:rsidR="003F00A5">
        <w:rPr>
          <w:rStyle w:val="T11"/>
          <w:rFonts w:ascii="Times New Roman" w:hAnsi="Times New Roman" w:cs="Times New Roman"/>
        </w:rPr>
        <w:tab/>
        <w:t>Do other utilities in the</w:t>
      </w:r>
      <w:r w:rsidR="00985A3F">
        <w:rPr>
          <w:rStyle w:val="T11"/>
          <w:rFonts w:ascii="Times New Roman" w:hAnsi="Times New Roman" w:cs="Times New Roman"/>
        </w:rPr>
        <w:t xml:space="preserve"> S</w:t>
      </w:r>
      <w:r w:rsidR="003F00A5">
        <w:rPr>
          <w:rStyle w:val="T11"/>
          <w:rFonts w:ascii="Times New Roman" w:hAnsi="Times New Roman" w:cs="Times New Roman"/>
        </w:rPr>
        <w:t>tate of Washington use a Peak and Average approach for allocating natural gas distribution mains?</w:t>
      </w:r>
    </w:p>
    <w:p w:rsidR="003F00A5" w:rsidRDefault="003F00A5" w:rsidP="00093AE0">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Yes.  It is my understanding that the Peak </w:t>
      </w:r>
      <w:r w:rsidR="00F21492">
        <w:rPr>
          <w:rFonts w:ascii="Times New Roman" w:hAnsi="Times New Roman" w:cs="Times New Roman"/>
        </w:rPr>
        <w:t>and Average methodology is</w:t>
      </w:r>
      <w:r w:rsidR="005858B9">
        <w:rPr>
          <w:rFonts w:ascii="Times New Roman" w:hAnsi="Times New Roman" w:cs="Times New Roman"/>
        </w:rPr>
        <w:t xml:space="preserve"> the </w:t>
      </w:r>
      <w:r>
        <w:rPr>
          <w:rFonts w:ascii="Times New Roman" w:hAnsi="Times New Roman" w:cs="Times New Roman"/>
        </w:rPr>
        <w:t>accepted natural gas distribution main cost allocation approach and has been utilized by virtually every natural gas d</w:t>
      </w:r>
      <w:r w:rsidR="005858B9">
        <w:rPr>
          <w:rFonts w:ascii="Times New Roman" w:hAnsi="Times New Roman" w:cs="Times New Roman"/>
        </w:rPr>
        <w:t>istribution company in Washington</w:t>
      </w:r>
      <w:r>
        <w:rPr>
          <w:rFonts w:ascii="Times New Roman" w:hAnsi="Times New Roman" w:cs="Times New Roman"/>
        </w:rPr>
        <w:t xml:space="preserve"> for many years.</w:t>
      </w:r>
    </w:p>
    <w:p w:rsidR="007A413B" w:rsidRPr="005540EB" w:rsidRDefault="00877611" w:rsidP="007A413B">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r>
      <w:r w:rsidR="002E24A3">
        <w:rPr>
          <w:rStyle w:val="T11"/>
          <w:rFonts w:ascii="Times New Roman" w:hAnsi="Times New Roman" w:cs="Times New Roman"/>
        </w:rPr>
        <w:t>Q.</w:t>
      </w:r>
      <w:r w:rsidR="002E24A3">
        <w:rPr>
          <w:rStyle w:val="T11"/>
          <w:rFonts w:ascii="Times New Roman" w:hAnsi="Times New Roman" w:cs="Times New Roman"/>
        </w:rPr>
        <w:tab/>
        <w:t>Does the NARUC Gas D</w:t>
      </w:r>
      <w:r w:rsidR="007A413B">
        <w:rPr>
          <w:rStyle w:val="T11"/>
          <w:rFonts w:ascii="Times New Roman" w:hAnsi="Times New Roman" w:cs="Times New Roman"/>
        </w:rPr>
        <w:t xml:space="preserve">istribution </w:t>
      </w:r>
      <w:r w:rsidR="002E24A3">
        <w:rPr>
          <w:rStyle w:val="T11"/>
          <w:rFonts w:ascii="Times New Roman" w:hAnsi="Times New Roman" w:cs="Times New Roman"/>
        </w:rPr>
        <w:t>Rate Design M</w:t>
      </w:r>
      <w:r w:rsidR="007A413B">
        <w:rPr>
          <w:rStyle w:val="T11"/>
          <w:rFonts w:ascii="Times New Roman" w:hAnsi="Times New Roman" w:cs="Times New Roman"/>
        </w:rPr>
        <w:t>anual</w:t>
      </w:r>
      <w:r w:rsidR="0001590B">
        <w:rPr>
          <w:rStyle w:val="T11"/>
          <w:rFonts w:ascii="Times New Roman" w:hAnsi="Times New Roman" w:cs="Times New Roman"/>
        </w:rPr>
        <w:t xml:space="preserve"> provide any discussion on the Peak and A</w:t>
      </w:r>
      <w:r w:rsidR="007A413B">
        <w:rPr>
          <w:rStyle w:val="T11"/>
          <w:rFonts w:ascii="Times New Roman" w:hAnsi="Times New Roman" w:cs="Times New Roman"/>
        </w:rPr>
        <w:t>verage method for allocating distribution main?</w:t>
      </w:r>
    </w:p>
    <w:p w:rsidR="007A413B" w:rsidRDefault="002E24A3" w:rsidP="007A413B">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Yes, the NARUC Gas Distribution Rate Design M</w:t>
      </w:r>
      <w:r w:rsidR="007A413B">
        <w:rPr>
          <w:rFonts w:ascii="Times New Roman" w:hAnsi="Times New Roman" w:cs="Times New Roman"/>
        </w:rPr>
        <w:t>anual provides the following description:</w:t>
      </w:r>
      <w:r>
        <w:rPr>
          <w:rStyle w:val="FootnoteReference"/>
          <w:rFonts w:ascii="Times New Roman" w:hAnsi="Times New Roman"/>
        </w:rPr>
        <w:footnoteReference w:id="3"/>
      </w:r>
    </w:p>
    <w:p w:rsidR="007A413B" w:rsidRDefault="007A413B" w:rsidP="007A413B">
      <w:pPr>
        <w:pStyle w:val="P31"/>
        <w:tabs>
          <w:tab w:val="left" w:pos="720"/>
        </w:tabs>
        <w:spacing w:line="240" w:lineRule="auto"/>
        <w:ind w:firstLine="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Average and Peak Demand Method</w:t>
      </w:r>
    </w:p>
    <w:p w:rsidR="007A413B" w:rsidRPr="00041E52" w:rsidRDefault="007A413B" w:rsidP="00041E52">
      <w:pPr>
        <w:pStyle w:val="P31"/>
        <w:tabs>
          <w:tab w:val="left" w:pos="720"/>
        </w:tabs>
        <w:spacing w:line="240" w:lineRule="auto"/>
        <w:ind w:left="720" w:firstLine="0"/>
        <w:jc w:val="both"/>
        <w:rPr>
          <w:rStyle w:val="T11"/>
          <w:rFonts w:ascii="Times New Roman" w:hAnsi="Times New Roman" w:cs="Times New Roman"/>
          <w:b w:val="0"/>
        </w:rPr>
      </w:pPr>
      <w:r>
        <w:rPr>
          <w:rFonts w:ascii="Times New Roman" w:hAnsi="Times New Roman" w:cs="Times New Roman"/>
        </w:rPr>
        <w:t>This method reflects a comprom</w:t>
      </w:r>
      <w:r w:rsidR="00F21492">
        <w:rPr>
          <w:rFonts w:ascii="Times New Roman" w:hAnsi="Times New Roman" w:cs="Times New Roman"/>
        </w:rPr>
        <w:t>ise between the coincident and n</w:t>
      </w:r>
      <w:r>
        <w:rPr>
          <w:rFonts w:ascii="Times New Roman" w:hAnsi="Times New Roman" w:cs="Times New Roman"/>
        </w:rPr>
        <w:t>oncoincident demand methods.  Total demand costs are multiplied by the system’s load factor to arrive at the capacity costs attributed to average use and are apportioned to the various customer classes on an annual volumetric basis.  The remaining costs are considered to have been incurred to meet the individual peak demands of the various classes of service and are allocated on the basis of the coincident peak of each class.  This method allocates cost to all customers and tempers the apportionment of costs between the high and low load factor customers.</w:t>
      </w:r>
      <w:bookmarkStart w:id="0" w:name="_GoBack"/>
      <w:bookmarkEnd w:id="0"/>
    </w:p>
    <w:p w:rsidR="00877611" w:rsidRPr="00962453" w:rsidRDefault="007A413B" w:rsidP="00877611">
      <w:pPr>
        <w:pStyle w:val="P158"/>
        <w:ind w:left="0"/>
        <w:jc w:val="both"/>
        <w:rPr>
          <w:szCs w:val="22"/>
        </w:rPr>
      </w:pPr>
      <w:r>
        <w:rPr>
          <w:rStyle w:val="T11"/>
          <w:rFonts w:ascii="Times New Roman" w:hAnsi="Times New Roman" w:cs="Times New Roman"/>
        </w:rPr>
        <w:lastRenderedPageBreak/>
        <w:tab/>
      </w:r>
      <w:r>
        <w:rPr>
          <w:rStyle w:val="T11"/>
          <w:rFonts w:ascii="Times New Roman" w:hAnsi="Times New Roman" w:cs="Times New Roman"/>
        </w:rPr>
        <w:tab/>
      </w:r>
      <w:r w:rsidR="00877611">
        <w:rPr>
          <w:rStyle w:val="T11"/>
          <w:rFonts w:ascii="Times New Roman" w:hAnsi="Times New Roman" w:cs="Times New Roman"/>
        </w:rPr>
        <w:t>Q.</w:t>
      </w:r>
      <w:r w:rsidR="00877611">
        <w:rPr>
          <w:rStyle w:val="T11"/>
          <w:rFonts w:ascii="Times New Roman" w:hAnsi="Times New Roman" w:cs="Times New Roman"/>
        </w:rPr>
        <w:tab/>
        <w:t>Do you agree with NWIGU tha</w:t>
      </w:r>
      <w:r w:rsidR="00A96069">
        <w:rPr>
          <w:rStyle w:val="T11"/>
          <w:rFonts w:ascii="Times New Roman" w:hAnsi="Times New Roman" w:cs="Times New Roman"/>
        </w:rPr>
        <w:t>t throughput, or average demand</w:t>
      </w:r>
      <w:r w:rsidR="000B505F">
        <w:rPr>
          <w:rStyle w:val="T11"/>
          <w:rFonts w:ascii="Times New Roman" w:hAnsi="Times New Roman" w:cs="Times New Roman"/>
        </w:rPr>
        <w:t>,</w:t>
      </w:r>
      <w:r w:rsidR="00877611">
        <w:rPr>
          <w:rStyle w:val="T11"/>
          <w:rFonts w:ascii="Times New Roman" w:hAnsi="Times New Roman" w:cs="Times New Roman"/>
        </w:rPr>
        <w:t xml:space="preserve"> </w:t>
      </w:r>
      <w:r w:rsidR="000B505F">
        <w:rPr>
          <w:rStyle w:val="T11"/>
          <w:rFonts w:ascii="Times New Roman" w:hAnsi="Times New Roman" w:cs="Times New Roman"/>
        </w:rPr>
        <w:t>is</w:t>
      </w:r>
      <w:r w:rsidR="00877611">
        <w:rPr>
          <w:rStyle w:val="T11"/>
          <w:rFonts w:ascii="Times New Roman" w:hAnsi="Times New Roman" w:cs="Times New Roman"/>
        </w:rPr>
        <w:t xml:space="preserve"> not an appropriate basis for allocating distribution mains and regulator station equipment costs?</w:t>
      </w:r>
      <w:r w:rsidR="00170FC2">
        <w:rPr>
          <w:rStyle w:val="FootnoteReference"/>
          <w:rFonts w:ascii="Times New Roman" w:hAnsi="Times New Roman"/>
          <w:b/>
        </w:rPr>
        <w:footnoteReference w:id="4"/>
      </w:r>
    </w:p>
    <w:p w:rsidR="00D3282C" w:rsidRDefault="0014077C" w:rsidP="00877611">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No.  As I stated above</w:t>
      </w:r>
      <w:r w:rsidR="00877611">
        <w:rPr>
          <w:rFonts w:ascii="Times New Roman" w:hAnsi="Times New Roman" w:cs="Times New Roman"/>
        </w:rPr>
        <w:t xml:space="preserve"> the purpose of the Peak and Average </w:t>
      </w:r>
      <w:r w:rsidR="00745E5A">
        <w:rPr>
          <w:rFonts w:ascii="Times New Roman" w:hAnsi="Times New Roman" w:cs="Times New Roman"/>
        </w:rPr>
        <w:t>methodology</w:t>
      </w:r>
      <w:r w:rsidR="00877611">
        <w:rPr>
          <w:rFonts w:ascii="Times New Roman" w:hAnsi="Times New Roman" w:cs="Times New Roman"/>
        </w:rPr>
        <w:t xml:space="preserve"> is to provide a balance between the way the system is designed (to meet peak demand) and the way it is used on an annual basis (throughput based on gas usage that occurs during all conditions, not only peak conditions).  </w:t>
      </w:r>
      <w:r w:rsidR="00BD4B06">
        <w:rPr>
          <w:rFonts w:ascii="Times New Roman" w:hAnsi="Times New Roman" w:cs="Times New Roman"/>
        </w:rPr>
        <w:t>Distribution plant is built to deliver natural gas year-round, not just on a peak day.  By splitting the allocation between peak demand and average throughput</w:t>
      </w:r>
      <w:r w:rsidR="002E24A3">
        <w:rPr>
          <w:rFonts w:ascii="Times New Roman" w:hAnsi="Times New Roman" w:cs="Times New Roman"/>
        </w:rPr>
        <w:t>,</w:t>
      </w:r>
      <w:r w:rsidR="00BD4B06">
        <w:rPr>
          <w:rFonts w:ascii="Times New Roman" w:hAnsi="Times New Roman" w:cs="Times New Roman"/>
        </w:rPr>
        <w:t xml:space="preserve"> the cost allocations appropriately reflect the dual use of the assets.</w:t>
      </w:r>
    </w:p>
    <w:p w:rsidR="00BD4B06" w:rsidRPr="005540EB" w:rsidRDefault="000F5906" w:rsidP="00BD4B06">
      <w:pPr>
        <w:pStyle w:val="P158"/>
        <w:ind w:left="0"/>
        <w:jc w:val="both"/>
        <w:rPr>
          <w:rFonts w:ascii="Times New Roman" w:hAnsi="Times New Roman" w:cs="Times New Roman"/>
        </w:rPr>
      </w:pPr>
      <w:r>
        <w:rPr>
          <w:rFonts w:ascii="Times New Roman" w:hAnsi="Times New Roman" w:cs="Times New Roman"/>
        </w:rPr>
        <w:t xml:space="preserve">  </w:t>
      </w:r>
      <w:r w:rsidR="00BD4B06">
        <w:rPr>
          <w:rFonts w:ascii="Times New Roman" w:hAnsi="Times New Roman" w:cs="Times New Roman"/>
        </w:rPr>
        <w:tab/>
      </w:r>
      <w:r w:rsidR="00BD4B06">
        <w:rPr>
          <w:rStyle w:val="T11"/>
          <w:rFonts w:ascii="Times New Roman" w:hAnsi="Times New Roman" w:cs="Times New Roman"/>
        </w:rPr>
        <w:t>Q.</w:t>
      </w:r>
      <w:r w:rsidR="00BD4B06">
        <w:rPr>
          <w:rStyle w:val="T11"/>
          <w:rFonts w:ascii="Times New Roman" w:hAnsi="Times New Roman" w:cs="Times New Roman"/>
        </w:rPr>
        <w:tab/>
        <w:t>NWIGU states that a major flaw of the Peak and Average calculation is that is double counts the “average” component of demand.</w:t>
      </w:r>
      <w:r w:rsidR="00170FC2">
        <w:rPr>
          <w:rStyle w:val="FootnoteReference"/>
          <w:rFonts w:ascii="Times New Roman" w:hAnsi="Times New Roman"/>
          <w:b/>
        </w:rPr>
        <w:footnoteReference w:id="5"/>
      </w:r>
      <w:r w:rsidR="00BD4B06">
        <w:rPr>
          <w:rStyle w:val="T11"/>
          <w:rFonts w:ascii="Times New Roman" w:hAnsi="Times New Roman" w:cs="Times New Roman"/>
        </w:rPr>
        <w:t xml:space="preserve">  Do you agree?</w:t>
      </w:r>
    </w:p>
    <w:p w:rsidR="00D9560A" w:rsidRDefault="005211BE" w:rsidP="00BD4B06">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95461D">
        <w:rPr>
          <w:rFonts w:ascii="Times New Roman" w:hAnsi="Times New Roman" w:cs="Times New Roman"/>
        </w:rPr>
        <w:t>No, a</w:t>
      </w:r>
      <w:r>
        <w:rPr>
          <w:rFonts w:ascii="Times New Roman" w:hAnsi="Times New Roman" w:cs="Times New Roman"/>
        </w:rPr>
        <w:t>s previously discussed</w:t>
      </w:r>
      <w:r w:rsidR="00A96069">
        <w:rPr>
          <w:rFonts w:ascii="Times New Roman" w:hAnsi="Times New Roman" w:cs="Times New Roman"/>
        </w:rPr>
        <w:t>,</w:t>
      </w:r>
      <w:r w:rsidR="00A403AB">
        <w:rPr>
          <w:rFonts w:ascii="Times New Roman" w:hAnsi="Times New Roman" w:cs="Times New Roman"/>
        </w:rPr>
        <w:t xml:space="preserve"> the Peak and A</w:t>
      </w:r>
      <w:r>
        <w:rPr>
          <w:rFonts w:ascii="Times New Roman" w:hAnsi="Times New Roman" w:cs="Times New Roman"/>
        </w:rPr>
        <w:t>verage method reflects two separate allocators apportioning costs based on peak demands and throughput to reflect the dual use of the assets.</w:t>
      </w:r>
      <w:r w:rsidR="0072300B">
        <w:rPr>
          <w:rFonts w:ascii="Times New Roman" w:hAnsi="Times New Roman" w:cs="Times New Roman"/>
        </w:rPr>
        <w:t xml:space="preserve">  The purpose of the pe</w:t>
      </w:r>
      <w:r w:rsidR="002E24A3">
        <w:rPr>
          <w:rFonts w:ascii="Times New Roman" w:hAnsi="Times New Roman" w:cs="Times New Roman"/>
        </w:rPr>
        <w:t>ak and average calculation is t</w:t>
      </w:r>
      <w:r w:rsidR="0072300B">
        <w:rPr>
          <w:rFonts w:ascii="Times New Roman" w:hAnsi="Times New Roman" w:cs="Times New Roman"/>
        </w:rPr>
        <w:t>o look at the two allocators in isolation.  When the Company experiences a peak day on its system</w:t>
      </w:r>
      <w:r w:rsidR="002E24A3">
        <w:rPr>
          <w:rFonts w:ascii="Times New Roman" w:hAnsi="Times New Roman" w:cs="Times New Roman"/>
        </w:rPr>
        <w:t>,</w:t>
      </w:r>
      <w:r w:rsidR="0072300B">
        <w:rPr>
          <w:rFonts w:ascii="Times New Roman" w:hAnsi="Times New Roman" w:cs="Times New Roman"/>
        </w:rPr>
        <w:t xml:space="preserve"> the usage that makes up that peak includes both the usage that would occur under normal operating conditions (average usage) and usage that is attributable to extreme weather and any other factor that contributes to the peak.  Therefore it is appropriate to include all usage in the peak portion of the allocator.  The average or throughput portion is designed to capture the “everyday” use of the system which is independent from the peak conditions.</w:t>
      </w:r>
      <w:r w:rsidR="0045152C">
        <w:rPr>
          <w:rFonts w:ascii="Times New Roman" w:hAnsi="Times New Roman" w:cs="Times New Roman"/>
        </w:rPr>
        <w:t xml:space="preserve">  </w:t>
      </w:r>
      <w:r w:rsidR="00EB5EFA">
        <w:rPr>
          <w:rFonts w:ascii="Times New Roman" w:hAnsi="Times New Roman" w:cs="Times New Roman"/>
        </w:rPr>
        <w:t>That is to say</w:t>
      </w:r>
      <w:r w:rsidR="00A96069">
        <w:rPr>
          <w:rFonts w:ascii="Times New Roman" w:hAnsi="Times New Roman" w:cs="Times New Roman"/>
        </w:rPr>
        <w:t>,</w:t>
      </w:r>
      <w:r w:rsidR="00EB5EFA">
        <w:rPr>
          <w:rFonts w:ascii="Times New Roman" w:hAnsi="Times New Roman" w:cs="Times New Roman"/>
        </w:rPr>
        <w:t xml:space="preserve"> the throughput portion represents the initial and continued investments made to deliver gas year round, irrespective of the peak.  </w:t>
      </w:r>
      <w:r w:rsidR="0045152C">
        <w:rPr>
          <w:rFonts w:ascii="Times New Roman" w:hAnsi="Times New Roman" w:cs="Times New Roman"/>
        </w:rPr>
        <w:lastRenderedPageBreak/>
        <w:t xml:space="preserve">It is common practice in cost of service studies to use multipart allocation factors in an attempt </w:t>
      </w:r>
      <w:r w:rsidR="00890305">
        <w:rPr>
          <w:rFonts w:ascii="Times New Roman" w:hAnsi="Times New Roman" w:cs="Times New Roman"/>
        </w:rPr>
        <w:t xml:space="preserve">to </w:t>
      </w:r>
      <w:r w:rsidR="0045152C">
        <w:rPr>
          <w:rFonts w:ascii="Times New Roman" w:hAnsi="Times New Roman" w:cs="Times New Roman"/>
        </w:rPr>
        <w:t xml:space="preserve">characterize the multiplicity of </w:t>
      </w:r>
      <w:r w:rsidR="00890305">
        <w:rPr>
          <w:rFonts w:ascii="Times New Roman" w:hAnsi="Times New Roman" w:cs="Times New Roman"/>
        </w:rPr>
        <w:t>reasons</w:t>
      </w:r>
      <w:r w:rsidR="0045152C">
        <w:rPr>
          <w:rFonts w:ascii="Times New Roman" w:hAnsi="Times New Roman" w:cs="Times New Roman"/>
        </w:rPr>
        <w:t xml:space="preserve"> that are driving the investments </w:t>
      </w:r>
      <w:r w:rsidR="0095461D">
        <w:rPr>
          <w:rFonts w:ascii="Times New Roman" w:hAnsi="Times New Roman" w:cs="Times New Roman"/>
        </w:rPr>
        <w:t>c</w:t>
      </w:r>
      <w:r w:rsidR="00A96069">
        <w:rPr>
          <w:rFonts w:ascii="Times New Roman" w:hAnsi="Times New Roman" w:cs="Times New Roman"/>
        </w:rPr>
        <w:t>ompanies</w:t>
      </w:r>
      <w:r w:rsidR="0045152C">
        <w:rPr>
          <w:rFonts w:ascii="Times New Roman" w:hAnsi="Times New Roman" w:cs="Times New Roman"/>
        </w:rPr>
        <w:t xml:space="preserve"> make.   </w:t>
      </w:r>
    </w:p>
    <w:p w:rsidR="005211BE" w:rsidRPr="005540EB" w:rsidRDefault="005211BE" w:rsidP="005211BE">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t>Under the Company’s approach for allocating distribution mains do high load factor customers (Schedules 131/132 &amp; 146) receive a full allocation of the average throughput allocation?</w:t>
      </w:r>
    </w:p>
    <w:p w:rsidR="0014077C" w:rsidRDefault="005211BE" w:rsidP="0065504B">
      <w:pPr>
        <w:pStyle w:val="P31"/>
        <w:tabs>
          <w:tab w:val="left" w:pos="720"/>
        </w:tabs>
        <w:ind w:firstLine="0"/>
        <w:jc w:val="both"/>
        <w:rPr>
          <w:rStyle w:val="LineNumber"/>
        </w:rPr>
      </w:pPr>
      <w:r>
        <w:rPr>
          <w:rFonts w:ascii="Times New Roman" w:hAnsi="Times New Roman" w:cs="Times New Roman"/>
        </w:rPr>
        <w:tab/>
        <w:t>A.</w:t>
      </w:r>
      <w:r>
        <w:rPr>
          <w:rFonts w:ascii="Times New Roman" w:hAnsi="Times New Roman" w:cs="Times New Roman"/>
        </w:rPr>
        <w:tab/>
        <w:t xml:space="preserve">No.  </w:t>
      </w:r>
      <w:r w:rsidR="00D62E30">
        <w:rPr>
          <w:rFonts w:ascii="Times New Roman" w:hAnsi="Times New Roman" w:cs="Times New Roman"/>
        </w:rPr>
        <w:t>As detailed in my pre-filed testimony</w:t>
      </w:r>
      <w:r w:rsidR="002E24A3">
        <w:rPr>
          <w:rFonts w:ascii="Times New Roman" w:hAnsi="Times New Roman" w:cs="Times New Roman"/>
        </w:rPr>
        <w:t>,</w:t>
      </w:r>
      <w:r w:rsidR="00D62E30">
        <w:rPr>
          <w:rFonts w:ascii="Times New Roman" w:hAnsi="Times New Roman" w:cs="Times New Roman"/>
        </w:rPr>
        <w:t xml:space="preserve"> </w:t>
      </w:r>
      <w:r w:rsidR="00D62E30">
        <w:rPr>
          <w:rStyle w:val="LineNumber"/>
        </w:rPr>
        <w:t>t</w:t>
      </w:r>
      <w:r w:rsidR="00D62E30" w:rsidRPr="00AA4D2A">
        <w:rPr>
          <w:rStyle w:val="LineNumber"/>
        </w:rPr>
        <w:t>he throughput portion of the main investment allocation has been segregated into small, medium and large mains, with large usage customers (Schedules 131/132 &amp; 146) receiving zero alloca</w:t>
      </w:r>
      <w:r w:rsidR="00D62E30">
        <w:rPr>
          <w:rStyle w:val="LineNumber"/>
        </w:rPr>
        <w:t xml:space="preserve">tion of small mains and </w:t>
      </w:r>
      <w:r w:rsidR="009E07A4">
        <w:rPr>
          <w:rStyle w:val="LineNumber"/>
        </w:rPr>
        <w:t xml:space="preserve">only </w:t>
      </w:r>
      <w:r w:rsidR="00D62E30">
        <w:rPr>
          <w:rStyle w:val="LineNumber"/>
        </w:rPr>
        <w:t>a 33%</w:t>
      </w:r>
      <w:r w:rsidR="00D62E30" w:rsidRPr="00AA4D2A">
        <w:rPr>
          <w:rStyle w:val="LineNumber"/>
        </w:rPr>
        <w:t xml:space="preserve"> allocation of medium mains.  </w:t>
      </w:r>
      <w:r w:rsidR="009E07A4">
        <w:rPr>
          <w:rStyle w:val="LineNumber"/>
        </w:rPr>
        <w:t>All customers r</w:t>
      </w:r>
      <w:r w:rsidR="00962453">
        <w:rPr>
          <w:rStyle w:val="LineNumber"/>
        </w:rPr>
        <w:t>e</w:t>
      </w:r>
      <w:r w:rsidR="009E07A4">
        <w:rPr>
          <w:rStyle w:val="LineNumber"/>
        </w:rPr>
        <w:t>ceive a full allocation of large mains</w:t>
      </w:r>
      <w:r w:rsidR="009D08C2">
        <w:rPr>
          <w:rStyle w:val="LineNumber"/>
        </w:rPr>
        <w:t>.  In other words</w:t>
      </w:r>
      <w:r w:rsidR="00F21492">
        <w:rPr>
          <w:rStyle w:val="LineNumber"/>
        </w:rPr>
        <w:t>,</w:t>
      </w:r>
      <w:r w:rsidR="009D08C2">
        <w:rPr>
          <w:rStyle w:val="LineNumber"/>
        </w:rPr>
        <w:t xml:space="preserve"> </w:t>
      </w:r>
      <w:r w:rsidR="009E07A4">
        <w:rPr>
          <w:rStyle w:val="LineNumber"/>
        </w:rPr>
        <w:t xml:space="preserve">the throughput portion </w:t>
      </w:r>
      <w:r w:rsidR="009D08C2">
        <w:rPr>
          <w:rStyle w:val="LineNumber"/>
        </w:rPr>
        <w:t xml:space="preserve">of the allocation </w:t>
      </w:r>
      <w:r w:rsidR="009E07A4">
        <w:rPr>
          <w:rStyle w:val="LineNumber"/>
        </w:rPr>
        <w:t>has been tempered, or limited, for high load factor customers</w:t>
      </w:r>
      <w:r w:rsidR="009D08C2">
        <w:rPr>
          <w:rStyle w:val="LineNumber"/>
        </w:rPr>
        <w:t xml:space="preserve"> under the Company’s approach</w:t>
      </w:r>
    </w:p>
    <w:p w:rsidR="00700BDB" w:rsidRDefault="00700BDB" w:rsidP="0065504B">
      <w:pPr>
        <w:pStyle w:val="P31"/>
        <w:tabs>
          <w:tab w:val="left" w:pos="720"/>
        </w:tabs>
        <w:ind w:firstLine="0"/>
        <w:jc w:val="both"/>
        <w:rPr>
          <w:rStyle w:val="LineNumber"/>
        </w:rPr>
      </w:pPr>
    </w:p>
    <w:p w:rsidR="00A96069" w:rsidRPr="00747286" w:rsidRDefault="008E51B6" w:rsidP="0014077C">
      <w:pPr>
        <w:pStyle w:val="P31"/>
        <w:tabs>
          <w:tab w:val="left" w:pos="720"/>
        </w:tabs>
        <w:ind w:firstLine="0"/>
        <w:jc w:val="center"/>
        <w:rPr>
          <w:rFonts w:ascii="Times New Roman" w:hAnsi="Times New Roman" w:cs="Times New Roman"/>
          <w:b/>
          <w:u w:val="single"/>
        </w:rPr>
      </w:pPr>
      <w:r>
        <w:rPr>
          <w:rFonts w:ascii="Times New Roman" w:hAnsi="Times New Roman" w:cs="Times New Roman"/>
          <w:b/>
          <w:u w:val="single"/>
        </w:rPr>
        <w:t>I</w:t>
      </w:r>
      <w:r w:rsidR="00747286">
        <w:rPr>
          <w:rFonts w:ascii="Times New Roman" w:hAnsi="Times New Roman" w:cs="Times New Roman"/>
          <w:b/>
          <w:u w:val="single"/>
        </w:rPr>
        <w:t xml:space="preserve">V.     </w:t>
      </w:r>
      <w:r w:rsidR="00A96069">
        <w:rPr>
          <w:rFonts w:ascii="Times New Roman" w:hAnsi="Times New Roman" w:cs="Times New Roman"/>
          <w:b/>
          <w:u w:val="single"/>
        </w:rPr>
        <w:t>CUSTOMER COMPONENT FOR DISTRIBUTION MAINS</w:t>
      </w:r>
    </w:p>
    <w:p w:rsidR="00EB293E" w:rsidRPr="00EB293E" w:rsidRDefault="00EB293E" w:rsidP="00EB293E">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t>NWIGU asserts</w:t>
      </w:r>
      <w:r w:rsidRPr="00EB293E">
        <w:rPr>
          <w:rStyle w:val="T11"/>
          <w:rFonts w:ascii="Times New Roman" w:hAnsi="Times New Roman" w:cs="Times New Roman"/>
          <w:b w:val="0"/>
        </w:rPr>
        <w:t xml:space="preserve"> </w:t>
      </w:r>
      <w:r w:rsidRPr="00EB293E">
        <w:rPr>
          <w:rFonts w:ascii="Times New Roman" w:hAnsi="Times New Roman" w:cs="Times New Roman"/>
          <w:b/>
        </w:rPr>
        <w:t>that the Company’s class cost of service study should classify a portion of dist</w:t>
      </w:r>
      <w:r w:rsidR="002E24A3">
        <w:rPr>
          <w:rFonts w:ascii="Times New Roman" w:hAnsi="Times New Roman" w:cs="Times New Roman"/>
          <w:b/>
        </w:rPr>
        <w:t>ribution main costs as customer-</w:t>
      </w:r>
      <w:r w:rsidRPr="00EB293E">
        <w:rPr>
          <w:rFonts w:ascii="Times New Roman" w:hAnsi="Times New Roman" w:cs="Times New Roman"/>
          <w:b/>
        </w:rPr>
        <w:t xml:space="preserve">related and allocate those costs </w:t>
      </w:r>
      <w:r w:rsidR="00A96069">
        <w:rPr>
          <w:rFonts w:ascii="Times New Roman" w:hAnsi="Times New Roman" w:cs="Times New Roman"/>
          <w:b/>
        </w:rPr>
        <w:t xml:space="preserve">based </w:t>
      </w:r>
      <w:r w:rsidRPr="00EB293E">
        <w:rPr>
          <w:rFonts w:ascii="Times New Roman" w:hAnsi="Times New Roman" w:cs="Times New Roman"/>
          <w:b/>
        </w:rPr>
        <w:t>on the number of customers.  Do you agree?</w:t>
      </w:r>
    </w:p>
    <w:p w:rsidR="002E24A3" w:rsidRDefault="00EB293E" w:rsidP="00EB293E">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In the realm of cost of service studies around the country</w:t>
      </w:r>
      <w:r w:rsidR="002E24A3">
        <w:rPr>
          <w:rFonts w:ascii="Times New Roman" w:hAnsi="Times New Roman" w:cs="Times New Roman"/>
        </w:rPr>
        <w:t>,</w:t>
      </w:r>
      <w:r>
        <w:rPr>
          <w:rFonts w:ascii="Times New Roman" w:hAnsi="Times New Roman" w:cs="Times New Roman"/>
        </w:rPr>
        <w:t xml:space="preserve"> NWIGU’s position related to a portion of the </w:t>
      </w:r>
      <w:r w:rsidR="009A3C1E">
        <w:rPr>
          <w:rFonts w:ascii="Times New Roman" w:hAnsi="Times New Roman" w:cs="Times New Roman"/>
        </w:rPr>
        <w:t xml:space="preserve">main </w:t>
      </w:r>
      <w:r>
        <w:rPr>
          <w:rFonts w:ascii="Times New Roman" w:hAnsi="Times New Roman" w:cs="Times New Roman"/>
        </w:rPr>
        <w:t>allocation being assigned to customers i</w:t>
      </w:r>
      <w:r w:rsidR="0095461D">
        <w:rPr>
          <w:rFonts w:ascii="Times New Roman" w:hAnsi="Times New Roman" w:cs="Times New Roman"/>
        </w:rPr>
        <w:t xml:space="preserve">s nothing new.  As such, I believe their position </w:t>
      </w:r>
      <w:r w:rsidR="00C3039E">
        <w:rPr>
          <w:rFonts w:ascii="Times New Roman" w:hAnsi="Times New Roman" w:cs="Times New Roman"/>
        </w:rPr>
        <w:t xml:space="preserve">is </w:t>
      </w:r>
      <w:r>
        <w:rPr>
          <w:rFonts w:ascii="Times New Roman" w:hAnsi="Times New Roman" w:cs="Times New Roman"/>
        </w:rPr>
        <w:t xml:space="preserve">worthy of consideration.  </w:t>
      </w:r>
      <w:r w:rsidR="002D63E8">
        <w:rPr>
          <w:rFonts w:ascii="Times New Roman" w:hAnsi="Times New Roman" w:cs="Times New Roman"/>
        </w:rPr>
        <w:t xml:space="preserve">As </w:t>
      </w:r>
      <w:r w:rsidR="0086388E">
        <w:rPr>
          <w:rFonts w:ascii="Times New Roman" w:hAnsi="Times New Roman" w:cs="Times New Roman"/>
        </w:rPr>
        <w:t xml:space="preserve">accurately </w:t>
      </w:r>
      <w:r w:rsidR="002D63E8">
        <w:rPr>
          <w:rFonts w:ascii="Times New Roman" w:hAnsi="Times New Roman" w:cs="Times New Roman"/>
        </w:rPr>
        <w:t>stated by NWIGU</w:t>
      </w:r>
      <w:r w:rsidR="002E24A3">
        <w:rPr>
          <w:rFonts w:ascii="Times New Roman" w:hAnsi="Times New Roman" w:cs="Times New Roman"/>
        </w:rPr>
        <w:t>:</w:t>
      </w:r>
      <w:r w:rsidR="002D63E8">
        <w:rPr>
          <w:rFonts w:ascii="Times New Roman" w:hAnsi="Times New Roman" w:cs="Times New Roman"/>
        </w:rPr>
        <w:t xml:space="preserve"> </w:t>
      </w:r>
    </w:p>
    <w:p w:rsidR="002E24A3" w:rsidRDefault="002D63E8" w:rsidP="002E24A3">
      <w:pPr>
        <w:pStyle w:val="P31"/>
        <w:tabs>
          <w:tab w:val="left" w:pos="720"/>
        </w:tabs>
        <w:spacing w:line="240" w:lineRule="auto"/>
        <w:ind w:left="720" w:firstLine="0"/>
        <w:jc w:val="both"/>
        <w:rPr>
          <w:rFonts w:ascii="Times New Roman" w:hAnsi="Times New Roman" w:cs="Times New Roman"/>
        </w:rPr>
      </w:pPr>
      <w:r>
        <w:rPr>
          <w:rFonts w:ascii="Times New Roman" w:hAnsi="Times New Roman" w:cs="Times New Roman"/>
        </w:rPr>
        <w:t>“A significant portion of the Company’s distribution main system is designed to move gas to the location of all of its customers on the system and is related to length of main, not demand or volume.  Hence, a portion of the distribution main cost is driven by the location of customers on the system, and not the customers’ peak day demands or annual volumes.”</w:t>
      </w:r>
      <w:r>
        <w:rPr>
          <w:rStyle w:val="FootnoteReference"/>
          <w:rFonts w:ascii="Times New Roman" w:hAnsi="Times New Roman"/>
        </w:rPr>
        <w:footnoteReference w:id="6"/>
      </w:r>
      <w:r w:rsidR="00EB293E">
        <w:rPr>
          <w:rFonts w:ascii="Times New Roman" w:hAnsi="Times New Roman" w:cs="Times New Roman"/>
        </w:rPr>
        <w:t xml:space="preserve"> </w:t>
      </w:r>
      <w:r w:rsidR="00A96069">
        <w:rPr>
          <w:rFonts w:ascii="Times New Roman" w:hAnsi="Times New Roman" w:cs="Times New Roman"/>
        </w:rPr>
        <w:t xml:space="preserve"> </w:t>
      </w:r>
    </w:p>
    <w:p w:rsidR="002E24A3" w:rsidRDefault="002E24A3" w:rsidP="002E24A3">
      <w:pPr>
        <w:pStyle w:val="P31"/>
        <w:tabs>
          <w:tab w:val="left" w:pos="720"/>
        </w:tabs>
        <w:spacing w:line="240" w:lineRule="auto"/>
        <w:ind w:left="720" w:firstLine="0"/>
        <w:jc w:val="both"/>
        <w:rPr>
          <w:rFonts w:ascii="Times New Roman" w:hAnsi="Times New Roman" w:cs="Times New Roman"/>
        </w:rPr>
      </w:pPr>
    </w:p>
    <w:p w:rsidR="002E24A3" w:rsidRDefault="00A96069" w:rsidP="002E24A3">
      <w:pPr>
        <w:pStyle w:val="P31"/>
        <w:tabs>
          <w:tab w:val="left" w:pos="720"/>
        </w:tabs>
        <w:ind w:firstLine="0"/>
        <w:jc w:val="both"/>
        <w:rPr>
          <w:rFonts w:ascii="Times New Roman" w:hAnsi="Times New Roman" w:cs="Times New Roman"/>
        </w:rPr>
      </w:pPr>
      <w:r>
        <w:rPr>
          <w:rFonts w:ascii="Times New Roman" w:hAnsi="Times New Roman" w:cs="Times New Roman"/>
        </w:rPr>
        <w:lastRenderedPageBreak/>
        <w:t>I b</w:t>
      </w:r>
      <w:r w:rsidR="0086388E">
        <w:rPr>
          <w:rFonts w:ascii="Times New Roman" w:hAnsi="Times New Roman" w:cs="Times New Roman"/>
        </w:rPr>
        <w:t>elieve that at some level, it could be</w:t>
      </w:r>
      <w:r>
        <w:rPr>
          <w:rFonts w:ascii="Times New Roman" w:hAnsi="Times New Roman" w:cs="Times New Roman"/>
        </w:rPr>
        <w:t xml:space="preserve"> appropriate to allocate a portion of distribution mains based on the number of customers to reflect the physical location of customers to the distribution system.</w:t>
      </w:r>
    </w:p>
    <w:p w:rsidR="009A3C1E" w:rsidRPr="00EB293E" w:rsidRDefault="009A3C1E" w:rsidP="009A3C1E">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r>
      <w:r>
        <w:rPr>
          <w:rStyle w:val="T11"/>
          <w:rFonts w:ascii="Times New Roman" w:hAnsi="Times New Roman" w:cs="Times New Roman"/>
        </w:rPr>
        <w:t>How much of the distribution main costs did NWIGU allocate to the customer component</w:t>
      </w:r>
      <w:r w:rsidRPr="00EB293E">
        <w:rPr>
          <w:rFonts w:ascii="Times New Roman" w:hAnsi="Times New Roman" w:cs="Times New Roman"/>
          <w:b/>
        </w:rPr>
        <w:t>?</w:t>
      </w:r>
    </w:p>
    <w:p w:rsidR="005211BE" w:rsidRDefault="009A3C1E" w:rsidP="009A3C1E">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NWIGU </w:t>
      </w:r>
      <w:r w:rsidR="0001590B">
        <w:rPr>
          <w:rFonts w:ascii="Times New Roman" w:hAnsi="Times New Roman" w:cs="Times New Roman"/>
        </w:rPr>
        <w:t>p</w:t>
      </w:r>
      <w:r w:rsidR="00843018">
        <w:rPr>
          <w:rFonts w:ascii="Times New Roman" w:hAnsi="Times New Roman" w:cs="Times New Roman"/>
        </w:rPr>
        <w:t>roposed</w:t>
      </w:r>
      <w:r>
        <w:rPr>
          <w:rFonts w:ascii="Times New Roman" w:hAnsi="Times New Roman" w:cs="Times New Roman"/>
        </w:rPr>
        <w:t xml:space="preserve"> that the cost of all distribution mains 2 inches and smaller be allocated to all </w:t>
      </w:r>
      <w:r w:rsidR="00A96069">
        <w:rPr>
          <w:rFonts w:ascii="Times New Roman" w:hAnsi="Times New Roman" w:cs="Times New Roman"/>
        </w:rPr>
        <w:t>rate schedules</w:t>
      </w:r>
      <w:r>
        <w:rPr>
          <w:rFonts w:ascii="Times New Roman" w:hAnsi="Times New Roman" w:cs="Times New Roman"/>
        </w:rPr>
        <w:t xml:space="preserve"> based on the number of customers.</w:t>
      </w:r>
      <w:r w:rsidR="0074167B">
        <w:rPr>
          <w:rFonts w:ascii="Times New Roman" w:hAnsi="Times New Roman" w:cs="Times New Roman"/>
        </w:rPr>
        <w:t xml:space="preserve">  </w:t>
      </w:r>
      <w:r>
        <w:rPr>
          <w:rFonts w:ascii="Times New Roman" w:hAnsi="Times New Roman" w:cs="Times New Roman"/>
        </w:rPr>
        <w:t>Thi</w:t>
      </w:r>
      <w:r w:rsidR="00DF703D">
        <w:rPr>
          <w:rFonts w:ascii="Times New Roman" w:hAnsi="Times New Roman" w:cs="Times New Roman"/>
        </w:rPr>
        <w:t xml:space="preserve">s results in approximately </w:t>
      </w:r>
      <w:r w:rsidR="004E6748">
        <w:rPr>
          <w:rFonts w:ascii="Times New Roman" w:hAnsi="Times New Roman" w:cs="Times New Roman"/>
        </w:rPr>
        <w:t>$</w:t>
      </w:r>
      <w:r w:rsidR="0074167B">
        <w:rPr>
          <w:rFonts w:ascii="Times New Roman" w:hAnsi="Times New Roman" w:cs="Times New Roman"/>
        </w:rPr>
        <w:t xml:space="preserve">81.9 million of the total </w:t>
      </w:r>
      <w:r w:rsidR="004E6748">
        <w:rPr>
          <w:rFonts w:ascii="Times New Roman" w:hAnsi="Times New Roman" w:cs="Times New Roman"/>
        </w:rPr>
        <w:t>$</w:t>
      </w:r>
      <w:r w:rsidR="0074167B">
        <w:rPr>
          <w:rFonts w:ascii="Times New Roman" w:hAnsi="Times New Roman" w:cs="Times New Roman"/>
        </w:rPr>
        <w:t>198.6 million, or 41.2</w:t>
      </w:r>
      <w:r w:rsidR="00DF703D">
        <w:rPr>
          <w:rFonts w:ascii="Times New Roman" w:hAnsi="Times New Roman" w:cs="Times New Roman"/>
        </w:rPr>
        <w:t>%</w:t>
      </w:r>
      <w:r w:rsidR="0074167B">
        <w:rPr>
          <w:rFonts w:ascii="Times New Roman" w:hAnsi="Times New Roman" w:cs="Times New Roman"/>
        </w:rPr>
        <w:t>,</w:t>
      </w:r>
      <w:r w:rsidR="00DF703D">
        <w:rPr>
          <w:rFonts w:ascii="Times New Roman" w:hAnsi="Times New Roman" w:cs="Times New Roman"/>
        </w:rPr>
        <w:t xml:space="preserve"> </w:t>
      </w:r>
      <w:r>
        <w:rPr>
          <w:rFonts w:ascii="Times New Roman" w:hAnsi="Times New Roman" w:cs="Times New Roman"/>
        </w:rPr>
        <w:t xml:space="preserve">of total distribution main costs being classified and allocated to all </w:t>
      </w:r>
      <w:r w:rsidR="00A96069">
        <w:rPr>
          <w:rFonts w:ascii="Times New Roman" w:hAnsi="Times New Roman" w:cs="Times New Roman"/>
        </w:rPr>
        <w:t>rate schedules</w:t>
      </w:r>
      <w:r>
        <w:rPr>
          <w:rFonts w:ascii="Times New Roman" w:hAnsi="Times New Roman" w:cs="Times New Roman"/>
        </w:rPr>
        <w:t xml:space="preserve"> on a customer basis.</w:t>
      </w:r>
    </w:p>
    <w:p w:rsidR="009A3C1E" w:rsidRPr="00EB293E" w:rsidRDefault="009A3C1E" w:rsidP="009A3C1E">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r>
      <w:r>
        <w:rPr>
          <w:rStyle w:val="T11"/>
          <w:rFonts w:ascii="Times New Roman" w:hAnsi="Times New Roman" w:cs="Times New Roman"/>
        </w:rPr>
        <w:t>Is 41</w:t>
      </w:r>
      <w:r w:rsidR="0074167B">
        <w:rPr>
          <w:rStyle w:val="T11"/>
          <w:rFonts w:ascii="Times New Roman" w:hAnsi="Times New Roman" w:cs="Times New Roman"/>
        </w:rPr>
        <w:t>.2</w:t>
      </w:r>
      <w:r>
        <w:rPr>
          <w:rStyle w:val="T11"/>
          <w:rFonts w:ascii="Times New Roman" w:hAnsi="Times New Roman" w:cs="Times New Roman"/>
        </w:rPr>
        <w:t>% of the total distribution main costs bein</w:t>
      </w:r>
      <w:r w:rsidR="00745E5A">
        <w:rPr>
          <w:rStyle w:val="T11"/>
          <w:rFonts w:ascii="Times New Roman" w:hAnsi="Times New Roman" w:cs="Times New Roman"/>
        </w:rPr>
        <w:t>g classified and allocated to</w:t>
      </w:r>
      <w:r>
        <w:rPr>
          <w:rStyle w:val="T11"/>
          <w:rFonts w:ascii="Times New Roman" w:hAnsi="Times New Roman" w:cs="Times New Roman"/>
        </w:rPr>
        <w:t xml:space="preserve"> all classe</w:t>
      </w:r>
      <w:r w:rsidR="0095704C">
        <w:rPr>
          <w:rStyle w:val="T11"/>
          <w:rFonts w:ascii="Times New Roman" w:hAnsi="Times New Roman" w:cs="Times New Roman"/>
        </w:rPr>
        <w:t>s on a customer basis overstated</w:t>
      </w:r>
      <w:r w:rsidRPr="00EB293E">
        <w:rPr>
          <w:rFonts w:ascii="Times New Roman" w:hAnsi="Times New Roman" w:cs="Times New Roman"/>
          <w:b/>
        </w:rPr>
        <w:t>?</w:t>
      </w:r>
    </w:p>
    <w:p w:rsidR="009A3C1E" w:rsidRDefault="009A3C1E" w:rsidP="009A3C1E">
      <w:pPr>
        <w:pStyle w:val="P31"/>
        <w:tabs>
          <w:tab w:val="left" w:pos="720"/>
        </w:tabs>
        <w:ind w:firstLine="0"/>
        <w:jc w:val="both"/>
        <w:rPr>
          <w:rFonts w:ascii="Times New Roman" w:hAnsi="Times New Roman" w:cs="Times New Roman"/>
        </w:rPr>
      </w:pPr>
      <w:r>
        <w:rPr>
          <w:rFonts w:ascii="Times New Roman" w:hAnsi="Times New Roman" w:cs="Times New Roman"/>
        </w:rPr>
        <w:tab/>
      </w:r>
      <w:r w:rsidR="0095704C">
        <w:rPr>
          <w:rFonts w:ascii="Times New Roman" w:hAnsi="Times New Roman" w:cs="Times New Roman"/>
        </w:rPr>
        <w:t>A.</w:t>
      </w:r>
      <w:r w:rsidR="0095704C">
        <w:rPr>
          <w:rFonts w:ascii="Times New Roman" w:hAnsi="Times New Roman" w:cs="Times New Roman"/>
        </w:rPr>
        <w:tab/>
        <w:t>Yes</w:t>
      </w:r>
      <w:r>
        <w:rPr>
          <w:rFonts w:ascii="Times New Roman" w:hAnsi="Times New Roman" w:cs="Times New Roman"/>
        </w:rPr>
        <w:t xml:space="preserve">.  </w:t>
      </w:r>
      <w:r w:rsidR="0095704C">
        <w:rPr>
          <w:rFonts w:ascii="Times New Roman" w:hAnsi="Times New Roman" w:cs="Times New Roman"/>
        </w:rPr>
        <w:t>NWIGU’s calculation is commonly referred to as the minimum-size approach, where one estimates the customer component of mains based on the smallest (and cheapest) size pipe installed</w:t>
      </w:r>
      <w:r w:rsidR="00DF703D">
        <w:rPr>
          <w:rFonts w:ascii="Times New Roman" w:hAnsi="Times New Roman" w:cs="Times New Roman"/>
        </w:rPr>
        <w:t>,</w:t>
      </w:r>
      <w:r w:rsidR="0095704C">
        <w:rPr>
          <w:rFonts w:ascii="Times New Roman" w:hAnsi="Times New Roman" w:cs="Times New Roman"/>
        </w:rPr>
        <w:t xml:space="preserve"> which then serves as a proxy for the customer portion of mains.  The problem with this approach is that even the smallest size of pipe has a considerable amount of load carrying capacity, and in fact, is used to meet </w:t>
      </w:r>
      <w:r w:rsidR="006C7D0C" w:rsidRPr="006C7D0C">
        <w:rPr>
          <w:rFonts w:ascii="Times New Roman" w:hAnsi="Times New Roman" w:cs="Times New Roman"/>
          <w:u w:val="single"/>
        </w:rPr>
        <w:t>all</w:t>
      </w:r>
      <w:r w:rsidR="006C7D0C">
        <w:rPr>
          <w:rFonts w:ascii="Times New Roman" w:hAnsi="Times New Roman" w:cs="Times New Roman"/>
        </w:rPr>
        <w:t xml:space="preserve"> </w:t>
      </w:r>
      <w:r w:rsidR="0095704C">
        <w:rPr>
          <w:rFonts w:ascii="Times New Roman" w:hAnsi="Times New Roman" w:cs="Times New Roman"/>
        </w:rPr>
        <w:t>customers’ design day demands that are</w:t>
      </w:r>
      <w:r w:rsidR="006C7D0C">
        <w:rPr>
          <w:rFonts w:ascii="Times New Roman" w:hAnsi="Times New Roman" w:cs="Times New Roman"/>
        </w:rPr>
        <w:t xml:space="preserve"> connected to minimum-size pipe</w:t>
      </w:r>
      <w:r w:rsidR="00113205">
        <w:rPr>
          <w:rFonts w:ascii="Times New Roman" w:hAnsi="Times New Roman" w:cs="Times New Roman"/>
        </w:rPr>
        <w:t>.</w:t>
      </w:r>
      <w:r w:rsidR="006C7D0C">
        <w:rPr>
          <w:rFonts w:ascii="Times New Roman" w:hAnsi="Times New Roman" w:cs="Times New Roman"/>
        </w:rPr>
        <w:t xml:space="preserve">  A</w:t>
      </w:r>
      <w:r w:rsidR="0095704C">
        <w:rPr>
          <w:rFonts w:ascii="Times New Roman" w:hAnsi="Times New Roman" w:cs="Times New Roman"/>
        </w:rPr>
        <w:t>bsent some sort of stat</w:t>
      </w:r>
      <w:r w:rsidR="004E6748">
        <w:rPr>
          <w:rFonts w:ascii="Times New Roman" w:hAnsi="Times New Roman" w:cs="Times New Roman"/>
        </w:rPr>
        <w:t>istical correction, NWIGU’s</w:t>
      </w:r>
      <w:r w:rsidR="0095704C">
        <w:rPr>
          <w:rFonts w:ascii="Times New Roman" w:hAnsi="Times New Roman" w:cs="Times New Roman"/>
        </w:rPr>
        <w:t xml:space="preserve"> method </w:t>
      </w:r>
      <w:r w:rsidR="0095461D">
        <w:rPr>
          <w:rFonts w:ascii="Times New Roman" w:hAnsi="Times New Roman" w:cs="Times New Roman"/>
        </w:rPr>
        <w:t xml:space="preserve">considerably </w:t>
      </w:r>
      <w:r w:rsidR="0095704C">
        <w:rPr>
          <w:rFonts w:ascii="Times New Roman" w:hAnsi="Times New Roman" w:cs="Times New Roman"/>
        </w:rPr>
        <w:t>overstates the customer component inherent within the minimum-size approach.</w:t>
      </w:r>
    </w:p>
    <w:p w:rsidR="0095704C" w:rsidRPr="00EB293E" w:rsidRDefault="0095704C" w:rsidP="0095704C">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r>
      <w:r w:rsidR="000A5276">
        <w:rPr>
          <w:rStyle w:val="T11"/>
          <w:rFonts w:ascii="Times New Roman" w:hAnsi="Times New Roman" w:cs="Times New Roman"/>
        </w:rPr>
        <w:t xml:space="preserve">What are the </w:t>
      </w:r>
      <w:r w:rsidR="00F81466">
        <w:rPr>
          <w:rStyle w:val="T11"/>
          <w:rFonts w:ascii="Times New Roman" w:hAnsi="Times New Roman" w:cs="Times New Roman"/>
        </w:rPr>
        <w:t>implications</w:t>
      </w:r>
      <w:r w:rsidR="000A5276">
        <w:rPr>
          <w:rStyle w:val="T11"/>
          <w:rFonts w:ascii="Times New Roman" w:hAnsi="Times New Roman" w:cs="Times New Roman"/>
        </w:rPr>
        <w:t xml:space="preserve"> of the customer component allocation as proposed by NWIGU on the cost of service study</w:t>
      </w:r>
      <w:r w:rsidRPr="00EB293E">
        <w:rPr>
          <w:rFonts w:ascii="Times New Roman" w:hAnsi="Times New Roman" w:cs="Times New Roman"/>
          <w:b/>
        </w:rPr>
        <w:t>?</w:t>
      </w:r>
    </w:p>
    <w:p w:rsidR="00700BDB" w:rsidRDefault="0095704C" w:rsidP="00ED3659">
      <w:pPr>
        <w:pStyle w:val="P31"/>
        <w:tabs>
          <w:tab w:val="left" w:pos="720"/>
        </w:tabs>
        <w:ind w:firstLine="0"/>
        <w:jc w:val="both"/>
        <w:rPr>
          <w:rFonts w:ascii="Times New Roman" w:hAnsi="Times New Roman" w:cs="Times New Roman"/>
        </w:rPr>
      </w:pPr>
      <w:r>
        <w:rPr>
          <w:rFonts w:ascii="Times New Roman" w:hAnsi="Times New Roman" w:cs="Times New Roman"/>
        </w:rPr>
        <w:tab/>
      </w:r>
      <w:r w:rsidR="00F81466">
        <w:rPr>
          <w:rFonts w:ascii="Times New Roman" w:hAnsi="Times New Roman" w:cs="Times New Roman"/>
        </w:rPr>
        <w:t>A.</w:t>
      </w:r>
      <w:r w:rsidR="00F81466">
        <w:rPr>
          <w:rFonts w:ascii="Times New Roman" w:hAnsi="Times New Roman" w:cs="Times New Roman"/>
        </w:rPr>
        <w:tab/>
      </w:r>
      <w:r w:rsidR="008E51B6">
        <w:rPr>
          <w:rFonts w:ascii="Times New Roman" w:hAnsi="Times New Roman" w:cs="Times New Roman"/>
        </w:rPr>
        <w:t>Table No. 2</w:t>
      </w:r>
      <w:r w:rsidR="00ED3659">
        <w:rPr>
          <w:rFonts w:ascii="Times New Roman" w:hAnsi="Times New Roman" w:cs="Times New Roman"/>
        </w:rPr>
        <w:t xml:space="preserve"> below shows the actual dollars from the customer component of distribution mains allocated to each rate schedule as proposed by NWIGU.</w:t>
      </w:r>
    </w:p>
    <w:p w:rsidR="00ED3659" w:rsidRPr="00F73808" w:rsidRDefault="00ED3659" w:rsidP="00ED3659">
      <w:pPr>
        <w:pStyle w:val="P158"/>
        <w:ind w:left="0"/>
        <w:jc w:val="both"/>
        <w:rPr>
          <w:rFonts w:ascii="Times New Roman" w:hAnsi="Times New Roman"/>
          <w:b/>
          <w:u w:val="single"/>
        </w:rPr>
      </w:pPr>
      <w:r w:rsidRPr="00F73808">
        <w:rPr>
          <w:rFonts w:ascii="Times New Roman" w:hAnsi="Times New Roman"/>
          <w:b/>
          <w:u w:val="single"/>
        </w:rPr>
        <w:lastRenderedPageBreak/>
        <w:t>Table No</w:t>
      </w:r>
      <w:r w:rsidR="00F73808" w:rsidRPr="00F73808">
        <w:rPr>
          <w:rFonts w:ascii="Times New Roman" w:hAnsi="Times New Roman"/>
          <w:b/>
          <w:u w:val="single"/>
        </w:rPr>
        <w:t>.</w:t>
      </w:r>
      <w:r w:rsidR="008E51B6">
        <w:rPr>
          <w:rFonts w:ascii="Times New Roman" w:hAnsi="Times New Roman"/>
          <w:b/>
          <w:u w:val="single"/>
        </w:rPr>
        <w:t xml:space="preserve"> 2</w:t>
      </w:r>
      <w:r w:rsidRPr="00F73808">
        <w:rPr>
          <w:rFonts w:ascii="Times New Roman" w:hAnsi="Times New Roman"/>
          <w:b/>
          <w:u w:val="single"/>
        </w:rPr>
        <w:t xml:space="preserve"> – Distribution Mains – NWIGU Customer Component Impact</w:t>
      </w:r>
    </w:p>
    <w:p w:rsidR="00ED3659" w:rsidRDefault="00ED3659" w:rsidP="00ED3659">
      <w:pPr>
        <w:pStyle w:val="P31"/>
        <w:tabs>
          <w:tab w:val="left" w:pos="720"/>
        </w:tabs>
        <w:ind w:firstLine="0"/>
        <w:jc w:val="both"/>
        <w:rPr>
          <w:rFonts w:ascii="Times New Roman" w:hAnsi="Times New Roman" w:cs="Times New Roman"/>
          <w:b/>
          <w:u w:val="single"/>
        </w:rPr>
      </w:pPr>
      <w:r w:rsidRPr="007E087E">
        <w:rPr>
          <w:noProof/>
        </w:rPr>
        <w:drawing>
          <wp:anchor distT="0" distB="0" distL="114300" distR="114300" simplePos="0" relativeHeight="251684864" behindDoc="1" locked="0" layoutInCell="1" allowOverlap="1" wp14:anchorId="107C633D" wp14:editId="0EF7E51E">
            <wp:simplePos x="0" y="0"/>
            <wp:positionH relativeFrom="page">
              <wp:align>center</wp:align>
            </wp:positionH>
            <wp:positionV relativeFrom="paragraph">
              <wp:posOffset>17780</wp:posOffset>
            </wp:positionV>
            <wp:extent cx="4724400" cy="180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659" w:rsidRDefault="00ED3659" w:rsidP="00ED3659">
      <w:pPr>
        <w:pStyle w:val="P31"/>
        <w:tabs>
          <w:tab w:val="left" w:pos="720"/>
        </w:tabs>
        <w:ind w:firstLine="0"/>
        <w:jc w:val="both"/>
        <w:rPr>
          <w:rFonts w:ascii="Times New Roman" w:hAnsi="Times New Roman" w:cs="Times New Roman"/>
          <w:b/>
          <w:u w:val="single"/>
        </w:rPr>
      </w:pPr>
    </w:p>
    <w:p w:rsidR="00ED3659" w:rsidRDefault="00ED3659" w:rsidP="00ED3659">
      <w:pPr>
        <w:pStyle w:val="P31"/>
        <w:tabs>
          <w:tab w:val="left" w:pos="720"/>
        </w:tabs>
        <w:ind w:firstLine="0"/>
        <w:jc w:val="both"/>
        <w:rPr>
          <w:rFonts w:ascii="Times New Roman" w:hAnsi="Times New Roman" w:cs="Times New Roman"/>
          <w:b/>
          <w:u w:val="single"/>
        </w:rPr>
      </w:pPr>
    </w:p>
    <w:p w:rsidR="00ED3659" w:rsidRDefault="00ED3659" w:rsidP="00ED3659">
      <w:pPr>
        <w:pStyle w:val="P31"/>
        <w:tabs>
          <w:tab w:val="left" w:pos="720"/>
        </w:tabs>
        <w:ind w:firstLine="0"/>
        <w:jc w:val="both"/>
        <w:rPr>
          <w:rFonts w:ascii="Times New Roman" w:hAnsi="Times New Roman" w:cs="Times New Roman"/>
          <w:b/>
          <w:u w:val="single"/>
        </w:rPr>
      </w:pPr>
    </w:p>
    <w:p w:rsidR="00ED3659" w:rsidRDefault="00ED3659" w:rsidP="00ED3659">
      <w:pPr>
        <w:pStyle w:val="P31"/>
        <w:tabs>
          <w:tab w:val="left" w:pos="720"/>
        </w:tabs>
        <w:ind w:firstLine="0"/>
        <w:jc w:val="both"/>
        <w:rPr>
          <w:rFonts w:ascii="Times New Roman" w:hAnsi="Times New Roman" w:cs="Times New Roman"/>
          <w:b/>
          <w:u w:val="single"/>
        </w:rPr>
      </w:pPr>
    </w:p>
    <w:p w:rsidR="001372AD" w:rsidRDefault="001372AD" w:rsidP="00ED3659">
      <w:pPr>
        <w:pStyle w:val="P31"/>
        <w:tabs>
          <w:tab w:val="left" w:pos="720"/>
        </w:tabs>
        <w:ind w:firstLine="0"/>
        <w:jc w:val="both"/>
        <w:rPr>
          <w:rFonts w:ascii="Times New Roman" w:hAnsi="Times New Roman" w:cs="Times New Roman"/>
          <w:b/>
          <w:u w:val="single"/>
        </w:rPr>
      </w:pPr>
    </w:p>
    <w:p w:rsidR="007E087E" w:rsidRPr="00ED3659" w:rsidRDefault="00F81466" w:rsidP="009A3C1E">
      <w:pPr>
        <w:pStyle w:val="P31"/>
        <w:tabs>
          <w:tab w:val="left" w:pos="720"/>
        </w:tabs>
        <w:ind w:firstLine="0"/>
        <w:jc w:val="both"/>
        <w:rPr>
          <w:rFonts w:ascii="Times New Roman" w:hAnsi="Times New Roman" w:cs="Times New Roman"/>
          <w:b/>
          <w:u w:val="single"/>
        </w:rPr>
      </w:pPr>
      <w:r>
        <w:rPr>
          <w:rFonts w:ascii="Times New Roman" w:hAnsi="Times New Roman" w:cs="Times New Roman"/>
        </w:rPr>
        <w:t>What this means is that</w:t>
      </w:r>
      <w:r w:rsidR="00ED3659">
        <w:rPr>
          <w:rFonts w:ascii="Times New Roman" w:hAnsi="Times New Roman" w:cs="Times New Roman"/>
        </w:rPr>
        <w:t>,</w:t>
      </w:r>
      <w:r w:rsidR="00113205">
        <w:rPr>
          <w:rFonts w:ascii="Times New Roman" w:hAnsi="Times New Roman" w:cs="Times New Roman"/>
        </w:rPr>
        <w:t xml:space="preserve"> 98.25</w:t>
      </w:r>
      <w:r>
        <w:rPr>
          <w:rFonts w:ascii="Times New Roman" w:hAnsi="Times New Roman" w:cs="Times New Roman"/>
        </w:rPr>
        <w:t xml:space="preserve">% </w:t>
      </w:r>
      <w:r w:rsidR="00113205">
        <w:rPr>
          <w:rFonts w:ascii="Times New Roman" w:hAnsi="Times New Roman" w:cs="Times New Roman"/>
        </w:rPr>
        <w:t xml:space="preserve">of the customer component </w:t>
      </w:r>
      <w:r>
        <w:rPr>
          <w:rFonts w:ascii="Times New Roman" w:hAnsi="Times New Roman" w:cs="Times New Roman"/>
        </w:rPr>
        <w:t>of the Company’s investment in distribution mains</w:t>
      </w:r>
      <w:r w:rsidR="00ED3659">
        <w:rPr>
          <w:rFonts w:ascii="Times New Roman" w:hAnsi="Times New Roman" w:cs="Times New Roman"/>
        </w:rPr>
        <w:t xml:space="preserve"> would be allocated to Schedule 101/102</w:t>
      </w:r>
      <w:r w:rsidR="008C250D">
        <w:rPr>
          <w:rFonts w:ascii="Times New Roman" w:hAnsi="Times New Roman" w:cs="Times New Roman"/>
        </w:rPr>
        <w:t xml:space="preserve"> customers, with little</w:t>
      </w:r>
      <w:r w:rsidR="00ED3659">
        <w:rPr>
          <w:rFonts w:ascii="Times New Roman" w:hAnsi="Times New Roman" w:cs="Times New Roman"/>
        </w:rPr>
        <w:t xml:space="preserve"> cost allocated to the other rate schedules, even though all customers benefit from the load carrying cap</w:t>
      </w:r>
      <w:r w:rsidR="00F73808">
        <w:rPr>
          <w:rFonts w:ascii="Times New Roman" w:hAnsi="Times New Roman" w:cs="Times New Roman"/>
        </w:rPr>
        <w:t>acity of small distribution main</w:t>
      </w:r>
      <w:r w:rsidR="00ED3659">
        <w:rPr>
          <w:rFonts w:ascii="Times New Roman" w:hAnsi="Times New Roman" w:cs="Times New Roman"/>
        </w:rPr>
        <w:t xml:space="preserve">.  </w:t>
      </w:r>
      <w:r w:rsidR="00C96209">
        <w:rPr>
          <w:rFonts w:ascii="Times New Roman" w:hAnsi="Times New Roman" w:cs="Times New Roman"/>
        </w:rPr>
        <w:t xml:space="preserve">By most standards, this allocation is </w:t>
      </w:r>
      <w:r w:rsidR="00C96209" w:rsidRPr="00ED3659">
        <w:rPr>
          <w:rFonts w:ascii="Times New Roman" w:hAnsi="Times New Roman" w:cs="Times New Roman"/>
          <w:u w:val="single"/>
        </w:rPr>
        <w:t>unreasonable</w:t>
      </w:r>
      <w:r w:rsidR="00C96209">
        <w:rPr>
          <w:rFonts w:ascii="Times New Roman" w:hAnsi="Times New Roman" w:cs="Times New Roman"/>
        </w:rPr>
        <w:t xml:space="preserve"> and </w:t>
      </w:r>
      <w:r w:rsidR="00113205">
        <w:rPr>
          <w:rFonts w:ascii="Times New Roman" w:hAnsi="Times New Roman" w:cs="Times New Roman"/>
          <w:u w:val="single"/>
        </w:rPr>
        <w:t>significantly</w:t>
      </w:r>
      <w:r w:rsidR="00DF703D">
        <w:rPr>
          <w:rFonts w:ascii="Times New Roman" w:hAnsi="Times New Roman" w:cs="Times New Roman"/>
        </w:rPr>
        <w:t xml:space="preserve"> over allocates</w:t>
      </w:r>
      <w:r w:rsidR="009523CA">
        <w:rPr>
          <w:rFonts w:ascii="Times New Roman" w:hAnsi="Times New Roman" w:cs="Times New Roman"/>
        </w:rPr>
        <w:t xml:space="preserve"> distribution main investment to the mostly residential General Service Schedule</w:t>
      </w:r>
      <w:r w:rsidR="00FE4E9E">
        <w:rPr>
          <w:rFonts w:ascii="Times New Roman" w:hAnsi="Times New Roman" w:cs="Times New Roman"/>
        </w:rPr>
        <w:t>s</w:t>
      </w:r>
      <w:r w:rsidR="009523CA">
        <w:rPr>
          <w:rFonts w:ascii="Times New Roman" w:hAnsi="Times New Roman" w:cs="Times New Roman"/>
        </w:rPr>
        <w:t xml:space="preserve"> 101/102.</w:t>
      </w:r>
    </w:p>
    <w:p w:rsidR="009523CA" w:rsidRPr="00EB293E" w:rsidRDefault="009523CA" w:rsidP="009523CA">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r>
      <w:r w:rsidR="007D02A2">
        <w:rPr>
          <w:rStyle w:val="T11"/>
          <w:rFonts w:ascii="Times New Roman" w:hAnsi="Times New Roman" w:cs="Times New Roman"/>
        </w:rPr>
        <w:t>If the Commission were to agree that a customer component is appropriate at some level, h</w:t>
      </w:r>
      <w:r>
        <w:rPr>
          <w:rStyle w:val="T11"/>
          <w:rFonts w:ascii="Times New Roman" w:hAnsi="Times New Roman" w:cs="Times New Roman"/>
        </w:rPr>
        <w:t xml:space="preserve">as the Company conducted a </w:t>
      </w:r>
      <w:r w:rsidR="00BD7CBC">
        <w:rPr>
          <w:rStyle w:val="T11"/>
          <w:rFonts w:ascii="Times New Roman" w:hAnsi="Times New Roman" w:cs="Times New Roman"/>
        </w:rPr>
        <w:t>separate</w:t>
      </w:r>
      <w:r>
        <w:rPr>
          <w:rStyle w:val="T11"/>
          <w:rFonts w:ascii="Times New Roman" w:hAnsi="Times New Roman" w:cs="Times New Roman"/>
        </w:rPr>
        <w:t xml:space="preserve"> cost of service study which attempts to take into account NWIGU’s concerns</w:t>
      </w:r>
      <w:r w:rsidRPr="00EB293E">
        <w:rPr>
          <w:rFonts w:ascii="Times New Roman" w:hAnsi="Times New Roman" w:cs="Times New Roman"/>
          <w:b/>
        </w:rPr>
        <w:t>?</w:t>
      </w:r>
    </w:p>
    <w:p w:rsidR="005B7B46" w:rsidRPr="005B7B46" w:rsidRDefault="009523CA" w:rsidP="005B7B46">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Yes.  The Company </w:t>
      </w:r>
      <w:r w:rsidR="00DF703D">
        <w:rPr>
          <w:rFonts w:ascii="Times New Roman" w:hAnsi="Times New Roman" w:cs="Times New Roman"/>
        </w:rPr>
        <w:t>has conducted an alternative study which encompasses two separate modifications.  The first modification appropriately assigns the AMI investments to</w:t>
      </w:r>
      <w:r w:rsidR="00A403AB">
        <w:rPr>
          <w:rFonts w:ascii="Times New Roman" w:hAnsi="Times New Roman" w:cs="Times New Roman"/>
        </w:rPr>
        <w:t xml:space="preserve"> the meter related FERC account</w:t>
      </w:r>
      <w:r w:rsidR="00DF703D">
        <w:rPr>
          <w:rFonts w:ascii="Times New Roman" w:hAnsi="Times New Roman" w:cs="Times New Roman"/>
        </w:rPr>
        <w:t xml:space="preserve">.  The second modification alters the Companies proposed </w:t>
      </w:r>
      <w:r w:rsidR="008A3569">
        <w:rPr>
          <w:rFonts w:ascii="Times New Roman" w:hAnsi="Times New Roman" w:cs="Times New Roman"/>
        </w:rPr>
        <w:t>allocation of distribution mains to reflect a customer component</w:t>
      </w:r>
      <w:r w:rsidR="00AA7BC4">
        <w:rPr>
          <w:rFonts w:ascii="Times New Roman" w:hAnsi="Times New Roman" w:cs="Times New Roman"/>
        </w:rPr>
        <w:t xml:space="preserve"> that is more reasonable than that proposed by NWIGU</w:t>
      </w:r>
      <w:r w:rsidR="008A3569">
        <w:rPr>
          <w:rFonts w:ascii="Times New Roman" w:hAnsi="Times New Roman" w:cs="Times New Roman"/>
        </w:rPr>
        <w:t>.</w:t>
      </w:r>
      <w:r w:rsidR="005B7B46">
        <w:rPr>
          <w:rFonts w:ascii="Times New Roman" w:hAnsi="Times New Roman" w:cs="Times New Roman"/>
        </w:rPr>
        <w:br w:type="page"/>
      </w:r>
    </w:p>
    <w:p w:rsidR="008A3569" w:rsidRPr="00EB293E" w:rsidRDefault="008A3569" w:rsidP="005B7B46">
      <w:pPr>
        <w:pStyle w:val="P31"/>
        <w:tabs>
          <w:tab w:val="left" w:pos="720"/>
        </w:tabs>
        <w:ind w:firstLine="0"/>
        <w:jc w:val="both"/>
        <w:rPr>
          <w:rFonts w:ascii="Times New Roman" w:hAnsi="Times New Roman" w:cs="Times New Roman"/>
          <w:b/>
        </w:rPr>
      </w:pPr>
      <w:r>
        <w:rPr>
          <w:rFonts w:ascii="Times New Roman" w:hAnsi="Times New Roman" w:cs="Times New Roman"/>
        </w:rPr>
        <w:lastRenderedPageBreak/>
        <w:t xml:space="preserve">  </w:t>
      </w:r>
      <w:r w:rsidR="005B7B46">
        <w:rPr>
          <w:rFonts w:ascii="Times New Roman" w:hAnsi="Times New Roman" w:cs="Times New Roman"/>
        </w:rPr>
        <w:tab/>
      </w:r>
      <w:r w:rsidRPr="00EB293E">
        <w:rPr>
          <w:rStyle w:val="T11"/>
          <w:rFonts w:ascii="Times New Roman" w:hAnsi="Times New Roman" w:cs="Times New Roman"/>
        </w:rPr>
        <w:t>Q.</w:t>
      </w:r>
      <w:r w:rsidRPr="00EB293E">
        <w:rPr>
          <w:rStyle w:val="T11"/>
          <w:rFonts w:ascii="Times New Roman" w:hAnsi="Times New Roman" w:cs="Times New Roman"/>
        </w:rPr>
        <w:tab/>
      </w:r>
      <w:r>
        <w:rPr>
          <w:rStyle w:val="T11"/>
          <w:rFonts w:ascii="Times New Roman" w:hAnsi="Times New Roman" w:cs="Times New Roman"/>
        </w:rPr>
        <w:t>Pleas</w:t>
      </w:r>
      <w:r w:rsidR="00740F36">
        <w:rPr>
          <w:rStyle w:val="T11"/>
          <w:rFonts w:ascii="Times New Roman" w:hAnsi="Times New Roman" w:cs="Times New Roman"/>
        </w:rPr>
        <w:t>e</w:t>
      </w:r>
      <w:r>
        <w:rPr>
          <w:rStyle w:val="T11"/>
          <w:rFonts w:ascii="Times New Roman" w:hAnsi="Times New Roman" w:cs="Times New Roman"/>
        </w:rPr>
        <w:t xml:space="preserve"> describe the modified approach for allocating distribution mains</w:t>
      </w:r>
      <w:r w:rsidR="00740F36">
        <w:rPr>
          <w:rStyle w:val="T11"/>
          <w:rFonts w:ascii="Times New Roman" w:hAnsi="Times New Roman" w:cs="Times New Roman"/>
        </w:rPr>
        <w:t xml:space="preserve"> with a customer component</w:t>
      </w:r>
      <w:r w:rsidRPr="00EB293E">
        <w:rPr>
          <w:rFonts w:ascii="Times New Roman" w:hAnsi="Times New Roman" w:cs="Times New Roman"/>
          <w:b/>
        </w:rPr>
        <w:t>?</w:t>
      </w:r>
    </w:p>
    <w:p w:rsidR="007E087E" w:rsidRDefault="008A3569" w:rsidP="008A3569">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BE1ECF">
        <w:rPr>
          <w:rFonts w:ascii="Times New Roman" w:hAnsi="Times New Roman" w:cs="Times New Roman"/>
        </w:rPr>
        <w:t>Consistent with the original filing</w:t>
      </w:r>
      <w:r w:rsidR="00AA7BC4">
        <w:rPr>
          <w:rFonts w:ascii="Times New Roman" w:hAnsi="Times New Roman" w:cs="Times New Roman"/>
        </w:rPr>
        <w:t>,</w:t>
      </w:r>
      <w:r w:rsidR="004E6748">
        <w:rPr>
          <w:rFonts w:ascii="Times New Roman" w:hAnsi="Times New Roman" w:cs="Times New Roman"/>
        </w:rPr>
        <w:t xml:space="preserve"> the Company</w:t>
      </w:r>
      <w:r w:rsidR="00BE1ECF">
        <w:rPr>
          <w:rFonts w:ascii="Times New Roman" w:hAnsi="Times New Roman" w:cs="Times New Roman"/>
        </w:rPr>
        <w:t xml:space="preserve"> used a system load factor to determine how much of the demand related portion of distribution main costs should be allocated based on peak demand (60.2%).  The remaining portion, which had previously been assigned to annual throughput, has been equally split between annual throughput (19.9%) and customers (19.9%).  This allocation would continue to recognize that coincident peak demand is the primary driver of capacity related costs.  By continuing to allocate a portion based on annual throughput, albeit a smaller portion, this allocation continues to recognize that natural gas plant is built to deliver gas year-round, during all conditions, not just peak conditions.  </w:t>
      </w:r>
      <w:r w:rsidR="00C60734">
        <w:rPr>
          <w:rFonts w:ascii="Times New Roman" w:hAnsi="Times New Roman" w:cs="Times New Roman"/>
        </w:rPr>
        <w:t>The remaining customer related allocation recognizes that the distribution system must be designed to physically connect each customer’s service line with the city gate gas receipt points as described by NWIGU.</w:t>
      </w:r>
    </w:p>
    <w:p w:rsidR="00194AC9" w:rsidRPr="00EB293E" w:rsidRDefault="00194AC9" w:rsidP="00194AC9">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r>
      <w:r>
        <w:rPr>
          <w:rStyle w:val="T11"/>
          <w:rFonts w:ascii="Times New Roman" w:hAnsi="Times New Roman" w:cs="Times New Roman"/>
        </w:rPr>
        <w:t xml:space="preserve">Have you quantified the results of the </w:t>
      </w:r>
      <w:r w:rsidR="00FB2F5D">
        <w:rPr>
          <w:rStyle w:val="T11"/>
          <w:rFonts w:ascii="Times New Roman" w:hAnsi="Times New Roman" w:cs="Times New Roman"/>
        </w:rPr>
        <w:t xml:space="preserve">distribution main </w:t>
      </w:r>
      <w:r>
        <w:rPr>
          <w:rStyle w:val="T11"/>
          <w:rFonts w:ascii="Times New Roman" w:hAnsi="Times New Roman" w:cs="Times New Roman"/>
        </w:rPr>
        <w:t>methodology described above</w:t>
      </w:r>
      <w:r w:rsidRPr="00EB293E">
        <w:rPr>
          <w:rFonts w:ascii="Times New Roman" w:hAnsi="Times New Roman" w:cs="Times New Roman"/>
          <w:b/>
        </w:rPr>
        <w:t>?</w:t>
      </w:r>
    </w:p>
    <w:p w:rsidR="008E51B6" w:rsidRDefault="00194AC9" w:rsidP="00194AC9">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8E51B6">
        <w:rPr>
          <w:rFonts w:ascii="Times New Roman" w:hAnsi="Times New Roman" w:cs="Times New Roman"/>
        </w:rPr>
        <w:t>Yes, Table No. 3</w:t>
      </w:r>
      <w:r>
        <w:rPr>
          <w:rFonts w:ascii="Times New Roman" w:hAnsi="Times New Roman" w:cs="Times New Roman"/>
        </w:rPr>
        <w:t xml:space="preserve"> below shows the </w:t>
      </w:r>
      <w:r w:rsidR="00EF5EE4">
        <w:rPr>
          <w:rFonts w:ascii="Times New Roman" w:hAnsi="Times New Roman" w:cs="Times New Roman"/>
        </w:rPr>
        <w:t xml:space="preserve">rate of return and the </w:t>
      </w:r>
      <w:r w:rsidR="00BC0F37">
        <w:rPr>
          <w:rFonts w:ascii="Times New Roman" w:hAnsi="Times New Roman" w:cs="Times New Roman"/>
        </w:rPr>
        <w:t xml:space="preserve">relative return ratio at </w:t>
      </w:r>
      <w:r w:rsidR="00BC0F37" w:rsidRPr="00EF5EE4">
        <w:rPr>
          <w:rFonts w:ascii="Times New Roman" w:hAnsi="Times New Roman" w:cs="Times New Roman"/>
          <w:u w:val="single"/>
        </w:rPr>
        <w:t>present</w:t>
      </w:r>
      <w:r w:rsidR="00BC0F37" w:rsidRPr="00EF5EE4">
        <w:rPr>
          <w:rFonts w:ascii="Times New Roman" w:hAnsi="Times New Roman" w:cs="Times New Roman"/>
        </w:rPr>
        <w:t xml:space="preserve"> </w:t>
      </w:r>
      <w:r w:rsidR="00BC0F37" w:rsidRPr="00EF5EE4">
        <w:rPr>
          <w:rFonts w:ascii="Times New Roman" w:hAnsi="Times New Roman" w:cs="Times New Roman"/>
          <w:u w:val="single"/>
        </w:rPr>
        <w:t>rates</w:t>
      </w:r>
      <w:r w:rsidR="00BC0F37">
        <w:rPr>
          <w:rFonts w:ascii="Times New Roman" w:hAnsi="Times New Roman" w:cs="Times New Roman"/>
        </w:rPr>
        <w:t xml:space="preserve"> for each rate schedule compared to what was included in the Company’s original filing</w:t>
      </w:r>
      <w:r w:rsidR="00FB2F5D">
        <w:rPr>
          <w:rStyle w:val="FootnoteReference"/>
          <w:rFonts w:ascii="Times New Roman" w:hAnsi="Times New Roman"/>
        </w:rPr>
        <w:footnoteReference w:id="7"/>
      </w:r>
      <w:r w:rsidR="00BC0F37">
        <w:rPr>
          <w:rFonts w:ascii="Times New Roman" w:hAnsi="Times New Roman" w:cs="Times New Roman"/>
        </w:rPr>
        <w:t>.</w:t>
      </w:r>
      <w:r w:rsidR="008E51B6">
        <w:rPr>
          <w:rFonts w:ascii="Times New Roman" w:hAnsi="Times New Roman" w:cs="Times New Roman"/>
        </w:rPr>
        <w:br w:type="page"/>
      </w:r>
    </w:p>
    <w:p w:rsidR="00EF5EE4" w:rsidRPr="00ED3659" w:rsidRDefault="00ED3659" w:rsidP="00EF5EE4">
      <w:pPr>
        <w:pStyle w:val="P158"/>
        <w:ind w:left="0"/>
        <w:jc w:val="both"/>
        <w:rPr>
          <w:rFonts w:ascii="Times New Roman" w:hAnsi="Times New Roman"/>
          <w:b/>
          <w:u w:val="single"/>
        </w:rPr>
      </w:pPr>
      <w:r w:rsidRPr="008F4ECF">
        <w:rPr>
          <w:noProof/>
        </w:rPr>
        <w:lastRenderedPageBreak/>
        <w:drawing>
          <wp:anchor distT="0" distB="0" distL="114300" distR="114300" simplePos="0" relativeHeight="251682816" behindDoc="1" locked="0" layoutInCell="1" allowOverlap="1" wp14:anchorId="2743EBB9" wp14:editId="73B6F0FF">
            <wp:simplePos x="0" y="0"/>
            <wp:positionH relativeFrom="margin">
              <wp:align>left</wp:align>
            </wp:positionH>
            <wp:positionV relativeFrom="paragraph">
              <wp:posOffset>243840</wp:posOffset>
            </wp:positionV>
            <wp:extent cx="5581650" cy="20097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EE4" w:rsidRPr="00ED3659">
        <w:rPr>
          <w:rFonts w:ascii="Times New Roman" w:hAnsi="Times New Roman"/>
          <w:b/>
          <w:u w:val="single"/>
        </w:rPr>
        <w:t>Table</w:t>
      </w:r>
      <w:r w:rsidR="00E738E7" w:rsidRPr="00ED3659">
        <w:rPr>
          <w:rFonts w:ascii="Times New Roman" w:hAnsi="Times New Roman"/>
          <w:b/>
          <w:u w:val="single"/>
        </w:rPr>
        <w:t xml:space="preserve"> No</w:t>
      </w:r>
      <w:r w:rsidRPr="00ED3659">
        <w:rPr>
          <w:rFonts w:ascii="Times New Roman" w:hAnsi="Times New Roman"/>
          <w:b/>
          <w:u w:val="single"/>
        </w:rPr>
        <w:t>.</w:t>
      </w:r>
      <w:r w:rsidR="008E51B6">
        <w:rPr>
          <w:rFonts w:ascii="Times New Roman" w:hAnsi="Times New Roman"/>
          <w:b/>
          <w:u w:val="single"/>
        </w:rPr>
        <w:t xml:space="preserve"> 3 </w:t>
      </w:r>
      <w:r w:rsidR="00EF5EE4" w:rsidRPr="00ED3659">
        <w:rPr>
          <w:rFonts w:ascii="Times New Roman" w:hAnsi="Times New Roman"/>
          <w:b/>
          <w:u w:val="single"/>
        </w:rPr>
        <w:t>– Comparison of Cost of Service Results</w:t>
      </w:r>
    </w:p>
    <w:p w:rsidR="00920F8A" w:rsidRDefault="00920F8A" w:rsidP="00EF5EE4">
      <w:pPr>
        <w:pStyle w:val="P158"/>
        <w:ind w:left="0"/>
        <w:jc w:val="both"/>
        <w:rPr>
          <w:rFonts w:ascii="Times New Roman" w:hAnsi="Times New Roman"/>
          <w:b/>
        </w:rPr>
      </w:pPr>
    </w:p>
    <w:p w:rsidR="00920F8A" w:rsidRDefault="00920F8A" w:rsidP="00EF5EE4">
      <w:pPr>
        <w:pStyle w:val="P158"/>
        <w:ind w:left="0"/>
        <w:jc w:val="both"/>
        <w:rPr>
          <w:rFonts w:ascii="Times New Roman" w:hAnsi="Times New Roman"/>
          <w:b/>
        </w:rPr>
      </w:pPr>
    </w:p>
    <w:p w:rsidR="00920F8A" w:rsidRDefault="00920F8A" w:rsidP="00EF5EE4">
      <w:pPr>
        <w:pStyle w:val="P158"/>
        <w:ind w:left="0"/>
        <w:jc w:val="both"/>
        <w:rPr>
          <w:rFonts w:ascii="Times New Roman" w:hAnsi="Times New Roman"/>
          <w:b/>
        </w:rPr>
      </w:pPr>
    </w:p>
    <w:p w:rsidR="00920F8A" w:rsidRDefault="00920F8A" w:rsidP="00EF5EE4">
      <w:pPr>
        <w:pStyle w:val="P158"/>
        <w:ind w:left="0"/>
        <w:jc w:val="both"/>
        <w:rPr>
          <w:rFonts w:ascii="Times New Roman" w:hAnsi="Times New Roman"/>
          <w:b/>
        </w:rPr>
      </w:pPr>
    </w:p>
    <w:p w:rsidR="00FB2F5D" w:rsidRPr="00904AE3" w:rsidRDefault="00FB2F5D" w:rsidP="00904AE3">
      <w:pPr>
        <w:pStyle w:val="P158"/>
        <w:ind w:left="0"/>
        <w:jc w:val="both"/>
        <w:rPr>
          <w:rFonts w:ascii="Times New Roman" w:hAnsi="Times New Roman"/>
          <w:b/>
        </w:rPr>
      </w:pPr>
    </w:p>
    <w:p w:rsidR="00D9560A" w:rsidRDefault="00D9560A" w:rsidP="00E14D72">
      <w:pPr>
        <w:pStyle w:val="P106"/>
        <w:jc w:val="both"/>
        <w:rPr>
          <w:rStyle w:val="T11"/>
          <w:rFonts w:ascii="Times New Roman" w:hAnsi="Times New Roman" w:cs="Times New Roman"/>
        </w:rPr>
      </w:pPr>
    </w:p>
    <w:p w:rsidR="00E14D72" w:rsidRPr="00EB293E" w:rsidRDefault="00E14D72" w:rsidP="00E14D72">
      <w:pPr>
        <w:pStyle w:val="P106"/>
        <w:jc w:val="both"/>
        <w:rPr>
          <w:rFonts w:ascii="Times New Roman" w:hAnsi="Times New Roman" w:cs="Times New Roman"/>
          <w:b/>
        </w:rPr>
      </w:pPr>
      <w:r w:rsidRPr="00EB293E">
        <w:rPr>
          <w:rStyle w:val="T11"/>
          <w:rFonts w:ascii="Times New Roman" w:hAnsi="Times New Roman" w:cs="Times New Roman"/>
        </w:rPr>
        <w:t>Q.</w:t>
      </w:r>
      <w:r w:rsidRPr="00EB293E">
        <w:rPr>
          <w:rStyle w:val="T11"/>
          <w:rFonts w:ascii="Times New Roman" w:hAnsi="Times New Roman" w:cs="Times New Roman"/>
        </w:rPr>
        <w:tab/>
      </w:r>
      <w:r>
        <w:rPr>
          <w:rStyle w:val="T11"/>
          <w:rFonts w:ascii="Times New Roman" w:hAnsi="Times New Roman" w:cs="Times New Roman"/>
        </w:rPr>
        <w:t>What are your conclusions from the results of the cost of service studies from the Company’s original filing and the modified approach above</w:t>
      </w:r>
      <w:r w:rsidRPr="00EB293E">
        <w:rPr>
          <w:rFonts w:ascii="Times New Roman" w:hAnsi="Times New Roman" w:cs="Times New Roman"/>
          <w:b/>
        </w:rPr>
        <w:t>?</w:t>
      </w:r>
    </w:p>
    <w:p w:rsidR="00FB2F5D" w:rsidRDefault="00E14D72" w:rsidP="00E14D72">
      <w:pPr>
        <w:pStyle w:val="P31"/>
        <w:tabs>
          <w:tab w:val="left" w:pos="720"/>
        </w:tabs>
        <w:ind w:firstLine="0"/>
        <w:jc w:val="both"/>
        <w:rPr>
          <w:rStyle w:val="LineNumber"/>
        </w:rPr>
      </w:pPr>
      <w:r>
        <w:rPr>
          <w:rFonts w:ascii="Times New Roman" w:hAnsi="Times New Roman" w:cs="Times New Roman"/>
        </w:rPr>
        <w:tab/>
        <w:t>A.</w:t>
      </w:r>
      <w:r>
        <w:rPr>
          <w:rFonts w:ascii="Times New Roman" w:hAnsi="Times New Roman" w:cs="Times New Roman"/>
        </w:rPr>
        <w:tab/>
      </w:r>
      <w:r>
        <w:rPr>
          <w:rStyle w:val="LineNumber"/>
        </w:rPr>
        <w:t>The studies continue to indicate</w:t>
      </w:r>
      <w:r w:rsidRPr="00540E44">
        <w:rPr>
          <w:rStyle w:val="LineNumber"/>
        </w:rPr>
        <w:t xml:space="preserve"> that the General Service Schedule</w:t>
      </w:r>
      <w:r>
        <w:rPr>
          <w:rStyle w:val="LineNumber"/>
        </w:rPr>
        <w:t>s</w:t>
      </w:r>
      <w:r w:rsidRPr="00540E44">
        <w:rPr>
          <w:rStyle w:val="LineNumber"/>
        </w:rPr>
        <w:t xml:space="preserve"> 101</w:t>
      </w:r>
      <w:r>
        <w:rPr>
          <w:rStyle w:val="LineNumber"/>
        </w:rPr>
        <w:t>/102</w:t>
      </w:r>
      <w:r w:rsidRPr="00540E44">
        <w:rPr>
          <w:rStyle w:val="LineNumber"/>
        </w:rPr>
        <w:t xml:space="preserve"> (serves most residential customers) and Transportation S</w:t>
      </w:r>
      <w:r>
        <w:rPr>
          <w:rStyle w:val="LineNumber"/>
        </w:rPr>
        <w:t>chedule (146)</w:t>
      </w:r>
      <w:r w:rsidRPr="00540E44">
        <w:rPr>
          <w:rStyle w:val="LineNumber"/>
        </w:rPr>
        <w:t xml:space="preserve"> are providing less than the overall rate of return (unity), and Large General, High Load Factor Large General, and Interruptible service schedules (111/112, 121/122 and 131/132) are providing</w:t>
      </w:r>
      <w:r>
        <w:rPr>
          <w:rStyle w:val="LineNumber"/>
        </w:rPr>
        <w:t xml:space="preserve"> more than unity.</w:t>
      </w:r>
    </w:p>
    <w:p w:rsidR="00E14D72" w:rsidRPr="00BA18B1" w:rsidRDefault="00E14D72" w:rsidP="00E14D72">
      <w:pPr>
        <w:pStyle w:val="BodyText2"/>
        <w:tabs>
          <w:tab w:val="left" w:pos="1440"/>
        </w:tabs>
        <w:ind w:firstLine="720"/>
        <w:contextualSpacing/>
        <w:rPr>
          <w:rStyle w:val="LineNumber"/>
          <w:b/>
          <w:bCs/>
        </w:rPr>
      </w:pPr>
      <w:r w:rsidRPr="00BA18B1">
        <w:rPr>
          <w:rStyle w:val="LineNumber"/>
          <w:b/>
          <w:bCs/>
        </w:rPr>
        <w:t>Q.</w:t>
      </w:r>
      <w:r w:rsidRPr="00BA18B1">
        <w:rPr>
          <w:rStyle w:val="LineNumber"/>
          <w:b/>
          <w:bCs/>
        </w:rPr>
        <w:tab/>
        <w:t xml:space="preserve">Does </w:t>
      </w:r>
      <w:r w:rsidR="00BA3657">
        <w:rPr>
          <w:rStyle w:val="LineNumber"/>
          <w:b/>
          <w:bCs/>
        </w:rPr>
        <w:t>this conclude your rebuttal</w:t>
      </w:r>
      <w:r w:rsidRPr="00BA18B1">
        <w:rPr>
          <w:rStyle w:val="LineNumber"/>
          <w:b/>
          <w:bCs/>
        </w:rPr>
        <w:t xml:space="preserve"> testimony?</w:t>
      </w:r>
    </w:p>
    <w:p w:rsidR="00E14D72" w:rsidRPr="00ED31D0" w:rsidRDefault="00E14D72" w:rsidP="00ED31D0">
      <w:pPr>
        <w:pStyle w:val="BodyText2"/>
        <w:tabs>
          <w:tab w:val="left" w:pos="1440"/>
        </w:tabs>
        <w:ind w:firstLine="720"/>
        <w:contextualSpacing/>
      </w:pPr>
      <w:r w:rsidRPr="00BA18B1">
        <w:rPr>
          <w:rStyle w:val="LineNumber"/>
        </w:rPr>
        <w:t xml:space="preserve">A.  </w:t>
      </w:r>
      <w:r>
        <w:rPr>
          <w:rStyle w:val="LineNumber"/>
        </w:rPr>
        <w:tab/>
      </w:r>
      <w:r w:rsidRPr="00BA18B1">
        <w:rPr>
          <w:rStyle w:val="LineNumber"/>
        </w:rPr>
        <w:t>Yes.</w:t>
      </w:r>
    </w:p>
    <w:sectPr w:rsidR="00E14D72" w:rsidRPr="00ED31D0" w:rsidSect="003E19C9">
      <w:pgSz w:w="12240" w:h="15840" w:code="1"/>
      <w:pgMar w:top="1440" w:right="1296" w:bottom="1728" w:left="1872" w:header="720" w:footer="435"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B2" w:rsidRDefault="001E46B2">
      <w:r>
        <w:separator/>
      </w:r>
    </w:p>
  </w:endnote>
  <w:endnote w:type="continuationSeparator" w:id="0">
    <w:p w:rsidR="001E46B2" w:rsidRDefault="001E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B2" w:rsidRPr="00C372CC" w:rsidRDefault="001E46B2">
    <w:pPr>
      <w:pStyle w:val="Footer"/>
      <w:tabs>
        <w:tab w:val="clear" w:pos="4320"/>
        <w:tab w:val="clear" w:pos="8640"/>
        <w:tab w:val="left" w:pos="180"/>
        <w:tab w:val="right" w:pos="9360"/>
      </w:tabs>
    </w:pPr>
    <w:r>
      <w:t xml:space="preserve">Rebuttal </w:t>
    </w:r>
    <w:r w:rsidR="009A0016">
      <w:t>Testimony of Joseph D. Miller</w:t>
    </w:r>
  </w:p>
  <w:p w:rsidR="001E46B2" w:rsidRPr="00C372CC" w:rsidRDefault="001E46B2">
    <w:pPr>
      <w:pStyle w:val="Footer"/>
      <w:tabs>
        <w:tab w:val="clear" w:pos="4320"/>
        <w:tab w:val="clear" w:pos="8640"/>
        <w:tab w:val="left" w:pos="180"/>
        <w:tab w:val="right" w:pos="9360"/>
      </w:tabs>
    </w:pPr>
    <w:r w:rsidRPr="00C372CC">
      <w:t>Avista Corporation</w:t>
    </w:r>
  </w:p>
  <w:p w:rsidR="001E46B2" w:rsidRPr="008B0C99" w:rsidRDefault="00C210F0" w:rsidP="008B0C99">
    <w:pPr>
      <w:pStyle w:val="Footer"/>
      <w:tabs>
        <w:tab w:val="clear" w:pos="4320"/>
        <w:tab w:val="clear" w:pos="8640"/>
        <w:tab w:val="left" w:pos="180"/>
        <w:tab w:val="right" w:pos="8910"/>
      </w:tabs>
    </w:pPr>
    <w:r>
      <w:t>Docket No.</w:t>
    </w:r>
    <w:r w:rsidR="001E46B2" w:rsidRPr="00C372CC">
      <w:t xml:space="preserve"> UG-</w:t>
    </w:r>
    <w:r w:rsidR="009A0016">
      <w:t>160229</w:t>
    </w:r>
    <w:r w:rsidR="001E46B2" w:rsidRPr="00C372CC">
      <w:tab/>
      <w:t xml:space="preserve">Page </w:t>
    </w:r>
    <w:r w:rsidR="003709EA" w:rsidRPr="00C372CC">
      <w:rPr>
        <w:rStyle w:val="PageNumber"/>
      </w:rPr>
      <w:fldChar w:fldCharType="begin"/>
    </w:r>
    <w:r w:rsidR="001E46B2" w:rsidRPr="00C372CC">
      <w:rPr>
        <w:rStyle w:val="PageNumber"/>
      </w:rPr>
      <w:instrText xml:space="preserve"> PAGE </w:instrText>
    </w:r>
    <w:r w:rsidR="003709EA" w:rsidRPr="00C372CC">
      <w:rPr>
        <w:rStyle w:val="PageNumber"/>
      </w:rPr>
      <w:fldChar w:fldCharType="separate"/>
    </w:r>
    <w:r w:rsidR="00135AB7">
      <w:rPr>
        <w:rStyle w:val="PageNumber"/>
        <w:noProof/>
      </w:rPr>
      <w:t>11</w:t>
    </w:r>
    <w:r w:rsidR="003709EA" w:rsidRPr="00C372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B2" w:rsidRDefault="001E46B2">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B2" w:rsidRDefault="001E46B2">
      <w:r>
        <w:separator/>
      </w:r>
    </w:p>
  </w:footnote>
  <w:footnote w:type="continuationSeparator" w:id="0">
    <w:p w:rsidR="001E46B2" w:rsidRDefault="001E46B2">
      <w:r>
        <w:continuationSeparator/>
      </w:r>
    </w:p>
  </w:footnote>
  <w:footnote w:id="1">
    <w:p w:rsidR="005858B9" w:rsidRDefault="005858B9" w:rsidP="005858B9">
      <w:pPr>
        <w:pStyle w:val="FootnoteText"/>
      </w:pPr>
      <w:r>
        <w:rPr>
          <w:rStyle w:val="FootnoteReference"/>
        </w:rPr>
        <w:footnoteRef/>
      </w:r>
      <w:r>
        <w:t xml:space="preserve"> Docket </w:t>
      </w:r>
      <w:r w:rsidR="00CB49D4">
        <w:t xml:space="preserve">No. </w:t>
      </w:r>
      <w:r>
        <w:t>UG-940814, Fifth Supplemental Order, page 11.</w:t>
      </w:r>
    </w:p>
  </w:footnote>
  <w:footnote w:id="2">
    <w:p w:rsidR="00D84E17" w:rsidRDefault="00D84E17">
      <w:pPr>
        <w:pStyle w:val="FootnoteText"/>
      </w:pPr>
      <w:r>
        <w:rPr>
          <w:rStyle w:val="FootnoteReference"/>
        </w:rPr>
        <w:footnoteRef/>
      </w:r>
      <w:r>
        <w:t xml:space="preserve"> </w:t>
      </w:r>
      <w:r w:rsidR="00FA2C2D">
        <w:t>Exhibit No.__</w:t>
      </w:r>
      <w:r w:rsidR="0086388E">
        <w:t>JLB-1T</w:t>
      </w:r>
      <w:r w:rsidR="00FA2C2D">
        <w:t xml:space="preserve"> Revised</w:t>
      </w:r>
      <w:r w:rsidR="0086388E">
        <w:t xml:space="preserve">, </w:t>
      </w:r>
      <w:r w:rsidR="00135AB7">
        <w:t>p.</w:t>
      </w:r>
      <w:r w:rsidR="00FA2C2D">
        <w:t xml:space="preserve"> </w:t>
      </w:r>
      <w:r w:rsidR="00135AB7">
        <w:t>11:1</w:t>
      </w:r>
      <w:r w:rsidR="00777576">
        <w:t>–</w:t>
      </w:r>
      <w:r>
        <w:t>4</w:t>
      </w:r>
      <w:r w:rsidR="00777576">
        <w:t>.</w:t>
      </w:r>
    </w:p>
  </w:footnote>
  <w:footnote w:id="3">
    <w:p w:rsidR="002E24A3" w:rsidRDefault="002E24A3" w:rsidP="002E24A3">
      <w:pPr>
        <w:pStyle w:val="FootnoteText"/>
      </w:pPr>
      <w:r>
        <w:rPr>
          <w:rStyle w:val="FootnoteReference"/>
        </w:rPr>
        <w:footnoteRef/>
      </w:r>
      <w:r>
        <w:t xml:space="preserve"> NARUC Gas Distribution Rate Design Manual, June 1989, page 27.</w:t>
      </w:r>
    </w:p>
  </w:footnote>
  <w:footnote w:id="4">
    <w:p w:rsidR="00170FC2" w:rsidRDefault="00170FC2">
      <w:pPr>
        <w:pStyle w:val="FootnoteText"/>
      </w:pPr>
      <w:r>
        <w:rPr>
          <w:rStyle w:val="FootnoteReference"/>
        </w:rPr>
        <w:footnoteRef/>
      </w:r>
      <w:r>
        <w:t xml:space="preserve"> </w:t>
      </w:r>
      <w:r w:rsidR="004F7EA6">
        <w:t>Exhibit No.__BCC-1T, p.</w:t>
      </w:r>
      <w:r>
        <w:t xml:space="preserve"> 8</w:t>
      </w:r>
      <w:r w:rsidR="004F7EA6">
        <w:t>:</w:t>
      </w:r>
      <w:r>
        <w:t xml:space="preserve">20 – </w:t>
      </w:r>
      <w:r w:rsidR="004F7EA6">
        <w:t>9:</w:t>
      </w:r>
      <w:r>
        <w:t>6.</w:t>
      </w:r>
    </w:p>
  </w:footnote>
  <w:footnote w:id="5">
    <w:p w:rsidR="00170FC2" w:rsidRDefault="00170FC2">
      <w:pPr>
        <w:pStyle w:val="FootnoteText"/>
      </w:pPr>
      <w:r>
        <w:rPr>
          <w:rStyle w:val="FootnoteReference"/>
        </w:rPr>
        <w:footnoteRef/>
      </w:r>
      <w:r>
        <w:t xml:space="preserve"> Exhi</w:t>
      </w:r>
      <w:r w:rsidR="004F7EA6">
        <w:t>bit No.__BCC-1T, p.</w:t>
      </w:r>
      <w:r>
        <w:t xml:space="preserve"> 9</w:t>
      </w:r>
      <w:r w:rsidR="004F7EA6">
        <w:t>:</w:t>
      </w:r>
      <w:r>
        <w:t xml:space="preserve">7 – </w:t>
      </w:r>
      <w:r w:rsidR="004F7EA6">
        <w:t>12:</w:t>
      </w:r>
      <w:r>
        <w:t>7.</w:t>
      </w:r>
    </w:p>
  </w:footnote>
  <w:footnote w:id="6">
    <w:p w:rsidR="002D63E8" w:rsidRDefault="002D63E8">
      <w:pPr>
        <w:pStyle w:val="FootnoteText"/>
      </w:pPr>
      <w:r>
        <w:rPr>
          <w:rStyle w:val="FootnoteReference"/>
        </w:rPr>
        <w:footnoteRef/>
      </w:r>
      <w:r>
        <w:t xml:space="preserve"> </w:t>
      </w:r>
      <w:r w:rsidR="00FA2C2D">
        <w:t>Exhibit No.__</w:t>
      </w:r>
      <w:r w:rsidR="00777576">
        <w:t>BCC-1T</w:t>
      </w:r>
      <w:r w:rsidR="004F7EA6">
        <w:t>, p.</w:t>
      </w:r>
      <w:r w:rsidR="00FA2C2D">
        <w:t xml:space="preserve"> </w:t>
      </w:r>
      <w:r w:rsidR="004F7EA6">
        <w:t>15:17-</w:t>
      </w:r>
      <w:r w:rsidR="009A3C1E">
        <w:t>21</w:t>
      </w:r>
      <w:r w:rsidR="00777576">
        <w:t>.</w:t>
      </w:r>
    </w:p>
  </w:footnote>
  <w:footnote w:id="7">
    <w:p w:rsidR="00FB2F5D" w:rsidRDefault="00FB2F5D">
      <w:pPr>
        <w:pStyle w:val="FootnoteText"/>
      </w:pPr>
      <w:r>
        <w:rPr>
          <w:rStyle w:val="FootnoteReference"/>
        </w:rPr>
        <w:footnoteRef/>
      </w:r>
      <w:r>
        <w:t xml:space="preserve"> As updated in the Company’s data request response ICNU – 075S Supplemental.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B2" w:rsidRDefault="001E46B2">
    <w:pPr>
      <w:pStyle w:val="Header"/>
      <w:jc w:val="right"/>
    </w:pPr>
    <w:r>
      <w:t>E</w:t>
    </w:r>
    <w:r w:rsidR="009A0016">
      <w:t>xhibit No. ___(JDM-</w:t>
    </w:r>
    <w:r w:rsidR="00747286" w:rsidRPr="00747286">
      <w:t>4</w:t>
    </w:r>
    <w:r>
      <w: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B2" w:rsidRDefault="001E46B2" w:rsidP="007B58C5">
    <w:pPr>
      <w:pStyle w:val="Header"/>
      <w:jc w:val="right"/>
    </w:pPr>
    <w:r>
      <w:t>E</w:t>
    </w:r>
    <w:r w:rsidR="009A0016">
      <w:t>xhibit No. ___(JDM-</w:t>
    </w:r>
    <w:r w:rsidR="00747286" w:rsidRPr="00747286">
      <w:t>4</w:t>
    </w:r>
    <w:r>
      <w:t>T)</w:t>
    </w:r>
  </w:p>
  <w:p w:rsidR="001E46B2" w:rsidRDefault="001E46B2" w:rsidP="007B58C5">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15:restartNumberingAfterBreak="0">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15:restartNumberingAfterBreak="0">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15:restartNumberingAfterBreak="0">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15:restartNumberingAfterBreak="0">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15:restartNumberingAfterBreak="0">
    <w:nsid w:val="17611E27"/>
    <w:multiLevelType w:val="hybridMultilevel"/>
    <w:tmpl w:val="F7B6B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7" w15:restartNumberingAfterBreak="0">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8" w15:restartNumberingAfterBreak="0">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0" w15:restartNumberingAfterBreak="0">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1" w15:restartNumberingAfterBreak="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2" w15:restartNumberingAfterBreak="0">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3" w15:restartNumberingAfterBreak="0">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4" w15:restartNumberingAfterBreak="0">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5" w15:restartNumberingAfterBreak="0">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6" w15:restartNumberingAfterBreak="0">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15:restartNumberingAfterBreak="0">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8" w15:restartNumberingAfterBreak="0">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9" w15:restartNumberingAfterBreak="0">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0" w15:restartNumberingAfterBreak="0">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1" w15:restartNumberingAfterBreak="0">
    <w:nsid w:val="383E5620"/>
    <w:multiLevelType w:val="hybridMultilevel"/>
    <w:tmpl w:val="7950559C"/>
    <w:lvl w:ilvl="0" w:tplc="195EA2AE">
      <w:numFmt w:val="bullet"/>
      <w:lvlText w:val="-"/>
      <w:lvlJc w:val="left"/>
      <w:pPr>
        <w:ind w:left="1200" w:hanging="39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A62127C"/>
    <w:multiLevelType w:val="hybridMultilevel"/>
    <w:tmpl w:val="F9DC2ED2"/>
    <w:lvl w:ilvl="0" w:tplc="DDEE992A">
      <w:start w:val="1"/>
      <w:numFmt w:val="decimal"/>
      <w:lvlText w:val="%1."/>
      <w:lvlJc w:val="left"/>
      <w:pPr>
        <w:ind w:left="720" w:hanging="360"/>
      </w:pPr>
      <w:rPr>
        <w:color w:val="000000"/>
      </w:rPr>
    </w:lvl>
    <w:lvl w:ilvl="1" w:tplc="4D64543E">
      <w:start w:val="1"/>
      <w:numFmt w:val="lowerLetter"/>
      <w:lvlText w:val="%2."/>
      <w:lvlJc w:val="left"/>
      <w:pPr>
        <w:ind w:left="1440" w:hanging="360"/>
      </w:pPr>
    </w:lvl>
    <w:lvl w:ilvl="2" w:tplc="671ACD5A">
      <w:start w:val="1"/>
      <w:numFmt w:val="lowerRoman"/>
      <w:lvlText w:val="%3."/>
      <w:lvlJc w:val="right"/>
      <w:pPr>
        <w:ind w:left="2160" w:hanging="180"/>
      </w:pPr>
    </w:lvl>
    <w:lvl w:ilvl="3" w:tplc="801C2CFA">
      <w:start w:val="1"/>
      <w:numFmt w:val="decimal"/>
      <w:lvlText w:val="%4."/>
      <w:lvlJc w:val="left"/>
      <w:pPr>
        <w:ind w:left="2880" w:hanging="360"/>
      </w:pPr>
    </w:lvl>
    <w:lvl w:ilvl="4" w:tplc="FF48346C">
      <w:start w:val="1"/>
      <w:numFmt w:val="lowerLetter"/>
      <w:lvlText w:val="%5."/>
      <w:lvlJc w:val="left"/>
      <w:pPr>
        <w:ind w:left="3600" w:hanging="360"/>
      </w:pPr>
    </w:lvl>
    <w:lvl w:ilvl="5" w:tplc="91D625C8">
      <w:start w:val="1"/>
      <w:numFmt w:val="lowerRoman"/>
      <w:lvlText w:val="%6."/>
      <w:lvlJc w:val="right"/>
      <w:pPr>
        <w:ind w:left="4320" w:hanging="180"/>
      </w:pPr>
    </w:lvl>
    <w:lvl w:ilvl="6" w:tplc="DB3C4A50">
      <w:start w:val="1"/>
      <w:numFmt w:val="decimal"/>
      <w:lvlText w:val="%7."/>
      <w:lvlJc w:val="left"/>
      <w:pPr>
        <w:ind w:left="5040" w:hanging="360"/>
      </w:pPr>
    </w:lvl>
    <w:lvl w:ilvl="7" w:tplc="53A2C314">
      <w:start w:val="1"/>
      <w:numFmt w:val="lowerLetter"/>
      <w:lvlText w:val="%8."/>
      <w:lvlJc w:val="left"/>
      <w:pPr>
        <w:ind w:left="5760" w:hanging="360"/>
      </w:pPr>
    </w:lvl>
    <w:lvl w:ilvl="8" w:tplc="4DE47880">
      <w:start w:val="1"/>
      <w:numFmt w:val="lowerRoman"/>
      <w:lvlText w:val="%9."/>
      <w:lvlJc w:val="right"/>
      <w:pPr>
        <w:ind w:left="6480" w:hanging="180"/>
      </w:pPr>
    </w:lvl>
  </w:abstractNum>
  <w:abstractNum w:abstractNumId="23" w15:restartNumberingAfterBreak="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5" w15:restartNumberingAfterBreak="0">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6" w15:restartNumberingAfterBreak="0">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7" w15:restartNumberingAfterBreak="0">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8"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0" w15:restartNumberingAfterBreak="0">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1" w15:restartNumberingAfterBreak="0">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15:restartNumberingAfterBreak="0">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4"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5" w15:restartNumberingAfterBreak="0">
    <w:nsid w:val="690B203C"/>
    <w:multiLevelType w:val="hybridMultilevel"/>
    <w:tmpl w:val="B8B2FB28"/>
    <w:lvl w:ilvl="0" w:tplc="80802E4A">
      <w:start w:val="1"/>
      <w:numFmt w:val="decimal"/>
      <w:lvlText w:val="%1."/>
      <w:lvlJc w:val="left"/>
      <w:pPr>
        <w:ind w:left="1080" w:hanging="360"/>
      </w:pPr>
      <w:rPr>
        <w:color w:val="000000"/>
      </w:rPr>
    </w:lvl>
    <w:lvl w:ilvl="1" w:tplc="44B2AD88">
      <w:start w:val="1"/>
      <w:numFmt w:val="lowerLetter"/>
      <w:lvlText w:val="%2."/>
      <w:lvlJc w:val="left"/>
      <w:pPr>
        <w:ind w:left="1800" w:hanging="360"/>
      </w:pPr>
    </w:lvl>
    <w:lvl w:ilvl="2" w:tplc="C71E7BD4">
      <w:start w:val="1"/>
      <w:numFmt w:val="lowerRoman"/>
      <w:lvlText w:val="%3."/>
      <w:lvlJc w:val="right"/>
      <w:pPr>
        <w:ind w:left="2520" w:hanging="180"/>
      </w:pPr>
    </w:lvl>
    <w:lvl w:ilvl="3" w:tplc="D5B4D232">
      <w:start w:val="1"/>
      <w:numFmt w:val="decimal"/>
      <w:lvlText w:val="%4."/>
      <w:lvlJc w:val="left"/>
      <w:pPr>
        <w:ind w:left="3240" w:hanging="360"/>
      </w:pPr>
    </w:lvl>
    <w:lvl w:ilvl="4" w:tplc="7F4AC39A">
      <w:start w:val="1"/>
      <w:numFmt w:val="lowerLetter"/>
      <w:lvlText w:val="%5."/>
      <w:lvlJc w:val="left"/>
      <w:pPr>
        <w:ind w:left="3960" w:hanging="360"/>
      </w:pPr>
    </w:lvl>
    <w:lvl w:ilvl="5" w:tplc="8DEAC9D2">
      <w:start w:val="1"/>
      <w:numFmt w:val="lowerRoman"/>
      <w:lvlText w:val="%6."/>
      <w:lvlJc w:val="right"/>
      <w:pPr>
        <w:ind w:left="4680" w:hanging="180"/>
      </w:pPr>
    </w:lvl>
    <w:lvl w:ilvl="6" w:tplc="2364F8F6">
      <w:start w:val="1"/>
      <w:numFmt w:val="decimal"/>
      <w:lvlText w:val="%7."/>
      <w:lvlJc w:val="left"/>
      <w:pPr>
        <w:ind w:left="5400" w:hanging="360"/>
      </w:pPr>
    </w:lvl>
    <w:lvl w:ilvl="7" w:tplc="967240A0">
      <w:start w:val="1"/>
      <w:numFmt w:val="lowerLetter"/>
      <w:lvlText w:val="%8."/>
      <w:lvlJc w:val="left"/>
      <w:pPr>
        <w:ind w:left="6120" w:hanging="360"/>
      </w:pPr>
    </w:lvl>
    <w:lvl w:ilvl="8" w:tplc="A08A643C">
      <w:start w:val="1"/>
      <w:numFmt w:val="lowerRoman"/>
      <w:lvlText w:val="%9."/>
      <w:lvlJc w:val="right"/>
      <w:pPr>
        <w:ind w:left="6840" w:hanging="180"/>
      </w:pPr>
    </w:lvl>
  </w:abstractNum>
  <w:abstractNum w:abstractNumId="36" w15:restartNumberingAfterBreak="0">
    <w:nsid w:val="69510419"/>
    <w:multiLevelType w:val="hybridMultilevel"/>
    <w:tmpl w:val="BFF80EF6"/>
    <w:lvl w:ilvl="0" w:tplc="0409000F">
      <w:start w:val="1"/>
      <w:numFmt w:val="decimal"/>
      <w:lvlText w:val="%1."/>
      <w:lvlJc w:val="left"/>
      <w:pPr>
        <w:ind w:left="1200" w:hanging="39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6971740C"/>
    <w:multiLevelType w:val="hybridMultilevel"/>
    <w:tmpl w:val="BFF80EF6"/>
    <w:lvl w:ilvl="0" w:tplc="0409000F">
      <w:start w:val="1"/>
      <w:numFmt w:val="decimal"/>
      <w:lvlText w:val="%1."/>
      <w:lvlJc w:val="left"/>
      <w:pPr>
        <w:ind w:left="1200" w:hanging="39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9" w15:restartNumberingAfterBreak="0">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0" w15:restartNumberingAfterBreak="0">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4"/>
  </w:num>
  <w:num w:numId="2">
    <w:abstractNumId w:val="26"/>
  </w:num>
  <w:num w:numId="3">
    <w:abstractNumId w:val="1"/>
  </w:num>
  <w:num w:numId="4">
    <w:abstractNumId w:val="18"/>
  </w:num>
  <w:num w:numId="5">
    <w:abstractNumId w:val="4"/>
  </w:num>
  <w:num w:numId="6">
    <w:abstractNumId w:val="17"/>
  </w:num>
  <w:num w:numId="7">
    <w:abstractNumId w:val="9"/>
  </w:num>
  <w:num w:numId="8">
    <w:abstractNumId w:val="13"/>
  </w:num>
  <w:num w:numId="9">
    <w:abstractNumId w:val="23"/>
  </w:num>
  <w:num w:numId="10">
    <w:abstractNumId w:val="15"/>
  </w:num>
  <w:num w:numId="11">
    <w:abstractNumId w:val="7"/>
  </w:num>
  <w:num w:numId="12">
    <w:abstractNumId w:val="39"/>
  </w:num>
  <w:num w:numId="13">
    <w:abstractNumId w:val="34"/>
  </w:num>
  <w:num w:numId="14">
    <w:abstractNumId w:val="40"/>
  </w:num>
  <w:num w:numId="15">
    <w:abstractNumId w:val="12"/>
  </w:num>
  <w:num w:numId="16">
    <w:abstractNumId w:val="14"/>
  </w:num>
  <w:num w:numId="17">
    <w:abstractNumId w:val="20"/>
  </w:num>
  <w:num w:numId="18">
    <w:abstractNumId w:val="38"/>
  </w:num>
  <w:num w:numId="19">
    <w:abstractNumId w:val="16"/>
  </w:num>
  <w:num w:numId="20">
    <w:abstractNumId w:val="30"/>
  </w:num>
  <w:num w:numId="21">
    <w:abstractNumId w:val="0"/>
  </w:num>
  <w:num w:numId="22">
    <w:abstractNumId w:val="29"/>
  </w:num>
  <w:num w:numId="23">
    <w:abstractNumId w:val="25"/>
  </w:num>
  <w:num w:numId="24">
    <w:abstractNumId w:val="19"/>
  </w:num>
  <w:num w:numId="25">
    <w:abstractNumId w:val="3"/>
  </w:num>
  <w:num w:numId="26">
    <w:abstractNumId w:val="2"/>
  </w:num>
  <w:num w:numId="27">
    <w:abstractNumId w:val="11"/>
  </w:num>
  <w:num w:numId="28">
    <w:abstractNumId w:val="33"/>
  </w:num>
  <w:num w:numId="29">
    <w:abstractNumId w:val="10"/>
  </w:num>
  <w:num w:numId="30">
    <w:abstractNumId w:val="27"/>
  </w:num>
  <w:num w:numId="31">
    <w:abstractNumId w:val="31"/>
  </w:num>
  <w:num w:numId="32">
    <w:abstractNumId w:val="32"/>
  </w:num>
  <w:num w:numId="33">
    <w:abstractNumId w:val="28"/>
  </w:num>
  <w:num w:numId="34">
    <w:abstractNumId w:val="6"/>
  </w:num>
  <w:num w:numId="35">
    <w:abstractNumId w:val="8"/>
  </w:num>
  <w:num w:numId="36">
    <w:abstractNumId w:val="5"/>
  </w:num>
  <w:num w:numId="37">
    <w:abstractNumId w:val="2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C4"/>
    <w:rsid w:val="00000480"/>
    <w:rsid w:val="00003068"/>
    <w:rsid w:val="00004003"/>
    <w:rsid w:val="00005690"/>
    <w:rsid w:val="000061C2"/>
    <w:rsid w:val="00006E2F"/>
    <w:rsid w:val="00007085"/>
    <w:rsid w:val="00007E94"/>
    <w:rsid w:val="00010976"/>
    <w:rsid w:val="00010A41"/>
    <w:rsid w:val="00010FB3"/>
    <w:rsid w:val="00011D1C"/>
    <w:rsid w:val="0001379A"/>
    <w:rsid w:val="00013EB7"/>
    <w:rsid w:val="0001498B"/>
    <w:rsid w:val="0001590B"/>
    <w:rsid w:val="00015AD9"/>
    <w:rsid w:val="00016F05"/>
    <w:rsid w:val="00022EA9"/>
    <w:rsid w:val="00024AC8"/>
    <w:rsid w:val="0003051A"/>
    <w:rsid w:val="0003347A"/>
    <w:rsid w:val="00034A93"/>
    <w:rsid w:val="000356FC"/>
    <w:rsid w:val="0003621B"/>
    <w:rsid w:val="00040CA8"/>
    <w:rsid w:val="00041E52"/>
    <w:rsid w:val="00042739"/>
    <w:rsid w:val="00045827"/>
    <w:rsid w:val="00045C70"/>
    <w:rsid w:val="00046323"/>
    <w:rsid w:val="000504EF"/>
    <w:rsid w:val="00051D65"/>
    <w:rsid w:val="000547A1"/>
    <w:rsid w:val="00054A99"/>
    <w:rsid w:val="000568B0"/>
    <w:rsid w:val="00060FF5"/>
    <w:rsid w:val="00062BF6"/>
    <w:rsid w:val="00064145"/>
    <w:rsid w:val="00065523"/>
    <w:rsid w:val="00066399"/>
    <w:rsid w:val="00066C73"/>
    <w:rsid w:val="0006733F"/>
    <w:rsid w:val="00067420"/>
    <w:rsid w:val="00070A2E"/>
    <w:rsid w:val="00071706"/>
    <w:rsid w:val="000718CC"/>
    <w:rsid w:val="0007197F"/>
    <w:rsid w:val="000725F5"/>
    <w:rsid w:val="00075515"/>
    <w:rsid w:val="00075612"/>
    <w:rsid w:val="00081958"/>
    <w:rsid w:val="0008235E"/>
    <w:rsid w:val="000831A6"/>
    <w:rsid w:val="00083D6D"/>
    <w:rsid w:val="000844DB"/>
    <w:rsid w:val="0008527C"/>
    <w:rsid w:val="00085E52"/>
    <w:rsid w:val="00087C42"/>
    <w:rsid w:val="00092219"/>
    <w:rsid w:val="000925D0"/>
    <w:rsid w:val="000926C0"/>
    <w:rsid w:val="000926CF"/>
    <w:rsid w:val="00093AE0"/>
    <w:rsid w:val="00093CC6"/>
    <w:rsid w:val="0009624A"/>
    <w:rsid w:val="0009730E"/>
    <w:rsid w:val="000A0894"/>
    <w:rsid w:val="000A19F4"/>
    <w:rsid w:val="000A204F"/>
    <w:rsid w:val="000A2244"/>
    <w:rsid w:val="000A232B"/>
    <w:rsid w:val="000A2AD6"/>
    <w:rsid w:val="000A3548"/>
    <w:rsid w:val="000A497F"/>
    <w:rsid w:val="000A4A15"/>
    <w:rsid w:val="000A4C44"/>
    <w:rsid w:val="000A502C"/>
    <w:rsid w:val="000A5276"/>
    <w:rsid w:val="000A6665"/>
    <w:rsid w:val="000A6734"/>
    <w:rsid w:val="000A6860"/>
    <w:rsid w:val="000A6BBC"/>
    <w:rsid w:val="000B2F0A"/>
    <w:rsid w:val="000B505F"/>
    <w:rsid w:val="000B55F7"/>
    <w:rsid w:val="000B567E"/>
    <w:rsid w:val="000B5939"/>
    <w:rsid w:val="000B5DDE"/>
    <w:rsid w:val="000B6139"/>
    <w:rsid w:val="000B6A29"/>
    <w:rsid w:val="000B7DDE"/>
    <w:rsid w:val="000C0177"/>
    <w:rsid w:val="000C19AD"/>
    <w:rsid w:val="000C21C5"/>
    <w:rsid w:val="000C5931"/>
    <w:rsid w:val="000C64E4"/>
    <w:rsid w:val="000D39F1"/>
    <w:rsid w:val="000D3A30"/>
    <w:rsid w:val="000D4B96"/>
    <w:rsid w:val="000D5132"/>
    <w:rsid w:val="000D6ABC"/>
    <w:rsid w:val="000D6BFD"/>
    <w:rsid w:val="000D7C83"/>
    <w:rsid w:val="000E2E27"/>
    <w:rsid w:val="000E62F6"/>
    <w:rsid w:val="000E6F31"/>
    <w:rsid w:val="000F0B81"/>
    <w:rsid w:val="000F0F87"/>
    <w:rsid w:val="000F15F3"/>
    <w:rsid w:val="000F2A4D"/>
    <w:rsid w:val="000F3263"/>
    <w:rsid w:val="000F3897"/>
    <w:rsid w:val="000F3DC4"/>
    <w:rsid w:val="000F4153"/>
    <w:rsid w:val="000F5906"/>
    <w:rsid w:val="000F5D38"/>
    <w:rsid w:val="000F6CFB"/>
    <w:rsid w:val="00100091"/>
    <w:rsid w:val="001020C1"/>
    <w:rsid w:val="00102C9F"/>
    <w:rsid w:val="00102DA5"/>
    <w:rsid w:val="00103076"/>
    <w:rsid w:val="00103E4A"/>
    <w:rsid w:val="0010527D"/>
    <w:rsid w:val="00106FF3"/>
    <w:rsid w:val="00110785"/>
    <w:rsid w:val="001121FA"/>
    <w:rsid w:val="00112801"/>
    <w:rsid w:val="00113205"/>
    <w:rsid w:val="00113A3C"/>
    <w:rsid w:val="001210ED"/>
    <w:rsid w:val="0012149A"/>
    <w:rsid w:val="00121B28"/>
    <w:rsid w:val="0012232D"/>
    <w:rsid w:val="00122BB9"/>
    <w:rsid w:val="0012369E"/>
    <w:rsid w:val="001279B7"/>
    <w:rsid w:val="00131A33"/>
    <w:rsid w:val="00131E05"/>
    <w:rsid w:val="00132707"/>
    <w:rsid w:val="00133769"/>
    <w:rsid w:val="0013455F"/>
    <w:rsid w:val="00135328"/>
    <w:rsid w:val="00135AB7"/>
    <w:rsid w:val="00135AD1"/>
    <w:rsid w:val="001372AD"/>
    <w:rsid w:val="00137989"/>
    <w:rsid w:val="0014077C"/>
    <w:rsid w:val="00141F88"/>
    <w:rsid w:val="00144489"/>
    <w:rsid w:val="001448F1"/>
    <w:rsid w:val="00146C46"/>
    <w:rsid w:val="001473F1"/>
    <w:rsid w:val="00147D24"/>
    <w:rsid w:val="00150518"/>
    <w:rsid w:val="00156D28"/>
    <w:rsid w:val="0015701E"/>
    <w:rsid w:val="00162D05"/>
    <w:rsid w:val="001634DE"/>
    <w:rsid w:val="00164150"/>
    <w:rsid w:val="00165004"/>
    <w:rsid w:val="001665DB"/>
    <w:rsid w:val="0017074B"/>
    <w:rsid w:val="00170A22"/>
    <w:rsid w:val="00170FC2"/>
    <w:rsid w:val="00171B4C"/>
    <w:rsid w:val="00174854"/>
    <w:rsid w:val="00174C5B"/>
    <w:rsid w:val="00174FCE"/>
    <w:rsid w:val="0017674C"/>
    <w:rsid w:val="00177866"/>
    <w:rsid w:val="00177CFC"/>
    <w:rsid w:val="00177FF7"/>
    <w:rsid w:val="00180519"/>
    <w:rsid w:val="001813D8"/>
    <w:rsid w:val="001827B6"/>
    <w:rsid w:val="00185D46"/>
    <w:rsid w:val="0019267A"/>
    <w:rsid w:val="0019453A"/>
    <w:rsid w:val="00194AC9"/>
    <w:rsid w:val="00197176"/>
    <w:rsid w:val="001A1483"/>
    <w:rsid w:val="001A3017"/>
    <w:rsid w:val="001A315C"/>
    <w:rsid w:val="001A4278"/>
    <w:rsid w:val="001A58EA"/>
    <w:rsid w:val="001A60D6"/>
    <w:rsid w:val="001A786F"/>
    <w:rsid w:val="001B0AC2"/>
    <w:rsid w:val="001B23F5"/>
    <w:rsid w:val="001B2DA2"/>
    <w:rsid w:val="001B3343"/>
    <w:rsid w:val="001B3BF7"/>
    <w:rsid w:val="001C01E1"/>
    <w:rsid w:val="001C15C7"/>
    <w:rsid w:val="001C4645"/>
    <w:rsid w:val="001C57DE"/>
    <w:rsid w:val="001C5F10"/>
    <w:rsid w:val="001C6565"/>
    <w:rsid w:val="001D1FB5"/>
    <w:rsid w:val="001D224A"/>
    <w:rsid w:val="001D2BD3"/>
    <w:rsid w:val="001D2DC2"/>
    <w:rsid w:val="001D76D1"/>
    <w:rsid w:val="001E12F2"/>
    <w:rsid w:val="001E22ED"/>
    <w:rsid w:val="001E427B"/>
    <w:rsid w:val="001E455B"/>
    <w:rsid w:val="001E46B2"/>
    <w:rsid w:val="001E48C8"/>
    <w:rsid w:val="001E6504"/>
    <w:rsid w:val="001E65B2"/>
    <w:rsid w:val="001E6D70"/>
    <w:rsid w:val="001E7D9F"/>
    <w:rsid w:val="001F0D77"/>
    <w:rsid w:val="001F4EC4"/>
    <w:rsid w:val="00200521"/>
    <w:rsid w:val="00203679"/>
    <w:rsid w:val="002041A4"/>
    <w:rsid w:val="00204C48"/>
    <w:rsid w:val="00204E63"/>
    <w:rsid w:val="00204EB2"/>
    <w:rsid w:val="00205954"/>
    <w:rsid w:val="00206BDE"/>
    <w:rsid w:val="002079A8"/>
    <w:rsid w:val="00207D6E"/>
    <w:rsid w:val="00212B99"/>
    <w:rsid w:val="00214D76"/>
    <w:rsid w:val="0021578E"/>
    <w:rsid w:val="00216493"/>
    <w:rsid w:val="00216BB6"/>
    <w:rsid w:val="00221538"/>
    <w:rsid w:val="0022220E"/>
    <w:rsid w:val="0022502F"/>
    <w:rsid w:val="00226A86"/>
    <w:rsid w:val="00230326"/>
    <w:rsid w:val="00231169"/>
    <w:rsid w:val="00232747"/>
    <w:rsid w:val="002329CD"/>
    <w:rsid w:val="002336F1"/>
    <w:rsid w:val="00233F30"/>
    <w:rsid w:val="002369E0"/>
    <w:rsid w:val="00240544"/>
    <w:rsid w:val="00240E36"/>
    <w:rsid w:val="00243BE5"/>
    <w:rsid w:val="00244590"/>
    <w:rsid w:val="002456CD"/>
    <w:rsid w:val="002467E2"/>
    <w:rsid w:val="00247DEE"/>
    <w:rsid w:val="00251F92"/>
    <w:rsid w:val="0025349A"/>
    <w:rsid w:val="0025427B"/>
    <w:rsid w:val="002543B2"/>
    <w:rsid w:val="002558EB"/>
    <w:rsid w:val="00257659"/>
    <w:rsid w:val="00260171"/>
    <w:rsid w:val="0026350D"/>
    <w:rsid w:val="00265299"/>
    <w:rsid w:val="00265A10"/>
    <w:rsid w:val="00266EF0"/>
    <w:rsid w:val="00267E54"/>
    <w:rsid w:val="00272E6B"/>
    <w:rsid w:val="002734F6"/>
    <w:rsid w:val="002746C1"/>
    <w:rsid w:val="002750A1"/>
    <w:rsid w:val="0027643C"/>
    <w:rsid w:val="00280678"/>
    <w:rsid w:val="00284453"/>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7002"/>
    <w:rsid w:val="002A7493"/>
    <w:rsid w:val="002B0DA7"/>
    <w:rsid w:val="002B1B54"/>
    <w:rsid w:val="002B29A4"/>
    <w:rsid w:val="002B3375"/>
    <w:rsid w:val="002B68A1"/>
    <w:rsid w:val="002B6984"/>
    <w:rsid w:val="002B6EA3"/>
    <w:rsid w:val="002B738D"/>
    <w:rsid w:val="002C0C2F"/>
    <w:rsid w:val="002C1009"/>
    <w:rsid w:val="002C1940"/>
    <w:rsid w:val="002C60CB"/>
    <w:rsid w:val="002C625F"/>
    <w:rsid w:val="002D03A1"/>
    <w:rsid w:val="002D0917"/>
    <w:rsid w:val="002D35C8"/>
    <w:rsid w:val="002D398E"/>
    <w:rsid w:val="002D430B"/>
    <w:rsid w:val="002D63E8"/>
    <w:rsid w:val="002E0B86"/>
    <w:rsid w:val="002E24A3"/>
    <w:rsid w:val="002E3123"/>
    <w:rsid w:val="002E3552"/>
    <w:rsid w:val="002E35D8"/>
    <w:rsid w:val="002E615D"/>
    <w:rsid w:val="002E7F3A"/>
    <w:rsid w:val="002F0D16"/>
    <w:rsid w:val="002F15BA"/>
    <w:rsid w:val="002F18E0"/>
    <w:rsid w:val="002F3BC3"/>
    <w:rsid w:val="002F5AD7"/>
    <w:rsid w:val="0030040F"/>
    <w:rsid w:val="00301E39"/>
    <w:rsid w:val="00301EC5"/>
    <w:rsid w:val="00303750"/>
    <w:rsid w:val="0030773D"/>
    <w:rsid w:val="00310E7C"/>
    <w:rsid w:val="00310EBD"/>
    <w:rsid w:val="00311F09"/>
    <w:rsid w:val="00313EFD"/>
    <w:rsid w:val="0031526F"/>
    <w:rsid w:val="003162C7"/>
    <w:rsid w:val="003201FB"/>
    <w:rsid w:val="00324DBB"/>
    <w:rsid w:val="003279B2"/>
    <w:rsid w:val="00331450"/>
    <w:rsid w:val="00334F95"/>
    <w:rsid w:val="00336CAF"/>
    <w:rsid w:val="003370D8"/>
    <w:rsid w:val="0033746D"/>
    <w:rsid w:val="00337649"/>
    <w:rsid w:val="00337798"/>
    <w:rsid w:val="00337BB3"/>
    <w:rsid w:val="00341BDD"/>
    <w:rsid w:val="00344D41"/>
    <w:rsid w:val="00346019"/>
    <w:rsid w:val="003504CA"/>
    <w:rsid w:val="00352572"/>
    <w:rsid w:val="00352B3C"/>
    <w:rsid w:val="00352B85"/>
    <w:rsid w:val="003538D4"/>
    <w:rsid w:val="00356E89"/>
    <w:rsid w:val="00357D5E"/>
    <w:rsid w:val="00357DE8"/>
    <w:rsid w:val="00362A42"/>
    <w:rsid w:val="003636C6"/>
    <w:rsid w:val="00364F2D"/>
    <w:rsid w:val="003709EA"/>
    <w:rsid w:val="00371D94"/>
    <w:rsid w:val="003728BA"/>
    <w:rsid w:val="003730D2"/>
    <w:rsid w:val="00375BB2"/>
    <w:rsid w:val="00377B55"/>
    <w:rsid w:val="00377BBA"/>
    <w:rsid w:val="00381013"/>
    <w:rsid w:val="00384DAD"/>
    <w:rsid w:val="003956A9"/>
    <w:rsid w:val="0039709C"/>
    <w:rsid w:val="00397844"/>
    <w:rsid w:val="003A16ED"/>
    <w:rsid w:val="003A4BB4"/>
    <w:rsid w:val="003B133A"/>
    <w:rsid w:val="003B278C"/>
    <w:rsid w:val="003B42EC"/>
    <w:rsid w:val="003C1C3E"/>
    <w:rsid w:val="003C1E67"/>
    <w:rsid w:val="003C3120"/>
    <w:rsid w:val="003C50D7"/>
    <w:rsid w:val="003C53DB"/>
    <w:rsid w:val="003D2E9A"/>
    <w:rsid w:val="003D4167"/>
    <w:rsid w:val="003D61F4"/>
    <w:rsid w:val="003D665D"/>
    <w:rsid w:val="003D716B"/>
    <w:rsid w:val="003E19C9"/>
    <w:rsid w:val="003E2C1F"/>
    <w:rsid w:val="003E339D"/>
    <w:rsid w:val="003E3A36"/>
    <w:rsid w:val="003E52DF"/>
    <w:rsid w:val="003E654B"/>
    <w:rsid w:val="003E71B4"/>
    <w:rsid w:val="003E7ABF"/>
    <w:rsid w:val="003F00A5"/>
    <w:rsid w:val="003F05DF"/>
    <w:rsid w:val="003F11AC"/>
    <w:rsid w:val="003F5EB7"/>
    <w:rsid w:val="003F6BFD"/>
    <w:rsid w:val="003F766B"/>
    <w:rsid w:val="0040013A"/>
    <w:rsid w:val="004032B9"/>
    <w:rsid w:val="004034D5"/>
    <w:rsid w:val="004043D5"/>
    <w:rsid w:val="0040473A"/>
    <w:rsid w:val="00407743"/>
    <w:rsid w:val="00411FE6"/>
    <w:rsid w:val="00414029"/>
    <w:rsid w:val="004163BA"/>
    <w:rsid w:val="00416D8E"/>
    <w:rsid w:val="00417744"/>
    <w:rsid w:val="00423244"/>
    <w:rsid w:val="004233FE"/>
    <w:rsid w:val="0042464B"/>
    <w:rsid w:val="0043473F"/>
    <w:rsid w:val="00434EE0"/>
    <w:rsid w:val="0043608E"/>
    <w:rsid w:val="00437376"/>
    <w:rsid w:val="00437F07"/>
    <w:rsid w:val="004414DA"/>
    <w:rsid w:val="00443386"/>
    <w:rsid w:val="00444CC5"/>
    <w:rsid w:val="00444CEA"/>
    <w:rsid w:val="004461E9"/>
    <w:rsid w:val="0044635D"/>
    <w:rsid w:val="004477EA"/>
    <w:rsid w:val="0045152C"/>
    <w:rsid w:val="00451B1C"/>
    <w:rsid w:val="00451C4F"/>
    <w:rsid w:val="004568E4"/>
    <w:rsid w:val="00460A8B"/>
    <w:rsid w:val="00460FCB"/>
    <w:rsid w:val="004621CA"/>
    <w:rsid w:val="00462682"/>
    <w:rsid w:val="004627E0"/>
    <w:rsid w:val="00466E60"/>
    <w:rsid w:val="004713C9"/>
    <w:rsid w:val="004729E4"/>
    <w:rsid w:val="00474CF8"/>
    <w:rsid w:val="00475FB0"/>
    <w:rsid w:val="00476E35"/>
    <w:rsid w:val="00482455"/>
    <w:rsid w:val="004868D1"/>
    <w:rsid w:val="004910B1"/>
    <w:rsid w:val="004921AA"/>
    <w:rsid w:val="00492441"/>
    <w:rsid w:val="00492DDD"/>
    <w:rsid w:val="004940D3"/>
    <w:rsid w:val="00495E93"/>
    <w:rsid w:val="00497EDA"/>
    <w:rsid w:val="004A0973"/>
    <w:rsid w:val="004A14EC"/>
    <w:rsid w:val="004A3FBB"/>
    <w:rsid w:val="004A43E9"/>
    <w:rsid w:val="004A5E75"/>
    <w:rsid w:val="004A5E9F"/>
    <w:rsid w:val="004A7A4C"/>
    <w:rsid w:val="004B1B0F"/>
    <w:rsid w:val="004B1D0C"/>
    <w:rsid w:val="004B23F1"/>
    <w:rsid w:val="004B4017"/>
    <w:rsid w:val="004B402E"/>
    <w:rsid w:val="004B5594"/>
    <w:rsid w:val="004B650C"/>
    <w:rsid w:val="004B6F76"/>
    <w:rsid w:val="004C1B9A"/>
    <w:rsid w:val="004C2025"/>
    <w:rsid w:val="004C2477"/>
    <w:rsid w:val="004C3392"/>
    <w:rsid w:val="004C3DE4"/>
    <w:rsid w:val="004C3E8A"/>
    <w:rsid w:val="004C58FC"/>
    <w:rsid w:val="004C5C79"/>
    <w:rsid w:val="004C6D99"/>
    <w:rsid w:val="004C715C"/>
    <w:rsid w:val="004C7198"/>
    <w:rsid w:val="004D0644"/>
    <w:rsid w:val="004D081B"/>
    <w:rsid w:val="004D0E04"/>
    <w:rsid w:val="004D102F"/>
    <w:rsid w:val="004D1B1A"/>
    <w:rsid w:val="004D207D"/>
    <w:rsid w:val="004D28F2"/>
    <w:rsid w:val="004D772E"/>
    <w:rsid w:val="004D7861"/>
    <w:rsid w:val="004E2D52"/>
    <w:rsid w:val="004E3BE5"/>
    <w:rsid w:val="004E4650"/>
    <w:rsid w:val="004E5181"/>
    <w:rsid w:val="004E6748"/>
    <w:rsid w:val="004E793A"/>
    <w:rsid w:val="004E7C36"/>
    <w:rsid w:val="004F713F"/>
    <w:rsid w:val="004F7514"/>
    <w:rsid w:val="004F7C90"/>
    <w:rsid w:val="004F7EA6"/>
    <w:rsid w:val="0050216C"/>
    <w:rsid w:val="0050474D"/>
    <w:rsid w:val="0050715C"/>
    <w:rsid w:val="005100B9"/>
    <w:rsid w:val="005141FE"/>
    <w:rsid w:val="00514E80"/>
    <w:rsid w:val="00515008"/>
    <w:rsid w:val="00516F25"/>
    <w:rsid w:val="00517717"/>
    <w:rsid w:val="00517BD6"/>
    <w:rsid w:val="00520565"/>
    <w:rsid w:val="005211BE"/>
    <w:rsid w:val="00524793"/>
    <w:rsid w:val="00524E01"/>
    <w:rsid w:val="00524EA6"/>
    <w:rsid w:val="005309AB"/>
    <w:rsid w:val="00531D60"/>
    <w:rsid w:val="00532F5D"/>
    <w:rsid w:val="00533FD0"/>
    <w:rsid w:val="005369BB"/>
    <w:rsid w:val="00536E7C"/>
    <w:rsid w:val="005410BB"/>
    <w:rsid w:val="00541BEB"/>
    <w:rsid w:val="0054237D"/>
    <w:rsid w:val="005426B3"/>
    <w:rsid w:val="00543395"/>
    <w:rsid w:val="00545B95"/>
    <w:rsid w:val="00551C2D"/>
    <w:rsid w:val="0055278A"/>
    <w:rsid w:val="005540EB"/>
    <w:rsid w:val="0055620C"/>
    <w:rsid w:val="00562193"/>
    <w:rsid w:val="00562C12"/>
    <w:rsid w:val="0056366E"/>
    <w:rsid w:val="005678FA"/>
    <w:rsid w:val="00571787"/>
    <w:rsid w:val="005777CE"/>
    <w:rsid w:val="00577848"/>
    <w:rsid w:val="00580834"/>
    <w:rsid w:val="005819D4"/>
    <w:rsid w:val="00583438"/>
    <w:rsid w:val="0058469D"/>
    <w:rsid w:val="00585860"/>
    <w:rsid w:val="005858B9"/>
    <w:rsid w:val="005869EC"/>
    <w:rsid w:val="00586BE2"/>
    <w:rsid w:val="00586CB3"/>
    <w:rsid w:val="00592BD1"/>
    <w:rsid w:val="00593603"/>
    <w:rsid w:val="00593B68"/>
    <w:rsid w:val="00596581"/>
    <w:rsid w:val="00596611"/>
    <w:rsid w:val="0059728B"/>
    <w:rsid w:val="005A10A8"/>
    <w:rsid w:val="005A1FCD"/>
    <w:rsid w:val="005A200C"/>
    <w:rsid w:val="005A37F6"/>
    <w:rsid w:val="005A38EB"/>
    <w:rsid w:val="005A47CB"/>
    <w:rsid w:val="005A55AE"/>
    <w:rsid w:val="005A6FE5"/>
    <w:rsid w:val="005A6FF9"/>
    <w:rsid w:val="005B0B41"/>
    <w:rsid w:val="005B1AA3"/>
    <w:rsid w:val="005B4C72"/>
    <w:rsid w:val="005B5994"/>
    <w:rsid w:val="005B7B46"/>
    <w:rsid w:val="005C1AB9"/>
    <w:rsid w:val="005C251E"/>
    <w:rsid w:val="005C26D3"/>
    <w:rsid w:val="005C2C88"/>
    <w:rsid w:val="005C37F4"/>
    <w:rsid w:val="005C3EE2"/>
    <w:rsid w:val="005C4E2C"/>
    <w:rsid w:val="005C4F7B"/>
    <w:rsid w:val="005C7C02"/>
    <w:rsid w:val="005D0943"/>
    <w:rsid w:val="005D45EC"/>
    <w:rsid w:val="005D6CC2"/>
    <w:rsid w:val="005D7A9E"/>
    <w:rsid w:val="005E0D2F"/>
    <w:rsid w:val="005E12E5"/>
    <w:rsid w:val="005E2247"/>
    <w:rsid w:val="005E25D7"/>
    <w:rsid w:val="005E61D1"/>
    <w:rsid w:val="005E72C5"/>
    <w:rsid w:val="005E79A4"/>
    <w:rsid w:val="005F0B42"/>
    <w:rsid w:val="005F1CE5"/>
    <w:rsid w:val="005F1EA4"/>
    <w:rsid w:val="005F3BDA"/>
    <w:rsid w:val="005F4B1C"/>
    <w:rsid w:val="005F52EE"/>
    <w:rsid w:val="005F75EE"/>
    <w:rsid w:val="00600A93"/>
    <w:rsid w:val="00601C28"/>
    <w:rsid w:val="006057DA"/>
    <w:rsid w:val="0061080A"/>
    <w:rsid w:val="006130C6"/>
    <w:rsid w:val="00614DB9"/>
    <w:rsid w:val="0061606F"/>
    <w:rsid w:val="0061684F"/>
    <w:rsid w:val="00620985"/>
    <w:rsid w:val="006234CA"/>
    <w:rsid w:val="00625666"/>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507E2"/>
    <w:rsid w:val="00651416"/>
    <w:rsid w:val="00652AC9"/>
    <w:rsid w:val="006538B3"/>
    <w:rsid w:val="0065504B"/>
    <w:rsid w:val="00657437"/>
    <w:rsid w:val="0065749C"/>
    <w:rsid w:val="00664B41"/>
    <w:rsid w:val="00667220"/>
    <w:rsid w:val="006676B9"/>
    <w:rsid w:val="00670803"/>
    <w:rsid w:val="006712D4"/>
    <w:rsid w:val="00671CFD"/>
    <w:rsid w:val="00672446"/>
    <w:rsid w:val="00672D65"/>
    <w:rsid w:val="006753D1"/>
    <w:rsid w:val="00675C4E"/>
    <w:rsid w:val="0067797B"/>
    <w:rsid w:val="00677B7B"/>
    <w:rsid w:val="00680941"/>
    <w:rsid w:val="006827E6"/>
    <w:rsid w:val="006848C3"/>
    <w:rsid w:val="0068497F"/>
    <w:rsid w:val="00685D0C"/>
    <w:rsid w:val="00686872"/>
    <w:rsid w:val="00690866"/>
    <w:rsid w:val="00694082"/>
    <w:rsid w:val="006942FA"/>
    <w:rsid w:val="006A2A4B"/>
    <w:rsid w:val="006A2C7D"/>
    <w:rsid w:val="006A2F58"/>
    <w:rsid w:val="006A39AB"/>
    <w:rsid w:val="006A4BDB"/>
    <w:rsid w:val="006A4CE9"/>
    <w:rsid w:val="006B0FBF"/>
    <w:rsid w:val="006B1DF5"/>
    <w:rsid w:val="006B4092"/>
    <w:rsid w:val="006B6BC2"/>
    <w:rsid w:val="006C1681"/>
    <w:rsid w:val="006C2E1E"/>
    <w:rsid w:val="006C2F60"/>
    <w:rsid w:val="006C65FB"/>
    <w:rsid w:val="006C6690"/>
    <w:rsid w:val="006C681F"/>
    <w:rsid w:val="006C72E6"/>
    <w:rsid w:val="006C7D0C"/>
    <w:rsid w:val="006C7E37"/>
    <w:rsid w:val="006D0B08"/>
    <w:rsid w:val="006D0C1F"/>
    <w:rsid w:val="006D1C8A"/>
    <w:rsid w:val="006D3C1A"/>
    <w:rsid w:val="006E11B2"/>
    <w:rsid w:val="006E1BF2"/>
    <w:rsid w:val="006E2663"/>
    <w:rsid w:val="006E2F83"/>
    <w:rsid w:val="006E3755"/>
    <w:rsid w:val="006E38F4"/>
    <w:rsid w:val="006E75AB"/>
    <w:rsid w:val="006E7C1D"/>
    <w:rsid w:val="006F42EC"/>
    <w:rsid w:val="006F6605"/>
    <w:rsid w:val="006F6763"/>
    <w:rsid w:val="006F681C"/>
    <w:rsid w:val="006F730C"/>
    <w:rsid w:val="00700BDB"/>
    <w:rsid w:val="00701425"/>
    <w:rsid w:val="00702E30"/>
    <w:rsid w:val="00704982"/>
    <w:rsid w:val="00704EEB"/>
    <w:rsid w:val="007055A8"/>
    <w:rsid w:val="007077ED"/>
    <w:rsid w:val="007100B2"/>
    <w:rsid w:val="00711833"/>
    <w:rsid w:val="00712A9B"/>
    <w:rsid w:val="00716C13"/>
    <w:rsid w:val="00720D05"/>
    <w:rsid w:val="00720F15"/>
    <w:rsid w:val="00721F40"/>
    <w:rsid w:val="00722C46"/>
    <w:rsid w:val="0072300B"/>
    <w:rsid w:val="007267F6"/>
    <w:rsid w:val="00733A66"/>
    <w:rsid w:val="00736360"/>
    <w:rsid w:val="00737207"/>
    <w:rsid w:val="00737CA1"/>
    <w:rsid w:val="00740F36"/>
    <w:rsid w:val="0074167B"/>
    <w:rsid w:val="00742B9F"/>
    <w:rsid w:val="00743B59"/>
    <w:rsid w:val="0074438F"/>
    <w:rsid w:val="00744D65"/>
    <w:rsid w:val="0074529E"/>
    <w:rsid w:val="00745E5A"/>
    <w:rsid w:val="00747286"/>
    <w:rsid w:val="0075372F"/>
    <w:rsid w:val="00754AF6"/>
    <w:rsid w:val="007559C8"/>
    <w:rsid w:val="00757728"/>
    <w:rsid w:val="007579AD"/>
    <w:rsid w:val="0076151E"/>
    <w:rsid w:val="0076235A"/>
    <w:rsid w:val="007645E8"/>
    <w:rsid w:val="00765CB3"/>
    <w:rsid w:val="00772721"/>
    <w:rsid w:val="00774CC3"/>
    <w:rsid w:val="00775966"/>
    <w:rsid w:val="00777576"/>
    <w:rsid w:val="00777ABD"/>
    <w:rsid w:val="0078116B"/>
    <w:rsid w:val="00781C4B"/>
    <w:rsid w:val="00782766"/>
    <w:rsid w:val="007827FA"/>
    <w:rsid w:val="00783010"/>
    <w:rsid w:val="007836C7"/>
    <w:rsid w:val="00786A12"/>
    <w:rsid w:val="00787FB4"/>
    <w:rsid w:val="007917C5"/>
    <w:rsid w:val="00791C2B"/>
    <w:rsid w:val="007928C1"/>
    <w:rsid w:val="00794403"/>
    <w:rsid w:val="00794492"/>
    <w:rsid w:val="00796789"/>
    <w:rsid w:val="00797C30"/>
    <w:rsid w:val="007A2A98"/>
    <w:rsid w:val="007A2F03"/>
    <w:rsid w:val="007A413B"/>
    <w:rsid w:val="007A4F93"/>
    <w:rsid w:val="007A5DCF"/>
    <w:rsid w:val="007A6D68"/>
    <w:rsid w:val="007A73E1"/>
    <w:rsid w:val="007A7BE0"/>
    <w:rsid w:val="007B04C8"/>
    <w:rsid w:val="007B5402"/>
    <w:rsid w:val="007B58C5"/>
    <w:rsid w:val="007B5B92"/>
    <w:rsid w:val="007B60A4"/>
    <w:rsid w:val="007B7B22"/>
    <w:rsid w:val="007B7C07"/>
    <w:rsid w:val="007C10C8"/>
    <w:rsid w:val="007C1D7F"/>
    <w:rsid w:val="007C32EE"/>
    <w:rsid w:val="007C504B"/>
    <w:rsid w:val="007C54AA"/>
    <w:rsid w:val="007C57D8"/>
    <w:rsid w:val="007C7320"/>
    <w:rsid w:val="007C7911"/>
    <w:rsid w:val="007C7B6B"/>
    <w:rsid w:val="007D02A2"/>
    <w:rsid w:val="007D05D4"/>
    <w:rsid w:val="007D16EF"/>
    <w:rsid w:val="007E087E"/>
    <w:rsid w:val="007E1AF4"/>
    <w:rsid w:val="007E208F"/>
    <w:rsid w:val="007E6EA3"/>
    <w:rsid w:val="007E74EA"/>
    <w:rsid w:val="007F042B"/>
    <w:rsid w:val="007F095E"/>
    <w:rsid w:val="007F101D"/>
    <w:rsid w:val="007F1D69"/>
    <w:rsid w:val="007F213C"/>
    <w:rsid w:val="007F2423"/>
    <w:rsid w:val="007F3749"/>
    <w:rsid w:val="007F6B5E"/>
    <w:rsid w:val="00802819"/>
    <w:rsid w:val="008033BB"/>
    <w:rsid w:val="00804381"/>
    <w:rsid w:val="00806C7F"/>
    <w:rsid w:val="0080740D"/>
    <w:rsid w:val="00807FC4"/>
    <w:rsid w:val="00812DE4"/>
    <w:rsid w:val="00814123"/>
    <w:rsid w:val="0081442F"/>
    <w:rsid w:val="008147B1"/>
    <w:rsid w:val="00815D50"/>
    <w:rsid w:val="00816DD9"/>
    <w:rsid w:val="00817342"/>
    <w:rsid w:val="0081738C"/>
    <w:rsid w:val="00817ECB"/>
    <w:rsid w:val="008202A5"/>
    <w:rsid w:val="00820881"/>
    <w:rsid w:val="00822186"/>
    <w:rsid w:val="0082229C"/>
    <w:rsid w:val="00822621"/>
    <w:rsid w:val="00823B37"/>
    <w:rsid w:val="00824F12"/>
    <w:rsid w:val="0082656C"/>
    <w:rsid w:val="0082661B"/>
    <w:rsid w:val="00830886"/>
    <w:rsid w:val="0083229F"/>
    <w:rsid w:val="00833CE1"/>
    <w:rsid w:val="008354EE"/>
    <w:rsid w:val="00843018"/>
    <w:rsid w:val="00843D43"/>
    <w:rsid w:val="008456B0"/>
    <w:rsid w:val="00846B6E"/>
    <w:rsid w:val="0085002C"/>
    <w:rsid w:val="008503A2"/>
    <w:rsid w:val="00850C03"/>
    <w:rsid w:val="008555E4"/>
    <w:rsid w:val="0085756C"/>
    <w:rsid w:val="008618A0"/>
    <w:rsid w:val="0086388E"/>
    <w:rsid w:val="00872D83"/>
    <w:rsid w:val="0087366D"/>
    <w:rsid w:val="00874B82"/>
    <w:rsid w:val="00874BA7"/>
    <w:rsid w:val="00877611"/>
    <w:rsid w:val="008779F0"/>
    <w:rsid w:val="00881754"/>
    <w:rsid w:val="00882549"/>
    <w:rsid w:val="008832F2"/>
    <w:rsid w:val="00883CCA"/>
    <w:rsid w:val="00883F6F"/>
    <w:rsid w:val="00886C9D"/>
    <w:rsid w:val="00886E4E"/>
    <w:rsid w:val="00890305"/>
    <w:rsid w:val="008918EA"/>
    <w:rsid w:val="00891D48"/>
    <w:rsid w:val="00891F68"/>
    <w:rsid w:val="00892413"/>
    <w:rsid w:val="00892523"/>
    <w:rsid w:val="00892BAC"/>
    <w:rsid w:val="0089410F"/>
    <w:rsid w:val="00894834"/>
    <w:rsid w:val="00894CE2"/>
    <w:rsid w:val="008970B3"/>
    <w:rsid w:val="00897B8E"/>
    <w:rsid w:val="008A3569"/>
    <w:rsid w:val="008A52E8"/>
    <w:rsid w:val="008A7469"/>
    <w:rsid w:val="008B0C99"/>
    <w:rsid w:val="008B41AB"/>
    <w:rsid w:val="008B4398"/>
    <w:rsid w:val="008B536F"/>
    <w:rsid w:val="008B5C02"/>
    <w:rsid w:val="008B744B"/>
    <w:rsid w:val="008B7D0B"/>
    <w:rsid w:val="008B7E2A"/>
    <w:rsid w:val="008C250D"/>
    <w:rsid w:val="008C2923"/>
    <w:rsid w:val="008C49C5"/>
    <w:rsid w:val="008C51DB"/>
    <w:rsid w:val="008C59AC"/>
    <w:rsid w:val="008C630F"/>
    <w:rsid w:val="008D18B6"/>
    <w:rsid w:val="008D1B9E"/>
    <w:rsid w:val="008D2D75"/>
    <w:rsid w:val="008D308F"/>
    <w:rsid w:val="008D5C91"/>
    <w:rsid w:val="008E1B2E"/>
    <w:rsid w:val="008E48B0"/>
    <w:rsid w:val="008E49DF"/>
    <w:rsid w:val="008E51B6"/>
    <w:rsid w:val="008E580F"/>
    <w:rsid w:val="008E7804"/>
    <w:rsid w:val="008E7886"/>
    <w:rsid w:val="008F0D0B"/>
    <w:rsid w:val="008F4ECF"/>
    <w:rsid w:val="008F5275"/>
    <w:rsid w:val="008F62BD"/>
    <w:rsid w:val="008F6E36"/>
    <w:rsid w:val="008F70B5"/>
    <w:rsid w:val="009026B3"/>
    <w:rsid w:val="00903213"/>
    <w:rsid w:val="00904ACA"/>
    <w:rsid w:val="00904AE3"/>
    <w:rsid w:val="0090528A"/>
    <w:rsid w:val="00905F79"/>
    <w:rsid w:val="00910A6F"/>
    <w:rsid w:val="0091181E"/>
    <w:rsid w:val="0091216A"/>
    <w:rsid w:val="00912886"/>
    <w:rsid w:val="0091322F"/>
    <w:rsid w:val="00913FDC"/>
    <w:rsid w:val="00914F08"/>
    <w:rsid w:val="00916D0F"/>
    <w:rsid w:val="00920F8A"/>
    <w:rsid w:val="00921304"/>
    <w:rsid w:val="00922002"/>
    <w:rsid w:val="00923A17"/>
    <w:rsid w:val="00923D5A"/>
    <w:rsid w:val="00925CE2"/>
    <w:rsid w:val="00931621"/>
    <w:rsid w:val="009331EA"/>
    <w:rsid w:val="009334AE"/>
    <w:rsid w:val="0093530C"/>
    <w:rsid w:val="00935CE0"/>
    <w:rsid w:val="00936BE1"/>
    <w:rsid w:val="00937BA3"/>
    <w:rsid w:val="00944313"/>
    <w:rsid w:val="00946E99"/>
    <w:rsid w:val="00947A07"/>
    <w:rsid w:val="009523CA"/>
    <w:rsid w:val="0095461D"/>
    <w:rsid w:val="00956624"/>
    <w:rsid w:val="00956860"/>
    <w:rsid w:val="0095704C"/>
    <w:rsid w:val="009577D0"/>
    <w:rsid w:val="009605C7"/>
    <w:rsid w:val="00961303"/>
    <w:rsid w:val="00962453"/>
    <w:rsid w:val="00962C59"/>
    <w:rsid w:val="00964427"/>
    <w:rsid w:val="00966A3C"/>
    <w:rsid w:val="00967C24"/>
    <w:rsid w:val="00973290"/>
    <w:rsid w:val="00974F03"/>
    <w:rsid w:val="00975FB9"/>
    <w:rsid w:val="00976DDC"/>
    <w:rsid w:val="0098231D"/>
    <w:rsid w:val="00983877"/>
    <w:rsid w:val="00985A3F"/>
    <w:rsid w:val="00987E07"/>
    <w:rsid w:val="00996D9A"/>
    <w:rsid w:val="009979AF"/>
    <w:rsid w:val="009A0016"/>
    <w:rsid w:val="009A0AA1"/>
    <w:rsid w:val="009A1846"/>
    <w:rsid w:val="009A3C1E"/>
    <w:rsid w:val="009A6E1D"/>
    <w:rsid w:val="009B388A"/>
    <w:rsid w:val="009B6AD6"/>
    <w:rsid w:val="009C289B"/>
    <w:rsid w:val="009C3105"/>
    <w:rsid w:val="009C4EF9"/>
    <w:rsid w:val="009C52C8"/>
    <w:rsid w:val="009C54AD"/>
    <w:rsid w:val="009C7758"/>
    <w:rsid w:val="009D08C2"/>
    <w:rsid w:val="009D0936"/>
    <w:rsid w:val="009D3196"/>
    <w:rsid w:val="009D7F10"/>
    <w:rsid w:val="009E002D"/>
    <w:rsid w:val="009E07A4"/>
    <w:rsid w:val="009E1E4A"/>
    <w:rsid w:val="009E29E5"/>
    <w:rsid w:val="009E6376"/>
    <w:rsid w:val="009E6CD4"/>
    <w:rsid w:val="009F116E"/>
    <w:rsid w:val="009F186A"/>
    <w:rsid w:val="009F3201"/>
    <w:rsid w:val="009F36FA"/>
    <w:rsid w:val="009F4D51"/>
    <w:rsid w:val="009F5837"/>
    <w:rsid w:val="009F69BF"/>
    <w:rsid w:val="009F6A4B"/>
    <w:rsid w:val="00A001E8"/>
    <w:rsid w:val="00A05EB6"/>
    <w:rsid w:val="00A06D3D"/>
    <w:rsid w:val="00A07AB7"/>
    <w:rsid w:val="00A07B81"/>
    <w:rsid w:val="00A11C96"/>
    <w:rsid w:val="00A13A68"/>
    <w:rsid w:val="00A152BC"/>
    <w:rsid w:val="00A17A49"/>
    <w:rsid w:val="00A309B9"/>
    <w:rsid w:val="00A310C9"/>
    <w:rsid w:val="00A31942"/>
    <w:rsid w:val="00A33643"/>
    <w:rsid w:val="00A3375D"/>
    <w:rsid w:val="00A33792"/>
    <w:rsid w:val="00A355FE"/>
    <w:rsid w:val="00A359BB"/>
    <w:rsid w:val="00A4037C"/>
    <w:rsid w:val="00A403AB"/>
    <w:rsid w:val="00A40F39"/>
    <w:rsid w:val="00A423CC"/>
    <w:rsid w:val="00A429FD"/>
    <w:rsid w:val="00A42AF9"/>
    <w:rsid w:val="00A42F19"/>
    <w:rsid w:val="00A43F4C"/>
    <w:rsid w:val="00A44669"/>
    <w:rsid w:val="00A47B5B"/>
    <w:rsid w:val="00A522F4"/>
    <w:rsid w:val="00A539B1"/>
    <w:rsid w:val="00A54220"/>
    <w:rsid w:val="00A55DC6"/>
    <w:rsid w:val="00A6021E"/>
    <w:rsid w:val="00A63164"/>
    <w:rsid w:val="00A64306"/>
    <w:rsid w:val="00A64E45"/>
    <w:rsid w:val="00A65961"/>
    <w:rsid w:val="00A67FB6"/>
    <w:rsid w:val="00A74FBD"/>
    <w:rsid w:val="00A769E3"/>
    <w:rsid w:val="00A842B8"/>
    <w:rsid w:val="00A85884"/>
    <w:rsid w:val="00A8627C"/>
    <w:rsid w:val="00A879CD"/>
    <w:rsid w:val="00A905DC"/>
    <w:rsid w:val="00A91003"/>
    <w:rsid w:val="00A931A6"/>
    <w:rsid w:val="00A96069"/>
    <w:rsid w:val="00AA0324"/>
    <w:rsid w:val="00AA41A9"/>
    <w:rsid w:val="00AA7417"/>
    <w:rsid w:val="00AA7BC4"/>
    <w:rsid w:val="00AB59BB"/>
    <w:rsid w:val="00AC1B51"/>
    <w:rsid w:val="00AC1DAD"/>
    <w:rsid w:val="00AC32BF"/>
    <w:rsid w:val="00AC3ADC"/>
    <w:rsid w:val="00AC43BC"/>
    <w:rsid w:val="00AC6208"/>
    <w:rsid w:val="00AD03A5"/>
    <w:rsid w:val="00AD03EF"/>
    <w:rsid w:val="00AD1968"/>
    <w:rsid w:val="00AD2C96"/>
    <w:rsid w:val="00AD2FA3"/>
    <w:rsid w:val="00AD4FD5"/>
    <w:rsid w:val="00AE0842"/>
    <w:rsid w:val="00AE0E9E"/>
    <w:rsid w:val="00AE1FDE"/>
    <w:rsid w:val="00AE4671"/>
    <w:rsid w:val="00AF0066"/>
    <w:rsid w:val="00AF04A5"/>
    <w:rsid w:val="00AF0FEB"/>
    <w:rsid w:val="00AF12CC"/>
    <w:rsid w:val="00AF2573"/>
    <w:rsid w:val="00AF5996"/>
    <w:rsid w:val="00AF6076"/>
    <w:rsid w:val="00AF6449"/>
    <w:rsid w:val="00B028C8"/>
    <w:rsid w:val="00B03C54"/>
    <w:rsid w:val="00B03DF0"/>
    <w:rsid w:val="00B065DD"/>
    <w:rsid w:val="00B07C8E"/>
    <w:rsid w:val="00B10A70"/>
    <w:rsid w:val="00B10EE8"/>
    <w:rsid w:val="00B11A3B"/>
    <w:rsid w:val="00B12CA5"/>
    <w:rsid w:val="00B15B30"/>
    <w:rsid w:val="00B17425"/>
    <w:rsid w:val="00B17703"/>
    <w:rsid w:val="00B21F13"/>
    <w:rsid w:val="00B220C2"/>
    <w:rsid w:val="00B232F9"/>
    <w:rsid w:val="00B2471C"/>
    <w:rsid w:val="00B26158"/>
    <w:rsid w:val="00B26691"/>
    <w:rsid w:val="00B312FA"/>
    <w:rsid w:val="00B313D9"/>
    <w:rsid w:val="00B319D8"/>
    <w:rsid w:val="00B346E1"/>
    <w:rsid w:val="00B34EAB"/>
    <w:rsid w:val="00B361D5"/>
    <w:rsid w:val="00B36F8C"/>
    <w:rsid w:val="00B40081"/>
    <w:rsid w:val="00B4338E"/>
    <w:rsid w:val="00B44612"/>
    <w:rsid w:val="00B46884"/>
    <w:rsid w:val="00B50A07"/>
    <w:rsid w:val="00B5228E"/>
    <w:rsid w:val="00B5246C"/>
    <w:rsid w:val="00B54997"/>
    <w:rsid w:val="00B56F17"/>
    <w:rsid w:val="00B57941"/>
    <w:rsid w:val="00B605E8"/>
    <w:rsid w:val="00B60D79"/>
    <w:rsid w:val="00B62488"/>
    <w:rsid w:val="00B632D5"/>
    <w:rsid w:val="00B63D21"/>
    <w:rsid w:val="00B6598F"/>
    <w:rsid w:val="00B707E0"/>
    <w:rsid w:val="00B71BE8"/>
    <w:rsid w:val="00B73EB1"/>
    <w:rsid w:val="00B83A07"/>
    <w:rsid w:val="00B85AB9"/>
    <w:rsid w:val="00B904DB"/>
    <w:rsid w:val="00B9198A"/>
    <w:rsid w:val="00B9227F"/>
    <w:rsid w:val="00B96536"/>
    <w:rsid w:val="00B96DF1"/>
    <w:rsid w:val="00B96E2B"/>
    <w:rsid w:val="00B97DFD"/>
    <w:rsid w:val="00BA0836"/>
    <w:rsid w:val="00BA1EBF"/>
    <w:rsid w:val="00BA3657"/>
    <w:rsid w:val="00BA3C7B"/>
    <w:rsid w:val="00BA4C27"/>
    <w:rsid w:val="00BA66BC"/>
    <w:rsid w:val="00BA6E81"/>
    <w:rsid w:val="00BB1AEE"/>
    <w:rsid w:val="00BB28F9"/>
    <w:rsid w:val="00BB4B20"/>
    <w:rsid w:val="00BC0F37"/>
    <w:rsid w:val="00BC1E00"/>
    <w:rsid w:val="00BC29D3"/>
    <w:rsid w:val="00BC395A"/>
    <w:rsid w:val="00BC4CB2"/>
    <w:rsid w:val="00BC4EEE"/>
    <w:rsid w:val="00BC5C99"/>
    <w:rsid w:val="00BD11DE"/>
    <w:rsid w:val="00BD4B06"/>
    <w:rsid w:val="00BD4FCB"/>
    <w:rsid w:val="00BD66D3"/>
    <w:rsid w:val="00BD7CBC"/>
    <w:rsid w:val="00BE1ECF"/>
    <w:rsid w:val="00BE3A17"/>
    <w:rsid w:val="00BE4355"/>
    <w:rsid w:val="00BE592C"/>
    <w:rsid w:val="00BE67DE"/>
    <w:rsid w:val="00BE7011"/>
    <w:rsid w:val="00BE7DBC"/>
    <w:rsid w:val="00BF0B67"/>
    <w:rsid w:val="00BF1E04"/>
    <w:rsid w:val="00BF220C"/>
    <w:rsid w:val="00BF3494"/>
    <w:rsid w:val="00BF36C1"/>
    <w:rsid w:val="00BF3B9A"/>
    <w:rsid w:val="00BF6CAC"/>
    <w:rsid w:val="00BF7A34"/>
    <w:rsid w:val="00C01292"/>
    <w:rsid w:val="00C01DE7"/>
    <w:rsid w:val="00C0218F"/>
    <w:rsid w:val="00C02270"/>
    <w:rsid w:val="00C03760"/>
    <w:rsid w:val="00C04BCF"/>
    <w:rsid w:val="00C05050"/>
    <w:rsid w:val="00C057A2"/>
    <w:rsid w:val="00C06F9C"/>
    <w:rsid w:val="00C076D0"/>
    <w:rsid w:val="00C07A93"/>
    <w:rsid w:val="00C14052"/>
    <w:rsid w:val="00C142F0"/>
    <w:rsid w:val="00C14E85"/>
    <w:rsid w:val="00C17302"/>
    <w:rsid w:val="00C17D7D"/>
    <w:rsid w:val="00C20044"/>
    <w:rsid w:val="00C207BF"/>
    <w:rsid w:val="00C210F0"/>
    <w:rsid w:val="00C21346"/>
    <w:rsid w:val="00C21F4B"/>
    <w:rsid w:val="00C226BE"/>
    <w:rsid w:val="00C227DF"/>
    <w:rsid w:val="00C22D33"/>
    <w:rsid w:val="00C26773"/>
    <w:rsid w:val="00C2766D"/>
    <w:rsid w:val="00C3039E"/>
    <w:rsid w:val="00C33B67"/>
    <w:rsid w:val="00C372CC"/>
    <w:rsid w:val="00C37C56"/>
    <w:rsid w:val="00C42FEB"/>
    <w:rsid w:val="00C47E03"/>
    <w:rsid w:val="00C53F95"/>
    <w:rsid w:val="00C55F2A"/>
    <w:rsid w:val="00C60734"/>
    <w:rsid w:val="00C62791"/>
    <w:rsid w:val="00C647CD"/>
    <w:rsid w:val="00C66B50"/>
    <w:rsid w:val="00C67525"/>
    <w:rsid w:val="00C67759"/>
    <w:rsid w:val="00C679F4"/>
    <w:rsid w:val="00C73089"/>
    <w:rsid w:val="00C73F56"/>
    <w:rsid w:val="00C755EE"/>
    <w:rsid w:val="00C76697"/>
    <w:rsid w:val="00C80A02"/>
    <w:rsid w:val="00C83D5E"/>
    <w:rsid w:val="00C845A7"/>
    <w:rsid w:val="00C84E4F"/>
    <w:rsid w:val="00C86EA5"/>
    <w:rsid w:val="00C86EB1"/>
    <w:rsid w:val="00C91091"/>
    <w:rsid w:val="00C92A6D"/>
    <w:rsid w:val="00C92E0A"/>
    <w:rsid w:val="00C9379A"/>
    <w:rsid w:val="00C94D90"/>
    <w:rsid w:val="00C951DC"/>
    <w:rsid w:val="00C95E6C"/>
    <w:rsid w:val="00C96209"/>
    <w:rsid w:val="00CA1321"/>
    <w:rsid w:val="00CA156F"/>
    <w:rsid w:val="00CA394A"/>
    <w:rsid w:val="00CA4E13"/>
    <w:rsid w:val="00CA565F"/>
    <w:rsid w:val="00CA7EA4"/>
    <w:rsid w:val="00CB03C2"/>
    <w:rsid w:val="00CB153A"/>
    <w:rsid w:val="00CB3A2C"/>
    <w:rsid w:val="00CB49D4"/>
    <w:rsid w:val="00CB4B74"/>
    <w:rsid w:val="00CB6133"/>
    <w:rsid w:val="00CB616E"/>
    <w:rsid w:val="00CB6730"/>
    <w:rsid w:val="00CB6B66"/>
    <w:rsid w:val="00CB6B6A"/>
    <w:rsid w:val="00CB77AB"/>
    <w:rsid w:val="00CC5257"/>
    <w:rsid w:val="00CC6E1D"/>
    <w:rsid w:val="00CD31B7"/>
    <w:rsid w:val="00CD3B0C"/>
    <w:rsid w:val="00CD4F5D"/>
    <w:rsid w:val="00CE25B8"/>
    <w:rsid w:val="00CE5121"/>
    <w:rsid w:val="00CE6A59"/>
    <w:rsid w:val="00CE7021"/>
    <w:rsid w:val="00CF07FD"/>
    <w:rsid w:val="00CF08F5"/>
    <w:rsid w:val="00CF134C"/>
    <w:rsid w:val="00CF1C5E"/>
    <w:rsid w:val="00CF227B"/>
    <w:rsid w:val="00CF4396"/>
    <w:rsid w:val="00CF4E3A"/>
    <w:rsid w:val="00CF6646"/>
    <w:rsid w:val="00CF74E0"/>
    <w:rsid w:val="00D00A5C"/>
    <w:rsid w:val="00D01D5D"/>
    <w:rsid w:val="00D05A0A"/>
    <w:rsid w:val="00D05FDA"/>
    <w:rsid w:val="00D07D43"/>
    <w:rsid w:val="00D114C4"/>
    <w:rsid w:val="00D138E1"/>
    <w:rsid w:val="00D13BAA"/>
    <w:rsid w:val="00D211CA"/>
    <w:rsid w:val="00D22D26"/>
    <w:rsid w:val="00D23105"/>
    <w:rsid w:val="00D23716"/>
    <w:rsid w:val="00D24629"/>
    <w:rsid w:val="00D2673C"/>
    <w:rsid w:val="00D26BFF"/>
    <w:rsid w:val="00D30451"/>
    <w:rsid w:val="00D3282C"/>
    <w:rsid w:val="00D32A7D"/>
    <w:rsid w:val="00D33F64"/>
    <w:rsid w:val="00D34F06"/>
    <w:rsid w:val="00D35291"/>
    <w:rsid w:val="00D35D3E"/>
    <w:rsid w:val="00D37769"/>
    <w:rsid w:val="00D37C2D"/>
    <w:rsid w:val="00D408D9"/>
    <w:rsid w:val="00D41DAB"/>
    <w:rsid w:val="00D431A2"/>
    <w:rsid w:val="00D448D9"/>
    <w:rsid w:val="00D44A55"/>
    <w:rsid w:val="00D44C2E"/>
    <w:rsid w:val="00D4544A"/>
    <w:rsid w:val="00D454CC"/>
    <w:rsid w:val="00D469C0"/>
    <w:rsid w:val="00D503E1"/>
    <w:rsid w:val="00D52400"/>
    <w:rsid w:val="00D52594"/>
    <w:rsid w:val="00D52BEC"/>
    <w:rsid w:val="00D57309"/>
    <w:rsid w:val="00D57644"/>
    <w:rsid w:val="00D602F1"/>
    <w:rsid w:val="00D60AAA"/>
    <w:rsid w:val="00D60C38"/>
    <w:rsid w:val="00D62E30"/>
    <w:rsid w:val="00D6388A"/>
    <w:rsid w:val="00D6449A"/>
    <w:rsid w:val="00D64945"/>
    <w:rsid w:val="00D65965"/>
    <w:rsid w:val="00D65F38"/>
    <w:rsid w:val="00D665C6"/>
    <w:rsid w:val="00D66BCF"/>
    <w:rsid w:val="00D66DF0"/>
    <w:rsid w:val="00D66EE2"/>
    <w:rsid w:val="00D72036"/>
    <w:rsid w:val="00D74916"/>
    <w:rsid w:val="00D7592A"/>
    <w:rsid w:val="00D76B2E"/>
    <w:rsid w:val="00D77281"/>
    <w:rsid w:val="00D81685"/>
    <w:rsid w:val="00D8198E"/>
    <w:rsid w:val="00D84E17"/>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560A"/>
    <w:rsid w:val="00D9742D"/>
    <w:rsid w:val="00DA1FA5"/>
    <w:rsid w:val="00DA3323"/>
    <w:rsid w:val="00DA4A2B"/>
    <w:rsid w:val="00DB0086"/>
    <w:rsid w:val="00DB02B8"/>
    <w:rsid w:val="00DB20DD"/>
    <w:rsid w:val="00DB40E5"/>
    <w:rsid w:val="00DB7660"/>
    <w:rsid w:val="00DB780C"/>
    <w:rsid w:val="00DB7F95"/>
    <w:rsid w:val="00DD0A5E"/>
    <w:rsid w:val="00DD1E63"/>
    <w:rsid w:val="00DD318C"/>
    <w:rsid w:val="00DD4AC7"/>
    <w:rsid w:val="00DE00E2"/>
    <w:rsid w:val="00DE2D27"/>
    <w:rsid w:val="00DE33BF"/>
    <w:rsid w:val="00DE62CA"/>
    <w:rsid w:val="00DF0F9A"/>
    <w:rsid w:val="00DF12F7"/>
    <w:rsid w:val="00DF1AB0"/>
    <w:rsid w:val="00DF5CDD"/>
    <w:rsid w:val="00DF703D"/>
    <w:rsid w:val="00E000F4"/>
    <w:rsid w:val="00E01006"/>
    <w:rsid w:val="00E01674"/>
    <w:rsid w:val="00E0406D"/>
    <w:rsid w:val="00E05E04"/>
    <w:rsid w:val="00E10C3E"/>
    <w:rsid w:val="00E11984"/>
    <w:rsid w:val="00E13701"/>
    <w:rsid w:val="00E1439A"/>
    <w:rsid w:val="00E14D72"/>
    <w:rsid w:val="00E14F63"/>
    <w:rsid w:val="00E1520D"/>
    <w:rsid w:val="00E15C86"/>
    <w:rsid w:val="00E16771"/>
    <w:rsid w:val="00E16CAE"/>
    <w:rsid w:val="00E17266"/>
    <w:rsid w:val="00E177B5"/>
    <w:rsid w:val="00E204C6"/>
    <w:rsid w:val="00E228B0"/>
    <w:rsid w:val="00E23CFF"/>
    <w:rsid w:val="00E23F70"/>
    <w:rsid w:val="00E24E2A"/>
    <w:rsid w:val="00E252B9"/>
    <w:rsid w:val="00E27E81"/>
    <w:rsid w:val="00E324CE"/>
    <w:rsid w:val="00E32613"/>
    <w:rsid w:val="00E355F1"/>
    <w:rsid w:val="00E35684"/>
    <w:rsid w:val="00E35B37"/>
    <w:rsid w:val="00E37C6D"/>
    <w:rsid w:val="00E42AAE"/>
    <w:rsid w:val="00E43526"/>
    <w:rsid w:val="00E50228"/>
    <w:rsid w:val="00E5022E"/>
    <w:rsid w:val="00E50FA4"/>
    <w:rsid w:val="00E54BA8"/>
    <w:rsid w:val="00E60660"/>
    <w:rsid w:val="00E64A57"/>
    <w:rsid w:val="00E657FC"/>
    <w:rsid w:val="00E65A4C"/>
    <w:rsid w:val="00E66914"/>
    <w:rsid w:val="00E726ED"/>
    <w:rsid w:val="00E738E7"/>
    <w:rsid w:val="00E745DE"/>
    <w:rsid w:val="00E74B3E"/>
    <w:rsid w:val="00E759B3"/>
    <w:rsid w:val="00E82144"/>
    <w:rsid w:val="00E828FA"/>
    <w:rsid w:val="00E8422E"/>
    <w:rsid w:val="00E844AB"/>
    <w:rsid w:val="00E85E66"/>
    <w:rsid w:val="00E87A5E"/>
    <w:rsid w:val="00E9040F"/>
    <w:rsid w:val="00E90849"/>
    <w:rsid w:val="00E90A92"/>
    <w:rsid w:val="00E90E6D"/>
    <w:rsid w:val="00E94D31"/>
    <w:rsid w:val="00EA2588"/>
    <w:rsid w:val="00EA3898"/>
    <w:rsid w:val="00EA52CF"/>
    <w:rsid w:val="00EA75E7"/>
    <w:rsid w:val="00EB082C"/>
    <w:rsid w:val="00EB1E66"/>
    <w:rsid w:val="00EB293E"/>
    <w:rsid w:val="00EB338C"/>
    <w:rsid w:val="00EB4421"/>
    <w:rsid w:val="00EB5A81"/>
    <w:rsid w:val="00EB5EFA"/>
    <w:rsid w:val="00EB681F"/>
    <w:rsid w:val="00EB6F55"/>
    <w:rsid w:val="00EC06E6"/>
    <w:rsid w:val="00EC11AD"/>
    <w:rsid w:val="00EC4770"/>
    <w:rsid w:val="00EC7BFB"/>
    <w:rsid w:val="00ED31D0"/>
    <w:rsid w:val="00ED3659"/>
    <w:rsid w:val="00ED3B60"/>
    <w:rsid w:val="00ED435A"/>
    <w:rsid w:val="00EE2BCD"/>
    <w:rsid w:val="00EE3D44"/>
    <w:rsid w:val="00EE498A"/>
    <w:rsid w:val="00EF07BA"/>
    <w:rsid w:val="00EF2458"/>
    <w:rsid w:val="00EF3C1A"/>
    <w:rsid w:val="00EF5EE4"/>
    <w:rsid w:val="00EF723C"/>
    <w:rsid w:val="00F02AD8"/>
    <w:rsid w:val="00F03E78"/>
    <w:rsid w:val="00F043CB"/>
    <w:rsid w:val="00F04603"/>
    <w:rsid w:val="00F04E95"/>
    <w:rsid w:val="00F05529"/>
    <w:rsid w:val="00F058FA"/>
    <w:rsid w:val="00F06AF8"/>
    <w:rsid w:val="00F10C1F"/>
    <w:rsid w:val="00F10E61"/>
    <w:rsid w:val="00F125B2"/>
    <w:rsid w:val="00F13D1C"/>
    <w:rsid w:val="00F14CC5"/>
    <w:rsid w:val="00F152A2"/>
    <w:rsid w:val="00F161AD"/>
    <w:rsid w:val="00F16DBE"/>
    <w:rsid w:val="00F1787B"/>
    <w:rsid w:val="00F17A6C"/>
    <w:rsid w:val="00F17ED7"/>
    <w:rsid w:val="00F17F10"/>
    <w:rsid w:val="00F20CDF"/>
    <w:rsid w:val="00F21492"/>
    <w:rsid w:val="00F22C45"/>
    <w:rsid w:val="00F2314D"/>
    <w:rsid w:val="00F234BF"/>
    <w:rsid w:val="00F24A6E"/>
    <w:rsid w:val="00F270B6"/>
    <w:rsid w:val="00F303A1"/>
    <w:rsid w:val="00F318AD"/>
    <w:rsid w:val="00F31A4E"/>
    <w:rsid w:val="00F31BEF"/>
    <w:rsid w:val="00F33810"/>
    <w:rsid w:val="00F34EA0"/>
    <w:rsid w:val="00F40195"/>
    <w:rsid w:val="00F4098D"/>
    <w:rsid w:val="00F40EED"/>
    <w:rsid w:val="00F4142D"/>
    <w:rsid w:val="00F46CE8"/>
    <w:rsid w:val="00F50CC2"/>
    <w:rsid w:val="00F50FF3"/>
    <w:rsid w:val="00F51458"/>
    <w:rsid w:val="00F51504"/>
    <w:rsid w:val="00F539AB"/>
    <w:rsid w:val="00F553EF"/>
    <w:rsid w:val="00F557D5"/>
    <w:rsid w:val="00F57D93"/>
    <w:rsid w:val="00F61FC8"/>
    <w:rsid w:val="00F63B78"/>
    <w:rsid w:val="00F64806"/>
    <w:rsid w:val="00F71538"/>
    <w:rsid w:val="00F7271F"/>
    <w:rsid w:val="00F72F9A"/>
    <w:rsid w:val="00F7358E"/>
    <w:rsid w:val="00F73808"/>
    <w:rsid w:val="00F7412B"/>
    <w:rsid w:val="00F75680"/>
    <w:rsid w:val="00F76380"/>
    <w:rsid w:val="00F765C1"/>
    <w:rsid w:val="00F76726"/>
    <w:rsid w:val="00F81466"/>
    <w:rsid w:val="00F820B5"/>
    <w:rsid w:val="00F829AF"/>
    <w:rsid w:val="00F84743"/>
    <w:rsid w:val="00F85036"/>
    <w:rsid w:val="00F90494"/>
    <w:rsid w:val="00F9270A"/>
    <w:rsid w:val="00F957E5"/>
    <w:rsid w:val="00F95B65"/>
    <w:rsid w:val="00F96B2B"/>
    <w:rsid w:val="00F97D0D"/>
    <w:rsid w:val="00F97F00"/>
    <w:rsid w:val="00FA2C2D"/>
    <w:rsid w:val="00FA6D7F"/>
    <w:rsid w:val="00FA79E5"/>
    <w:rsid w:val="00FA7C1F"/>
    <w:rsid w:val="00FA7F94"/>
    <w:rsid w:val="00FB0DE4"/>
    <w:rsid w:val="00FB214D"/>
    <w:rsid w:val="00FB2F5D"/>
    <w:rsid w:val="00FB30C0"/>
    <w:rsid w:val="00FB343B"/>
    <w:rsid w:val="00FB67D0"/>
    <w:rsid w:val="00FB789D"/>
    <w:rsid w:val="00FC3CEF"/>
    <w:rsid w:val="00FC74FC"/>
    <w:rsid w:val="00FC7B01"/>
    <w:rsid w:val="00FD0445"/>
    <w:rsid w:val="00FD0FCC"/>
    <w:rsid w:val="00FD317D"/>
    <w:rsid w:val="00FD3616"/>
    <w:rsid w:val="00FD4FB2"/>
    <w:rsid w:val="00FD5856"/>
    <w:rsid w:val="00FD5ADD"/>
    <w:rsid w:val="00FE07FB"/>
    <w:rsid w:val="00FE0C74"/>
    <w:rsid w:val="00FE19A9"/>
    <w:rsid w:val="00FE224C"/>
    <w:rsid w:val="00FE31C3"/>
    <w:rsid w:val="00FE3A52"/>
    <w:rsid w:val="00FE4E9E"/>
    <w:rsid w:val="00FE74A8"/>
    <w:rsid w:val="00FF02B4"/>
    <w:rsid w:val="00FF2A84"/>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9E9F0C-0AAF-44A1-9961-372BC0EC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link w:val="Heading1Char"/>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8918EA"/>
    <w:rPr>
      <w:sz w:val="20"/>
      <w:szCs w:val="20"/>
    </w:rPr>
  </w:style>
  <w:style w:type="character" w:styleId="FootnoteReference">
    <w:name w:val="footnote reference"/>
    <w:aliases w:val="o,fr,Style 3"/>
    <w:basedOn w:val="DefaultParagraphFont"/>
    <w:uiPriority w:val="99"/>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 w:type="character" w:customStyle="1" w:styleId="tgc">
    <w:name w:val="_tgc"/>
    <w:basedOn w:val="DefaultParagraphFont"/>
    <w:rsid w:val="0074438F"/>
  </w:style>
  <w:style w:type="character" w:customStyle="1" w:styleId="Heading1Char">
    <w:name w:val="Heading 1 Char"/>
    <w:basedOn w:val="DefaultParagraphFont"/>
    <w:link w:val="Heading1"/>
    <w:rsid w:val="007472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467743663">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745450840">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AAEB41-275A-4E90-BA27-C77E6F21502B}">
  <ds:schemaRefs>
    <ds:schemaRef ds:uri="http://schemas.openxmlformats.org/officeDocument/2006/bibliography"/>
  </ds:schemaRefs>
</ds:datastoreItem>
</file>

<file path=customXml/itemProps2.xml><?xml version="1.0" encoding="utf-8"?>
<ds:datastoreItem xmlns:ds="http://schemas.openxmlformats.org/officeDocument/2006/customXml" ds:itemID="{1C769B3F-6CEE-4E76-81AE-EE2061DD4F11}"/>
</file>

<file path=customXml/itemProps3.xml><?xml version="1.0" encoding="utf-8"?>
<ds:datastoreItem xmlns:ds="http://schemas.openxmlformats.org/officeDocument/2006/customXml" ds:itemID="{AB079BFB-EB3F-4FBC-81A2-265BDBF332DE}"/>
</file>

<file path=customXml/itemProps4.xml><?xml version="1.0" encoding="utf-8"?>
<ds:datastoreItem xmlns:ds="http://schemas.openxmlformats.org/officeDocument/2006/customXml" ds:itemID="{2C04F958-0B8B-412F-AFA9-4B20B08EB768}"/>
</file>

<file path=customXml/itemProps5.xml><?xml version="1.0" encoding="utf-8"?>
<ds:datastoreItem xmlns:ds="http://schemas.openxmlformats.org/officeDocument/2006/customXml" ds:itemID="{8A0B8CC9-351E-4AEC-8997-C4367A72B13F}"/>
</file>

<file path=docProps/app.xml><?xml version="1.0" encoding="utf-8"?>
<Properties xmlns="http://schemas.openxmlformats.org/officeDocument/2006/extended-properties" xmlns:vt="http://schemas.openxmlformats.org/officeDocument/2006/docPropsVTypes">
  <Template>Normal</Template>
  <TotalTime>6</TotalTime>
  <Pages>12</Pages>
  <Words>2560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Miller, Joe</cp:lastModifiedBy>
  <cp:revision>5</cp:revision>
  <cp:lastPrinted>2016-09-12T22:45:00Z</cp:lastPrinted>
  <dcterms:created xsi:type="dcterms:W3CDTF">2016-09-14T17:20:00Z</dcterms:created>
  <dcterms:modified xsi:type="dcterms:W3CDTF">2016-09-14T17:28:00Z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