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11E0A" w14:textId="49156D6C" w:rsidR="008A4054" w:rsidRPr="001B1FA5" w:rsidRDefault="0050676E" w:rsidP="0050676E">
      <w:pPr>
        <w:tabs>
          <w:tab w:val="left" w:pos="1800"/>
        </w:tabs>
      </w:pPr>
      <w:bookmarkStart w:id="0" w:name="_GoBack"/>
      <w:bookmarkEnd w:id="0"/>
      <w:r>
        <w:t>Agenda Date:</w:t>
      </w:r>
      <w:r w:rsidR="00744C90" w:rsidRPr="001B1FA5">
        <w:tab/>
      </w:r>
      <w:r w:rsidR="00040CE3" w:rsidRPr="001B1FA5">
        <w:t>December</w:t>
      </w:r>
      <w:r w:rsidR="007B7BB4" w:rsidRPr="001B1FA5">
        <w:t xml:space="preserve"> </w:t>
      </w:r>
      <w:r w:rsidR="00486885" w:rsidRPr="001B1FA5">
        <w:t>8</w:t>
      </w:r>
      <w:r w:rsidR="008A4054" w:rsidRPr="001B1FA5">
        <w:t>, 201</w:t>
      </w:r>
      <w:r w:rsidR="00486885" w:rsidRPr="001B1FA5">
        <w:t>6</w:t>
      </w:r>
    </w:p>
    <w:p w14:paraId="2F211E0B" w14:textId="784B8235" w:rsidR="00657DEE" w:rsidRPr="001B1FA5" w:rsidRDefault="00657DEE" w:rsidP="0050676E">
      <w:pPr>
        <w:tabs>
          <w:tab w:val="left" w:pos="1800"/>
        </w:tabs>
      </w:pPr>
      <w:r w:rsidRPr="001B1FA5">
        <w:t>Item Number:</w:t>
      </w:r>
      <w:r w:rsidRPr="001B1FA5">
        <w:tab/>
      </w:r>
      <w:r w:rsidR="006842C8" w:rsidRPr="001B1FA5">
        <w:t>A1</w:t>
      </w:r>
    </w:p>
    <w:p w14:paraId="2F211E0C" w14:textId="77777777" w:rsidR="00657DEE" w:rsidRPr="001B1FA5" w:rsidRDefault="00657DEE" w:rsidP="00FF75F4"/>
    <w:p w14:paraId="2F211E0D" w14:textId="62350040" w:rsidR="00657DEE" w:rsidRPr="001B1FA5" w:rsidRDefault="00657DEE" w:rsidP="0050676E">
      <w:pPr>
        <w:tabs>
          <w:tab w:val="left" w:pos="1800"/>
        </w:tabs>
        <w:rPr>
          <w:b/>
        </w:rPr>
      </w:pPr>
      <w:r w:rsidRPr="001B1FA5">
        <w:rPr>
          <w:b/>
        </w:rPr>
        <w:t>Docket</w:t>
      </w:r>
      <w:r w:rsidR="0050676E">
        <w:rPr>
          <w:b/>
        </w:rPr>
        <w:t>:</w:t>
      </w:r>
      <w:r w:rsidR="0050676E">
        <w:rPr>
          <w:b/>
        </w:rPr>
        <w:tab/>
      </w:r>
      <w:r w:rsidR="003B26AE" w:rsidRPr="001B1FA5">
        <w:rPr>
          <w:b/>
        </w:rPr>
        <w:t>UE-1</w:t>
      </w:r>
      <w:r w:rsidR="00C73105" w:rsidRPr="001B1FA5">
        <w:rPr>
          <w:b/>
        </w:rPr>
        <w:t>52058</w:t>
      </w:r>
    </w:p>
    <w:p w14:paraId="2F211E0F" w14:textId="0324E038" w:rsidR="00657DEE" w:rsidRPr="001B1FA5" w:rsidRDefault="0050676E" w:rsidP="0050676E">
      <w:pPr>
        <w:tabs>
          <w:tab w:val="left" w:pos="1800"/>
        </w:tabs>
      </w:pPr>
      <w:r>
        <w:t>Company:</w:t>
      </w:r>
      <w:r>
        <w:tab/>
      </w:r>
      <w:r w:rsidR="00E239BC" w:rsidRPr="001B1FA5">
        <w:rPr>
          <w:b/>
        </w:rPr>
        <w:t xml:space="preserve">Puget Sound </w:t>
      </w:r>
      <w:r w:rsidR="00FD7AB8" w:rsidRPr="001B1FA5">
        <w:rPr>
          <w:b/>
        </w:rPr>
        <w:t>Energy</w:t>
      </w:r>
    </w:p>
    <w:p w14:paraId="2F211E10" w14:textId="77777777" w:rsidR="00657DEE" w:rsidRPr="001B1FA5" w:rsidRDefault="00657DEE" w:rsidP="00FF75F4"/>
    <w:p w14:paraId="14CEC416" w14:textId="26577AD5" w:rsidR="00C73105" w:rsidRPr="001B1FA5" w:rsidRDefault="0050676E" w:rsidP="0050676E">
      <w:pPr>
        <w:tabs>
          <w:tab w:val="left" w:pos="1800"/>
        </w:tabs>
      </w:pPr>
      <w:r>
        <w:t>Staff:</w:t>
      </w:r>
      <w:r>
        <w:tab/>
      </w:r>
      <w:r w:rsidR="00486885" w:rsidRPr="001B1FA5">
        <w:t>Deborah Reynolds</w:t>
      </w:r>
      <w:r w:rsidR="00000FCF" w:rsidRPr="001B1FA5">
        <w:t xml:space="preserve">, </w:t>
      </w:r>
      <w:r w:rsidR="00486885" w:rsidRPr="001B1FA5">
        <w:t>Ass</w:t>
      </w:r>
      <w:r>
        <w:t>istant</w:t>
      </w:r>
      <w:r w:rsidR="00486885" w:rsidRPr="001B1FA5">
        <w:t xml:space="preserve"> Director of Conservation</w:t>
      </w:r>
      <w:r w:rsidR="006842C8" w:rsidRPr="001B1FA5">
        <w:t xml:space="preserve"> and Energy Planning</w:t>
      </w:r>
      <w:r w:rsidR="00C73105" w:rsidRPr="001B1FA5">
        <w:tab/>
      </w:r>
    </w:p>
    <w:p w14:paraId="2F211E12" w14:textId="77777777" w:rsidR="001923BA" w:rsidRPr="001B1FA5" w:rsidRDefault="003B26AE" w:rsidP="00FF75F4">
      <w:r w:rsidRPr="001B1FA5">
        <w:tab/>
      </w:r>
      <w:r w:rsidRPr="001B1FA5">
        <w:tab/>
      </w:r>
      <w:r w:rsidRPr="001B1FA5">
        <w:tab/>
      </w:r>
      <w:r w:rsidR="00D75C47" w:rsidRPr="001B1FA5">
        <w:tab/>
      </w:r>
      <w:r w:rsidR="00D75C47" w:rsidRPr="001B1FA5">
        <w:tab/>
      </w:r>
    </w:p>
    <w:p w14:paraId="722241F1" w14:textId="42B6DF9E" w:rsidR="006842C8" w:rsidRPr="001B1FA5" w:rsidRDefault="006842C8" w:rsidP="006842C8">
      <w:pPr>
        <w:pStyle w:val="Heading1"/>
        <w:rPr>
          <w:u w:val="single"/>
        </w:rPr>
      </w:pPr>
      <w:r w:rsidRPr="001B1FA5">
        <w:rPr>
          <w:u w:val="single"/>
        </w:rPr>
        <w:t>Recommendation</w:t>
      </w:r>
    </w:p>
    <w:p w14:paraId="45E0234B" w14:textId="67EB9280" w:rsidR="006842C8" w:rsidRPr="001B1FA5" w:rsidRDefault="006842C8" w:rsidP="006842C8">
      <w:r w:rsidRPr="001B1FA5">
        <w:t xml:space="preserve">Issue an order in </w:t>
      </w:r>
      <w:r w:rsidR="001B7123">
        <w:t>D</w:t>
      </w:r>
      <w:r w:rsidRPr="001B1FA5">
        <w:t xml:space="preserve">ocket UE-152058 granting the petition of Puget Sound Energy </w:t>
      </w:r>
      <w:r w:rsidR="00F07877">
        <w:t>and confirming that the 38,906 megawatt-hours of excess conservation achieved in the 2014-2015 biennium are eligible for application to the decoupling portion of the 2016-2017 conservation target</w:t>
      </w:r>
      <w:r w:rsidRPr="001B1FA5">
        <w:t>.</w:t>
      </w:r>
      <w:r w:rsidR="00F07877">
        <w:t xml:space="preserve"> This in no way relieves the company of its obligation to </w:t>
      </w:r>
      <w:r w:rsidR="00AA34C2">
        <w:t xml:space="preserve">actively </w:t>
      </w:r>
      <w:r w:rsidR="00F07877">
        <w:t>pursue its 2016-2017 conservation target.</w:t>
      </w:r>
    </w:p>
    <w:p w14:paraId="03A8D002" w14:textId="0EEBA0ED" w:rsidR="005D242C" w:rsidRPr="001B1FA5" w:rsidRDefault="005D242C" w:rsidP="005A60BD">
      <w:pPr>
        <w:pStyle w:val="Heading1"/>
        <w:rPr>
          <w:u w:val="single"/>
        </w:rPr>
      </w:pPr>
      <w:r w:rsidRPr="001B1FA5">
        <w:rPr>
          <w:u w:val="single"/>
        </w:rPr>
        <w:t>Background</w:t>
      </w:r>
    </w:p>
    <w:p w14:paraId="64A60D46" w14:textId="2D32A5A7" w:rsidR="006842C8" w:rsidRPr="001B1FA5" w:rsidRDefault="006842C8" w:rsidP="006842C8">
      <w:r w:rsidRPr="001B1FA5">
        <w:t>On October 24, 2016, Puget Sound Energy (PSE</w:t>
      </w:r>
      <w:r w:rsidR="00F07877">
        <w:t xml:space="preserve"> or company</w:t>
      </w:r>
      <w:r w:rsidRPr="001B1FA5">
        <w:t xml:space="preserve">) filed its </w:t>
      </w:r>
      <w:r w:rsidR="00796FC9">
        <w:t>p</w:t>
      </w:r>
      <w:r w:rsidRPr="001B1FA5">
        <w:t xml:space="preserve">etition “Seeking Authorization to Apply Excess Conservation Savings to Future </w:t>
      </w:r>
      <w:r w:rsidR="00796FC9">
        <w:t>Decoupling Conservation Target</w:t>
      </w:r>
      <w:r w:rsidRPr="001B1FA5">
        <w:t xml:space="preserve"> Shortfall” with the Washington Utilities and Transportation Commission (commission) under </w:t>
      </w:r>
      <w:r w:rsidR="001B7123">
        <w:t>D</w:t>
      </w:r>
      <w:r w:rsidRPr="001B1FA5">
        <w:t>ocket UE</w:t>
      </w:r>
      <w:r w:rsidRPr="001B1FA5">
        <w:noBreakHyphen/>
        <w:t xml:space="preserve">152058, the docket of the </w:t>
      </w:r>
      <w:r w:rsidR="00E661E5">
        <w:t>company</w:t>
      </w:r>
      <w:r w:rsidRPr="001B1FA5">
        <w:t xml:space="preserve">’s current biennial conservation plan. </w:t>
      </w:r>
    </w:p>
    <w:p w14:paraId="51582DF1" w14:textId="77777777" w:rsidR="006842C8" w:rsidRPr="001B1FA5" w:rsidRDefault="006842C8" w:rsidP="005D242C"/>
    <w:p w14:paraId="6A8798D1" w14:textId="06EA94CA" w:rsidR="00CD6387" w:rsidRDefault="00F85BB8" w:rsidP="00CD6387">
      <w:r w:rsidRPr="001B1FA5">
        <w:t xml:space="preserve">In </w:t>
      </w:r>
      <w:r w:rsidR="001B7123">
        <w:t>D</w:t>
      </w:r>
      <w:r w:rsidR="00796FC9">
        <w:t>ocket</w:t>
      </w:r>
      <w:r w:rsidRPr="001B1FA5">
        <w:t xml:space="preserve"> UE</w:t>
      </w:r>
      <w:r w:rsidRPr="001B1FA5">
        <w:noBreakHyphen/>
        <w:t xml:space="preserve">132043, the </w:t>
      </w:r>
      <w:r w:rsidR="00E661E5">
        <w:t>commission</w:t>
      </w:r>
      <w:r w:rsidRPr="001B1FA5">
        <w:t xml:space="preserve"> </w:t>
      </w:r>
      <w:r w:rsidR="008E1172">
        <w:t>found</w:t>
      </w:r>
      <w:r w:rsidRPr="001B1FA5">
        <w:t xml:space="preserve"> that PSE had “achieved 38,906 MWh of excess conservation during the 2014-2015 biennium.”</w:t>
      </w:r>
      <w:r w:rsidRPr="001B1FA5">
        <w:rPr>
          <w:rStyle w:val="FootnoteReference"/>
        </w:rPr>
        <w:footnoteReference w:id="1"/>
      </w:r>
      <w:r w:rsidR="00CD6387">
        <w:t xml:space="preserve"> </w:t>
      </w:r>
      <w:r w:rsidR="00CD6387" w:rsidRPr="001B1FA5">
        <w:t xml:space="preserve">In </w:t>
      </w:r>
      <w:r w:rsidR="00CD6387">
        <w:t>that docket</w:t>
      </w:r>
      <w:r w:rsidR="00CD6387" w:rsidRPr="001B1FA5">
        <w:t xml:space="preserve">, </w:t>
      </w:r>
      <w:r w:rsidR="00CD6387">
        <w:t>commission</w:t>
      </w:r>
      <w:r w:rsidR="00CD6387" w:rsidRPr="001B1FA5">
        <w:t xml:space="preserve"> </w:t>
      </w:r>
      <w:r w:rsidR="00CD6387">
        <w:t>staff</w:t>
      </w:r>
      <w:r w:rsidR="00CD6387" w:rsidRPr="001B1FA5">
        <w:t xml:space="preserve"> (</w:t>
      </w:r>
      <w:r w:rsidR="00CD6387">
        <w:t>staff</w:t>
      </w:r>
      <w:r w:rsidR="00CD6387" w:rsidRPr="001B1FA5">
        <w:t xml:space="preserve">) recommended that PSE file a petition with the </w:t>
      </w:r>
      <w:r w:rsidR="00CD6387">
        <w:t>commission</w:t>
      </w:r>
      <w:r w:rsidR="00CD6387" w:rsidRPr="001B1FA5">
        <w:t xml:space="preserve"> to address the question of “whether excess savings should be allowed to make up for a future shortfall in PSE’s decoupling commitment.”</w:t>
      </w:r>
      <w:r w:rsidR="00CD6387" w:rsidRPr="001B1FA5">
        <w:rPr>
          <w:rStyle w:val="FootnoteReference"/>
        </w:rPr>
        <w:footnoteReference w:id="2"/>
      </w:r>
      <w:r w:rsidR="00CD6387" w:rsidRPr="00CD6387">
        <w:rPr>
          <w:vertAlign w:val="superscript"/>
        </w:rPr>
        <w:t>,</w:t>
      </w:r>
      <w:r w:rsidR="00CD6387">
        <w:rPr>
          <w:vertAlign w:val="superscript"/>
        </w:rPr>
        <w:t xml:space="preserve"> </w:t>
      </w:r>
      <w:r w:rsidR="00CD6387" w:rsidRPr="001B1FA5">
        <w:rPr>
          <w:rStyle w:val="FootnoteReference"/>
        </w:rPr>
        <w:footnoteReference w:id="3"/>
      </w:r>
    </w:p>
    <w:p w14:paraId="2F211E15" w14:textId="70F85C1F" w:rsidR="000F05C4" w:rsidRPr="001B1FA5" w:rsidRDefault="00486885" w:rsidP="005A60BD">
      <w:pPr>
        <w:pStyle w:val="Heading1"/>
        <w:rPr>
          <w:u w:val="single"/>
        </w:rPr>
      </w:pPr>
      <w:r w:rsidRPr="001B1FA5">
        <w:rPr>
          <w:u w:val="single"/>
        </w:rPr>
        <w:t>Petition</w:t>
      </w:r>
      <w:r w:rsidR="002B0767" w:rsidRPr="001B1FA5">
        <w:rPr>
          <w:u w:val="single"/>
        </w:rPr>
        <w:t xml:space="preserve"> and Responses</w:t>
      </w:r>
    </w:p>
    <w:p w14:paraId="267F4FF6" w14:textId="2B23E4B1" w:rsidR="004D6CDD" w:rsidRPr="001B1FA5" w:rsidRDefault="003D3012" w:rsidP="00B7606F">
      <w:r>
        <w:t xml:space="preserve">PSE asks that the commission allow </w:t>
      </w:r>
      <w:r w:rsidR="008E1172">
        <w:t>it</w:t>
      </w:r>
      <w:r>
        <w:t xml:space="preserve"> to use the recently-determined excess conservation toward a possible future shortfall related to its decoupling commitment. </w:t>
      </w:r>
      <w:r w:rsidR="000D61D7" w:rsidRPr="001B1FA5">
        <w:t xml:space="preserve">PSE </w:t>
      </w:r>
      <w:r>
        <w:t>explains “i</w:t>
      </w:r>
      <w:r w:rsidR="004D6CDD" w:rsidRPr="001B1FA5">
        <w:t xml:space="preserve">t is reasonable that the </w:t>
      </w:r>
      <w:r w:rsidR="00E661E5">
        <w:t>commission</w:t>
      </w:r>
      <w:r w:rsidR="006842C8" w:rsidRPr="001B1FA5">
        <w:t>-</w:t>
      </w:r>
      <w:r w:rsidR="004D6CDD" w:rsidRPr="001B1FA5">
        <w:t xml:space="preserve">approved </w:t>
      </w:r>
      <w:r w:rsidR="00796FC9">
        <w:t>decoupling conservation target</w:t>
      </w:r>
      <w:r w:rsidR="004D6CDD" w:rsidRPr="001B1FA5">
        <w:t xml:space="preserve"> should be considered as an equivalent of the EIA </w:t>
      </w:r>
      <w:r w:rsidR="00796FC9">
        <w:t>t</w:t>
      </w:r>
      <w:r w:rsidR="004D6CDD" w:rsidRPr="001B1FA5">
        <w:t xml:space="preserve">arget for purposes of applying excess conservation savings to future </w:t>
      </w:r>
      <w:r w:rsidR="004D6CDD" w:rsidRPr="001B1FA5">
        <w:lastRenderedPageBreak/>
        <w:t>biennia.</w:t>
      </w:r>
      <w:r>
        <w:t>”</w:t>
      </w:r>
      <w:r w:rsidR="004D6CDD" w:rsidRPr="001B1FA5">
        <w:rPr>
          <w:rStyle w:val="FootnoteReference"/>
        </w:rPr>
        <w:footnoteReference w:id="4"/>
      </w:r>
      <w:r>
        <w:t xml:space="preserve"> </w:t>
      </w:r>
      <w:r w:rsidR="004D6CDD" w:rsidRPr="001B1FA5">
        <w:t xml:space="preserve">PSE </w:t>
      </w:r>
      <w:r>
        <w:t>will use its “</w:t>
      </w:r>
      <w:r w:rsidR="00796FC9">
        <w:t>b</w:t>
      </w:r>
      <w:r w:rsidR="004D6CDD" w:rsidRPr="001B1FA5">
        <w:t xml:space="preserve">uilding the </w:t>
      </w:r>
      <w:r w:rsidR="00796FC9">
        <w:t>electric t</w:t>
      </w:r>
      <w:r w:rsidR="004D6CDD" w:rsidRPr="001B1FA5">
        <w:t>arget</w:t>
      </w:r>
      <w:r>
        <w:t>”</w:t>
      </w:r>
      <w:r w:rsidR="004D6CDD" w:rsidRPr="001B1FA5">
        <w:t xml:space="preserve"> </w:t>
      </w:r>
      <w:r w:rsidR="00796FC9">
        <w:t xml:space="preserve">spreadsheet </w:t>
      </w:r>
      <w:r w:rsidR="004D6CDD" w:rsidRPr="001B1FA5">
        <w:t>as the basis for future biennial reporting,</w:t>
      </w:r>
      <w:r>
        <w:t xml:space="preserve"> which was already approved by the commission</w:t>
      </w:r>
      <w:r w:rsidR="004D6CDD" w:rsidRPr="001B1FA5">
        <w:t>.</w:t>
      </w:r>
      <w:r w:rsidR="004D6CDD" w:rsidRPr="001B1FA5">
        <w:rPr>
          <w:rStyle w:val="FootnoteReference"/>
        </w:rPr>
        <w:footnoteReference w:id="5"/>
      </w:r>
      <w:r w:rsidR="004D6CDD" w:rsidRPr="001B1FA5">
        <w:t xml:space="preserve"> </w:t>
      </w:r>
    </w:p>
    <w:p w14:paraId="7D2B639C" w14:textId="77777777" w:rsidR="004D6CDD" w:rsidRPr="001B1FA5" w:rsidRDefault="004D6CDD" w:rsidP="00B7606F"/>
    <w:p w14:paraId="0499504F" w14:textId="6E58AD67" w:rsidR="004D6CDD" w:rsidRPr="001B1FA5" w:rsidRDefault="004D6CDD" w:rsidP="00B7606F">
      <w:r w:rsidRPr="001B1FA5">
        <w:t xml:space="preserve">PSE </w:t>
      </w:r>
      <w:r w:rsidR="003C08DB">
        <w:t xml:space="preserve">properly </w:t>
      </w:r>
      <w:r w:rsidRPr="001B1FA5">
        <w:t>addresses</w:t>
      </w:r>
      <w:r w:rsidR="002B0767" w:rsidRPr="001B1FA5">
        <w:t xml:space="preserve"> the concern that allowing it to apply excess electric savings to potential decoupling commitment shortfalls may result in the scaling back of conservation efforts. PSE notes that there are “substantial checks and balances in the existing laws, rules and programs to prevent any scaling back,” reiterating </w:t>
      </w:r>
      <w:r w:rsidR="00E661E5">
        <w:t>commission</w:t>
      </w:r>
      <w:r w:rsidR="002B0767" w:rsidRPr="001B1FA5">
        <w:t xml:space="preserve"> oversight and the involvement of its Conservation Resource Advisory Group (CRAG) in the </w:t>
      </w:r>
      <w:r w:rsidR="00E661E5">
        <w:t>company</w:t>
      </w:r>
      <w:r w:rsidR="002B0767" w:rsidRPr="001B1FA5">
        <w:t>’s target-setting.</w:t>
      </w:r>
      <w:r w:rsidR="002B0767" w:rsidRPr="001B1FA5">
        <w:rPr>
          <w:rStyle w:val="FootnoteReference"/>
        </w:rPr>
        <w:footnoteReference w:id="6"/>
      </w:r>
      <w:r w:rsidR="002B0767" w:rsidRPr="001B1FA5">
        <w:t xml:space="preserve"> </w:t>
      </w:r>
    </w:p>
    <w:p w14:paraId="1678E489" w14:textId="77777777" w:rsidR="004D6CDD" w:rsidRPr="001B1FA5" w:rsidRDefault="004D6CDD" w:rsidP="00B7606F"/>
    <w:p w14:paraId="609B1EC8" w14:textId="128E1999" w:rsidR="005D242C" w:rsidRPr="001B1FA5" w:rsidRDefault="009065AB" w:rsidP="003D3012">
      <w:r w:rsidRPr="001B1FA5">
        <w:t xml:space="preserve">PSE proposes </w:t>
      </w:r>
      <w:r w:rsidR="000D61D7" w:rsidRPr="001B1FA5">
        <w:t>calculating excess electric savings, going forward, using “its existing conservation calculation methodology, which PSE’s CRAG has become familiar with over the past several years.</w:t>
      </w:r>
      <w:r w:rsidRPr="001B1FA5">
        <w:t>”</w:t>
      </w:r>
      <w:r w:rsidRPr="001B1FA5">
        <w:rPr>
          <w:rStyle w:val="FootnoteReference"/>
        </w:rPr>
        <w:footnoteReference w:id="7"/>
      </w:r>
      <w:r w:rsidR="000D61D7" w:rsidRPr="001B1FA5">
        <w:t xml:space="preserve"> </w:t>
      </w:r>
      <w:r w:rsidR="00D45CE1">
        <w:t xml:space="preserve">PSE </w:t>
      </w:r>
      <w:r w:rsidR="003D3012">
        <w:t>recognizes</w:t>
      </w:r>
      <w:r w:rsidR="00D45CE1">
        <w:t xml:space="preserve"> that the conservation calculation methodology is part of the biennial conservation plan, which is approved by the commission every two years.</w:t>
      </w:r>
      <w:r w:rsidR="00D45CE1">
        <w:rPr>
          <w:rStyle w:val="FootnoteReference"/>
        </w:rPr>
        <w:footnoteReference w:id="8"/>
      </w:r>
      <w:r w:rsidR="00D45CE1">
        <w:t xml:space="preserve"> </w:t>
      </w:r>
      <w:r w:rsidR="003D3012">
        <w:t>PSE notes its commitment to continue excluding savings from both target-setting and achievement.</w:t>
      </w:r>
      <w:r w:rsidR="004D6CDD" w:rsidRPr="001B1FA5">
        <w:rPr>
          <w:rStyle w:val="FootnoteReference"/>
        </w:rPr>
        <w:footnoteReference w:id="9"/>
      </w:r>
    </w:p>
    <w:p w14:paraId="39F8CA41" w14:textId="77777777" w:rsidR="005D242C" w:rsidRPr="001B1FA5" w:rsidRDefault="005D242C" w:rsidP="00B7606F"/>
    <w:p w14:paraId="2ED5ADCE" w14:textId="2A930FC3" w:rsidR="005F0036" w:rsidRPr="001B1FA5" w:rsidRDefault="005F0036" w:rsidP="005F0036">
      <w:r w:rsidRPr="001B1FA5">
        <w:rPr>
          <w:b/>
        </w:rPr>
        <w:t>Northwest Energy Coalition’s Response</w:t>
      </w:r>
    </w:p>
    <w:p w14:paraId="71AD071B" w14:textId="77777777" w:rsidR="005F0036" w:rsidRPr="001B1FA5" w:rsidRDefault="005F0036" w:rsidP="00B7606F"/>
    <w:p w14:paraId="267CCEC9" w14:textId="7731B00C" w:rsidR="005F0036" w:rsidRPr="001B1FA5" w:rsidRDefault="00A145F1" w:rsidP="00B7606F">
      <w:r w:rsidRPr="001B1FA5">
        <w:t xml:space="preserve">The Northwest Energy Coalition (NWEC) filed a response </w:t>
      </w:r>
      <w:r w:rsidR="005B6AE3">
        <w:t>opposing</w:t>
      </w:r>
      <w:r w:rsidRPr="001B1FA5">
        <w:t xml:space="preserve"> the </w:t>
      </w:r>
      <w:r w:rsidR="00E661E5">
        <w:t>company</w:t>
      </w:r>
      <w:r w:rsidRPr="001B1FA5">
        <w:t xml:space="preserve">’s petition on November 9, 2016. </w:t>
      </w:r>
      <w:r w:rsidR="005F0036" w:rsidRPr="001B1FA5">
        <w:t xml:space="preserve">NWEC reasons that there is no current need to grant PSE permission: PSE is not in danger of </w:t>
      </w:r>
      <w:r w:rsidR="00217AF1">
        <w:t>missing</w:t>
      </w:r>
      <w:r w:rsidR="005F0036" w:rsidRPr="001B1FA5">
        <w:t xml:space="preserve"> its additional decoupling obligation; PSE has exceeded its biennial EIA conservation targets for the last three bienni</w:t>
      </w:r>
      <w:r w:rsidR="00217AF1">
        <w:t>a</w:t>
      </w:r>
      <w:r w:rsidR="005F0036" w:rsidRPr="001B1FA5">
        <w:t xml:space="preserve">; and, PSE has also exceeded its decoupling conservation commitments for the last three biennia. </w:t>
      </w:r>
      <w:r w:rsidR="005B6AE3" w:rsidRPr="001B1FA5">
        <w:t>NWEC argues that</w:t>
      </w:r>
      <w:r w:rsidR="005B6AE3">
        <w:t xml:space="preserve"> the commission’s rule does not explicitly mention decoupling so it does not apply. </w:t>
      </w:r>
      <w:r w:rsidR="005F0036" w:rsidRPr="001B1FA5">
        <w:t xml:space="preserve">NWEC urges the </w:t>
      </w:r>
      <w:r w:rsidR="00E661E5">
        <w:t>commission</w:t>
      </w:r>
      <w:r w:rsidR="005F0036" w:rsidRPr="001B1FA5">
        <w:t xml:space="preserve"> to defer action until “PSE actually fails, despite best efforts, to meet the decoupling related additional conservation requirement.”</w:t>
      </w:r>
      <w:r w:rsidR="005F0036" w:rsidRPr="001B1FA5">
        <w:rPr>
          <w:rStyle w:val="FootnoteReference"/>
        </w:rPr>
        <w:footnoteReference w:id="10"/>
      </w:r>
    </w:p>
    <w:p w14:paraId="6F8BBB7A" w14:textId="77777777" w:rsidR="005F0036" w:rsidRPr="001B1FA5" w:rsidRDefault="005F0036" w:rsidP="00B7606F"/>
    <w:p w14:paraId="33337B98" w14:textId="162A4AFE" w:rsidR="005F0036" w:rsidRPr="001B1FA5" w:rsidRDefault="005F0036" w:rsidP="005F0036">
      <w:r w:rsidRPr="001B1FA5">
        <w:rPr>
          <w:b/>
        </w:rPr>
        <w:t>Public Counsel’s Response</w:t>
      </w:r>
    </w:p>
    <w:p w14:paraId="15F68EEC" w14:textId="77777777" w:rsidR="005F0036" w:rsidRPr="001B1FA5" w:rsidRDefault="005F0036" w:rsidP="00B7606F"/>
    <w:p w14:paraId="66D065C2" w14:textId="0B0A323F" w:rsidR="00A145F1" w:rsidRPr="001B1FA5" w:rsidRDefault="00A145F1" w:rsidP="00B7606F">
      <w:r w:rsidRPr="001B1FA5">
        <w:t xml:space="preserve">Public Counsel filed a response to the </w:t>
      </w:r>
      <w:r w:rsidR="00E661E5">
        <w:t>company</w:t>
      </w:r>
      <w:r w:rsidRPr="001B1FA5">
        <w:t xml:space="preserve">’s petition on November 14, 2016. Public Counsel does not oppose PSE’s request to allow excess electric conservation savings to be used </w:t>
      </w:r>
      <w:r w:rsidR="009F3A1A" w:rsidRPr="001B1FA5">
        <w:t>to meet a shortfall of the decoupling conservation commitment, and supports using the methodology for calculating the amount of excess electric conservation savings, going forward, that PSE outlined in its petition.</w:t>
      </w:r>
      <w:r w:rsidR="009F3A1A" w:rsidRPr="001B1FA5">
        <w:rPr>
          <w:rStyle w:val="FootnoteReference"/>
        </w:rPr>
        <w:footnoteReference w:id="11"/>
      </w:r>
    </w:p>
    <w:p w14:paraId="61434DD1" w14:textId="77777777" w:rsidR="009F3A1A" w:rsidRPr="001B1FA5" w:rsidRDefault="009F3A1A" w:rsidP="00B7606F"/>
    <w:p w14:paraId="6E0D4000" w14:textId="7FC2C6FC" w:rsidR="009F3A1A" w:rsidRPr="001B1FA5" w:rsidRDefault="007768A4" w:rsidP="00B7606F">
      <w:r w:rsidRPr="001B1FA5">
        <w:t xml:space="preserve">Public Counsel is sensitive to the potential that granting PSE’s request could weaken the </w:t>
      </w:r>
      <w:r w:rsidR="00E661E5">
        <w:t>company</w:t>
      </w:r>
      <w:r w:rsidRPr="001B1FA5">
        <w:t>’s decoupling conservation commitment, but notes that the EIA’s amendment “recognizes early acquisition of conservation savings.”</w:t>
      </w:r>
      <w:r w:rsidRPr="001B1FA5">
        <w:rPr>
          <w:rStyle w:val="FootnoteReference"/>
        </w:rPr>
        <w:footnoteReference w:id="12"/>
      </w:r>
      <w:r w:rsidR="003C08DB">
        <w:t xml:space="preserve"> </w:t>
      </w:r>
      <w:r w:rsidR="009F3A1A" w:rsidRPr="001B1FA5">
        <w:t xml:space="preserve">Regarding the calculation methodology, Public Counsel </w:t>
      </w:r>
      <w:r w:rsidR="00072012">
        <w:t xml:space="preserve">points out that the commission has accepted this methodology in its specification of the savings amount. </w:t>
      </w:r>
    </w:p>
    <w:p w14:paraId="50A30F62" w14:textId="77777777" w:rsidR="009F3A1A" w:rsidRPr="001B1FA5" w:rsidRDefault="009F3A1A" w:rsidP="00B7606F"/>
    <w:p w14:paraId="1A91F985" w14:textId="02D42888" w:rsidR="009F3A1A" w:rsidRPr="001B1FA5" w:rsidRDefault="009F3A1A" w:rsidP="00B7606F">
      <w:r w:rsidRPr="001B1FA5">
        <w:t xml:space="preserve">Public Counsel notes that there are a number of related, important issues that will be dealt with in the </w:t>
      </w:r>
      <w:r w:rsidR="00E661E5">
        <w:t>company</w:t>
      </w:r>
      <w:r w:rsidRPr="001B1FA5">
        <w:t xml:space="preserve">’s next general rate case, and that the </w:t>
      </w:r>
      <w:r w:rsidR="00E661E5">
        <w:t>company</w:t>
      </w:r>
      <w:r w:rsidRPr="001B1FA5">
        <w:t>’s decoupling conservation commitment target is one of those things that “will be reviewed and considered in the evaluation of the decoupling mechanisms.”</w:t>
      </w:r>
      <w:r w:rsidRPr="001B1FA5">
        <w:rPr>
          <w:rStyle w:val="FootnoteReference"/>
        </w:rPr>
        <w:footnoteReference w:id="13"/>
      </w:r>
    </w:p>
    <w:p w14:paraId="5EA422EA" w14:textId="77777777" w:rsidR="005F0036" w:rsidRPr="001B1FA5" w:rsidRDefault="005F0036" w:rsidP="00B7606F"/>
    <w:p w14:paraId="1873F329" w14:textId="74C725C1" w:rsidR="005D242C" w:rsidRPr="001B1FA5" w:rsidRDefault="005F0036" w:rsidP="00B7606F">
      <w:r w:rsidRPr="001B1FA5">
        <w:rPr>
          <w:b/>
        </w:rPr>
        <w:t>Staff’s Response</w:t>
      </w:r>
    </w:p>
    <w:p w14:paraId="1700565A" w14:textId="77777777" w:rsidR="005F0036" w:rsidRPr="001B1FA5" w:rsidRDefault="005F0036" w:rsidP="00B7606F"/>
    <w:p w14:paraId="167F614A" w14:textId="36881D3F" w:rsidR="00427562" w:rsidRPr="001B1FA5" w:rsidRDefault="00A74316" w:rsidP="00B7606F">
      <w:r w:rsidRPr="001B1FA5">
        <w:t xml:space="preserve">Staff filed its answer </w:t>
      </w:r>
      <w:r w:rsidR="003C08DB">
        <w:t>supporting</w:t>
      </w:r>
      <w:r w:rsidRPr="001B1FA5">
        <w:t xml:space="preserve"> the </w:t>
      </w:r>
      <w:r w:rsidR="00E661E5">
        <w:t>company</w:t>
      </w:r>
      <w:r w:rsidRPr="001B1FA5">
        <w:t xml:space="preserve">’s petition on November 14, 2016. </w:t>
      </w:r>
      <w:r w:rsidR="00427562" w:rsidRPr="001B1FA5">
        <w:t xml:space="preserve">Staff believes that allowing the </w:t>
      </w:r>
      <w:r w:rsidR="00E661E5">
        <w:t>company</w:t>
      </w:r>
      <w:r w:rsidR="00427562" w:rsidRPr="001B1FA5">
        <w:t xml:space="preserve"> to use excess electric conservation from a qualifying biennium towards a future shortfall of its decoupling conservation commitment is consistent with the update to the EIA. </w:t>
      </w:r>
      <w:r w:rsidR="003C08DB">
        <w:t>G</w:t>
      </w:r>
      <w:r w:rsidR="00427562" w:rsidRPr="001B1FA5">
        <w:t xml:space="preserve">ranting the </w:t>
      </w:r>
      <w:r w:rsidR="00E661E5">
        <w:t>company</w:t>
      </w:r>
      <w:r w:rsidR="00427562" w:rsidRPr="001B1FA5">
        <w:t xml:space="preserve">’s petition should encourage the </w:t>
      </w:r>
      <w:r w:rsidR="00E661E5">
        <w:t>company</w:t>
      </w:r>
      <w:r w:rsidR="00427562" w:rsidRPr="001B1FA5">
        <w:t xml:space="preserve"> to undertake greater, immediate conservation efforts because the </w:t>
      </w:r>
      <w:r w:rsidR="00E661E5">
        <w:t>company</w:t>
      </w:r>
      <w:r w:rsidR="00427562" w:rsidRPr="001B1FA5">
        <w:t xml:space="preserve"> will be able to use this immediate action towards any potential future shortfall of the decoupling conservation commitment.</w:t>
      </w:r>
      <w:r w:rsidR="003C08DB">
        <w:t xml:space="preserve"> Lastly, t</w:t>
      </w:r>
      <w:r w:rsidR="00427562" w:rsidRPr="001B1FA5">
        <w:t>here are sufficient safeguards</w:t>
      </w:r>
      <w:r w:rsidR="003C08DB">
        <w:t xml:space="preserve"> in the various processes</w:t>
      </w:r>
      <w:r w:rsidR="00427562" w:rsidRPr="001B1FA5">
        <w:t xml:space="preserve"> to protect against miscalculations, double-counting, and any scaling back of conservation efforts.</w:t>
      </w:r>
    </w:p>
    <w:p w14:paraId="6ABAADC8" w14:textId="77777777" w:rsidR="00A74316" w:rsidRPr="001B1FA5" w:rsidRDefault="00A74316" w:rsidP="00B7606F"/>
    <w:p w14:paraId="5BF13669" w14:textId="502D74DB" w:rsidR="00427562" w:rsidRPr="001B1FA5" w:rsidRDefault="00427562" w:rsidP="00B7606F">
      <w:r w:rsidRPr="001B1FA5">
        <w:t xml:space="preserve">Regarding methodology, </w:t>
      </w:r>
      <w:r w:rsidR="00B73180">
        <w:t>s</w:t>
      </w:r>
      <w:r w:rsidR="003C08DB" w:rsidRPr="00EA7D7E">
        <w:t xml:space="preserve">taff does not believe that the </w:t>
      </w:r>
      <w:r w:rsidR="003C08DB">
        <w:t>petition</w:t>
      </w:r>
      <w:r w:rsidR="003C08DB" w:rsidRPr="00EA7D7E">
        <w:t xml:space="preserve"> </w:t>
      </w:r>
      <w:r w:rsidR="003C08DB">
        <w:t>requests or requires</w:t>
      </w:r>
      <w:r w:rsidR="003C08DB" w:rsidRPr="00EA7D7E">
        <w:t xml:space="preserve"> approval of any particular methodology for calculating excess conservation savings</w:t>
      </w:r>
      <w:r w:rsidR="003C08DB">
        <w:t xml:space="preserve"> going forward. The</w:t>
      </w:r>
      <w:r w:rsidR="003C08DB" w:rsidRPr="00EA7D7E">
        <w:t xml:space="preserve"> </w:t>
      </w:r>
      <w:r w:rsidR="003C08DB">
        <w:t xml:space="preserve">specific </w:t>
      </w:r>
      <w:r w:rsidR="003C08DB" w:rsidRPr="00EA7D7E">
        <w:t xml:space="preserve">methodology </w:t>
      </w:r>
      <w:r w:rsidR="003C08DB">
        <w:t>outlined in the p</w:t>
      </w:r>
      <w:r w:rsidR="003C08DB" w:rsidRPr="00EA7D7E">
        <w:t>etition</w:t>
      </w:r>
      <w:r w:rsidR="003C08DB">
        <w:t xml:space="preserve"> was previously approved in this docket within the </w:t>
      </w:r>
      <w:r w:rsidR="00B73180">
        <w:t>c</w:t>
      </w:r>
      <w:r w:rsidR="003C08DB">
        <w:t>ompany’s 2016-2017 Biennial Conservation Plan</w:t>
      </w:r>
      <w:r w:rsidR="003C08DB" w:rsidRPr="00EA7D7E">
        <w:t>.</w:t>
      </w:r>
      <w:r w:rsidR="003C08DB">
        <w:rPr>
          <w:rStyle w:val="FootnoteReference"/>
        </w:rPr>
        <w:footnoteReference w:id="14"/>
      </w:r>
      <w:r w:rsidR="003C08DB">
        <w:t xml:space="preserve"> The approval of a specific methodology will continue to be appropriately addressed through the process for biennial conseration plan approval</w:t>
      </w:r>
      <w:r w:rsidRPr="001B1FA5">
        <w:t xml:space="preserve">. </w:t>
      </w:r>
    </w:p>
    <w:p w14:paraId="2F211E9F" w14:textId="77777777" w:rsidR="00D60E7F" w:rsidRPr="001B1FA5" w:rsidRDefault="0028215A" w:rsidP="00204A52">
      <w:pPr>
        <w:pStyle w:val="Heading1"/>
        <w:rPr>
          <w:u w:val="single"/>
        </w:rPr>
      </w:pPr>
      <w:r w:rsidRPr="001B1FA5">
        <w:rPr>
          <w:u w:val="single"/>
        </w:rPr>
        <w:t>Conclusion</w:t>
      </w:r>
    </w:p>
    <w:p w14:paraId="5F4BBF77" w14:textId="1ABE9B8B" w:rsidR="00796FC9" w:rsidRPr="001B1FA5" w:rsidRDefault="00796FC9" w:rsidP="00796FC9">
      <w:r w:rsidRPr="001B1FA5">
        <w:t xml:space="preserve">Issue an order in </w:t>
      </w:r>
      <w:r w:rsidR="0050676E">
        <w:t>D</w:t>
      </w:r>
      <w:r w:rsidRPr="001B1FA5">
        <w:t xml:space="preserve">ocket UE-152058 granting the petition of Puget Sound Energy </w:t>
      </w:r>
      <w:r>
        <w:t>and confirming that the 38,906 megawatt-hours of excess conservation achieved in the 2014-2015 biennium are eligible for application to the decoupling portion of the 2016-2017 conservation target</w:t>
      </w:r>
      <w:r w:rsidRPr="001B1FA5">
        <w:t>.</w:t>
      </w:r>
      <w:r>
        <w:t xml:space="preserve"> This in no way relieves the company of its obligation to actively pursue its 2016-2017 conservation target.</w:t>
      </w:r>
    </w:p>
    <w:p w14:paraId="4A4C14E0" w14:textId="2AD40307" w:rsidR="004B424A" w:rsidRPr="001B1FA5" w:rsidRDefault="004B424A" w:rsidP="004B4ED5"/>
    <w:p w14:paraId="5232501F" w14:textId="77777777" w:rsidR="005F0036" w:rsidRPr="001B1FA5" w:rsidRDefault="005F0036" w:rsidP="004B4ED5"/>
    <w:p w14:paraId="6F389086" w14:textId="77777777" w:rsidR="005F0036" w:rsidRPr="001B1FA5" w:rsidRDefault="005F0036" w:rsidP="004B4ED5"/>
    <w:sectPr w:rsidR="005F0036" w:rsidRPr="001B1FA5" w:rsidSect="00BA4E08">
      <w:headerReference w:type="default" r:id="rId12"/>
      <w:foot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78DD0" w14:textId="77777777" w:rsidR="00824C62" w:rsidRDefault="00824C62" w:rsidP="00FF75F4">
      <w:r>
        <w:separator/>
      </w:r>
    </w:p>
  </w:endnote>
  <w:endnote w:type="continuationSeparator" w:id="0">
    <w:p w14:paraId="14F486D6" w14:textId="77777777" w:rsidR="00824C62" w:rsidRDefault="00824C62"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62722"/>
      <w:docPartObj>
        <w:docPartGallery w:val="Page Numbers (Bottom of Page)"/>
        <w:docPartUnique/>
      </w:docPartObj>
    </w:sdtPr>
    <w:sdtEndPr>
      <w:rPr>
        <w:noProof/>
      </w:rPr>
    </w:sdtEndPr>
    <w:sdtContent>
      <w:p w14:paraId="2F211EA9" w14:textId="77777777" w:rsidR="009B62BA" w:rsidRDefault="009B62BA">
        <w:pPr>
          <w:pStyle w:val="Footer"/>
          <w:jc w:val="right"/>
        </w:pPr>
        <w:r>
          <w:fldChar w:fldCharType="begin"/>
        </w:r>
        <w:r>
          <w:instrText xml:space="preserve"> PAGE   \* MERGEFORMAT </w:instrText>
        </w:r>
        <w:r>
          <w:fldChar w:fldCharType="separate"/>
        </w:r>
        <w:r w:rsidR="00C174C3">
          <w:rPr>
            <w:noProof/>
          </w:rPr>
          <w:t>2</w:t>
        </w:r>
        <w:r>
          <w:rPr>
            <w:noProof/>
          </w:rPr>
          <w:fldChar w:fldCharType="end"/>
        </w:r>
      </w:p>
    </w:sdtContent>
  </w:sdt>
  <w:p w14:paraId="2F211EAA" w14:textId="77777777" w:rsidR="009B62BA" w:rsidRDefault="009B6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CF7B5" w14:textId="77777777" w:rsidR="00824C62" w:rsidRDefault="00824C62" w:rsidP="00FF75F4">
      <w:r>
        <w:separator/>
      </w:r>
    </w:p>
  </w:footnote>
  <w:footnote w:type="continuationSeparator" w:id="0">
    <w:p w14:paraId="0D7672F4" w14:textId="77777777" w:rsidR="00824C62" w:rsidRDefault="00824C62" w:rsidP="00FF75F4">
      <w:r>
        <w:continuationSeparator/>
      </w:r>
    </w:p>
  </w:footnote>
  <w:footnote w:id="1">
    <w:p w14:paraId="1FC6088B" w14:textId="6F639B23" w:rsidR="00F85BB8" w:rsidRDefault="00F85BB8" w:rsidP="00F85BB8">
      <w:pPr>
        <w:pStyle w:val="FootnoteText"/>
      </w:pPr>
      <w:r>
        <w:rPr>
          <w:rStyle w:val="FootnoteReference"/>
        </w:rPr>
        <w:footnoteRef/>
      </w:r>
      <w:r>
        <w:t xml:space="preserve"> </w:t>
      </w:r>
      <w:r w:rsidR="003C08DB">
        <w:rPr>
          <w:i/>
        </w:rPr>
        <w:t xml:space="preserve">In the Matter of </w:t>
      </w:r>
      <w:r w:rsidRPr="003C08DB">
        <w:rPr>
          <w:i/>
        </w:rPr>
        <w:t>Puget Sound Energy's 2014-2015 Biennial</w:t>
      </w:r>
      <w:r w:rsidR="006842C8" w:rsidRPr="003C08DB">
        <w:rPr>
          <w:i/>
        </w:rPr>
        <w:t xml:space="preserve"> Conservation Target Under RCW 1</w:t>
      </w:r>
      <w:r w:rsidRPr="003C08DB">
        <w:rPr>
          <w:i/>
        </w:rPr>
        <w:t>9.285.040</w:t>
      </w:r>
      <w:r>
        <w:t>, Docket UE</w:t>
      </w:r>
      <w:r>
        <w:noBreakHyphen/>
        <w:t>132043, Order 05, ¶ 19 (August 15, 2016).</w:t>
      </w:r>
    </w:p>
  </w:footnote>
  <w:footnote w:id="2">
    <w:p w14:paraId="6EFE7406" w14:textId="6837A512" w:rsidR="00CD6387" w:rsidRPr="00C07709" w:rsidRDefault="00CD6387" w:rsidP="00CD6387">
      <w:pPr>
        <w:pStyle w:val="FootnoteText"/>
      </w:pPr>
      <w:r>
        <w:rPr>
          <w:rStyle w:val="FootnoteReference"/>
        </w:rPr>
        <w:footnoteRef/>
      </w:r>
      <w:r w:rsidR="003C08DB">
        <w:t xml:space="preserve"> Ibid, ¶ 4</w:t>
      </w:r>
      <w:r>
        <w:t>.</w:t>
      </w:r>
    </w:p>
  </w:footnote>
  <w:footnote w:id="3">
    <w:p w14:paraId="32B5EBD0" w14:textId="1839003F" w:rsidR="00CD6387" w:rsidRPr="00122745" w:rsidRDefault="00CD6387" w:rsidP="00CD6387">
      <w:pPr>
        <w:pStyle w:val="FootnoteText"/>
      </w:pPr>
      <w:r>
        <w:rPr>
          <w:rStyle w:val="FootnoteReference"/>
        </w:rPr>
        <w:footnoteRef/>
      </w:r>
      <w:r>
        <w:t xml:space="preserve"> </w:t>
      </w:r>
      <w:r>
        <w:rPr>
          <w:i/>
        </w:rPr>
        <w:t>In the Matter of the Petition of Puget Sound Energy and NW Energy Coalition For an Order Authorizing PSE to Implement Electric and Natural Gas Decoupling Mechanisms and to Record Accounting Entries Associated with the Mechanisms</w:t>
      </w:r>
      <w:r>
        <w:t>, Dockets UE</w:t>
      </w:r>
      <w:r>
        <w:noBreakHyphen/>
        <w:t>121697 and UG</w:t>
      </w:r>
      <w:r>
        <w:noBreakHyphen/>
        <w:t xml:space="preserve">121705 (consolidated), Order 16, Granting Joint Motion for Ministerial Amendment, ¶ 3 (Oct. 14, 2016). </w:t>
      </w:r>
      <w:r w:rsidR="003C08DB">
        <w:t>In this order, t</w:t>
      </w:r>
      <w:r>
        <w:t>he commission</w:t>
      </w:r>
      <w:r w:rsidRPr="001B1FA5">
        <w:t xml:space="preserve"> designat</w:t>
      </w:r>
      <w:r>
        <w:t>ed</w:t>
      </w:r>
      <w:r w:rsidRPr="001B1FA5">
        <w:t xml:space="preserve"> the docket of the </w:t>
      </w:r>
      <w:r>
        <w:t>company</w:t>
      </w:r>
      <w:r w:rsidRPr="001B1FA5">
        <w:t xml:space="preserve">’s biennial conservation plan as the appropriate docket in which to address issues related to the </w:t>
      </w:r>
      <w:r>
        <w:t>company</w:t>
      </w:r>
      <w:r w:rsidRPr="001B1FA5">
        <w:t>’s decoupling conservation commitments, including any filings about the use of excess conservation towards compliance with a decoupling conservation commitment.</w:t>
      </w:r>
    </w:p>
  </w:footnote>
  <w:footnote w:id="4">
    <w:p w14:paraId="3B3C4001" w14:textId="1E6E9C6F" w:rsidR="004D6CDD" w:rsidRDefault="004D6CDD" w:rsidP="004D6CDD">
      <w:pPr>
        <w:pStyle w:val="FootnoteText"/>
      </w:pPr>
      <w:r>
        <w:rPr>
          <w:rStyle w:val="FootnoteReference"/>
        </w:rPr>
        <w:footnoteRef/>
      </w:r>
      <w:r>
        <w:t xml:space="preserve"> PSE Petition, ¶ 20.</w:t>
      </w:r>
    </w:p>
  </w:footnote>
  <w:footnote w:id="5">
    <w:p w14:paraId="28191AA3" w14:textId="18D0E5BB" w:rsidR="004D6CDD" w:rsidRPr="008E1172" w:rsidRDefault="004D6CDD">
      <w:pPr>
        <w:pStyle w:val="FootnoteText"/>
        <w:rPr>
          <w:i/>
        </w:rPr>
      </w:pPr>
      <w:r>
        <w:rPr>
          <w:rStyle w:val="FootnoteReference"/>
        </w:rPr>
        <w:footnoteRef/>
      </w:r>
      <w:r>
        <w:t xml:space="preserve"> PSE Pet</w:t>
      </w:r>
      <w:r w:rsidR="003D3012">
        <w:t>ition, ¶ 12</w:t>
      </w:r>
      <w:r>
        <w:t>.</w:t>
      </w:r>
      <w:r w:rsidR="008E1172">
        <w:t xml:space="preserve"> </w:t>
      </w:r>
      <w:r w:rsidR="008E1172">
        <w:rPr>
          <w:i/>
        </w:rPr>
        <w:t xml:space="preserve">In the Matter of </w:t>
      </w:r>
      <w:r w:rsidR="008E1172" w:rsidRPr="003C08DB">
        <w:rPr>
          <w:i/>
        </w:rPr>
        <w:t xml:space="preserve">Puget Sound Energy's </w:t>
      </w:r>
      <w:r w:rsidR="008E1172" w:rsidRPr="008E1172">
        <w:rPr>
          <w:i/>
        </w:rPr>
        <w:t>Report Identifying Its 2016-2025 Ten-Year Achievable Electric Conservation Potential and Its 2016-2017 Electric Biennial Conservation Target Under RCW 19.285.040 and WAC 480-109-010</w:t>
      </w:r>
      <w:r w:rsidR="008E1172">
        <w:t>, Docket UE</w:t>
      </w:r>
      <w:r w:rsidR="008E1172">
        <w:noBreakHyphen/>
        <w:t>152058, Order 01, ¶ 19 (Dec. 17, 2015).</w:t>
      </w:r>
    </w:p>
  </w:footnote>
  <w:footnote w:id="6">
    <w:p w14:paraId="1CD9E85C" w14:textId="54C2E045" w:rsidR="002B0767" w:rsidRDefault="002B0767">
      <w:pPr>
        <w:pStyle w:val="FootnoteText"/>
      </w:pPr>
      <w:r>
        <w:rPr>
          <w:rStyle w:val="FootnoteReference"/>
        </w:rPr>
        <w:footnoteRef/>
      </w:r>
      <w:r>
        <w:t xml:space="preserve"> PSE Petition, ¶ 31.</w:t>
      </w:r>
    </w:p>
  </w:footnote>
  <w:footnote w:id="7">
    <w:p w14:paraId="10DBC9C4" w14:textId="151C5969" w:rsidR="009065AB" w:rsidRDefault="009065AB">
      <w:pPr>
        <w:pStyle w:val="FootnoteText"/>
      </w:pPr>
      <w:r>
        <w:rPr>
          <w:rStyle w:val="FootnoteReference"/>
        </w:rPr>
        <w:footnoteRef/>
      </w:r>
      <w:r>
        <w:t xml:space="preserve"> </w:t>
      </w:r>
      <w:r w:rsidR="000D61D7">
        <w:t>PSE Petition, ¶ 11.</w:t>
      </w:r>
    </w:p>
  </w:footnote>
  <w:footnote w:id="8">
    <w:p w14:paraId="2CAC48E2" w14:textId="60F6BD93" w:rsidR="00D45CE1" w:rsidRDefault="00D45CE1">
      <w:pPr>
        <w:pStyle w:val="FootnoteText"/>
      </w:pPr>
      <w:r>
        <w:rPr>
          <w:rStyle w:val="FootnoteReference"/>
        </w:rPr>
        <w:footnoteRef/>
      </w:r>
      <w:r>
        <w:t xml:space="preserve"> PSE Petition, ¶ 12.</w:t>
      </w:r>
    </w:p>
  </w:footnote>
  <w:footnote w:id="9">
    <w:p w14:paraId="2F5F31B0" w14:textId="05339247" w:rsidR="004D6CDD" w:rsidRDefault="004D6CDD">
      <w:pPr>
        <w:pStyle w:val="FootnoteText"/>
      </w:pPr>
      <w:r>
        <w:rPr>
          <w:rStyle w:val="FootnoteReference"/>
        </w:rPr>
        <w:footnoteRef/>
      </w:r>
      <w:r>
        <w:t xml:space="preserve"> PSE Petition, ¶ 14.</w:t>
      </w:r>
    </w:p>
  </w:footnote>
  <w:footnote w:id="10">
    <w:p w14:paraId="38B137BC" w14:textId="192A3E96" w:rsidR="005F0036" w:rsidRDefault="005F0036">
      <w:pPr>
        <w:pStyle w:val="FootnoteText"/>
      </w:pPr>
      <w:r>
        <w:rPr>
          <w:rStyle w:val="FootnoteReference"/>
        </w:rPr>
        <w:footnoteRef/>
      </w:r>
      <w:r>
        <w:t xml:space="preserve"> NWEC Response, p. 1.</w:t>
      </w:r>
    </w:p>
  </w:footnote>
  <w:footnote w:id="11">
    <w:p w14:paraId="37E0DAEE" w14:textId="3A3AE3B8" w:rsidR="009F3A1A" w:rsidRDefault="009F3A1A">
      <w:pPr>
        <w:pStyle w:val="FootnoteText"/>
      </w:pPr>
      <w:r>
        <w:rPr>
          <w:rStyle w:val="FootnoteReference"/>
        </w:rPr>
        <w:footnoteRef/>
      </w:r>
      <w:r>
        <w:t xml:space="preserve"> Public Counsel Response, ¶¶ 5, 11.</w:t>
      </w:r>
    </w:p>
  </w:footnote>
  <w:footnote w:id="12">
    <w:p w14:paraId="559BFF9A" w14:textId="37955D4D" w:rsidR="007768A4" w:rsidRDefault="007768A4">
      <w:pPr>
        <w:pStyle w:val="FootnoteText"/>
      </w:pPr>
      <w:r>
        <w:rPr>
          <w:rStyle w:val="FootnoteReference"/>
        </w:rPr>
        <w:footnoteRef/>
      </w:r>
      <w:r>
        <w:t xml:space="preserve"> Public Counsel Response, ¶¶ 6-7.</w:t>
      </w:r>
    </w:p>
  </w:footnote>
  <w:footnote w:id="13">
    <w:p w14:paraId="3A1E78B2" w14:textId="165361E3" w:rsidR="009F3A1A" w:rsidRPr="009F3A1A" w:rsidRDefault="009F3A1A">
      <w:pPr>
        <w:pStyle w:val="FootnoteText"/>
      </w:pPr>
      <w:r>
        <w:rPr>
          <w:rStyle w:val="FootnoteReference"/>
        </w:rPr>
        <w:footnoteRef/>
      </w:r>
      <w:r>
        <w:t xml:space="preserve"> Public Counsel Response, ¶¶ 11-12; </w:t>
      </w:r>
      <w:r>
        <w:rPr>
          <w:i/>
        </w:rPr>
        <w:t xml:space="preserve">see also </w:t>
      </w:r>
      <w:r>
        <w:t>Public Counsel Response, ¶¶ 8-10.</w:t>
      </w:r>
    </w:p>
  </w:footnote>
  <w:footnote w:id="14">
    <w:p w14:paraId="76DA2F98" w14:textId="77777777" w:rsidR="003C08DB" w:rsidRPr="003C08DB" w:rsidRDefault="003C08DB" w:rsidP="003C08DB">
      <w:pPr>
        <w:pStyle w:val="FootnoteText"/>
      </w:pPr>
      <w:r>
        <w:rPr>
          <w:rStyle w:val="FootnoteReference"/>
        </w:rPr>
        <w:footnoteRef/>
      </w:r>
      <w:r>
        <w:t xml:space="preserve"> </w:t>
      </w:r>
      <w:r w:rsidRPr="003C08DB">
        <w:t>PSE Petition, ¶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11EA5" w14:textId="2BCA748B" w:rsidR="009B62BA" w:rsidRPr="00777586" w:rsidRDefault="009B62BA" w:rsidP="002C648F">
    <w:pPr>
      <w:pStyle w:val="Header"/>
      <w:rPr>
        <w:sz w:val="20"/>
        <w:szCs w:val="20"/>
      </w:rPr>
    </w:pPr>
    <w:r w:rsidRPr="00777586">
      <w:rPr>
        <w:sz w:val="20"/>
        <w:szCs w:val="20"/>
      </w:rPr>
      <w:t>D</w:t>
    </w:r>
    <w:r>
      <w:rPr>
        <w:sz w:val="20"/>
        <w:szCs w:val="20"/>
      </w:rPr>
      <w:t xml:space="preserve">OCKET </w:t>
    </w:r>
    <w:r w:rsidRPr="00F22F14">
      <w:rPr>
        <w:sz w:val="20"/>
        <w:szCs w:val="20"/>
      </w:rPr>
      <w:t>UE-1</w:t>
    </w:r>
    <w:r w:rsidR="00B90DC3">
      <w:rPr>
        <w:sz w:val="20"/>
        <w:szCs w:val="20"/>
      </w:rPr>
      <w:t>52058</w:t>
    </w:r>
  </w:p>
  <w:p w14:paraId="2F211EA6" w14:textId="7C536855" w:rsidR="009B62BA" w:rsidRPr="00777586" w:rsidRDefault="00B90DC3" w:rsidP="002C648F">
    <w:pPr>
      <w:pStyle w:val="Header"/>
      <w:rPr>
        <w:sz w:val="20"/>
        <w:szCs w:val="20"/>
      </w:rPr>
    </w:pPr>
    <w:r>
      <w:rPr>
        <w:sz w:val="20"/>
        <w:szCs w:val="20"/>
      </w:rPr>
      <w:t xml:space="preserve">December </w:t>
    </w:r>
    <w:r w:rsidR="005D242C">
      <w:rPr>
        <w:sz w:val="20"/>
        <w:szCs w:val="20"/>
      </w:rPr>
      <w:t>8</w:t>
    </w:r>
    <w:r>
      <w:rPr>
        <w:sz w:val="20"/>
        <w:szCs w:val="20"/>
      </w:rPr>
      <w:t>, 201</w:t>
    </w:r>
    <w:r w:rsidR="005D242C">
      <w:rPr>
        <w:sz w:val="20"/>
        <w:szCs w:val="20"/>
      </w:rPr>
      <w:t>6</w:t>
    </w:r>
  </w:p>
  <w:p w14:paraId="2F211EA7" w14:textId="77777777" w:rsidR="009B62BA" w:rsidRPr="00777586" w:rsidRDefault="009B62BA"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C174C3">
      <w:rPr>
        <w:rStyle w:val="PageNumber"/>
        <w:noProof/>
        <w:sz w:val="20"/>
        <w:szCs w:val="20"/>
      </w:rPr>
      <w:t>2</w:t>
    </w:r>
    <w:r w:rsidRPr="00777586">
      <w:rPr>
        <w:rStyle w:val="PageNumber"/>
        <w:sz w:val="20"/>
        <w:szCs w:val="20"/>
      </w:rPr>
      <w:fldChar w:fldCharType="end"/>
    </w:r>
  </w:p>
  <w:p w14:paraId="2F211EA8" w14:textId="77777777" w:rsidR="009B62BA" w:rsidRPr="00E05888" w:rsidRDefault="009B62BA"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0FCF"/>
    <w:rsid w:val="00001805"/>
    <w:rsid w:val="000031D1"/>
    <w:rsid w:val="0000603F"/>
    <w:rsid w:val="000126E3"/>
    <w:rsid w:val="00013E26"/>
    <w:rsid w:val="00020EBD"/>
    <w:rsid w:val="00024AD3"/>
    <w:rsid w:val="00025FA6"/>
    <w:rsid w:val="00027B12"/>
    <w:rsid w:val="00030742"/>
    <w:rsid w:val="00040CE3"/>
    <w:rsid w:val="00041921"/>
    <w:rsid w:val="00042271"/>
    <w:rsid w:val="000427DB"/>
    <w:rsid w:val="00043283"/>
    <w:rsid w:val="00046219"/>
    <w:rsid w:val="00047427"/>
    <w:rsid w:val="00054659"/>
    <w:rsid w:val="00057091"/>
    <w:rsid w:val="00057A1C"/>
    <w:rsid w:val="00072012"/>
    <w:rsid w:val="0007323E"/>
    <w:rsid w:val="00082655"/>
    <w:rsid w:val="00086F2E"/>
    <w:rsid w:val="00091AC2"/>
    <w:rsid w:val="00092E6A"/>
    <w:rsid w:val="00093F47"/>
    <w:rsid w:val="0009761D"/>
    <w:rsid w:val="000A1774"/>
    <w:rsid w:val="000A302B"/>
    <w:rsid w:val="000A36EF"/>
    <w:rsid w:val="000A4CAF"/>
    <w:rsid w:val="000A4EDF"/>
    <w:rsid w:val="000A6695"/>
    <w:rsid w:val="000A7F7C"/>
    <w:rsid w:val="000B6FA5"/>
    <w:rsid w:val="000C51A7"/>
    <w:rsid w:val="000C561A"/>
    <w:rsid w:val="000C641A"/>
    <w:rsid w:val="000C6F30"/>
    <w:rsid w:val="000D120B"/>
    <w:rsid w:val="000D2AAE"/>
    <w:rsid w:val="000D335F"/>
    <w:rsid w:val="000D61D7"/>
    <w:rsid w:val="000E2D0C"/>
    <w:rsid w:val="000E50B9"/>
    <w:rsid w:val="000E5A4A"/>
    <w:rsid w:val="000F018D"/>
    <w:rsid w:val="000F05C4"/>
    <w:rsid w:val="000F07CE"/>
    <w:rsid w:val="000F14E1"/>
    <w:rsid w:val="000F41CD"/>
    <w:rsid w:val="00100426"/>
    <w:rsid w:val="00100726"/>
    <w:rsid w:val="0010117B"/>
    <w:rsid w:val="00104E99"/>
    <w:rsid w:val="00105EA9"/>
    <w:rsid w:val="00106E5E"/>
    <w:rsid w:val="0011135E"/>
    <w:rsid w:val="00115F20"/>
    <w:rsid w:val="001162AB"/>
    <w:rsid w:val="001168EB"/>
    <w:rsid w:val="0012024F"/>
    <w:rsid w:val="00123CC4"/>
    <w:rsid w:val="00124A6F"/>
    <w:rsid w:val="001261D0"/>
    <w:rsid w:val="001363A7"/>
    <w:rsid w:val="00144549"/>
    <w:rsid w:val="00146617"/>
    <w:rsid w:val="00147639"/>
    <w:rsid w:val="00152793"/>
    <w:rsid w:val="001621A5"/>
    <w:rsid w:val="00162E85"/>
    <w:rsid w:val="00163505"/>
    <w:rsid w:val="00170495"/>
    <w:rsid w:val="001706F2"/>
    <w:rsid w:val="00170726"/>
    <w:rsid w:val="00170970"/>
    <w:rsid w:val="0017204A"/>
    <w:rsid w:val="00172D15"/>
    <w:rsid w:val="00177433"/>
    <w:rsid w:val="00180D93"/>
    <w:rsid w:val="00186DE5"/>
    <w:rsid w:val="001916C0"/>
    <w:rsid w:val="001923BA"/>
    <w:rsid w:val="00192AD1"/>
    <w:rsid w:val="00194217"/>
    <w:rsid w:val="00194C72"/>
    <w:rsid w:val="001B1FA5"/>
    <w:rsid w:val="001B4AC2"/>
    <w:rsid w:val="001B7123"/>
    <w:rsid w:val="001C41E2"/>
    <w:rsid w:val="001C424C"/>
    <w:rsid w:val="001C5930"/>
    <w:rsid w:val="001C78C3"/>
    <w:rsid w:val="001D0D50"/>
    <w:rsid w:val="001E3ACD"/>
    <w:rsid w:val="001F4BAA"/>
    <w:rsid w:val="001F5226"/>
    <w:rsid w:val="001F668E"/>
    <w:rsid w:val="00202339"/>
    <w:rsid w:val="00204A52"/>
    <w:rsid w:val="0020635F"/>
    <w:rsid w:val="00217AF1"/>
    <w:rsid w:val="00220A9A"/>
    <w:rsid w:val="002215D4"/>
    <w:rsid w:val="002245E8"/>
    <w:rsid w:val="00225BAA"/>
    <w:rsid w:val="0022715D"/>
    <w:rsid w:val="00227F90"/>
    <w:rsid w:val="00233031"/>
    <w:rsid w:val="0023355B"/>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91C96"/>
    <w:rsid w:val="00294540"/>
    <w:rsid w:val="002970C4"/>
    <w:rsid w:val="002A17DE"/>
    <w:rsid w:val="002A36C0"/>
    <w:rsid w:val="002A3F3D"/>
    <w:rsid w:val="002A41D7"/>
    <w:rsid w:val="002A49A6"/>
    <w:rsid w:val="002A67A9"/>
    <w:rsid w:val="002A7D14"/>
    <w:rsid w:val="002A7D27"/>
    <w:rsid w:val="002B0767"/>
    <w:rsid w:val="002B6C2B"/>
    <w:rsid w:val="002C0730"/>
    <w:rsid w:val="002C179B"/>
    <w:rsid w:val="002C40C5"/>
    <w:rsid w:val="002C5999"/>
    <w:rsid w:val="002C648F"/>
    <w:rsid w:val="002C74B0"/>
    <w:rsid w:val="002D3A0F"/>
    <w:rsid w:val="002D7FAC"/>
    <w:rsid w:val="002E69E9"/>
    <w:rsid w:val="002E7662"/>
    <w:rsid w:val="002E7CC5"/>
    <w:rsid w:val="002F156B"/>
    <w:rsid w:val="002F303C"/>
    <w:rsid w:val="002F5A33"/>
    <w:rsid w:val="002F7D05"/>
    <w:rsid w:val="002F7FCC"/>
    <w:rsid w:val="003003E5"/>
    <w:rsid w:val="00304156"/>
    <w:rsid w:val="00304D53"/>
    <w:rsid w:val="003064E0"/>
    <w:rsid w:val="003109C9"/>
    <w:rsid w:val="003139AE"/>
    <w:rsid w:val="00322A9D"/>
    <w:rsid w:val="0032544B"/>
    <w:rsid w:val="003326BC"/>
    <w:rsid w:val="003329DB"/>
    <w:rsid w:val="00332D84"/>
    <w:rsid w:val="0033757E"/>
    <w:rsid w:val="00340117"/>
    <w:rsid w:val="003404BE"/>
    <w:rsid w:val="00341972"/>
    <w:rsid w:val="00343083"/>
    <w:rsid w:val="003432D1"/>
    <w:rsid w:val="00343B9D"/>
    <w:rsid w:val="003446F4"/>
    <w:rsid w:val="003607EF"/>
    <w:rsid w:val="003614F9"/>
    <w:rsid w:val="003617FE"/>
    <w:rsid w:val="00362080"/>
    <w:rsid w:val="0036314D"/>
    <w:rsid w:val="00364EF9"/>
    <w:rsid w:val="00367F1C"/>
    <w:rsid w:val="003702DA"/>
    <w:rsid w:val="0037080B"/>
    <w:rsid w:val="00372101"/>
    <w:rsid w:val="003776C2"/>
    <w:rsid w:val="00385F85"/>
    <w:rsid w:val="0038660C"/>
    <w:rsid w:val="003904AE"/>
    <w:rsid w:val="00391AB8"/>
    <w:rsid w:val="003927A9"/>
    <w:rsid w:val="00394387"/>
    <w:rsid w:val="003A683D"/>
    <w:rsid w:val="003B1607"/>
    <w:rsid w:val="003B2045"/>
    <w:rsid w:val="003B26AE"/>
    <w:rsid w:val="003B741B"/>
    <w:rsid w:val="003C08DB"/>
    <w:rsid w:val="003C7708"/>
    <w:rsid w:val="003D21C9"/>
    <w:rsid w:val="003D3012"/>
    <w:rsid w:val="003D3A3A"/>
    <w:rsid w:val="003D4240"/>
    <w:rsid w:val="003D5FE5"/>
    <w:rsid w:val="003E36BB"/>
    <w:rsid w:val="003E7551"/>
    <w:rsid w:val="003F05EC"/>
    <w:rsid w:val="003F09CE"/>
    <w:rsid w:val="003F1BDE"/>
    <w:rsid w:val="003F2771"/>
    <w:rsid w:val="004005B6"/>
    <w:rsid w:val="00405C03"/>
    <w:rsid w:val="004148E7"/>
    <w:rsid w:val="0042262E"/>
    <w:rsid w:val="004242A1"/>
    <w:rsid w:val="00427562"/>
    <w:rsid w:val="00433A8C"/>
    <w:rsid w:val="004358D6"/>
    <w:rsid w:val="00441BDD"/>
    <w:rsid w:val="0044594A"/>
    <w:rsid w:val="004511F7"/>
    <w:rsid w:val="004549C2"/>
    <w:rsid w:val="004551A5"/>
    <w:rsid w:val="004563C6"/>
    <w:rsid w:val="00456917"/>
    <w:rsid w:val="0045798A"/>
    <w:rsid w:val="004600EE"/>
    <w:rsid w:val="00464CC7"/>
    <w:rsid w:val="00465007"/>
    <w:rsid w:val="00465904"/>
    <w:rsid w:val="00471B11"/>
    <w:rsid w:val="00473304"/>
    <w:rsid w:val="00473E34"/>
    <w:rsid w:val="00482FF7"/>
    <w:rsid w:val="00483226"/>
    <w:rsid w:val="0048406A"/>
    <w:rsid w:val="00486885"/>
    <w:rsid w:val="00491392"/>
    <w:rsid w:val="00491D88"/>
    <w:rsid w:val="00493923"/>
    <w:rsid w:val="00493DC1"/>
    <w:rsid w:val="00494B89"/>
    <w:rsid w:val="004A037C"/>
    <w:rsid w:val="004A2726"/>
    <w:rsid w:val="004A3142"/>
    <w:rsid w:val="004B2C53"/>
    <w:rsid w:val="004B424A"/>
    <w:rsid w:val="004B4DA1"/>
    <w:rsid w:val="004B4ED5"/>
    <w:rsid w:val="004C207B"/>
    <w:rsid w:val="004C2614"/>
    <w:rsid w:val="004C3E8A"/>
    <w:rsid w:val="004C3F6A"/>
    <w:rsid w:val="004C579D"/>
    <w:rsid w:val="004D2FEB"/>
    <w:rsid w:val="004D4B4E"/>
    <w:rsid w:val="004D6CDD"/>
    <w:rsid w:val="004E443D"/>
    <w:rsid w:val="004F3666"/>
    <w:rsid w:val="004F36CA"/>
    <w:rsid w:val="004F4100"/>
    <w:rsid w:val="004F5242"/>
    <w:rsid w:val="004F6E1B"/>
    <w:rsid w:val="004F77EA"/>
    <w:rsid w:val="005024F9"/>
    <w:rsid w:val="00505AB1"/>
    <w:rsid w:val="0050676E"/>
    <w:rsid w:val="00511608"/>
    <w:rsid w:val="00512AEE"/>
    <w:rsid w:val="0051363C"/>
    <w:rsid w:val="00514B14"/>
    <w:rsid w:val="00514DF5"/>
    <w:rsid w:val="00514E29"/>
    <w:rsid w:val="00515633"/>
    <w:rsid w:val="00520170"/>
    <w:rsid w:val="00520CC1"/>
    <w:rsid w:val="00520D0B"/>
    <w:rsid w:val="00521DDB"/>
    <w:rsid w:val="00522C40"/>
    <w:rsid w:val="00524B4F"/>
    <w:rsid w:val="00526189"/>
    <w:rsid w:val="005426DF"/>
    <w:rsid w:val="005440CF"/>
    <w:rsid w:val="0055621D"/>
    <w:rsid w:val="0056341A"/>
    <w:rsid w:val="00566C61"/>
    <w:rsid w:val="005674D5"/>
    <w:rsid w:val="005720E6"/>
    <w:rsid w:val="00582C07"/>
    <w:rsid w:val="0058597F"/>
    <w:rsid w:val="0059285C"/>
    <w:rsid w:val="00593784"/>
    <w:rsid w:val="005A0A09"/>
    <w:rsid w:val="005A496B"/>
    <w:rsid w:val="005A4A28"/>
    <w:rsid w:val="005A60BD"/>
    <w:rsid w:val="005A7B7E"/>
    <w:rsid w:val="005B1B55"/>
    <w:rsid w:val="005B4088"/>
    <w:rsid w:val="005B6AE3"/>
    <w:rsid w:val="005B75FE"/>
    <w:rsid w:val="005C26BC"/>
    <w:rsid w:val="005C3300"/>
    <w:rsid w:val="005C36BA"/>
    <w:rsid w:val="005D242C"/>
    <w:rsid w:val="005D2A45"/>
    <w:rsid w:val="005D3A54"/>
    <w:rsid w:val="005D4DC5"/>
    <w:rsid w:val="005D5411"/>
    <w:rsid w:val="005D7576"/>
    <w:rsid w:val="005D7EE2"/>
    <w:rsid w:val="005E2430"/>
    <w:rsid w:val="005E3549"/>
    <w:rsid w:val="005E4477"/>
    <w:rsid w:val="005F0036"/>
    <w:rsid w:val="005F0821"/>
    <w:rsid w:val="005F47B0"/>
    <w:rsid w:val="006017F3"/>
    <w:rsid w:val="00603B41"/>
    <w:rsid w:val="00604FFF"/>
    <w:rsid w:val="00605644"/>
    <w:rsid w:val="0061209B"/>
    <w:rsid w:val="006135B4"/>
    <w:rsid w:val="00613C6E"/>
    <w:rsid w:val="0062084E"/>
    <w:rsid w:val="00624FC0"/>
    <w:rsid w:val="00625424"/>
    <w:rsid w:val="00630E56"/>
    <w:rsid w:val="00631270"/>
    <w:rsid w:val="00632EAB"/>
    <w:rsid w:val="006348A7"/>
    <w:rsid w:val="00645F4C"/>
    <w:rsid w:val="00651161"/>
    <w:rsid w:val="0065149E"/>
    <w:rsid w:val="0065373E"/>
    <w:rsid w:val="006546F8"/>
    <w:rsid w:val="006559A9"/>
    <w:rsid w:val="00655B45"/>
    <w:rsid w:val="00657DEE"/>
    <w:rsid w:val="00657E4F"/>
    <w:rsid w:val="00667C04"/>
    <w:rsid w:val="00667FB8"/>
    <w:rsid w:val="0067283D"/>
    <w:rsid w:val="006733D9"/>
    <w:rsid w:val="00673770"/>
    <w:rsid w:val="0068300C"/>
    <w:rsid w:val="00683250"/>
    <w:rsid w:val="006842C8"/>
    <w:rsid w:val="00684EDC"/>
    <w:rsid w:val="00695D26"/>
    <w:rsid w:val="006964DD"/>
    <w:rsid w:val="00697EBD"/>
    <w:rsid w:val="006A28C2"/>
    <w:rsid w:val="006A2A84"/>
    <w:rsid w:val="006A3269"/>
    <w:rsid w:val="006A53CF"/>
    <w:rsid w:val="006A5F45"/>
    <w:rsid w:val="006A687B"/>
    <w:rsid w:val="006A6A1D"/>
    <w:rsid w:val="006B2981"/>
    <w:rsid w:val="006B44A2"/>
    <w:rsid w:val="006B5368"/>
    <w:rsid w:val="006B6CD0"/>
    <w:rsid w:val="006C19C3"/>
    <w:rsid w:val="006C1A2B"/>
    <w:rsid w:val="006C3A10"/>
    <w:rsid w:val="006C6F08"/>
    <w:rsid w:val="006D2279"/>
    <w:rsid w:val="006D4BCC"/>
    <w:rsid w:val="006E0ACD"/>
    <w:rsid w:val="006E2FCC"/>
    <w:rsid w:val="006E356D"/>
    <w:rsid w:val="006E4394"/>
    <w:rsid w:val="006E79D6"/>
    <w:rsid w:val="006F1159"/>
    <w:rsid w:val="006F7BF2"/>
    <w:rsid w:val="00701D51"/>
    <w:rsid w:val="007043A0"/>
    <w:rsid w:val="007110E6"/>
    <w:rsid w:val="00716014"/>
    <w:rsid w:val="007221E3"/>
    <w:rsid w:val="007228CB"/>
    <w:rsid w:val="0072391F"/>
    <w:rsid w:val="0072754F"/>
    <w:rsid w:val="007338D7"/>
    <w:rsid w:val="00735874"/>
    <w:rsid w:val="007364B4"/>
    <w:rsid w:val="0074247D"/>
    <w:rsid w:val="00744C90"/>
    <w:rsid w:val="007453CD"/>
    <w:rsid w:val="007507D2"/>
    <w:rsid w:val="00751109"/>
    <w:rsid w:val="00752C89"/>
    <w:rsid w:val="00754E12"/>
    <w:rsid w:val="00757194"/>
    <w:rsid w:val="00762296"/>
    <w:rsid w:val="00764E50"/>
    <w:rsid w:val="0076670E"/>
    <w:rsid w:val="00767FFB"/>
    <w:rsid w:val="007711F0"/>
    <w:rsid w:val="00774C1D"/>
    <w:rsid w:val="007768A4"/>
    <w:rsid w:val="00776B7B"/>
    <w:rsid w:val="00777EFE"/>
    <w:rsid w:val="0078584E"/>
    <w:rsid w:val="00787019"/>
    <w:rsid w:val="00790F7E"/>
    <w:rsid w:val="00792708"/>
    <w:rsid w:val="00795DB7"/>
    <w:rsid w:val="00796228"/>
    <w:rsid w:val="00796FC9"/>
    <w:rsid w:val="00797A54"/>
    <w:rsid w:val="007A0722"/>
    <w:rsid w:val="007A2B2C"/>
    <w:rsid w:val="007A36E7"/>
    <w:rsid w:val="007A3FFE"/>
    <w:rsid w:val="007A4079"/>
    <w:rsid w:val="007A6C79"/>
    <w:rsid w:val="007A6DE8"/>
    <w:rsid w:val="007A76D8"/>
    <w:rsid w:val="007B0D24"/>
    <w:rsid w:val="007B711E"/>
    <w:rsid w:val="007B7BB4"/>
    <w:rsid w:val="007C66EB"/>
    <w:rsid w:val="007C7855"/>
    <w:rsid w:val="007D0C27"/>
    <w:rsid w:val="007D1FCB"/>
    <w:rsid w:val="007D3D1A"/>
    <w:rsid w:val="007D409B"/>
    <w:rsid w:val="007D4283"/>
    <w:rsid w:val="007D50DE"/>
    <w:rsid w:val="007D674F"/>
    <w:rsid w:val="007D6A75"/>
    <w:rsid w:val="007E0EB5"/>
    <w:rsid w:val="007E55FF"/>
    <w:rsid w:val="007E5710"/>
    <w:rsid w:val="007E66AA"/>
    <w:rsid w:val="007F0A61"/>
    <w:rsid w:val="007F5144"/>
    <w:rsid w:val="00800F62"/>
    <w:rsid w:val="00803182"/>
    <w:rsid w:val="00803942"/>
    <w:rsid w:val="008152F2"/>
    <w:rsid w:val="0081564A"/>
    <w:rsid w:val="00820643"/>
    <w:rsid w:val="00820A0A"/>
    <w:rsid w:val="00820CA8"/>
    <w:rsid w:val="00824C62"/>
    <w:rsid w:val="008256DC"/>
    <w:rsid w:val="00832824"/>
    <w:rsid w:val="00832C63"/>
    <w:rsid w:val="00837009"/>
    <w:rsid w:val="00842F1A"/>
    <w:rsid w:val="00845AFC"/>
    <w:rsid w:val="00845BDF"/>
    <w:rsid w:val="00846CE4"/>
    <w:rsid w:val="00857EC5"/>
    <w:rsid w:val="00862939"/>
    <w:rsid w:val="00862FFC"/>
    <w:rsid w:val="0086422D"/>
    <w:rsid w:val="008745FE"/>
    <w:rsid w:val="00876F19"/>
    <w:rsid w:val="008771C3"/>
    <w:rsid w:val="00880D77"/>
    <w:rsid w:val="008900C9"/>
    <w:rsid w:val="008A2CAB"/>
    <w:rsid w:val="008A4054"/>
    <w:rsid w:val="008A4EE5"/>
    <w:rsid w:val="008A7A4D"/>
    <w:rsid w:val="008B5111"/>
    <w:rsid w:val="008C08ED"/>
    <w:rsid w:val="008C6BB0"/>
    <w:rsid w:val="008D2D64"/>
    <w:rsid w:val="008D7425"/>
    <w:rsid w:val="008E026D"/>
    <w:rsid w:val="008E1172"/>
    <w:rsid w:val="008E16BC"/>
    <w:rsid w:val="008E25F1"/>
    <w:rsid w:val="008E2A0E"/>
    <w:rsid w:val="008E517E"/>
    <w:rsid w:val="008E75AD"/>
    <w:rsid w:val="008E7DAB"/>
    <w:rsid w:val="008F0B1C"/>
    <w:rsid w:val="008F0F41"/>
    <w:rsid w:val="008F1CEC"/>
    <w:rsid w:val="008F50EB"/>
    <w:rsid w:val="008F651A"/>
    <w:rsid w:val="009003B9"/>
    <w:rsid w:val="009041C3"/>
    <w:rsid w:val="00904645"/>
    <w:rsid w:val="00905F90"/>
    <w:rsid w:val="009065AB"/>
    <w:rsid w:val="00907168"/>
    <w:rsid w:val="0091069F"/>
    <w:rsid w:val="00915206"/>
    <w:rsid w:val="009249F0"/>
    <w:rsid w:val="0092524C"/>
    <w:rsid w:val="0092599F"/>
    <w:rsid w:val="009278CE"/>
    <w:rsid w:val="00930951"/>
    <w:rsid w:val="00931127"/>
    <w:rsid w:val="0093145C"/>
    <w:rsid w:val="00934A3C"/>
    <w:rsid w:val="009363BA"/>
    <w:rsid w:val="00936FF6"/>
    <w:rsid w:val="00947A1D"/>
    <w:rsid w:val="00947AAF"/>
    <w:rsid w:val="00955688"/>
    <w:rsid w:val="00956BA6"/>
    <w:rsid w:val="00963D1F"/>
    <w:rsid w:val="009652E7"/>
    <w:rsid w:val="009702DA"/>
    <w:rsid w:val="009712CC"/>
    <w:rsid w:val="009742A7"/>
    <w:rsid w:val="00980023"/>
    <w:rsid w:val="00980095"/>
    <w:rsid w:val="009828A2"/>
    <w:rsid w:val="0098532A"/>
    <w:rsid w:val="00985D0D"/>
    <w:rsid w:val="00992B48"/>
    <w:rsid w:val="00993829"/>
    <w:rsid w:val="00993D47"/>
    <w:rsid w:val="0099446A"/>
    <w:rsid w:val="009A23F8"/>
    <w:rsid w:val="009A6FAA"/>
    <w:rsid w:val="009B62BA"/>
    <w:rsid w:val="009C0918"/>
    <w:rsid w:val="009C216D"/>
    <w:rsid w:val="009C29E7"/>
    <w:rsid w:val="009C3A9C"/>
    <w:rsid w:val="009C4479"/>
    <w:rsid w:val="009C48F3"/>
    <w:rsid w:val="009C4F77"/>
    <w:rsid w:val="009D3809"/>
    <w:rsid w:val="009D4411"/>
    <w:rsid w:val="009D5E9C"/>
    <w:rsid w:val="009D6358"/>
    <w:rsid w:val="009E6921"/>
    <w:rsid w:val="009F3A1A"/>
    <w:rsid w:val="009F6AF0"/>
    <w:rsid w:val="009F7605"/>
    <w:rsid w:val="00A0516E"/>
    <w:rsid w:val="00A145F1"/>
    <w:rsid w:val="00A22171"/>
    <w:rsid w:val="00A22344"/>
    <w:rsid w:val="00A32572"/>
    <w:rsid w:val="00A33C8A"/>
    <w:rsid w:val="00A413E1"/>
    <w:rsid w:val="00A429A1"/>
    <w:rsid w:val="00A50F3F"/>
    <w:rsid w:val="00A523C6"/>
    <w:rsid w:val="00A53670"/>
    <w:rsid w:val="00A55508"/>
    <w:rsid w:val="00A56593"/>
    <w:rsid w:val="00A633F2"/>
    <w:rsid w:val="00A72A8F"/>
    <w:rsid w:val="00A734AE"/>
    <w:rsid w:val="00A74316"/>
    <w:rsid w:val="00A84FAF"/>
    <w:rsid w:val="00A90CDF"/>
    <w:rsid w:val="00A92875"/>
    <w:rsid w:val="00A92BA7"/>
    <w:rsid w:val="00A93116"/>
    <w:rsid w:val="00A94652"/>
    <w:rsid w:val="00A97758"/>
    <w:rsid w:val="00A97894"/>
    <w:rsid w:val="00A97A07"/>
    <w:rsid w:val="00AA20F7"/>
    <w:rsid w:val="00AA2EF9"/>
    <w:rsid w:val="00AA34C2"/>
    <w:rsid w:val="00AA482F"/>
    <w:rsid w:val="00AA510D"/>
    <w:rsid w:val="00AB0136"/>
    <w:rsid w:val="00AB157C"/>
    <w:rsid w:val="00AB28F3"/>
    <w:rsid w:val="00AB4B14"/>
    <w:rsid w:val="00AC0212"/>
    <w:rsid w:val="00AC4BD9"/>
    <w:rsid w:val="00AC6872"/>
    <w:rsid w:val="00AC6B2D"/>
    <w:rsid w:val="00AC7A6F"/>
    <w:rsid w:val="00AD4D61"/>
    <w:rsid w:val="00AD4E0E"/>
    <w:rsid w:val="00AE1F3A"/>
    <w:rsid w:val="00AE28EC"/>
    <w:rsid w:val="00AE2E47"/>
    <w:rsid w:val="00AE343A"/>
    <w:rsid w:val="00AE70A7"/>
    <w:rsid w:val="00AF628C"/>
    <w:rsid w:val="00AF717D"/>
    <w:rsid w:val="00B01ACF"/>
    <w:rsid w:val="00B0370F"/>
    <w:rsid w:val="00B04BF8"/>
    <w:rsid w:val="00B06DC7"/>
    <w:rsid w:val="00B10EF1"/>
    <w:rsid w:val="00B139B1"/>
    <w:rsid w:val="00B23225"/>
    <w:rsid w:val="00B24201"/>
    <w:rsid w:val="00B25711"/>
    <w:rsid w:val="00B25850"/>
    <w:rsid w:val="00B26F22"/>
    <w:rsid w:val="00B306DE"/>
    <w:rsid w:val="00B31400"/>
    <w:rsid w:val="00B3359A"/>
    <w:rsid w:val="00B33E84"/>
    <w:rsid w:val="00B411EB"/>
    <w:rsid w:val="00B41876"/>
    <w:rsid w:val="00B4496A"/>
    <w:rsid w:val="00B73180"/>
    <w:rsid w:val="00B7396F"/>
    <w:rsid w:val="00B74277"/>
    <w:rsid w:val="00B7606F"/>
    <w:rsid w:val="00B83011"/>
    <w:rsid w:val="00B838ED"/>
    <w:rsid w:val="00B85C3E"/>
    <w:rsid w:val="00B90DC3"/>
    <w:rsid w:val="00B938AD"/>
    <w:rsid w:val="00B93F9E"/>
    <w:rsid w:val="00B97781"/>
    <w:rsid w:val="00BA26E8"/>
    <w:rsid w:val="00BA441B"/>
    <w:rsid w:val="00BA4E08"/>
    <w:rsid w:val="00BA6F57"/>
    <w:rsid w:val="00BB173D"/>
    <w:rsid w:val="00BB1C75"/>
    <w:rsid w:val="00BB3490"/>
    <w:rsid w:val="00BB5E73"/>
    <w:rsid w:val="00BB5ED3"/>
    <w:rsid w:val="00BB6C46"/>
    <w:rsid w:val="00BB6D0A"/>
    <w:rsid w:val="00BC2095"/>
    <w:rsid w:val="00BC434F"/>
    <w:rsid w:val="00BC59BE"/>
    <w:rsid w:val="00BC7C16"/>
    <w:rsid w:val="00BD0618"/>
    <w:rsid w:val="00BD5C3D"/>
    <w:rsid w:val="00BD6CA0"/>
    <w:rsid w:val="00BE498D"/>
    <w:rsid w:val="00BF3466"/>
    <w:rsid w:val="00BF3D13"/>
    <w:rsid w:val="00BF5E4A"/>
    <w:rsid w:val="00BF7B1B"/>
    <w:rsid w:val="00C00012"/>
    <w:rsid w:val="00C026E9"/>
    <w:rsid w:val="00C031DF"/>
    <w:rsid w:val="00C03B44"/>
    <w:rsid w:val="00C12B6F"/>
    <w:rsid w:val="00C14375"/>
    <w:rsid w:val="00C174C3"/>
    <w:rsid w:val="00C17C38"/>
    <w:rsid w:val="00C30885"/>
    <w:rsid w:val="00C406AA"/>
    <w:rsid w:val="00C40BED"/>
    <w:rsid w:val="00C438F9"/>
    <w:rsid w:val="00C516C4"/>
    <w:rsid w:val="00C531D9"/>
    <w:rsid w:val="00C5784F"/>
    <w:rsid w:val="00C67384"/>
    <w:rsid w:val="00C723CF"/>
    <w:rsid w:val="00C73105"/>
    <w:rsid w:val="00C74B68"/>
    <w:rsid w:val="00C75312"/>
    <w:rsid w:val="00C75742"/>
    <w:rsid w:val="00C8153C"/>
    <w:rsid w:val="00C843D3"/>
    <w:rsid w:val="00C85128"/>
    <w:rsid w:val="00C85FA1"/>
    <w:rsid w:val="00C91FF7"/>
    <w:rsid w:val="00C948C5"/>
    <w:rsid w:val="00CA08E2"/>
    <w:rsid w:val="00CA2C70"/>
    <w:rsid w:val="00CA34AC"/>
    <w:rsid w:val="00CA45F4"/>
    <w:rsid w:val="00CA5322"/>
    <w:rsid w:val="00CA65F5"/>
    <w:rsid w:val="00CB3FE8"/>
    <w:rsid w:val="00CB403A"/>
    <w:rsid w:val="00CB42AA"/>
    <w:rsid w:val="00CB655F"/>
    <w:rsid w:val="00CC094F"/>
    <w:rsid w:val="00CC2E05"/>
    <w:rsid w:val="00CC4147"/>
    <w:rsid w:val="00CC6D50"/>
    <w:rsid w:val="00CD1FE9"/>
    <w:rsid w:val="00CD3FC6"/>
    <w:rsid w:val="00CD6387"/>
    <w:rsid w:val="00CD74CC"/>
    <w:rsid w:val="00CE086F"/>
    <w:rsid w:val="00CE2BB3"/>
    <w:rsid w:val="00CE3F94"/>
    <w:rsid w:val="00CE51EA"/>
    <w:rsid w:val="00CF2D60"/>
    <w:rsid w:val="00CF5C63"/>
    <w:rsid w:val="00CF5D55"/>
    <w:rsid w:val="00D010ED"/>
    <w:rsid w:val="00D01507"/>
    <w:rsid w:val="00D0152D"/>
    <w:rsid w:val="00D01A79"/>
    <w:rsid w:val="00D0379E"/>
    <w:rsid w:val="00D06B3E"/>
    <w:rsid w:val="00D127E0"/>
    <w:rsid w:val="00D134F5"/>
    <w:rsid w:val="00D14912"/>
    <w:rsid w:val="00D23AE1"/>
    <w:rsid w:val="00D24828"/>
    <w:rsid w:val="00D37E51"/>
    <w:rsid w:val="00D45CE1"/>
    <w:rsid w:val="00D5111E"/>
    <w:rsid w:val="00D53155"/>
    <w:rsid w:val="00D60E7F"/>
    <w:rsid w:val="00D61F01"/>
    <w:rsid w:val="00D66B54"/>
    <w:rsid w:val="00D7134F"/>
    <w:rsid w:val="00D718C4"/>
    <w:rsid w:val="00D75620"/>
    <w:rsid w:val="00D75999"/>
    <w:rsid w:val="00D75C47"/>
    <w:rsid w:val="00D81519"/>
    <w:rsid w:val="00D83AEA"/>
    <w:rsid w:val="00D87D4B"/>
    <w:rsid w:val="00D90789"/>
    <w:rsid w:val="00D910DE"/>
    <w:rsid w:val="00D9474E"/>
    <w:rsid w:val="00DB6F04"/>
    <w:rsid w:val="00DC2128"/>
    <w:rsid w:val="00DC60B0"/>
    <w:rsid w:val="00DE6CE9"/>
    <w:rsid w:val="00DE7DEB"/>
    <w:rsid w:val="00DF27F5"/>
    <w:rsid w:val="00DF2C6C"/>
    <w:rsid w:val="00DF344C"/>
    <w:rsid w:val="00DF3F2B"/>
    <w:rsid w:val="00DF5FA6"/>
    <w:rsid w:val="00DF6ADE"/>
    <w:rsid w:val="00E02B1B"/>
    <w:rsid w:val="00E04F57"/>
    <w:rsid w:val="00E05888"/>
    <w:rsid w:val="00E06EB3"/>
    <w:rsid w:val="00E1104B"/>
    <w:rsid w:val="00E122FA"/>
    <w:rsid w:val="00E17064"/>
    <w:rsid w:val="00E203D1"/>
    <w:rsid w:val="00E239BC"/>
    <w:rsid w:val="00E23FC8"/>
    <w:rsid w:val="00E24DA3"/>
    <w:rsid w:val="00E24F64"/>
    <w:rsid w:val="00E27118"/>
    <w:rsid w:val="00E316CB"/>
    <w:rsid w:val="00E363F5"/>
    <w:rsid w:val="00E3641A"/>
    <w:rsid w:val="00E36649"/>
    <w:rsid w:val="00E45628"/>
    <w:rsid w:val="00E459B5"/>
    <w:rsid w:val="00E51953"/>
    <w:rsid w:val="00E6146E"/>
    <w:rsid w:val="00E61812"/>
    <w:rsid w:val="00E63B8D"/>
    <w:rsid w:val="00E64CF5"/>
    <w:rsid w:val="00E654BE"/>
    <w:rsid w:val="00E661E5"/>
    <w:rsid w:val="00E7401F"/>
    <w:rsid w:val="00E80B4D"/>
    <w:rsid w:val="00E812CF"/>
    <w:rsid w:val="00E8228B"/>
    <w:rsid w:val="00E82FC5"/>
    <w:rsid w:val="00E83827"/>
    <w:rsid w:val="00E83F28"/>
    <w:rsid w:val="00E85664"/>
    <w:rsid w:val="00E865F4"/>
    <w:rsid w:val="00E901C0"/>
    <w:rsid w:val="00E9535E"/>
    <w:rsid w:val="00E95A72"/>
    <w:rsid w:val="00EA0CE0"/>
    <w:rsid w:val="00EA2CB5"/>
    <w:rsid w:val="00EA4BE8"/>
    <w:rsid w:val="00EA5094"/>
    <w:rsid w:val="00EB0C9C"/>
    <w:rsid w:val="00EB4153"/>
    <w:rsid w:val="00EB4B12"/>
    <w:rsid w:val="00EB72D4"/>
    <w:rsid w:val="00EC4490"/>
    <w:rsid w:val="00EC6592"/>
    <w:rsid w:val="00EC6F58"/>
    <w:rsid w:val="00EC725D"/>
    <w:rsid w:val="00ED2BC8"/>
    <w:rsid w:val="00ED5305"/>
    <w:rsid w:val="00EE1AEE"/>
    <w:rsid w:val="00EF1B6F"/>
    <w:rsid w:val="00EF20DB"/>
    <w:rsid w:val="00EF4187"/>
    <w:rsid w:val="00F075E4"/>
    <w:rsid w:val="00F07877"/>
    <w:rsid w:val="00F1128F"/>
    <w:rsid w:val="00F13A37"/>
    <w:rsid w:val="00F14C6E"/>
    <w:rsid w:val="00F17292"/>
    <w:rsid w:val="00F22536"/>
    <w:rsid w:val="00F22F14"/>
    <w:rsid w:val="00F3080F"/>
    <w:rsid w:val="00F31A95"/>
    <w:rsid w:val="00F33C95"/>
    <w:rsid w:val="00F3503C"/>
    <w:rsid w:val="00F361C8"/>
    <w:rsid w:val="00F36888"/>
    <w:rsid w:val="00F42228"/>
    <w:rsid w:val="00F45647"/>
    <w:rsid w:val="00F476C8"/>
    <w:rsid w:val="00F47B23"/>
    <w:rsid w:val="00F5398C"/>
    <w:rsid w:val="00F54F54"/>
    <w:rsid w:val="00F62B90"/>
    <w:rsid w:val="00F636D9"/>
    <w:rsid w:val="00F66820"/>
    <w:rsid w:val="00F67F4A"/>
    <w:rsid w:val="00F7673B"/>
    <w:rsid w:val="00F76A77"/>
    <w:rsid w:val="00F8031B"/>
    <w:rsid w:val="00F857AF"/>
    <w:rsid w:val="00F85BB8"/>
    <w:rsid w:val="00F94663"/>
    <w:rsid w:val="00F95341"/>
    <w:rsid w:val="00FA0DD0"/>
    <w:rsid w:val="00FA1568"/>
    <w:rsid w:val="00FA57A3"/>
    <w:rsid w:val="00FA5E32"/>
    <w:rsid w:val="00FA7B38"/>
    <w:rsid w:val="00FB0884"/>
    <w:rsid w:val="00FB2F88"/>
    <w:rsid w:val="00FB56F9"/>
    <w:rsid w:val="00FC5ECC"/>
    <w:rsid w:val="00FC66BD"/>
    <w:rsid w:val="00FD019B"/>
    <w:rsid w:val="00FD2DAA"/>
    <w:rsid w:val="00FD668C"/>
    <w:rsid w:val="00FD6D96"/>
    <w:rsid w:val="00FD7AB8"/>
    <w:rsid w:val="00FF0115"/>
    <w:rsid w:val="00FF16E1"/>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21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rsid w:val="00A50F3F"/>
    <w:rPr>
      <w:sz w:val="20"/>
      <w:szCs w:val="20"/>
    </w:rPr>
  </w:style>
  <w:style w:type="character" w:customStyle="1" w:styleId="FootnoteTextChar">
    <w:name w:val="Footnote Text Char"/>
    <w:basedOn w:val="DefaultParagraphFont"/>
    <w:link w:val="FootnoteText"/>
    <w:rsid w:val="00A50F3F"/>
    <w:rPr>
      <w:rFonts w:ascii="Palatino Linotype" w:hAnsi="Palatino Linotype"/>
    </w:rPr>
  </w:style>
  <w:style w:type="character" w:styleId="FootnoteReference">
    <w:name w:val="footnote reference"/>
    <w:basedOn w:val="DefaultParagraphFont"/>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2016-12-08T08:00:00+00:00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7FCE323-5B34-4132-8CFD-57B0A55F0070}">
  <ds:schemaRefs>
    <ds:schemaRef ds:uri="751276d0-61bc-4dad-b75c-21dfd12630ad"/>
    <ds:schemaRef ds:uri="http://schemas.microsoft.com/office/2006/documentManagement/types"/>
    <ds:schemaRef ds:uri="http://www.w3.org/XML/1998/namespace"/>
    <ds:schemaRef ds:uri="http://purl.org/dc/dcmitype/"/>
    <ds:schemaRef ds:uri="http://purl.org/dc/elements/1.1/"/>
    <ds:schemaRef ds:uri="E53ACDE0-8707-4ED6-B4C0-7F8960E53DBB"/>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8570F78-3400-4F69-B73C-7152542696CF}"/>
</file>

<file path=customXml/itemProps3.xml><?xml version="1.0" encoding="utf-8"?>
<ds:datastoreItem xmlns:ds="http://schemas.openxmlformats.org/officeDocument/2006/customXml" ds:itemID="{61DF372F-5F23-4DD6-BCCA-FBFC671B0AFD}">
  <ds:schemaRefs>
    <ds:schemaRef ds:uri="http://schemas.microsoft.com/sharepoint/v3/contenttype/forms"/>
  </ds:schemaRefs>
</ds:datastoreItem>
</file>

<file path=customXml/itemProps4.xml><?xml version="1.0" encoding="utf-8"?>
<ds:datastoreItem xmlns:ds="http://schemas.openxmlformats.org/officeDocument/2006/customXml" ds:itemID="{049BC13F-A188-4385-8B5F-89EC8A62710D}">
  <ds:schemaRefs>
    <ds:schemaRef ds:uri="http://schemas.openxmlformats.org/officeDocument/2006/bibliography"/>
  </ds:schemaRefs>
</ds:datastoreItem>
</file>

<file path=customXml/itemProps5.xml><?xml version="1.0" encoding="utf-8"?>
<ds:datastoreItem xmlns:ds="http://schemas.openxmlformats.org/officeDocument/2006/customXml" ds:itemID="{C040A1F5-DFCD-4263-B285-E112F7F4BE5F}">
  <ds:schemaRefs>
    <ds:schemaRef ds:uri="http://schemas.openxmlformats.org/officeDocument/2006/bibliography"/>
  </ds:schemaRefs>
</ds:datastoreItem>
</file>

<file path=customXml/itemProps6.xml><?xml version="1.0" encoding="utf-8"?>
<ds:datastoreItem xmlns:ds="http://schemas.openxmlformats.org/officeDocument/2006/customXml" ds:itemID="{6456E744-3FDF-408E-9D69-4F15FC3AD8DB}"/>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UE-152042 UE-152058 PSE Electric BCP memo</vt:lpstr>
    </vt:vector>
  </TitlesOfParts>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UE-152042 UE-152058 PSE Electric BCP memo</dc:title>
  <dc:creator/>
  <cp:lastModifiedBy/>
  <cp:revision>1</cp:revision>
  <dcterms:created xsi:type="dcterms:W3CDTF">2016-12-07T16:41:00Z</dcterms:created>
  <dcterms:modified xsi:type="dcterms:W3CDTF">2016-12-07T16:41:00Z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