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5E055D">
        <w:t>5</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3531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name is William G. Johnson.  My business address is 1411 East Mission Avenue, Spokane</w:t>
      </w:r>
      <w:r w:rsidR="00553EC1">
        <w:rPr>
          <w:rFonts w:ascii="Times New Roman" w:hAnsi="Times New Roman" w:cs="Times New Roman"/>
        </w:rPr>
        <w:t xml:space="preserve">, </w:t>
      </w:r>
      <w:r w:rsidRPr="00BE21E7">
        <w:rPr>
          <w:rFonts w:ascii="Times New Roman" w:hAnsi="Times New Roman" w:cs="Times New Roman"/>
        </w:rPr>
        <w:t>Washington,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4A789D">
        <w:rPr>
          <w:rFonts w:ascii="Times New Roman" w:hAnsi="Times New Roman" w:cs="Times New Roman"/>
        </w:rPr>
        <w:t>October</w:t>
      </w:r>
      <w:r w:rsidR="00876525">
        <w:rPr>
          <w:rFonts w:ascii="Times New Roman" w:hAnsi="Times New Roman" w:cs="Times New Roman"/>
        </w:rPr>
        <w:t xml:space="preserve"> 20</w:t>
      </w:r>
      <w:r w:rsidR="00593E33">
        <w:rPr>
          <w:rFonts w:ascii="Times New Roman" w:hAnsi="Times New Roman" w:cs="Times New Roman"/>
        </w:rPr>
        <w:t>1</w:t>
      </w:r>
      <w:r w:rsidR="004A789D">
        <w:rPr>
          <w:rFonts w:ascii="Times New Roman" w:hAnsi="Times New Roman" w:cs="Times New Roman"/>
        </w:rPr>
        <w:t>3</w:t>
      </w:r>
      <w:r w:rsidRPr="00BE21E7">
        <w:rPr>
          <w:rFonts w:ascii="Times New Roman" w:hAnsi="Times New Roman" w:cs="Times New Roman"/>
        </w:rPr>
        <w:t xml:space="preserve"> through </w:t>
      </w:r>
      <w:r w:rsidR="004A789D">
        <w:rPr>
          <w:rFonts w:ascii="Times New Roman" w:hAnsi="Times New Roman" w:cs="Times New Roman"/>
        </w:rPr>
        <w:t>September</w:t>
      </w:r>
      <w:r w:rsidRPr="00BE21E7">
        <w:rPr>
          <w:rFonts w:ascii="Times New Roman" w:hAnsi="Times New Roman" w:cs="Times New Roman"/>
        </w:rPr>
        <w:t xml:space="preserve"> 20</w:t>
      </w:r>
      <w:r w:rsidR="00593E33">
        <w:rPr>
          <w:rFonts w:ascii="Times New Roman" w:hAnsi="Times New Roman" w:cs="Times New Roman"/>
        </w:rPr>
        <w:t>1</w:t>
      </w:r>
      <w:r w:rsidR="004A789D">
        <w:rPr>
          <w:rFonts w:ascii="Times New Roman" w:hAnsi="Times New Roman" w:cs="Times New Roman"/>
        </w:rPr>
        <w:t>4</w:t>
      </w:r>
      <w:r w:rsidRPr="00BE21E7">
        <w:rPr>
          <w:rFonts w:ascii="Times New Roman" w:hAnsi="Times New Roman" w:cs="Times New Roman"/>
        </w:rPr>
        <w:t xml:space="preserve"> test period power s</w:t>
      </w:r>
      <w:r w:rsidR="00F134B6">
        <w:rPr>
          <w:rFonts w:ascii="Times New Roman" w:hAnsi="Times New Roman" w:cs="Times New Roman"/>
        </w:rPr>
        <w:t xml:space="preserve">upply revenues and expenses, 2) </w:t>
      </w:r>
      <w:r w:rsidR="004A789D">
        <w:rPr>
          <w:rFonts w:ascii="Times New Roman" w:hAnsi="Times New Roman" w:cs="Times New Roman"/>
        </w:rPr>
        <w:t xml:space="preserve">describe proposed changes to </w:t>
      </w:r>
      <w:r w:rsidR="0077507E">
        <w:rPr>
          <w:rFonts w:ascii="Times New Roman" w:hAnsi="Times New Roman" w:cs="Times New Roman"/>
        </w:rPr>
        <w:t xml:space="preserve">the </w:t>
      </w:r>
      <w:r w:rsidR="00F134B6">
        <w:rPr>
          <w:rFonts w:ascii="Times New Roman" w:hAnsi="Times New Roman" w:cs="Times New Roman"/>
        </w:rPr>
        <w:t>Energy Recovery Mec</w:t>
      </w:r>
      <w:r w:rsidR="0077507E">
        <w:rPr>
          <w:rFonts w:ascii="Times New Roman" w:hAnsi="Times New Roman" w:cs="Times New Roman"/>
        </w:rPr>
        <w:t xml:space="preserve">hanism (ERM), and </w:t>
      </w:r>
      <w:r w:rsidR="004A789D">
        <w:rPr>
          <w:rFonts w:ascii="Times New Roman" w:hAnsi="Times New Roman" w:cs="Times New Roman"/>
        </w:rPr>
        <w:t>3</w:t>
      </w:r>
      <w:r w:rsidR="0077507E">
        <w:rPr>
          <w:rFonts w:ascii="Times New Roman" w:hAnsi="Times New Roman" w:cs="Times New Roman"/>
        </w:rPr>
        <w:t xml:space="preserve">) </w:t>
      </w:r>
      <w:r w:rsidRPr="00BE21E7">
        <w:rPr>
          <w:rFonts w:ascii="Times New Roman" w:hAnsi="Times New Roman" w:cs="Times New Roman"/>
        </w:rPr>
        <w:t>describe the proposed level of e</w:t>
      </w:r>
      <w:r w:rsidR="001A4335">
        <w:rPr>
          <w:rFonts w:ascii="Times New Roman" w:hAnsi="Times New Roman" w:cs="Times New Roman"/>
        </w:rPr>
        <w:t>xpense and load change adjustment</w:t>
      </w:r>
      <w:r w:rsidR="00890D94">
        <w:rPr>
          <w:rFonts w:ascii="Times New Roman" w:hAnsi="Times New Roman" w:cs="Times New Roman"/>
        </w:rPr>
        <w:t xml:space="preserve"> rate</w:t>
      </w:r>
      <w:r w:rsidR="001A4335">
        <w:rPr>
          <w:rFonts w:ascii="Times New Roman" w:hAnsi="Times New Roman" w:cs="Times New Roman"/>
        </w:rPr>
        <w:t xml:space="preserve"> </w:t>
      </w:r>
      <w:r w:rsidR="001A4335">
        <w:rPr>
          <w:rFonts w:ascii="Times New Roman" w:hAnsi="Times New Roman" w:cs="Times New Roman"/>
        </w:rPr>
        <w:lastRenderedPageBreak/>
        <w:t>(LCAR)</w:t>
      </w:r>
      <w:r w:rsidR="001A4335">
        <w:rPr>
          <w:rStyle w:val="FootnoteReference"/>
          <w:rFonts w:ascii="Times New Roman" w:hAnsi="Times New Roman"/>
        </w:rPr>
        <w:footnoteReference w:id="1"/>
      </w:r>
      <w:r w:rsidRPr="00BE21E7">
        <w:rPr>
          <w:rFonts w:ascii="Times New Roman" w:hAnsi="Times New Roman" w:cs="Times New Roman"/>
        </w:rPr>
        <w:t xml:space="preserve"> for ERM purposes, using the pro forma costs proposed by the </w:t>
      </w:r>
      <w:r w:rsidR="006C0205">
        <w:rPr>
          <w:rFonts w:ascii="Times New Roman" w:hAnsi="Times New Roman" w:cs="Times New Roman"/>
        </w:rPr>
        <w:t>Company in this filing</w:t>
      </w:r>
      <w:r w:rsidR="00890D94">
        <w:rPr>
          <w:rFonts w:ascii="Times New Roman" w:hAnsi="Times New Roman" w:cs="Times New Roman"/>
        </w:rPr>
        <w:t>.</w:t>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5C7A39">
        <w:rPr>
          <w:rFonts w:ascii="Times New Roman" w:hAnsi="Times New Roman" w:cs="Times New Roman"/>
        </w:rPr>
        <w:t>5</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 xml:space="preserve">WGJ-2) identifies the power supply expense and revenue items that fall within the scope of my testimony. </w:t>
      </w:r>
      <w:r w:rsidR="006E0068">
        <w:rPr>
          <w:rFonts w:ascii="Times New Roman" w:hAnsi="Times New Roman" w:cs="Times New Roman"/>
        </w:rPr>
        <w:t xml:space="preserve"> </w:t>
      </w:r>
      <w:r w:rsidR="00751E45" w:rsidRPr="00A774E3">
        <w:rPr>
          <w:rFonts w:ascii="Times New Roman" w:hAnsi="Times New Roman" w:cs="Times New Roman"/>
        </w:rPr>
        <w:t>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5C7A39">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w:t>
      </w:r>
      <w:r w:rsidR="007A04C5">
        <w:rPr>
          <w:rFonts w:ascii="Times New Roman" w:hAnsi="Times New Roman" w:cs="Times New Roman"/>
          <w:bCs/>
        </w:rPr>
        <w:t xml:space="preserve">broker fees, </w:t>
      </w:r>
      <w:r w:rsidR="00553EC1">
        <w:rPr>
          <w:rFonts w:ascii="Times New Roman" w:hAnsi="Times New Roman" w:cs="Times New Roman"/>
          <w:bCs/>
        </w:rPr>
        <w:t xml:space="preserve">Colstrip and Coyote Spring 2 O&amp;M expense, </w:t>
      </w:r>
      <w:r w:rsidR="00F22C09" w:rsidRPr="00A774E3">
        <w:rPr>
          <w:rFonts w:ascii="Times New Roman" w:hAnsi="Times New Roman" w:cs="Times New Roman"/>
          <w:bCs/>
        </w:rPr>
        <w:t xml:space="preserve">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w:t>
      </w:r>
      <w:r w:rsidR="005C7A39">
        <w:rPr>
          <w:rFonts w:ascii="Times New Roman" w:hAnsi="Times New Roman" w:cs="Times New Roman"/>
          <w:bCs/>
        </w:rPr>
        <w:t>5</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CC1C97" w:rsidRDefault="00BE21E7" w:rsidP="00F55612">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Company witness Mr. </w:t>
      </w:r>
      <w:proofErr w:type="spellStart"/>
      <w:r w:rsidRPr="00BE21E7">
        <w:rPr>
          <w:rFonts w:ascii="Times New Roman" w:hAnsi="Times New Roman" w:cs="Times New Roman"/>
        </w:rPr>
        <w:t>Kalich</w:t>
      </w:r>
      <w:proofErr w:type="spellEnd"/>
      <w:r w:rsidRPr="00BE21E7">
        <w:rPr>
          <w:rFonts w:ascii="Times New Roman" w:hAnsi="Times New Roman" w:cs="Times New Roman"/>
        </w:rPr>
        <w:t xml:space="preserve">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6E0068" w:rsidRPr="00BE21E7" w:rsidRDefault="006E0068" w:rsidP="00F55612">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w:t>
      </w:r>
      <w:r w:rsidRPr="00BE21E7">
        <w:rPr>
          <w:rFonts w:ascii="Times New Roman" w:hAnsi="Times New Roman" w:cs="Times New Roman"/>
        </w:rPr>
        <w:lastRenderedPageBreak/>
        <w:t xml:space="preserve">for the pro forma </w:t>
      </w:r>
      <w:r w:rsidR="00E33341">
        <w:rPr>
          <w:rFonts w:ascii="Times New Roman" w:hAnsi="Times New Roman" w:cs="Times New Roman"/>
        </w:rPr>
        <w:t xml:space="preserve">rate </w:t>
      </w:r>
      <w:r w:rsidRPr="00BE21E7">
        <w:rPr>
          <w:rFonts w:ascii="Times New Roman" w:hAnsi="Times New Roman" w:cs="Times New Roman"/>
        </w:rPr>
        <w:t xml:space="preserve">period </w:t>
      </w:r>
      <w:r w:rsidR="00E33341">
        <w:rPr>
          <w:rFonts w:ascii="Times New Roman" w:hAnsi="Times New Roman" w:cs="Times New Roman"/>
        </w:rPr>
        <w:t xml:space="preserve">(calendar year 2016) </w:t>
      </w:r>
      <w:r w:rsidRPr="00BE21E7">
        <w:rPr>
          <w:rFonts w:ascii="Times New Roman" w:hAnsi="Times New Roman" w:cs="Times New Roman"/>
        </w:rPr>
        <w:t xml:space="preserve">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w:t>
      </w:r>
      <w:r w:rsidR="00890D94">
        <w:rPr>
          <w:rFonts w:ascii="Times New Roman" w:hAnsi="Times New Roman" w:cs="Times New Roman"/>
        </w:rPr>
        <w:t>Table No. 1</w:t>
      </w:r>
      <w:r w:rsidRPr="00BE21E7">
        <w:rPr>
          <w:rFonts w:ascii="Times New Roman" w:hAnsi="Times New Roman" w:cs="Times New Roman"/>
        </w:rPr>
        <w:t xml:space="preserv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2"/>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166263">
        <w:rPr>
          <w:rFonts w:ascii="Times New Roman" w:hAnsi="Times New Roman" w:cs="Times New Roman"/>
        </w:rPr>
        <w:t>rates, which</w:t>
      </w:r>
      <w:r w:rsidR="00166263" w:rsidRPr="00BE21E7">
        <w:rPr>
          <w:rFonts w:ascii="Times New Roman" w:hAnsi="Times New Roman" w:cs="Times New Roman"/>
        </w:rPr>
        <w:t xml:space="preserve"> are</w:t>
      </w:r>
      <w:r w:rsidRPr="00BE21E7">
        <w:rPr>
          <w:rFonts w:ascii="Times New Roman" w:hAnsi="Times New Roman" w:cs="Times New Roman"/>
        </w:rPr>
        <w:t xml:space="preserve"> based on a calendar </w:t>
      </w:r>
      <w:r w:rsidR="00615B6C" w:rsidRPr="00BE21E7">
        <w:rPr>
          <w:rFonts w:ascii="Times New Roman" w:hAnsi="Times New Roman" w:cs="Times New Roman"/>
        </w:rPr>
        <w:t>20</w:t>
      </w:r>
      <w:r w:rsidR="00615B6C">
        <w:rPr>
          <w:rFonts w:ascii="Times New Roman" w:hAnsi="Times New Roman" w:cs="Times New Roman"/>
        </w:rPr>
        <w:t>15</w:t>
      </w:r>
      <w:r w:rsidR="00615B6C" w:rsidRPr="00BE21E7">
        <w:rPr>
          <w:rFonts w:ascii="Times New Roman" w:hAnsi="Times New Roman" w:cs="Times New Roman"/>
        </w:rPr>
        <w:t xml:space="preserve"> </w:t>
      </w:r>
      <w:r w:rsidRPr="00BE21E7">
        <w:rPr>
          <w:rFonts w:ascii="Times New Roman" w:hAnsi="Times New Roman" w:cs="Times New Roman"/>
        </w:rPr>
        <w:t>pro forma period, is also shown.</w:t>
      </w:r>
    </w:p>
    <w:p w:rsidR="00890D94" w:rsidRPr="00890D94" w:rsidRDefault="00890D94" w:rsidP="00890D94">
      <w:pPr>
        <w:pStyle w:val="TestBody"/>
        <w:spacing w:line="480" w:lineRule="auto"/>
        <w:ind w:left="0" w:firstLine="0"/>
        <w:rPr>
          <w:rFonts w:ascii="Times New Roman" w:hAnsi="Times New Roman" w:cs="Times New Roman"/>
          <w:b/>
          <w:u w:val="single"/>
        </w:rPr>
      </w:pPr>
      <w:r w:rsidRPr="00890D94">
        <w:rPr>
          <w:rFonts w:ascii="Times New Roman" w:hAnsi="Times New Roman" w:cs="Times New Roman"/>
          <w:b/>
          <w:u w:val="single"/>
        </w:rPr>
        <w:t>Table No. 1:</w:t>
      </w:r>
    </w:p>
    <w:p w:rsidR="00DB1DF5" w:rsidRDefault="00E33341" w:rsidP="00DB1DF5">
      <w:pPr>
        <w:pStyle w:val="TestBody"/>
        <w:spacing w:line="480" w:lineRule="auto"/>
        <w:ind w:left="0" w:firstLine="0"/>
        <w:rPr>
          <w:rFonts w:ascii="Times New Roman" w:hAnsi="Times New Roman" w:cs="Times New Roman"/>
        </w:rPr>
      </w:pPr>
      <w:r w:rsidRPr="00E33341">
        <w:rPr>
          <w:noProof/>
        </w:rPr>
        <w:drawing>
          <wp:inline distT="0" distB="0" distL="0" distR="0">
            <wp:extent cx="5669280" cy="2951873"/>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69280" cy="2951873"/>
                    </a:xfrm>
                    <a:prstGeom prst="rect">
                      <a:avLst/>
                    </a:prstGeom>
                    <a:noFill/>
                    <a:ln w="9525">
                      <a:noFill/>
                      <a:miter lim="800000"/>
                      <a:headEnd/>
                      <a:tailEnd/>
                    </a:ln>
                  </pic:spPr>
                </pic:pic>
              </a:graphicData>
            </a:graphic>
          </wp:inline>
        </w:drawing>
      </w:r>
    </w:p>
    <w:p w:rsidR="008D07D9" w:rsidRDefault="00BE21E7" w:rsidP="001A4335">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w:t>
      </w:r>
      <w:r w:rsidR="00D63340">
        <w:rPr>
          <w:rFonts w:ascii="Times New Roman" w:hAnsi="Times New Roman" w:cs="Times New Roman"/>
        </w:rPr>
        <w:t>n</w:t>
      </w:r>
      <w:r w:rsidR="00DB55EE">
        <w:rPr>
          <w:rFonts w:ascii="Times New Roman" w:hAnsi="Times New Roman" w:cs="Times New Roman"/>
        </w:rPr>
        <w:t xml:space="preserve"> </w:t>
      </w:r>
      <w:r w:rsidR="00D63340">
        <w:rPr>
          <w:rFonts w:ascii="Times New Roman" w:hAnsi="Times New Roman" w:cs="Times New Roman"/>
        </w:rPr>
        <w:t>in</w:t>
      </w:r>
      <w:r w:rsidR="00DB55EE">
        <w:rPr>
          <w:rFonts w:ascii="Times New Roman" w:hAnsi="Times New Roman" w:cs="Times New Roman"/>
        </w:rPr>
        <w:t>crease</w:t>
      </w:r>
      <w:r w:rsidRPr="00BE21E7">
        <w:rPr>
          <w:rFonts w:ascii="Times New Roman" w:hAnsi="Times New Roman" w:cs="Times New Roman"/>
        </w:rPr>
        <w:t xml:space="preserve"> of </w:t>
      </w:r>
      <w:r w:rsidRPr="0072665A">
        <w:rPr>
          <w:rFonts w:ascii="Times New Roman" w:hAnsi="Times New Roman" w:cs="Times New Roman"/>
        </w:rPr>
        <w:t>$</w:t>
      </w:r>
      <w:r w:rsidR="00291602">
        <w:rPr>
          <w:rFonts w:ascii="Times New Roman" w:hAnsi="Times New Roman" w:cs="Times New Roman"/>
        </w:rPr>
        <w:t>6,923</w:t>
      </w:r>
      <w:r w:rsidR="0072665A" w:rsidRPr="0072665A">
        <w:rPr>
          <w:rFonts w:ascii="Times New Roman" w:hAnsi="Times New Roman" w:cs="Times New Roman"/>
        </w:rPr>
        <w:t>,00</w:t>
      </w:r>
      <w:r w:rsidR="00291602">
        <w:rPr>
          <w:rFonts w:ascii="Times New Roman" w:hAnsi="Times New Roman" w:cs="Times New Roman"/>
        </w:rPr>
        <w:t>0 ($214,108</w:t>
      </w:r>
      <w:r w:rsidR="00DB55EE">
        <w:rPr>
          <w:rFonts w:ascii="Times New Roman" w:hAnsi="Times New Roman" w:cs="Times New Roman"/>
        </w:rPr>
        <w:t>,000</w:t>
      </w:r>
      <w:r w:rsidRPr="0072665A">
        <w:rPr>
          <w:rFonts w:ascii="Times New Roman" w:hAnsi="Times New Roman" w:cs="Times New Roman"/>
        </w:rPr>
        <w:t xml:space="preserve"> - $</w:t>
      </w:r>
      <w:r w:rsidR="00291602">
        <w:rPr>
          <w:rFonts w:ascii="Times New Roman" w:hAnsi="Times New Roman" w:cs="Times New Roman"/>
        </w:rPr>
        <w:t>207,185</w:t>
      </w:r>
      <w:r w:rsidRPr="0072665A">
        <w:rPr>
          <w:rFonts w:ascii="Times New Roman" w:hAnsi="Times New Roman" w:cs="Times New Roman"/>
        </w:rPr>
        <w:t>,000)</w:t>
      </w:r>
      <w:r w:rsidR="00407CC1">
        <w:rPr>
          <w:rFonts w:ascii="Times New Roman" w:hAnsi="Times New Roman" w:cs="Times New Roman"/>
        </w:rPr>
        <w:t xml:space="preserve"> on a system basis</w:t>
      </w:r>
      <w:r w:rsidR="00291602">
        <w:rPr>
          <w:rFonts w:ascii="Times New Roman" w:hAnsi="Times New Roman" w:cs="Times New Roman"/>
        </w:rPr>
        <w:t xml:space="preserve"> and $4</w:t>
      </w:r>
      <w:r w:rsidR="00C55E1F">
        <w:rPr>
          <w:rFonts w:ascii="Times New Roman" w:hAnsi="Times New Roman" w:cs="Times New Roman"/>
        </w:rPr>
        <w:t>,</w:t>
      </w:r>
      <w:r w:rsidR="00291602">
        <w:rPr>
          <w:rFonts w:ascii="Times New Roman" w:hAnsi="Times New Roman" w:cs="Times New Roman"/>
        </w:rPr>
        <w:t>513</w:t>
      </w:r>
      <w:r w:rsidR="00C55E1F">
        <w:rPr>
          <w:rFonts w:ascii="Times New Roman" w:hAnsi="Times New Roman" w:cs="Times New Roman"/>
        </w:rPr>
        <w:t>,</w:t>
      </w:r>
      <w:r w:rsidR="00291602">
        <w:rPr>
          <w:rFonts w:ascii="Times New Roman" w:hAnsi="Times New Roman" w:cs="Times New Roman"/>
        </w:rPr>
        <w:t>104</w:t>
      </w:r>
      <w:r w:rsidR="00C55E1F">
        <w:rPr>
          <w:rFonts w:ascii="Times New Roman" w:hAnsi="Times New Roman" w:cs="Times New Roman"/>
        </w:rPr>
        <w:t xml:space="preserve"> Washington allocation</w:t>
      </w:r>
      <w:r w:rsidRPr="00BE21E7">
        <w:rPr>
          <w:rFonts w:ascii="Times New Roman" w:hAnsi="Times New Roman" w:cs="Times New Roman"/>
        </w:rPr>
        <w:t>.</w:t>
      </w:r>
      <w:r w:rsidR="006E0068">
        <w:rPr>
          <w:rFonts w:ascii="Times New Roman" w:hAnsi="Times New Roman" w:cs="Times New Roman"/>
        </w:rPr>
        <w:t xml:space="preserve"> </w:t>
      </w:r>
      <w:r w:rsidRPr="00BE21E7">
        <w:rPr>
          <w:rFonts w:ascii="Times New Roman" w:hAnsi="Times New Roman" w:cs="Times New Roman"/>
        </w:rPr>
        <w:t xml:space="preserve"> </w:t>
      </w:r>
      <w:r w:rsidR="00291602">
        <w:rPr>
          <w:rFonts w:ascii="Times New Roman" w:hAnsi="Times New Roman" w:cs="Times New Roman"/>
        </w:rPr>
        <w:t>As I explain later in my testimony the Company is proposing to include operations and maintenance (O&amp;M</w:t>
      </w:r>
      <w:r w:rsidR="008D07D9">
        <w:rPr>
          <w:rFonts w:ascii="Times New Roman" w:hAnsi="Times New Roman" w:cs="Times New Roman"/>
        </w:rPr>
        <w:t>)</w:t>
      </w:r>
      <w:r w:rsidR="00291602">
        <w:rPr>
          <w:rFonts w:ascii="Times New Roman" w:hAnsi="Times New Roman" w:cs="Times New Roman"/>
        </w:rPr>
        <w:t xml:space="preserve"> expense at </w:t>
      </w:r>
      <w:r w:rsidR="008D07D9">
        <w:rPr>
          <w:rFonts w:ascii="Times New Roman" w:hAnsi="Times New Roman" w:cs="Times New Roman"/>
        </w:rPr>
        <w:t>Colstrip and Coyote Springs 2 as part of base</w:t>
      </w:r>
      <w:r w:rsidR="00291602">
        <w:rPr>
          <w:rFonts w:ascii="Times New Roman" w:hAnsi="Times New Roman" w:cs="Times New Roman"/>
        </w:rPr>
        <w:t xml:space="preserve"> power supply expense</w:t>
      </w:r>
      <w:r w:rsidR="008D07D9">
        <w:rPr>
          <w:rFonts w:ascii="Times New Roman" w:hAnsi="Times New Roman" w:cs="Times New Roman"/>
        </w:rPr>
        <w:t xml:space="preserve"> used for the Energy Recovery Mechanism (ERM).</w:t>
      </w:r>
      <w:r w:rsidR="002A24F7">
        <w:rPr>
          <w:rFonts w:ascii="Times New Roman" w:hAnsi="Times New Roman" w:cs="Times New Roman"/>
        </w:rPr>
        <w:t xml:space="preserve">  The approved level of </w:t>
      </w:r>
      <w:r w:rsidR="008D07D9">
        <w:rPr>
          <w:rFonts w:ascii="Times New Roman" w:hAnsi="Times New Roman" w:cs="Times New Roman"/>
        </w:rPr>
        <w:t xml:space="preserve">base power supply expense </w:t>
      </w:r>
      <w:r w:rsidR="002A24F7">
        <w:rPr>
          <w:rFonts w:ascii="Times New Roman" w:hAnsi="Times New Roman" w:cs="Times New Roman"/>
        </w:rPr>
        <w:t>current</w:t>
      </w:r>
      <w:r w:rsidR="008D07D9">
        <w:rPr>
          <w:rFonts w:ascii="Times New Roman" w:hAnsi="Times New Roman" w:cs="Times New Roman"/>
        </w:rPr>
        <w:t xml:space="preserve">ly </w:t>
      </w:r>
      <w:r w:rsidR="002A24F7">
        <w:rPr>
          <w:rFonts w:ascii="Times New Roman" w:hAnsi="Times New Roman" w:cs="Times New Roman"/>
        </w:rPr>
        <w:t xml:space="preserve">does not include this O&amp;M expense.  </w:t>
      </w:r>
      <w:r w:rsidR="002A24F7">
        <w:rPr>
          <w:rFonts w:ascii="Times New Roman" w:hAnsi="Times New Roman" w:cs="Times New Roman"/>
        </w:rPr>
        <w:lastRenderedPageBreak/>
        <w:t xml:space="preserve">Absent the O&amp;M expense at Colstrip and Coyote Springs 2, </w:t>
      </w:r>
      <w:r w:rsidR="008D07D9">
        <w:rPr>
          <w:rFonts w:ascii="Times New Roman" w:hAnsi="Times New Roman" w:cs="Times New Roman"/>
        </w:rPr>
        <w:t xml:space="preserve">base </w:t>
      </w:r>
      <w:r w:rsidR="002A24F7">
        <w:rPr>
          <w:rFonts w:ascii="Times New Roman" w:hAnsi="Times New Roman" w:cs="Times New Roman"/>
        </w:rPr>
        <w:t xml:space="preserve">power supply expense decreased </w:t>
      </w:r>
      <w:r w:rsidRPr="008A35A7">
        <w:rPr>
          <w:rFonts w:ascii="Times New Roman" w:hAnsi="Times New Roman" w:cs="Times New Roman"/>
        </w:rPr>
        <w:t>$</w:t>
      </w:r>
      <w:r w:rsidR="008A1678">
        <w:rPr>
          <w:rFonts w:ascii="Times New Roman" w:hAnsi="Times New Roman" w:cs="Times New Roman"/>
        </w:rPr>
        <w:t>902,230</w:t>
      </w:r>
      <w:r w:rsidR="00200197">
        <w:rPr>
          <w:rFonts w:ascii="Times New Roman" w:hAnsi="Times New Roman" w:cs="Times New Roman"/>
        </w:rPr>
        <w:t xml:space="preserve"> </w:t>
      </w:r>
      <w:r w:rsidR="002A24F7">
        <w:rPr>
          <w:rFonts w:ascii="Times New Roman" w:hAnsi="Times New Roman" w:cs="Times New Roman"/>
        </w:rPr>
        <w:t>(</w:t>
      </w:r>
      <w:r w:rsidR="00200197">
        <w:rPr>
          <w:rFonts w:ascii="Times New Roman" w:hAnsi="Times New Roman" w:cs="Times New Roman"/>
        </w:rPr>
        <w:t>Washington allocation</w:t>
      </w:r>
      <w:r w:rsidR="002A24F7">
        <w:rPr>
          <w:rFonts w:ascii="Times New Roman" w:hAnsi="Times New Roman" w:cs="Times New Roman"/>
        </w:rPr>
        <w:t>) from the current approved level</w:t>
      </w:r>
      <w:r w:rsidR="00200197">
        <w:rPr>
          <w:rFonts w:ascii="Times New Roman" w:hAnsi="Times New Roman" w:cs="Times New Roman"/>
        </w:rPr>
        <w:t xml:space="preserve">. </w:t>
      </w:r>
    </w:p>
    <w:p w:rsidR="00BE21E7" w:rsidRDefault="008D07D9" w:rsidP="00291602">
      <w:pPr>
        <w:pStyle w:val="TestBody"/>
        <w:spacing w:line="480" w:lineRule="auto"/>
        <w:ind w:left="0" w:firstLine="0"/>
        <w:rPr>
          <w:rFonts w:ascii="Times New Roman" w:hAnsi="Times New Roman" w:cs="Times New Roman"/>
        </w:rPr>
      </w:pPr>
      <w:r>
        <w:rPr>
          <w:rFonts w:ascii="Times New Roman" w:hAnsi="Times New Roman" w:cs="Times New Roman"/>
        </w:rPr>
        <w:tab/>
        <w:t>The Colstrip and Coyote Springs 2 O&amp;M expense is currently included in the determination of retail rates, but in a cost category separate from base power supply expense</w:t>
      </w:r>
      <w:r w:rsidR="00435577">
        <w:rPr>
          <w:rFonts w:ascii="Times New Roman" w:hAnsi="Times New Roman" w:cs="Times New Roman"/>
        </w:rPr>
        <w:t>.  We are proposing to consolidate these O&amp;M expenses with base power supply expenses for rate making purposes</w:t>
      </w:r>
      <w:r w:rsidR="00460B02">
        <w:rPr>
          <w:rFonts w:ascii="Times New Roman" w:hAnsi="Times New Roman" w:cs="Times New Roman"/>
        </w:rPr>
        <w:t xml:space="preserve">, </w:t>
      </w:r>
      <w:r w:rsidR="00435577">
        <w:rPr>
          <w:rFonts w:ascii="Times New Roman" w:hAnsi="Times New Roman" w:cs="Times New Roman"/>
        </w:rPr>
        <w:t xml:space="preserve"> because they are interrelated </w:t>
      </w:r>
      <w:r w:rsidR="00460B02">
        <w:rPr>
          <w:rFonts w:ascii="Times New Roman" w:hAnsi="Times New Roman" w:cs="Times New Roman"/>
        </w:rPr>
        <w:t>with</w:t>
      </w:r>
      <w:r w:rsidR="00435577">
        <w:rPr>
          <w:rFonts w:ascii="Times New Roman" w:hAnsi="Times New Roman" w:cs="Times New Roman"/>
        </w:rPr>
        <w:t xml:space="preserve"> the level of base power supply expense.</w:t>
      </w:r>
      <w:r w:rsidR="00200197">
        <w:rPr>
          <w:rFonts w:ascii="Times New Roman" w:hAnsi="Times New Roman" w:cs="Times New Roman"/>
        </w:rPr>
        <w:t xml:space="preserve"> </w:t>
      </w:r>
    </w:p>
    <w:p w:rsidR="006E0068" w:rsidRPr="00BE21E7" w:rsidRDefault="006E0068" w:rsidP="008A45E4">
      <w:pPr>
        <w:pStyle w:val="TestBody"/>
        <w:spacing w:line="480" w:lineRule="auto"/>
        <w:ind w:left="0" w:firstLine="720"/>
        <w:rPr>
          <w:rFonts w:ascii="Times New Roman" w:hAnsi="Times New Roman" w:cs="Times New Roman"/>
        </w:rPr>
      </w:pPr>
    </w:p>
    <w:p w:rsidR="00BE21E7" w:rsidRPr="00945166" w:rsidRDefault="00BE21E7" w:rsidP="00945166">
      <w:pPr>
        <w:pStyle w:val="BodyText"/>
        <w:spacing w:line="480" w:lineRule="auto"/>
        <w:ind w:firstLine="720"/>
        <w:rPr>
          <w:bCs w:val="0"/>
          <w:u w:val="single"/>
        </w:rPr>
      </w:pPr>
      <w:r w:rsidRPr="00945166">
        <w:rPr>
          <w:bCs w:val="0"/>
          <w:u w:val="single"/>
        </w:rPr>
        <w:t>III.</w:t>
      </w:r>
      <w:r w:rsidRPr="00945166">
        <w:rPr>
          <w:bCs w:val="0"/>
          <w:u w:val="single"/>
        </w:rPr>
        <w:tab/>
        <w:t>PRO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w:t>
      </w:r>
      <w:r w:rsidR="00304235">
        <w:rPr>
          <w:rFonts w:ascii="Times New Roman" w:hAnsi="Times New Roman" w:cs="Times New Roman"/>
        </w:rPr>
        <w:t xml:space="preserve">Colstrip and Coyote Springs 2 O&amp;M expense, </w:t>
      </w:r>
      <w:r w:rsidRPr="00BE21E7">
        <w:rPr>
          <w:rFonts w:ascii="Times New Roman" w:hAnsi="Times New Roman" w:cs="Times New Roman"/>
        </w:rPr>
        <w:t xml:space="preserve">and other miscellaneous power supply expenses and revenues.  </w:t>
      </w:r>
    </w:p>
    <w:p w:rsidR="00304235" w:rsidRPr="00BE21E7" w:rsidRDefault="00304235" w:rsidP="00304235">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Pr>
          <w:rFonts w:ascii="Times New Roman" w:hAnsi="Times New Roman" w:cs="Times New Roman"/>
          <w:b/>
        </w:rPr>
        <w:tab/>
      </w:r>
      <w:r w:rsidRPr="00BE21E7">
        <w:rPr>
          <w:rFonts w:ascii="Times New Roman" w:hAnsi="Times New Roman" w:cs="Times New Roman"/>
          <w:b/>
        </w:rPr>
        <w:t>Are there any changes in how the pro forma in this case was develo</w:t>
      </w:r>
      <w:r>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304235" w:rsidRPr="00BE21E7" w:rsidRDefault="00304235" w:rsidP="007A04C5">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As noted above</w:t>
      </w:r>
      <w:r w:rsidR="006E4941">
        <w:rPr>
          <w:rFonts w:ascii="Times New Roman" w:hAnsi="Times New Roman" w:cs="Times New Roman"/>
        </w:rPr>
        <w:t>,</w:t>
      </w:r>
      <w:r>
        <w:rPr>
          <w:rFonts w:ascii="Times New Roman" w:hAnsi="Times New Roman" w:cs="Times New Roman"/>
        </w:rPr>
        <w:t xml:space="preserve"> and explained later in my testimony, power supply expense now includes O&amp;M expense at Colstrip and Coyote Springs 2.  Other than the inclusion of the O&amp;M expense</w:t>
      </w:r>
      <w:r w:rsidR="00460B02">
        <w:rPr>
          <w:rFonts w:ascii="Times New Roman" w:hAnsi="Times New Roman" w:cs="Times New Roman"/>
        </w:rPr>
        <w:t>,</w:t>
      </w:r>
      <w:r>
        <w:rPr>
          <w:rFonts w:ascii="Times New Roman" w:hAnsi="Times New Roman" w:cs="Times New Roman"/>
        </w:rPr>
        <w:t xml:space="preserve"> t</w:t>
      </w:r>
      <w:r w:rsidRPr="00BE21E7">
        <w:rPr>
          <w:rFonts w:ascii="Times New Roman" w:hAnsi="Times New Roman" w:cs="Times New Roman"/>
        </w:rPr>
        <w:t>he process to develop the pro forma net power supply expense in th</w:t>
      </w:r>
      <w:r>
        <w:rPr>
          <w:rFonts w:ascii="Times New Roman" w:hAnsi="Times New Roman" w:cs="Times New Roman"/>
        </w:rPr>
        <w:t>is case is the same as the process used to develop authorized power supply expense in current base rates</w:t>
      </w:r>
      <w:r w:rsidRPr="00BE21E7">
        <w:rPr>
          <w:rFonts w:ascii="Times New Roman" w:hAnsi="Times New Roman" w:cs="Times New Roman"/>
        </w:rPr>
        <w:t>.</w:t>
      </w:r>
      <w:r>
        <w:rPr>
          <w:rFonts w:ascii="Times New Roman" w:hAnsi="Times New Roman" w:cs="Times New Roman"/>
        </w:rPr>
        <w:t xml:space="preserve">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xml:space="preserve">, as explained by Mr. </w:t>
      </w:r>
      <w:proofErr w:type="spellStart"/>
      <w:r w:rsidR="007A6DE3">
        <w:rPr>
          <w:rFonts w:ascii="Times New Roman" w:hAnsi="Times New Roman" w:cs="Times New Roman"/>
        </w:rPr>
        <w:t>Kalich</w:t>
      </w:r>
      <w:proofErr w:type="spellEnd"/>
      <w:r w:rsidR="007A6DE3">
        <w:rPr>
          <w:rFonts w:ascii="Times New Roman" w:hAnsi="Times New Roman" w:cs="Times New Roman"/>
        </w:rPr>
        <w:t>,</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How </w:t>
      </w:r>
      <w:proofErr w:type="gramStart"/>
      <w:r w:rsidRPr="00BE21E7">
        <w:rPr>
          <w:rFonts w:ascii="Times New Roman" w:hAnsi="Times New Roman" w:cs="Times New Roman"/>
          <w:b/>
          <w:bCs/>
        </w:rPr>
        <w:t>are</w:t>
      </w:r>
      <w:proofErr w:type="gramEnd"/>
      <w:r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49447F" w:rsidRDefault="0049447F"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r w:rsidR="00332E92">
        <w:rPr>
          <w:rFonts w:ascii="Times New Roman" w:hAnsi="Times New Roman" w:cs="Times New Roman"/>
        </w:rPr>
        <w:t xml:space="preserve"> However, the </w:t>
      </w:r>
      <w:r w:rsidR="00166263">
        <w:rPr>
          <w:rFonts w:ascii="Times New Roman" w:hAnsi="Times New Roman" w:cs="Times New Roman"/>
        </w:rPr>
        <w:t>volume of</w:t>
      </w:r>
      <w:r w:rsidR="00332E92">
        <w:rPr>
          <w:rFonts w:ascii="Times New Roman" w:hAnsi="Times New Roman" w:cs="Times New Roman"/>
        </w:rPr>
        <w:t xml:space="preserve"> the Rocky Reach/Rock Island purchase </w:t>
      </w:r>
      <w:r w:rsidR="00BE64BC">
        <w:rPr>
          <w:rFonts w:ascii="Times New Roman" w:hAnsi="Times New Roman" w:cs="Times New Roman"/>
        </w:rPr>
        <w:t>has</w:t>
      </w:r>
      <w:r w:rsidR="00332E92">
        <w:rPr>
          <w:rFonts w:ascii="Times New Roman" w:hAnsi="Times New Roman" w:cs="Times New Roman"/>
        </w:rPr>
        <w:t xml:space="preserve"> changed.  The Rocky Reach/Rock Island purchase is included in the 2016 pro forma as a 5 </w:t>
      </w:r>
      <w:r w:rsidR="00332E92">
        <w:rPr>
          <w:rFonts w:ascii="Times New Roman" w:hAnsi="Times New Roman" w:cs="Times New Roman"/>
        </w:rPr>
        <w:lastRenderedPageBreak/>
        <w:t>percent share.  The Company has been in discussion with Chelan PUD ab</w:t>
      </w:r>
      <w:r w:rsidR="006E4941">
        <w:rPr>
          <w:rFonts w:ascii="Times New Roman" w:hAnsi="Times New Roman" w:cs="Times New Roman"/>
        </w:rPr>
        <w:t>out purchasing a 5 percent share</w:t>
      </w:r>
      <w:r w:rsidR="00332E92">
        <w:rPr>
          <w:rFonts w:ascii="Times New Roman" w:hAnsi="Times New Roman" w:cs="Times New Roman"/>
        </w:rPr>
        <w:t xml:space="preserve"> in 2016.  Current base</w:t>
      </w:r>
      <w:r w:rsidR="006E4941">
        <w:rPr>
          <w:rFonts w:ascii="Times New Roman" w:hAnsi="Times New Roman" w:cs="Times New Roman"/>
        </w:rPr>
        <w:t xml:space="preserve"> rates include a 4 percent share</w:t>
      </w:r>
      <w:r w:rsidR="00332E92">
        <w:rPr>
          <w:rFonts w:ascii="Times New Roman" w:hAnsi="Times New Roman" w:cs="Times New Roman"/>
        </w:rPr>
        <w:t xml:space="preserve"> of Rocky Reach/Rock Island.  </w:t>
      </w:r>
      <w:r w:rsidR="00BE64BC">
        <w:rPr>
          <w:rFonts w:ascii="Times New Roman" w:hAnsi="Times New Roman" w:cs="Times New Roman"/>
        </w:rPr>
        <w:t>A new</w:t>
      </w:r>
      <w:r w:rsidR="00EA73D4">
        <w:rPr>
          <w:rFonts w:ascii="Times New Roman" w:hAnsi="Times New Roman" w:cs="Times New Roman"/>
        </w:rPr>
        <w:t xml:space="preserve"> contract is expected to be</w:t>
      </w:r>
      <w:r w:rsidR="00332E92">
        <w:rPr>
          <w:rFonts w:ascii="Times New Roman" w:hAnsi="Times New Roman" w:cs="Times New Roman"/>
        </w:rPr>
        <w:t xml:space="preserve"> finalized sometime in </w:t>
      </w:r>
      <w:r w:rsidR="00EA73D4">
        <w:rPr>
          <w:rFonts w:ascii="Times New Roman" w:hAnsi="Times New Roman" w:cs="Times New Roman"/>
        </w:rPr>
        <w:t>early</w:t>
      </w:r>
      <w:r w:rsidR="00332E92">
        <w:rPr>
          <w:rFonts w:ascii="Times New Roman" w:hAnsi="Times New Roman" w:cs="Times New Roman"/>
        </w:rPr>
        <w:t xml:space="preserve"> 2015.</w:t>
      </w:r>
    </w:p>
    <w:p w:rsidR="00332E92" w:rsidRDefault="00332E92"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 xml:space="preserve">The purchase of the Colville Tribe’s share of the Wells dam is not included in the 2016 </w:t>
      </w:r>
      <w:r w:rsidR="00166263">
        <w:rPr>
          <w:rFonts w:ascii="Times New Roman" w:hAnsi="Times New Roman" w:cs="Times New Roman"/>
        </w:rPr>
        <w:t>pro forma</w:t>
      </w:r>
      <w:r>
        <w:rPr>
          <w:rFonts w:ascii="Times New Roman" w:hAnsi="Times New Roman" w:cs="Times New Roman"/>
        </w:rPr>
        <w:t xml:space="preserve">.  It was in the 2015 pro forma for the first quarter only.  The Company has been purchasing </w:t>
      </w:r>
      <w:r w:rsidR="007544BA">
        <w:rPr>
          <w:rFonts w:ascii="Times New Roman" w:hAnsi="Times New Roman" w:cs="Times New Roman"/>
        </w:rPr>
        <w:t>this product on a shorter term basis lately and may make a purchase for a portion of 2016.  If so, the Company would propose to include the purchase in a power supply update later in 2015.</w:t>
      </w:r>
    </w:p>
    <w:p w:rsidR="00B12AD5" w:rsidRDefault="00B12AD5"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The 2016 pro forma includes a full year of Portland Gen</w:t>
      </w:r>
      <w:r w:rsidR="00BE64BC">
        <w:rPr>
          <w:rFonts w:ascii="Times New Roman" w:hAnsi="Times New Roman" w:cs="Times New Roman"/>
        </w:rPr>
        <w:t>e</w:t>
      </w:r>
      <w:r>
        <w:rPr>
          <w:rFonts w:ascii="Times New Roman" w:hAnsi="Times New Roman" w:cs="Times New Roman"/>
        </w:rPr>
        <w:t>ral Electric capacity sale revenue.  Current bases rates only include 11 months of revenu</w:t>
      </w:r>
      <w:r w:rsidR="00A93765">
        <w:rPr>
          <w:rFonts w:ascii="Times New Roman" w:hAnsi="Times New Roman" w:cs="Times New Roman"/>
        </w:rPr>
        <w:t xml:space="preserve">e because the monetization </w:t>
      </w:r>
      <w:r>
        <w:rPr>
          <w:rFonts w:ascii="Times New Roman" w:hAnsi="Times New Roman" w:cs="Times New Roman"/>
        </w:rPr>
        <w:t xml:space="preserve">period ended </w:t>
      </w:r>
      <w:r w:rsidR="00166263">
        <w:rPr>
          <w:rFonts w:ascii="Times New Roman" w:hAnsi="Times New Roman" w:cs="Times New Roman"/>
        </w:rPr>
        <w:t>January</w:t>
      </w:r>
      <w:r>
        <w:rPr>
          <w:rFonts w:ascii="Times New Roman" w:hAnsi="Times New Roman" w:cs="Times New Roman"/>
        </w:rPr>
        <w:t xml:space="preserve"> 2015 and the full revenue from the contract returned to the Company beginning February 2015.</w:t>
      </w:r>
    </w:p>
    <w:p w:rsidR="00BE21E7" w:rsidRPr="00BE21E7" w:rsidRDefault="0049447F" w:rsidP="0049447F">
      <w:pPr>
        <w:pStyle w:val="TestBody"/>
        <w:tabs>
          <w:tab w:val="num" w:pos="0"/>
        </w:tabs>
        <w:spacing w:line="480" w:lineRule="auto"/>
        <w:ind w:left="0" w:firstLine="720"/>
        <w:rPr>
          <w:rFonts w:ascii="Times New Roman" w:hAnsi="Times New Roman" w:cs="Times New Roman"/>
          <w:b/>
        </w:rPr>
      </w:pPr>
      <w:r w:rsidRPr="00F4413D">
        <w:rPr>
          <w:rFonts w:ascii="Times New Roman" w:hAnsi="Times New Roman" w:cs="Times New Roman"/>
          <w:b/>
        </w:rPr>
        <w:t>Q.</w:t>
      </w:r>
      <w:r>
        <w:rPr>
          <w:rFonts w:ascii="Times New Roman" w:hAnsi="Times New Roman" w:cs="Times New Roman"/>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C507EB" w:rsidRDefault="00BE21E7" w:rsidP="00890D94">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B12AD5">
        <w:rPr>
          <w:rFonts w:ascii="Times New Roman" w:hAnsi="Times New Roman" w:cs="Times New Roman"/>
        </w:rPr>
        <w:t xml:space="preserve">Yes.  As mentioned </w:t>
      </w:r>
      <w:r w:rsidR="00BE64BC">
        <w:rPr>
          <w:rFonts w:ascii="Times New Roman" w:hAnsi="Times New Roman" w:cs="Times New Roman"/>
        </w:rPr>
        <w:t xml:space="preserve">above, </w:t>
      </w:r>
      <w:r w:rsidR="00B12AD5">
        <w:rPr>
          <w:rFonts w:ascii="Times New Roman" w:hAnsi="Times New Roman" w:cs="Times New Roman"/>
        </w:rPr>
        <w:t xml:space="preserve">current base rates include </w:t>
      </w:r>
      <w:r w:rsidR="00BE64BC">
        <w:rPr>
          <w:rFonts w:ascii="Times New Roman" w:hAnsi="Times New Roman" w:cs="Times New Roman"/>
        </w:rPr>
        <w:t>a three months</w:t>
      </w:r>
      <w:r w:rsidR="00B12AD5" w:rsidRPr="00B12AD5">
        <w:rPr>
          <w:rFonts w:ascii="Times New Roman" w:hAnsi="Times New Roman" w:cs="Times New Roman"/>
        </w:rPr>
        <w:t xml:space="preserve"> </w:t>
      </w:r>
      <w:r w:rsidR="00B12AD5">
        <w:rPr>
          <w:rFonts w:ascii="Times New Roman" w:hAnsi="Times New Roman" w:cs="Times New Roman"/>
        </w:rPr>
        <w:t>purchase of the Colville Tribe’s share of the Wells dam that is not included in the 2016 pro</w:t>
      </w:r>
      <w:r w:rsidR="00BE64BC">
        <w:rPr>
          <w:rFonts w:ascii="Times New Roman" w:hAnsi="Times New Roman" w:cs="Times New Roman"/>
        </w:rPr>
        <w:t xml:space="preserve"> </w:t>
      </w:r>
      <w:r w:rsidR="00B12AD5">
        <w:rPr>
          <w:rFonts w:ascii="Times New Roman" w:hAnsi="Times New Roman" w:cs="Times New Roman"/>
        </w:rPr>
        <w:t>forma.</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w:t>
      </w:r>
      <w:r w:rsidRPr="00BE21E7">
        <w:rPr>
          <w:rFonts w:ascii="Times New Roman" w:hAnsi="Times New Roman" w:cs="Times New Roman"/>
        </w:rPr>
        <w:lastRenderedPageBreak/>
        <w:t xml:space="preserve">transactions represents the price of spot market power as determined by the AURORA model. </w:t>
      </w:r>
      <w:r w:rsidR="00095636">
        <w:rPr>
          <w:rFonts w:ascii="Times New Roman" w:hAnsi="Times New Roman" w:cs="Times New Roman"/>
        </w:rPr>
        <w:t xml:space="preserve"> Short-term </w:t>
      </w:r>
      <w:r w:rsidR="00BE221B">
        <w:rPr>
          <w:rFonts w:ascii="Times New Roman" w:hAnsi="Times New Roman" w:cs="Times New Roman"/>
        </w:rPr>
        <w:t xml:space="preserve">fixed price </w:t>
      </w:r>
      <w:r w:rsidR="00095636">
        <w:rPr>
          <w:rFonts w:ascii="Times New Roman" w:hAnsi="Times New Roman" w:cs="Times New Roman"/>
        </w:rPr>
        <w:t>financial electric and 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4B4163" w:rsidRPr="004B4163">
        <w:rPr>
          <w:rFonts w:ascii="Times New Roman" w:hAnsi="Times New Roman" w:cs="Times New Roman"/>
        </w:rPr>
        <w:t xml:space="preserve">late </w:t>
      </w:r>
      <w:r w:rsidR="005A6D43" w:rsidRPr="004B4163">
        <w:rPr>
          <w:rFonts w:ascii="Times New Roman" w:hAnsi="Times New Roman" w:cs="Times New Roman"/>
        </w:rPr>
        <w:t>201</w:t>
      </w:r>
      <w:r w:rsidR="0094078E">
        <w:rPr>
          <w:rFonts w:ascii="Times New Roman" w:hAnsi="Times New Roman" w:cs="Times New Roman"/>
        </w:rPr>
        <w:t>4</w:t>
      </w:r>
      <w:r w:rsidR="007C4511">
        <w:rPr>
          <w:rFonts w:ascii="Times New Roman" w:hAnsi="Times New Roman" w:cs="Times New Roman"/>
        </w:rPr>
        <w:t xml:space="preserve"> for the 201</w:t>
      </w:r>
      <w:r w:rsidR="0094078E">
        <w:rPr>
          <w:rFonts w:ascii="Times New Roman" w:hAnsi="Times New Roman" w:cs="Times New Roman"/>
        </w:rPr>
        <w:t>6</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w:t>
      </w:r>
      <w:proofErr w:type="spellStart"/>
      <w:r w:rsidRPr="00BE21E7">
        <w:rPr>
          <w:rFonts w:ascii="Times New Roman" w:hAnsi="Times New Roman" w:cs="Times New Roman"/>
        </w:rPr>
        <w:t>Kalich</w:t>
      </w:r>
      <w:proofErr w:type="spellEnd"/>
      <w:r w:rsidRPr="00BE21E7">
        <w:rPr>
          <w:rFonts w:ascii="Times New Roman" w:hAnsi="Times New Roman" w:cs="Times New Roman"/>
        </w:rPr>
        <w:t xml:space="preserve">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Transmission Expense</w:t>
      </w:r>
    </w:p>
    <w:p w:rsidR="00BE21E7" w:rsidRPr="00BE21E7" w:rsidRDefault="00BE21E7" w:rsidP="00957004">
      <w:pPr>
        <w:pStyle w:val="TestBody"/>
        <w:numPr>
          <w:ilvl w:val="0"/>
          <w:numId w:val="6"/>
        </w:numPr>
        <w:tabs>
          <w:tab w:val="clear" w:pos="1440"/>
        </w:tabs>
        <w:spacing w:line="480" w:lineRule="auto"/>
        <w:ind w:left="0" w:firstLine="720"/>
        <w:rPr>
          <w:rFonts w:ascii="Times New Roman" w:hAnsi="Times New Roman" w:cs="Times New Roman"/>
          <w:b/>
          <w:bCs/>
        </w:rPr>
      </w:pPr>
      <w:r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Pr="00BE21E7">
        <w:rPr>
          <w:rFonts w:ascii="Times New Roman" w:hAnsi="Times New Roman" w:cs="Times New Roman"/>
          <w:b/>
          <w:bCs/>
        </w:rPr>
        <w:t>?</w:t>
      </w:r>
    </w:p>
    <w:p w:rsidR="007A04C5" w:rsidRPr="00890D94" w:rsidRDefault="009C2006" w:rsidP="00890D94">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F34816">
        <w:rPr>
          <w:rFonts w:ascii="Times New Roman" w:hAnsi="Times New Roman" w:cs="Times New Roman"/>
        </w:rPr>
        <w:t xml:space="preserve">biggest change </w:t>
      </w:r>
      <w:r w:rsidR="0081054C">
        <w:rPr>
          <w:rFonts w:ascii="Times New Roman" w:hAnsi="Times New Roman" w:cs="Times New Roman"/>
        </w:rPr>
        <w:t xml:space="preserve">from the test-year </w:t>
      </w:r>
      <w:r w:rsidR="00F34816">
        <w:rPr>
          <w:rFonts w:ascii="Times New Roman" w:hAnsi="Times New Roman" w:cs="Times New Roman"/>
        </w:rPr>
        <w:t>is the reduction in transmission purchase</w:t>
      </w:r>
      <w:r w:rsidR="00BB1045">
        <w:rPr>
          <w:rFonts w:ascii="Times New Roman" w:hAnsi="Times New Roman" w:cs="Times New Roman"/>
        </w:rPr>
        <w:t>d</w:t>
      </w:r>
      <w:r w:rsidR="00F34816">
        <w:rPr>
          <w:rFonts w:ascii="Times New Roman" w:hAnsi="Times New Roman" w:cs="Times New Roman"/>
        </w:rPr>
        <w:t xml:space="preserve"> for the Lancaster plant.  </w:t>
      </w:r>
      <w:r w:rsidR="00BB4F8F">
        <w:rPr>
          <w:rFonts w:ascii="Times New Roman" w:hAnsi="Times New Roman" w:cs="Times New Roman"/>
        </w:rPr>
        <w:t>Through August 2014</w:t>
      </w:r>
      <w:r w:rsidR="00F34816">
        <w:rPr>
          <w:rFonts w:ascii="Times New Roman" w:hAnsi="Times New Roman" w:cs="Times New Roman"/>
        </w:rPr>
        <w:t xml:space="preserve"> </w:t>
      </w:r>
      <w:r w:rsidR="00647807">
        <w:rPr>
          <w:rFonts w:ascii="Times New Roman" w:hAnsi="Times New Roman" w:cs="Times New Roman"/>
        </w:rPr>
        <w:t>the Company</w:t>
      </w:r>
      <w:r w:rsidR="00F34816">
        <w:rPr>
          <w:rFonts w:ascii="Times New Roman" w:hAnsi="Times New Roman" w:cs="Times New Roman"/>
        </w:rPr>
        <w:t xml:space="preserve"> purchase</w:t>
      </w:r>
      <w:r w:rsidR="00BB4F8F">
        <w:rPr>
          <w:rFonts w:ascii="Times New Roman" w:hAnsi="Times New Roman" w:cs="Times New Roman"/>
        </w:rPr>
        <w:t>d</w:t>
      </w:r>
      <w:r w:rsidR="00F34816">
        <w:rPr>
          <w:rFonts w:ascii="Times New Roman" w:hAnsi="Times New Roman" w:cs="Times New Roman"/>
        </w:rPr>
        <w:t xml:space="preserve"> 250 MW of BPA point-to-point </w:t>
      </w:r>
      <w:proofErr w:type="gramStart"/>
      <w:r w:rsidR="00F34816">
        <w:rPr>
          <w:rFonts w:ascii="Times New Roman" w:hAnsi="Times New Roman" w:cs="Times New Roman"/>
        </w:rPr>
        <w:t>transm</w:t>
      </w:r>
      <w:r w:rsidR="004B4163">
        <w:rPr>
          <w:rFonts w:ascii="Times New Roman" w:hAnsi="Times New Roman" w:cs="Times New Roman"/>
        </w:rPr>
        <w:t>i</w:t>
      </w:r>
      <w:r w:rsidR="0053057E">
        <w:rPr>
          <w:rFonts w:ascii="Times New Roman" w:hAnsi="Times New Roman" w:cs="Times New Roman"/>
        </w:rPr>
        <w:t>s</w:t>
      </w:r>
      <w:r w:rsidR="004B4163">
        <w:rPr>
          <w:rFonts w:ascii="Times New Roman" w:hAnsi="Times New Roman" w:cs="Times New Roman"/>
        </w:rPr>
        <w:t>s</w:t>
      </w:r>
      <w:r w:rsidR="00F34816">
        <w:rPr>
          <w:rFonts w:ascii="Times New Roman" w:hAnsi="Times New Roman" w:cs="Times New Roman"/>
        </w:rPr>
        <w:t>ion</w:t>
      </w:r>
      <w:proofErr w:type="gramEnd"/>
      <w:r w:rsidR="00F34816">
        <w:rPr>
          <w:rFonts w:ascii="Times New Roman" w:hAnsi="Times New Roman" w:cs="Times New Roman"/>
        </w:rPr>
        <w:t xml:space="preserve"> to move Lancaster Generation to the </w:t>
      </w:r>
      <w:r w:rsidR="004A135E">
        <w:rPr>
          <w:rFonts w:ascii="Times New Roman" w:hAnsi="Times New Roman" w:cs="Times New Roman"/>
        </w:rPr>
        <w:t>C</w:t>
      </w:r>
      <w:r w:rsidR="00F34816">
        <w:rPr>
          <w:rFonts w:ascii="Times New Roman" w:hAnsi="Times New Roman" w:cs="Times New Roman"/>
        </w:rPr>
        <w:t>ompany’s system.  On December 13, 20</w:t>
      </w:r>
      <w:r w:rsidR="00FD76EC">
        <w:rPr>
          <w:rFonts w:ascii="Times New Roman" w:hAnsi="Times New Roman" w:cs="Times New Roman"/>
        </w:rPr>
        <w:t>1</w:t>
      </w:r>
      <w:r w:rsidR="00F34816">
        <w:rPr>
          <w:rFonts w:ascii="Times New Roman" w:hAnsi="Times New Roman" w:cs="Times New Roman"/>
        </w:rPr>
        <w:t>3</w:t>
      </w:r>
      <w:r w:rsidR="00460A0B">
        <w:rPr>
          <w:rFonts w:ascii="Times New Roman" w:hAnsi="Times New Roman" w:cs="Times New Roman"/>
        </w:rPr>
        <w:t>,</w:t>
      </w:r>
      <w:r w:rsidR="00F34816">
        <w:rPr>
          <w:rFonts w:ascii="Times New Roman" w:hAnsi="Times New Roman" w:cs="Times New Roman"/>
        </w:rPr>
        <w:t xml:space="preserve"> the Lancaster </w:t>
      </w:r>
      <w:r w:rsidR="00044806">
        <w:rPr>
          <w:rFonts w:ascii="Times New Roman" w:hAnsi="Times New Roman" w:cs="Times New Roman"/>
        </w:rPr>
        <w:t>substation became a point of interconnection</w:t>
      </w:r>
      <w:r w:rsidR="00F34816">
        <w:rPr>
          <w:rFonts w:ascii="Times New Roman" w:hAnsi="Times New Roman" w:cs="Times New Roman"/>
        </w:rPr>
        <w:t xml:space="preserve"> to Avista’s transmission system, eliminatin</w:t>
      </w:r>
      <w:r w:rsidR="00044806">
        <w:rPr>
          <w:rFonts w:ascii="Times New Roman" w:hAnsi="Times New Roman" w:cs="Times New Roman"/>
        </w:rPr>
        <w:t>g the need for BPA transmission for Lancaster.</w:t>
      </w:r>
      <w:r w:rsidR="00F34816">
        <w:rPr>
          <w:rFonts w:ascii="Times New Roman" w:hAnsi="Times New Roman" w:cs="Times New Roman"/>
        </w:rPr>
        <w:t xml:space="preserve">  Avista’s </w:t>
      </w:r>
      <w:r w:rsidR="00044806">
        <w:rPr>
          <w:rFonts w:ascii="Times New Roman" w:hAnsi="Times New Roman" w:cs="Times New Roman"/>
        </w:rPr>
        <w:t xml:space="preserve">Lancaster </w:t>
      </w:r>
      <w:r w:rsidR="00F34816">
        <w:rPr>
          <w:rFonts w:ascii="Times New Roman" w:hAnsi="Times New Roman" w:cs="Times New Roman"/>
        </w:rPr>
        <w:t>transmission contracts with BPA allowed for the termination of 150 MW of the 25</w:t>
      </w:r>
      <w:r w:rsidR="0053057E">
        <w:rPr>
          <w:rFonts w:ascii="Times New Roman" w:hAnsi="Times New Roman" w:cs="Times New Roman"/>
        </w:rPr>
        <w:t>0 MW of transmission with a two-</w:t>
      </w:r>
      <w:r w:rsidR="00F34816">
        <w:rPr>
          <w:rFonts w:ascii="Times New Roman" w:hAnsi="Times New Roman" w:cs="Times New Roman"/>
        </w:rPr>
        <w:t>year notice.  The termination notice was give</w:t>
      </w:r>
      <w:r w:rsidR="005834BD">
        <w:rPr>
          <w:rFonts w:ascii="Times New Roman" w:hAnsi="Times New Roman" w:cs="Times New Roman"/>
        </w:rPr>
        <w:t xml:space="preserve">n to BPA on August 31, 2012, </w:t>
      </w:r>
      <w:r w:rsidR="0081054C">
        <w:rPr>
          <w:rFonts w:ascii="Times New Roman" w:hAnsi="Times New Roman" w:cs="Times New Roman"/>
        </w:rPr>
        <w:t>and the cont</w:t>
      </w:r>
      <w:r w:rsidR="006E0068">
        <w:rPr>
          <w:rFonts w:ascii="Times New Roman" w:hAnsi="Times New Roman" w:cs="Times New Roman"/>
        </w:rPr>
        <w:t>ract ended August 31, 2014.</w:t>
      </w:r>
      <w:r w:rsidR="0081054C">
        <w:rPr>
          <w:rFonts w:ascii="Times New Roman" w:hAnsi="Times New Roman" w:cs="Times New Roman"/>
        </w:rPr>
        <w:t xml:space="preserve">  </w:t>
      </w:r>
      <w:r w:rsidR="005834BD">
        <w:rPr>
          <w:rFonts w:ascii="Times New Roman" w:hAnsi="Times New Roman" w:cs="Times New Roman"/>
        </w:rPr>
        <w:t xml:space="preserve">  </w:t>
      </w:r>
      <w:r w:rsidR="0073566F">
        <w:rPr>
          <w:rFonts w:ascii="Times New Roman" w:hAnsi="Times New Roman" w:cs="Times New Roman"/>
        </w:rPr>
        <w:t>There is only a $9,000 difference in transmission expense from the level in current base rates.</w:t>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 witness Andrews</w:t>
      </w:r>
      <w:r w:rsidR="003749AB">
        <w:rPr>
          <w:rFonts w:ascii="Times New Roman" w:hAnsi="Times New Roman" w:cs="Times New Roman"/>
          <w:b/>
          <w:bCs/>
        </w:rPr>
        <w:t xml:space="preserve"> for the Company</w:t>
      </w:r>
      <w:r w:rsidR="00EA73D4">
        <w:rPr>
          <w:rFonts w:ascii="Times New Roman" w:hAnsi="Times New Roman" w:cs="Times New Roman"/>
          <w:b/>
          <w:bCs/>
        </w:rPr>
        <w:t>’s</w:t>
      </w:r>
      <w:r w:rsidR="003749AB">
        <w:rPr>
          <w:rFonts w:ascii="Times New Roman" w:hAnsi="Times New Roman" w:cs="Times New Roman"/>
          <w:b/>
          <w:bCs/>
        </w:rPr>
        <w:t xml:space="preserve"> electric attrition study.</w:t>
      </w:r>
      <w:r w:rsidR="003749AB">
        <w:rPr>
          <w:rStyle w:val="FootnoteReference"/>
          <w:rFonts w:ascii="Times New Roman" w:hAnsi="Times New Roman"/>
          <w:b/>
          <w:bCs/>
        </w:rPr>
        <w:footnoteReference w:id="3"/>
      </w:r>
    </w:p>
    <w:p w:rsidR="00D35315" w:rsidRDefault="00904869" w:rsidP="00D35315">
      <w:pPr>
        <w:pStyle w:val="TestBody"/>
        <w:spacing w:line="480" w:lineRule="auto"/>
        <w:ind w:left="0" w:firstLine="720"/>
      </w:pPr>
      <w:r>
        <w:rPr>
          <w:rFonts w:ascii="Times New Roman" w:hAnsi="Times New Roman" w:cs="Times New Roman"/>
        </w:rPr>
        <w:t>A.</w:t>
      </w:r>
      <w:r>
        <w:rPr>
          <w:rFonts w:ascii="Times New Roman" w:hAnsi="Times New Roman" w:cs="Times New Roman"/>
        </w:rPr>
        <w:tab/>
        <w:t>The proposed pro forma power supply expense as shown in Exhibit No. __</w:t>
      </w:r>
      <w:r w:rsidR="00B417CF">
        <w:rPr>
          <w:rFonts w:ascii="Times New Roman" w:hAnsi="Times New Roman" w:cs="Times New Roman"/>
        </w:rPr>
        <w:t>_ (</w:t>
      </w:r>
      <w:r>
        <w:rPr>
          <w:rFonts w:ascii="Times New Roman" w:hAnsi="Times New Roman" w:cs="Times New Roman"/>
        </w:rPr>
        <w:t>WGJ-2) is a $</w:t>
      </w:r>
      <w:r w:rsidR="003749AB">
        <w:rPr>
          <w:rFonts w:ascii="Times New Roman" w:hAnsi="Times New Roman" w:cs="Times New Roman"/>
        </w:rPr>
        <w:t>6,923</w:t>
      </w:r>
      <w:r w:rsidR="0094078E">
        <w:rPr>
          <w:rFonts w:ascii="Times New Roman" w:hAnsi="Times New Roman" w:cs="Times New Roman"/>
        </w:rPr>
        <w:t>,000</w:t>
      </w:r>
      <w:r>
        <w:rPr>
          <w:rFonts w:ascii="Times New Roman" w:hAnsi="Times New Roman" w:cs="Times New Roman"/>
        </w:rPr>
        <w:t xml:space="preserve"> </w:t>
      </w:r>
      <w:r w:rsidR="00703491">
        <w:rPr>
          <w:rFonts w:ascii="Times New Roman" w:hAnsi="Times New Roman" w:cs="Times New Roman"/>
        </w:rPr>
        <w:t xml:space="preserve">increase </w:t>
      </w:r>
      <w:r>
        <w:rPr>
          <w:rFonts w:ascii="Times New Roman" w:hAnsi="Times New Roman" w:cs="Times New Roman"/>
        </w:rPr>
        <w:t xml:space="preserve">in expense on a system basis </w:t>
      </w:r>
      <w:r w:rsidR="003749AB">
        <w:rPr>
          <w:rFonts w:ascii="Times New Roman" w:hAnsi="Times New Roman" w:cs="Times New Roman"/>
        </w:rPr>
        <w:t xml:space="preserve">and </w:t>
      </w:r>
      <w:r w:rsidRPr="00C97820">
        <w:rPr>
          <w:rFonts w:ascii="Times New Roman" w:hAnsi="Times New Roman" w:cs="Times New Roman"/>
        </w:rPr>
        <w:t>$</w:t>
      </w:r>
      <w:r w:rsidR="003749AB">
        <w:rPr>
          <w:rFonts w:ascii="Times New Roman" w:hAnsi="Times New Roman" w:cs="Times New Roman"/>
        </w:rPr>
        <w:t>4,513,104 for the Washington allocation</w:t>
      </w:r>
      <w:r>
        <w:rPr>
          <w:rFonts w:ascii="Times New Roman" w:hAnsi="Times New Roman" w:cs="Times New Roman"/>
        </w:rPr>
        <w:t xml:space="preserve"> from </w:t>
      </w:r>
      <w:r w:rsidR="00C97820">
        <w:rPr>
          <w:rFonts w:ascii="Times New Roman" w:hAnsi="Times New Roman" w:cs="Times New Roman"/>
        </w:rPr>
        <w:t xml:space="preserve">the </w:t>
      </w:r>
      <w:r w:rsidR="0094078E">
        <w:rPr>
          <w:rFonts w:ascii="Times New Roman" w:hAnsi="Times New Roman" w:cs="Times New Roman"/>
        </w:rPr>
        <w:t xml:space="preserve">October </w:t>
      </w:r>
      <w:r w:rsidR="00C97820">
        <w:rPr>
          <w:rFonts w:ascii="Times New Roman" w:hAnsi="Times New Roman" w:cs="Times New Roman"/>
        </w:rPr>
        <w:t>201</w:t>
      </w:r>
      <w:r w:rsidR="0094078E">
        <w:rPr>
          <w:rFonts w:ascii="Times New Roman" w:hAnsi="Times New Roman" w:cs="Times New Roman"/>
        </w:rPr>
        <w:t>3</w:t>
      </w:r>
      <w:r w:rsidR="00C97820">
        <w:rPr>
          <w:rFonts w:ascii="Times New Roman" w:hAnsi="Times New Roman" w:cs="Times New Roman"/>
        </w:rPr>
        <w:t xml:space="preserve"> through </w:t>
      </w:r>
      <w:r w:rsidR="0094078E">
        <w:rPr>
          <w:rFonts w:ascii="Times New Roman" w:hAnsi="Times New Roman" w:cs="Times New Roman"/>
        </w:rPr>
        <w:t xml:space="preserve">September </w:t>
      </w:r>
      <w:r w:rsidR="00EA73D4">
        <w:rPr>
          <w:rFonts w:ascii="Times New Roman" w:hAnsi="Times New Roman" w:cs="Times New Roman"/>
        </w:rPr>
        <w:t>201</w:t>
      </w:r>
      <w:r w:rsidR="0094078E">
        <w:rPr>
          <w:rFonts w:ascii="Times New Roman" w:hAnsi="Times New Roman" w:cs="Times New Roman"/>
        </w:rPr>
        <w:t>4</w:t>
      </w:r>
      <w:r w:rsidR="00C97820">
        <w:rPr>
          <w:rFonts w:ascii="Times New Roman" w:hAnsi="Times New Roman" w:cs="Times New Roman"/>
        </w:rPr>
        <w:t xml:space="preserve"> </w:t>
      </w:r>
      <w:r>
        <w:rPr>
          <w:rFonts w:ascii="Times New Roman" w:hAnsi="Times New Roman" w:cs="Times New Roman"/>
        </w:rPr>
        <w:t>test-year expense</w:t>
      </w:r>
      <w:r w:rsidR="003749AB">
        <w:rPr>
          <w:rFonts w:ascii="Times New Roman" w:hAnsi="Times New Roman" w:cs="Times New Roman"/>
        </w:rPr>
        <w:t>.</w:t>
      </w:r>
      <w:r>
        <w:rPr>
          <w:rFonts w:ascii="Times New Roman" w:hAnsi="Times New Roman" w:cs="Times New Roman"/>
        </w:rPr>
        <w:t xml:space="preserve"> </w:t>
      </w:r>
      <w:r w:rsidR="00BE221B">
        <w:rPr>
          <w:rFonts w:ascii="Times New Roman" w:hAnsi="Times New Roman" w:cs="Times New Roman"/>
        </w:rPr>
        <w:t xml:space="preserve">  Part of the increase in expense is related to consolidating the Colstrip and Coyote Springs 2 O&amp;M expense with base power supply expense.</w:t>
      </w:r>
      <w:r w:rsidR="00D35315">
        <w:rPr>
          <w:rFonts w:ascii="Times New Roman" w:hAnsi="Times New Roman" w:cs="Times New Roman"/>
        </w:rPr>
        <w:br w:type="page"/>
      </w:r>
    </w:p>
    <w:p w:rsidR="00212289" w:rsidRPr="00BE21E7"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IV.</w:t>
      </w:r>
      <w:r w:rsidRPr="00BE21E7">
        <w:rPr>
          <w:rFonts w:ascii="Times New Roman" w:hAnsi="Times New Roman" w:cs="Times New Roman"/>
          <w:b/>
          <w:bCs/>
          <w:u w:val="single"/>
        </w:rPr>
        <w:tab/>
      </w:r>
      <w:r>
        <w:rPr>
          <w:rFonts w:ascii="Times New Roman" w:hAnsi="Times New Roman" w:cs="Times New Roman"/>
          <w:b/>
          <w:bCs/>
          <w:u w:val="single"/>
        </w:rPr>
        <w:t>MODIFICATIONS TO THE ERM</w:t>
      </w:r>
    </w:p>
    <w:p w:rsidR="00212289" w:rsidRPr="00243D57" w:rsidRDefault="00212289" w:rsidP="00212289">
      <w:pPr>
        <w:pStyle w:val="BodyText"/>
        <w:tabs>
          <w:tab w:val="num" w:pos="0"/>
          <w:tab w:val="left" w:pos="810"/>
        </w:tabs>
        <w:spacing w:line="480" w:lineRule="auto"/>
        <w:ind w:firstLine="720"/>
        <w:jc w:val="both"/>
        <w:rPr>
          <w:bCs w:val="0"/>
        </w:rPr>
      </w:pPr>
      <w:r w:rsidRPr="00243D57">
        <w:rPr>
          <w:bCs w:val="0"/>
        </w:rPr>
        <w:t>Q.</w:t>
      </w:r>
      <w:r w:rsidR="0033668A">
        <w:rPr>
          <w:bCs w:val="0"/>
        </w:rPr>
        <w:tab/>
        <w:t xml:space="preserve">Is </w:t>
      </w:r>
      <w:r w:rsidRPr="00243D57">
        <w:rPr>
          <w:bCs w:val="0"/>
        </w:rPr>
        <w:t>the Company</w:t>
      </w:r>
      <w:r w:rsidR="0033668A">
        <w:rPr>
          <w:bCs w:val="0"/>
        </w:rPr>
        <w:t xml:space="preserve"> proposing any modification to the</w:t>
      </w:r>
      <w:r w:rsidRPr="00243D57">
        <w:rPr>
          <w:bCs w:val="0"/>
        </w:rPr>
        <w:t xml:space="preserve"> ERM?</w:t>
      </w:r>
    </w:p>
    <w:p w:rsidR="00212289" w:rsidRDefault="00212289" w:rsidP="0033668A">
      <w:pPr>
        <w:pStyle w:val="BodyText"/>
        <w:tabs>
          <w:tab w:val="num" w:pos="0"/>
          <w:tab w:val="left" w:pos="810"/>
        </w:tabs>
        <w:spacing w:line="480" w:lineRule="auto"/>
        <w:ind w:firstLine="720"/>
        <w:jc w:val="both"/>
        <w:rPr>
          <w:b w:val="0"/>
          <w:bCs w:val="0"/>
        </w:rPr>
      </w:pPr>
      <w:r>
        <w:rPr>
          <w:b w:val="0"/>
          <w:bCs w:val="0"/>
        </w:rPr>
        <w:t>A.</w:t>
      </w:r>
      <w:r>
        <w:rPr>
          <w:b w:val="0"/>
          <w:bCs w:val="0"/>
        </w:rPr>
        <w:tab/>
      </w:r>
      <w:r w:rsidR="00B03276">
        <w:rPr>
          <w:b w:val="0"/>
          <w:bCs w:val="0"/>
        </w:rPr>
        <w:t>Yes</w:t>
      </w:r>
      <w:r w:rsidR="0033668A">
        <w:rPr>
          <w:b w:val="0"/>
          <w:bCs w:val="0"/>
        </w:rPr>
        <w:t xml:space="preserve">.  </w:t>
      </w:r>
      <w:r>
        <w:rPr>
          <w:b w:val="0"/>
          <w:bCs w:val="0"/>
        </w:rPr>
        <w:t xml:space="preserve">The Company </w:t>
      </w:r>
      <w:r w:rsidR="0033668A">
        <w:rPr>
          <w:b w:val="0"/>
          <w:bCs w:val="0"/>
        </w:rPr>
        <w:t xml:space="preserve">is proposing </w:t>
      </w:r>
      <w:r w:rsidR="00B03276">
        <w:rPr>
          <w:b w:val="0"/>
          <w:bCs w:val="0"/>
        </w:rPr>
        <w:t xml:space="preserve">three </w:t>
      </w:r>
      <w:r w:rsidR="0033668A">
        <w:rPr>
          <w:b w:val="0"/>
          <w:bCs w:val="0"/>
        </w:rPr>
        <w:t>changes to the ERM</w:t>
      </w:r>
      <w:r w:rsidR="00C43FEC">
        <w:rPr>
          <w:b w:val="0"/>
          <w:bCs w:val="0"/>
        </w:rPr>
        <w:t xml:space="preserve">.  </w:t>
      </w:r>
      <w:r w:rsidR="00B03276">
        <w:rPr>
          <w:b w:val="0"/>
          <w:bCs w:val="0"/>
        </w:rPr>
        <w:t xml:space="preserve">These three changes are: 1) </w:t>
      </w:r>
      <w:r w:rsidR="0094078E">
        <w:rPr>
          <w:b w:val="0"/>
          <w:bCs w:val="0"/>
        </w:rPr>
        <w:t xml:space="preserve">a proposal to </w:t>
      </w:r>
      <w:r w:rsidR="00B03276">
        <w:rPr>
          <w:b w:val="0"/>
          <w:bCs w:val="0"/>
        </w:rPr>
        <w:t xml:space="preserve">annually clear the deferral balance with a rebate or a surcharge rather than waiting until a $30 million trigger balance is reached, 2) change the </w:t>
      </w:r>
      <w:r w:rsidR="00EA73D4">
        <w:rPr>
          <w:b w:val="0"/>
          <w:bCs w:val="0"/>
        </w:rPr>
        <w:t>load change adjustment</w:t>
      </w:r>
      <w:r w:rsidR="00B03276">
        <w:rPr>
          <w:b w:val="0"/>
          <w:bCs w:val="0"/>
        </w:rPr>
        <w:t xml:space="preserve"> rate </w:t>
      </w:r>
      <w:r w:rsidR="00EA73D4">
        <w:rPr>
          <w:b w:val="0"/>
          <w:bCs w:val="0"/>
        </w:rPr>
        <w:t xml:space="preserve">(LCAR) </w:t>
      </w:r>
      <w:r w:rsidR="00B03276">
        <w:rPr>
          <w:b w:val="0"/>
          <w:bCs w:val="0"/>
        </w:rPr>
        <w:t xml:space="preserve">to the </w:t>
      </w:r>
      <w:r w:rsidR="00703491">
        <w:rPr>
          <w:b w:val="0"/>
          <w:bCs w:val="0"/>
        </w:rPr>
        <w:t>average market price</w:t>
      </w:r>
      <w:r w:rsidR="00B03276">
        <w:rPr>
          <w:b w:val="0"/>
          <w:bCs w:val="0"/>
        </w:rPr>
        <w:t xml:space="preserve"> of energy rather than the </w:t>
      </w:r>
      <w:r w:rsidR="00703491">
        <w:rPr>
          <w:b w:val="0"/>
          <w:bCs w:val="0"/>
        </w:rPr>
        <w:t xml:space="preserve">ERM-related FERC accounts in dollars per </w:t>
      </w:r>
      <w:proofErr w:type="spellStart"/>
      <w:r w:rsidR="00703491">
        <w:rPr>
          <w:b w:val="0"/>
          <w:bCs w:val="0"/>
        </w:rPr>
        <w:t>MWh</w:t>
      </w:r>
      <w:proofErr w:type="spellEnd"/>
      <w:r w:rsidR="00B03276">
        <w:rPr>
          <w:b w:val="0"/>
          <w:bCs w:val="0"/>
        </w:rPr>
        <w:t xml:space="preserve">, and 3) track the </w:t>
      </w:r>
      <w:r w:rsidR="00BE221B">
        <w:rPr>
          <w:b w:val="0"/>
          <w:bCs w:val="0"/>
        </w:rPr>
        <w:t xml:space="preserve">changes in </w:t>
      </w:r>
      <w:r w:rsidR="00B03276">
        <w:rPr>
          <w:b w:val="0"/>
          <w:bCs w:val="0"/>
        </w:rPr>
        <w:t>operation and maintenance ex</w:t>
      </w:r>
      <w:r w:rsidR="00BE221B">
        <w:rPr>
          <w:b w:val="0"/>
          <w:bCs w:val="0"/>
        </w:rPr>
        <w:t xml:space="preserve">penses for </w:t>
      </w:r>
      <w:r w:rsidR="00B03276">
        <w:rPr>
          <w:b w:val="0"/>
          <w:bCs w:val="0"/>
        </w:rPr>
        <w:t xml:space="preserve">Colstrip </w:t>
      </w:r>
      <w:r w:rsidR="00BE221B">
        <w:rPr>
          <w:b w:val="0"/>
          <w:bCs w:val="0"/>
        </w:rPr>
        <w:t xml:space="preserve">and Coyote Springs 2 </w:t>
      </w:r>
      <w:r w:rsidR="00B03276">
        <w:rPr>
          <w:b w:val="0"/>
          <w:bCs w:val="0"/>
        </w:rPr>
        <w:t>in the ERM.</w:t>
      </w:r>
    </w:p>
    <w:p w:rsidR="00EB7000" w:rsidRDefault="00EB7000" w:rsidP="00EB7000">
      <w:pPr>
        <w:pStyle w:val="BodyText"/>
        <w:tabs>
          <w:tab w:val="num" w:pos="0"/>
          <w:tab w:val="left" w:pos="810"/>
        </w:tabs>
        <w:spacing w:line="480" w:lineRule="auto"/>
        <w:jc w:val="both"/>
        <w:rPr>
          <w:bCs w:val="0"/>
          <w:u w:val="single"/>
        </w:rPr>
      </w:pPr>
      <w:r>
        <w:rPr>
          <w:bCs w:val="0"/>
          <w:u w:val="single"/>
        </w:rPr>
        <w:t>ERM Deferral Balance Trigger</w:t>
      </w:r>
    </w:p>
    <w:p w:rsidR="00EB7000" w:rsidRDefault="00EB7000" w:rsidP="00EB7000">
      <w:pPr>
        <w:pStyle w:val="BodyText"/>
        <w:tabs>
          <w:tab w:val="num" w:pos="0"/>
          <w:tab w:val="left" w:pos="810"/>
        </w:tabs>
        <w:spacing w:line="480" w:lineRule="auto"/>
        <w:ind w:firstLine="720"/>
        <w:jc w:val="both"/>
        <w:rPr>
          <w:bCs w:val="0"/>
        </w:rPr>
      </w:pPr>
      <w:r>
        <w:rPr>
          <w:bCs w:val="0"/>
        </w:rPr>
        <w:t>Q.</w:t>
      </w:r>
      <w:r>
        <w:rPr>
          <w:bCs w:val="0"/>
        </w:rPr>
        <w:tab/>
        <w:t>What is the current rate adjustment trigger for the ERM?</w:t>
      </w:r>
    </w:p>
    <w:p w:rsidR="00EB7000"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rate adjustment trigger was originally set at 10% of base revenues per the Settlement Stipulation approved by the Fifth Supplemental Order in Docket UE-011595, dated June 18, 2002.  </w:t>
      </w:r>
      <w:proofErr w:type="gramStart"/>
      <w:r>
        <w:rPr>
          <w:b w:val="0"/>
          <w:bCs w:val="0"/>
        </w:rPr>
        <w:t xml:space="preserve">The </w:t>
      </w:r>
      <w:r w:rsidR="009E1656">
        <w:rPr>
          <w:b w:val="0"/>
          <w:bCs w:val="0"/>
        </w:rPr>
        <w:t>multiparty settlement stipulation in Docket No.</w:t>
      </w:r>
      <w:proofErr w:type="gramEnd"/>
      <w:r w:rsidR="009E1656">
        <w:rPr>
          <w:b w:val="0"/>
          <w:bCs w:val="0"/>
        </w:rPr>
        <w:t xml:space="preserve"> UE-120436</w:t>
      </w:r>
      <w:r>
        <w:rPr>
          <w:b w:val="0"/>
          <w:bCs w:val="0"/>
        </w:rPr>
        <w:t xml:space="preserve"> reduced the </w:t>
      </w:r>
      <w:r w:rsidR="009E1656">
        <w:rPr>
          <w:b w:val="0"/>
          <w:bCs w:val="0"/>
        </w:rPr>
        <w:t xml:space="preserve">rate adjustment </w:t>
      </w:r>
      <w:r>
        <w:rPr>
          <w:b w:val="0"/>
          <w:bCs w:val="0"/>
        </w:rPr>
        <w:t xml:space="preserve">trigger amount </w:t>
      </w:r>
      <w:r w:rsidR="009E1656">
        <w:rPr>
          <w:b w:val="0"/>
          <w:bCs w:val="0"/>
        </w:rPr>
        <w:t xml:space="preserve">from 10 percent of base revenues </w:t>
      </w:r>
      <w:r>
        <w:rPr>
          <w:b w:val="0"/>
          <w:bCs w:val="0"/>
        </w:rPr>
        <w:t xml:space="preserve">to $30 million.  </w:t>
      </w:r>
      <w:r w:rsidR="00233C14">
        <w:rPr>
          <w:b w:val="0"/>
          <w:bCs w:val="0"/>
        </w:rPr>
        <w:t xml:space="preserve">While this </w:t>
      </w:r>
      <w:r w:rsidR="009E1656">
        <w:rPr>
          <w:b w:val="0"/>
          <w:bCs w:val="0"/>
        </w:rPr>
        <w:t xml:space="preserve">substantially </w:t>
      </w:r>
      <w:r w:rsidR="00233C14">
        <w:rPr>
          <w:b w:val="0"/>
          <w:bCs w:val="0"/>
        </w:rPr>
        <w:t xml:space="preserve">reduced the trigger </w:t>
      </w:r>
      <w:r w:rsidR="009E1656">
        <w:rPr>
          <w:b w:val="0"/>
          <w:bCs w:val="0"/>
        </w:rPr>
        <w:t>amount</w:t>
      </w:r>
      <w:r w:rsidR="00233C14">
        <w:rPr>
          <w:b w:val="0"/>
          <w:bCs w:val="0"/>
        </w:rPr>
        <w:t>, t</w:t>
      </w:r>
      <w:r>
        <w:rPr>
          <w:b w:val="0"/>
          <w:bCs w:val="0"/>
        </w:rPr>
        <w:t>he Company believes that allowing d</w:t>
      </w:r>
      <w:r w:rsidR="00890D94">
        <w:rPr>
          <w:b w:val="0"/>
          <w:bCs w:val="0"/>
        </w:rPr>
        <w:t>eferrals to grow to $30 million</w:t>
      </w:r>
      <w:r>
        <w:rPr>
          <w:b w:val="0"/>
          <w:bCs w:val="0"/>
        </w:rPr>
        <w:t xml:space="preserve"> needlessly delays the recovery or rebate of variations in power supply related costs.</w:t>
      </w:r>
    </w:p>
    <w:p w:rsidR="00EB7000" w:rsidRDefault="00EB7000" w:rsidP="00EB7000">
      <w:pPr>
        <w:pStyle w:val="BodyText"/>
        <w:tabs>
          <w:tab w:val="num" w:pos="0"/>
          <w:tab w:val="left" w:pos="810"/>
        </w:tabs>
        <w:spacing w:line="480" w:lineRule="auto"/>
        <w:ind w:firstLine="720"/>
        <w:jc w:val="both"/>
        <w:rPr>
          <w:bCs w:val="0"/>
        </w:rPr>
      </w:pPr>
      <w:proofErr w:type="gramStart"/>
      <w:r>
        <w:rPr>
          <w:bCs w:val="0"/>
        </w:rPr>
        <w:t>Q.</w:t>
      </w:r>
      <w:r>
        <w:rPr>
          <w:bCs w:val="0"/>
        </w:rPr>
        <w:tab/>
        <w:t>What is the Company’s proposed modification to the trigger mechanism?</w:t>
      </w:r>
      <w:proofErr w:type="gramEnd"/>
    </w:p>
    <w:p w:rsidR="00EB7000"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Company is proposing to replace the trigger mechanism with annual ERM rate adjustments.  These annual rate adjustments would occur with rates effective July 1 each year, based on the deferrals from the previous calendar year.  The Company would continue to file its annual deferral report on or before April 1 of each year, accompanied by </w:t>
      </w:r>
      <w:r>
        <w:rPr>
          <w:b w:val="0"/>
          <w:bCs w:val="0"/>
        </w:rPr>
        <w:lastRenderedPageBreak/>
        <w:t>a proposed rate adjustment to recover or rebate the deferral bala</w:t>
      </w:r>
      <w:r w:rsidR="00BE221B">
        <w:rPr>
          <w:b w:val="0"/>
          <w:bCs w:val="0"/>
        </w:rPr>
        <w:t xml:space="preserve">nce over a twelve-month period beginning July 1. </w:t>
      </w:r>
      <w:r>
        <w:rPr>
          <w:b w:val="0"/>
          <w:bCs w:val="0"/>
        </w:rPr>
        <w:t xml:space="preserve"> Commission Staff and othe</w:t>
      </w:r>
      <w:r w:rsidR="00BE221B">
        <w:rPr>
          <w:b w:val="0"/>
          <w:bCs w:val="0"/>
        </w:rPr>
        <w:t>r interested parties would</w:t>
      </w:r>
      <w:r>
        <w:rPr>
          <w:b w:val="0"/>
          <w:bCs w:val="0"/>
        </w:rPr>
        <w:t xml:space="preserve"> have 90 days to review the filing prior to the July 1 effective date of the tariff.</w:t>
      </w:r>
    </w:p>
    <w:p w:rsidR="00EB7000" w:rsidRDefault="00EB7000" w:rsidP="00EB7000">
      <w:pPr>
        <w:pStyle w:val="BodyText"/>
        <w:tabs>
          <w:tab w:val="num" w:pos="0"/>
          <w:tab w:val="left" w:pos="810"/>
        </w:tabs>
        <w:spacing w:line="480" w:lineRule="auto"/>
        <w:ind w:firstLine="720"/>
        <w:jc w:val="both"/>
        <w:rPr>
          <w:bCs w:val="0"/>
        </w:rPr>
      </w:pPr>
      <w:r>
        <w:rPr>
          <w:bCs w:val="0"/>
        </w:rPr>
        <w:t>Q.</w:t>
      </w:r>
      <w:r>
        <w:rPr>
          <w:bCs w:val="0"/>
        </w:rPr>
        <w:tab/>
        <w:t>Do annual rate adjustments result in smaller rate adjustments as compared to the existing trigger mechanism?</w:t>
      </w:r>
    </w:p>
    <w:p w:rsidR="00233C14"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Company’s proposal would </w:t>
      </w:r>
      <w:r w:rsidR="0094078E">
        <w:rPr>
          <w:b w:val="0"/>
          <w:bCs w:val="0"/>
        </w:rPr>
        <w:t xml:space="preserve">likely </w:t>
      </w:r>
      <w:r>
        <w:rPr>
          <w:b w:val="0"/>
          <w:bCs w:val="0"/>
        </w:rPr>
        <w:t>result in smaller surcharge or rebate rate adjustments,</w:t>
      </w:r>
      <w:r w:rsidR="00D33FF6">
        <w:rPr>
          <w:b w:val="0"/>
          <w:bCs w:val="0"/>
        </w:rPr>
        <w:t xml:space="preserve"> than adjusting rates when the $30 million</w:t>
      </w:r>
      <w:r>
        <w:rPr>
          <w:b w:val="0"/>
          <w:bCs w:val="0"/>
        </w:rPr>
        <w:t xml:space="preserve"> trigger is reached.  The rate adjustments would also be more understandable to customers since the costs being recovered or rebated relate to a recent period.  Annual rate adjustments would result in a more timely recovery of costs when deferrals are in the surcharge </w:t>
      </w:r>
      <w:proofErr w:type="gramStart"/>
      <w:r>
        <w:rPr>
          <w:b w:val="0"/>
          <w:bCs w:val="0"/>
        </w:rPr>
        <w:t>direction,</w:t>
      </w:r>
      <w:proofErr w:type="gramEnd"/>
      <w:r>
        <w:rPr>
          <w:b w:val="0"/>
          <w:bCs w:val="0"/>
        </w:rPr>
        <w:t xml:space="preserve"> and a timelier pass-through of refunds when deferrals are in the rebate direction.  The proposal of annual rate adjustments also fits within the existing 90-day review process.</w:t>
      </w:r>
    </w:p>
    <w:p w:rsidR="00A01A78" w:rsidRDefault="00E32E34">
      <w:pPr>
        <w:pStyle w:val="BodyText"/>
        <w:tabs>
          <w:tab w:val="num" w:pos="0"/>
          <w:tab w:val="left" w:pos="810"/>
        </w:tabs>
        <w:spacing w:line="480" w:lineRule="auto"/>
        <w:jc w:val="both"/>
        <w:rPr>
          <w:b w:val="0"/>
          <w:bCs w:val="0"/>
        </w:rPr>
      </w:pPr>
      <w:r>
        <w:rPr>
          <w:bCs w:val="0"/>
          <w:u w:val="single"/>
        </w:rPr>
        <w:t>Load Change Adjustment</w:t>
      </w:r>
      <w:r w:rsidR="00BC7152" w:rsidRPr="00BC7152">
        <w:rPr>
          <w:bCs w:val="0"/>
          <w:u w:val="single"/>
        </w:rPr>
        <w:t xml:space="preserve"> Rate</w:t>
      </w:r>
      <w:r w:rsidR="0094078E">
        <w:rPr>
          <w:b w:val="0"/>
          <w:bCs w:val="0"/>
        </w:rPr>
        <w:t xml:space="preserve"> </w:t>
      </w:r>
    </w:p>
    <w:p w:rsidR="0033668A" w:rsidRPr="008C3F60" w:rsidRDefault="0033668A" w:rsidP="00EB7000">
      <w:pPr>
        <w:pStyle w:val="BodyText"/>
        <w:tabs>
          <w:tab w:val="num" w:pos="0"/>
          <w:tab w:val="left" w:pos="810"/>
        </w:tabs>
        <w:spacing w:line="480" w:lineRule="auto"/>
        <w:ind w:firstLine="720"/>
        <w:jc w:val="both"/>
        <w:rPr>
          <w:bCs w:val="0"/>
        </w:rPr>
      </w:pPr>
      <w:r w:rsidRPr="008C3F60">
        <w:rPr>
          <w:bCs w:val="0"/>
        </w:rPr>
        <w:t>Q.</w:t>
      </w:r>
      <w:r w:rsidRPr="008C3F60">
        <w:rPr>
          <w:bCs w:val="0"/>
        </w:rPr>
        <w:tab/>
        <w:t>What is the issue in this case reg</w:t>
      </w:r>
      <w:r w:rsidR="00E32E34">
        <w:rPr>
          <w:bCs w:val="0"/>
        </w:rPr>
        <w:t>arding the Load Change Adjustment Rate</w:t>
      </w:r>
      <w:r w:rsidRPr="008C3F60">
        <w:rPr>
          <w:bCs w:val="0"/>
        </w:rPr>
        <w:t>?</w:t>
      </w:r>
    </w:p>
    <w:p w:rsidR="0033668A" w:rsidRDefault="0033668A" w:rsidP="0033668A">
      <w:pPr>
        <w:pStyle w:val="BodyText"/>
        <w:tabs>
          <w:tab w:val="num" w:pos="0"/>
          <w:tab w:val="left" w:pos="810"/>
        </w:tabs>
        <w:spacing w:line="480" w:lineRule="auto"/>
        <w:ind w:firstLine="720"/>
        <w:jc w:val="both"/>
        <w:rPr>
          <w:b w:val="0"/>
          <w:bCs w:val="0"/>
        </w:rPr>
      </w:pPr>
      <w:r>
        <w:rPr>
          <w:b w:val="0"/>
          <w:bCs w:val="0"/>
        </w:rPr>
        <w:t>A.</w:t>
      </w:r>
      <w:r>
        <w:rPr>
          <w:b w:val="0"/>
          <w:bCs w:val="0"/>
        </w:rPr>
        <w:tab/>
        <w:t xml:space="preserve"> In the Multi-Party Settlement Agreement in Docket No. UE</w:t>
      </w:r>
      <w:r w:rsidR="00F03FB8">
        <w:rPr>
          <w:b w:val="0"/>
          <w:bCs w:val="0"/>
        </w:rPr>
        <w:t>-140188</w:t>
      </w:r>
      <w:r w:rsidR="004A135E">
        <w:rPr>
          <w:b w:val="0"/>
          <w:bCs w:val="0"/>
        </w:rPr>
        <w:t>,</w:t>
      </w:r>
      <w:r>
        <w:rPr>
          <w:b w:val="0"/>
          <w:bCs w:val="0"/>
        </w:rPr>
        <w:t xml:space="preserve"> the parties agreed to </w:t>
      </w:r>
      <w:r w:rsidR="00E32E34">
        <w:rPr>
          <w:b w:val="0"/>
          <w:bCs w:val="0"/>
        </w:rPr>
        <w:t>change the load change adjustment rate (LCAR)</w:t>
      </w:r>
      <w:r>
        <w:rPr>
          <w:b w:val="0"/>
          <w:bCs w:val="0"/>
        </w:rPr>
        <w:t xml:space="preserve"> from the energy classified production and transmission revenue requirement</w:t>
      </w:r>
      <w:r w:rsidR="00233C14">
        <w:rPr>
          <w:b w:val="0"/>
          <w:bCs w:val="0"/>
        </w:rPr>
        <w:t xml:space="preserve"> to the approved </w:t>
      </w:r>
      <w:r w:rsidR="009E1656">
        <w:rPr>
          <w:b w:val="0"/>
          <w:bCs w:val="0"/>
        </w:rPr>
        <w:t>ERM-related FERC accounts</w:t>
      </w:r>
      <w:r w:rsidR="00233C14">
        <w:rPr>
          <w:b w:val="0"/>
          <w:bCs w:val="0"/>
        </w:rPr>
        <w:t xml:space="preserve"> in dollars per </w:t>
      </w:r>
      <w:proofErr w:type="spellStart"/>
      <w:r w:rsidR="00233C14">
        <w:rPr>
          <w:b w:val="0"/>
          <w:bCs w:val="0"/>
        </w:rPr>
        <w:t>MWh</w:t>
      </w:r>
      <w:proofErr w:type="spellEnd"/>
      <w:r w:rsidR="00F03FB8">
        <w:rPr>
          <w:b w:val="0"/>
          <w:bCs w:val="0"/>
        </w:rPr>
        <w:t>.</w:t>
      </w:r>
      <w:r>
        <w:rPr>
          <w:b w:val="0"/>
          <w:bCs w:val="0"/>
        </w:rPr>
        <w:t xml:space="preserve">  This reduced the </w:t>
      </w:r>
      <w:r w:rsidR="00E32E34">
        <w:rPr>
          <w:b w:val="0"/>
          <w:bCs w:val="0"/>
        </w:rPr>
        <w:t>LCAR</w:t>
      </w:r>
      <w:r>
        <w:rPr>
          <w:b w:val="0"/>
          <w:bCs w:val="0"/>
        </w:rPr>
        <w:t xml:space="preserve"> from </w:t>
      </w:r>
      <w:r w:rsidR="00233C14">
        <w:rPr>
          <w:b w:val="0"/>
          <w:bCs w:val="0"/>
        </w:rPr>
        <w:t>$32.15</w:t>
      </w:r>
      <w:r>
        <w:rPr>
          <w:b w:val="0"/>
          <w:bCs w:val="0"/>
        </w:rPr>
        <w:t>/</w:t>
      </w:r>
      <w:proofErr w:type="spellStart"/>
      <w:r w:rsidR="00233C14">
        <w:rPr>
          <w:b w:val="0"/>
          <w:bCs w:val="0"/>
        </w:rPr>
        <w:t>M</w:t>
      </w:r>
      <w:r>
        <w:rPr>
          <w:b w:val="0"/>
          <w:bCs w:val="0"/>
        </w:rPr>
        <w:t>Wh</w:t>
      </w:r>
      <w:proofErr w:type="spellEnd"/>
      <w:r>
        <w:rPr>
          <w:b w:val="0"/>
          <w:bCs w:val="0"/>
        </w:rPr>
        <w:t xml:space="preserve"> to</w:t>
      </w:r>
      <w:r w:rsidR="00737769">
        <w:rPr>
          <w:b w:val="0"/>
          <w:bCs w:val="0"/>
        </w:rPr>
        <w:t xml:space="preserve"> </w:t>
      </w:r>
      <w:r w:rsidR="00BC7152" w:rsidRPr="00166263">
        <w:rPr>
          <w:b w:val="0"/>
          <w:bCs w:val="0"/>
        </w:rPr>
        <w:t>$</w:t>
      </w:r>
      <w:r w:rsidR="00253EEF">
        <w:rPr>
          <w:b w:val="0"/>
          <w:bCs w:val="0"/>
        </w:rPr>
        <w:t>22.80</w:t>
      </w:r>
      <w:r w:rsidR="00737769">
        <w:rPr>
          <w:b w:val="0"/>
          <w:bCs w:val="0"/>
        </w:rPr>
        <w:t>/</w:t>
      </w:r>
      <w:proofErr w:type="spellStart"/>
      <w:r w:rsidR="00233C14">
        <w:rPr>
          <w:b w:val="0"/>
          <w:bCs w:val="0"/>
        </w:rPr>
        <w:t>M</w:t>
      </w:r>
      <w:r w:rsidR="00737769">
        <w:rPr>
          <w:b w:val="0"/>
          <w:bCs w:val="0"/>
        </w:rPr>
        <w:t>Wh</w:t>
      </w:r>
      <w:proofErr w:type="spellEnd"/>
      <w:r w:rsidR="00737769">
        <w:rPr>
          <w:b w:val="0"/>
          <w:bCs w:val="0"/>
        </w:rPr>
        <w:t xml:space="preserve">.  </w:t>
      </w:r>
      <w:r w:rsidR="0094078E">
        <w:rPr>
          <w:b w:val="0"/>
          <w:bCs w:val="0"/>
        </w:rPr>
        <w:t>Although the Co</w:t>
      </w:r>
      <w:r w:rsidR="001B25B7">
        <w:rPr>
          <w:b w:val="0"/>
          <w:bCs w:val="0"/>
        </w:rPr>
        <w:t>mpany agreed to this rate for</w:t>
      </w:r>
      <w:r w:rsidR="0094078E">
        <w:rPr>
          <w:b w:val="0"/>
          <w:bCs w:val="0"/>
        </w:rPr>
        <w:t xml:space="preserve"> settlement</w:t>
      </w:r>
      <w:r w:rsidR="001B25B7">
        <w:rPr>
          <w:b w:val="0"/>
          <w:bCs w:val="0"/>
        </w:rPr>
        <w:t xml:space="preserve"> purposes</w:t>
      </w:r>
      <w:r w:rsidR="005C7A39">
        <w:rPr>
          <w:b w:val="0"/>
          <w:bCs w:val="0"/>
        </w:rPr>
        <w:t>,</w:t>
      </w:r>
      <w:r w:rsidR="0094078E">
        <w:rPr>
          <w:b w:val="0"/>
          <w:bCs w:val="0"/>
        </w:rPr>
        <w:t xml:space="preserve"> it now </w:t>
      </w:r>
      <w:r w:rsidR="00D33FF6">
        <w:rPr>
          <w:b w:val="0"/>
          <w:bCs w:val="0"/>
        </w:rPr>
        <w:t>believes</w:t>
      </w:r>
      <w:r w:rsidR="001B25B7">
        <w:rPr>
          <w:b w:val="0"/>
          <w:bCs w:val="0"/>
        </w:rPr>
        <w:t xml:space="preserve"> the average wholesale market price of energy is the more approp</w:t>
      </w:r>
      <w:r w:rsidR="009E1E89">
        <w:rPr>
          <w:b w:val="0"/>
          <w:bCs w:val="0"/>
        </w:rPr>
        <w:t>riate LCAR</w:t>
      </w:r>
      <w:r w:rsidR="001B25B7">
        <w:rPr>
          <w:b w:val="0"/>
          <w:bCs w:val="0"/>
        </w:rPr>
        <w:t xml:space="preserve"> as further explained below</w:t>
      </w:r>
      <w:r w:rsidR="00D33FF6">
        <w:rPr>
          <w:b w:val="0"/>
          <w:bCs w:val="0"/>
        </w:rPr>
        <w: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sidR="00F03FB8">
        <w:rPr>
          <w:bCs w:val="0"/>
        </w:rPr>
        <w:t>P</w:t>
      </w:r>
      <w:r>
        <w:rPr>
          <w:bCs w:val="0"/>
        </w:rPr>
        <w:t>le</w:t>
      </w:r>
      <w:r w:rsidR="009E1E89">
        <w:rPr>
          <w:bCs w:val="0"/>
        </w:rPr>
        <w:t>ase describe how the LCAR</w:t>
      </w:r>
      <w:r w:rsidR="00575BCA">
        <w:rPr>
          <w:bCs w:val="0"/>
        </w:rPr>
        <w:t xml:space="preserve">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r>
      <w:r w:rsidRPr="006A2054">
        <w:rPr>
          <w:b w:val="0"/>
          <w:bCs w:val="0"/>
        </w:rPr>
        <w:t xml:space="preserve">When retail loads are higher than authorized loads, there is a higher power supply expense to serve the increase in load.  </w:t>
      </w:r>
      <w:r w:rsidR="001B25B7">
        <w:rPr>
          <w:b w:val="0"/>
          <w:bCs w:val="0"/>
        </w:rPr>
        <w:t>In the ERM there is a</w:t>
      </w:r>
      <w:r w:rsidR="009E1E89">
        <w:rPr>
          <w:b w:val="0"/>
          <w:bCs w:val="0"/>
        </w:rPr>
        <w:t>n LCAR</w:t>
      </w:r>
      <w:r w:rsidR="001B25B7">
        <w:rPr>
          <w:b w:val="0"/>
          <w:bCs w:val="0"/>
        </w:rPr>
        <w:t xml:space="preserve"> </w:t>
      </w:r>
      <w:r>
        <w:rPr>
          <w:b w:val="0"/>
          <w:bCs w:val="0"/>
        </w:rPr>
        <w:t>adjustment that multiplie</w:t>
      </w:r>
      <w:r w:rsidR="009E1E89">
        <w:rPr>
          <w:b w:val="0"/>
          <w:bCs w:val="0"/>
        </w:rPr>
        <w:t>s the LCAR</w:t>
      </w:r>
      <w:r>
        <w:rPr>
          <w:b w:val="0"/>
          <w:bCs w:val="0"/>
        </w:rPr>
        <w:t xml:space="preserve"> times</w:t>
      </w:r>
      <w:r w:rsidR="00955166">
        <w:rPr>
          <w:b w:val="0"/>
          <w:bCs w:val="0"/>
        </w:rPr>
        <w:t xml:space="preserve"> the increase in sales</w:t>
      </w:r>
      <w:r w:rsidRPr="006A2054">
        <w:rPr>
          <w:b w:val="0"/>
          <w:bCs w:val="0"/>
        </w:rPr>
        <w:t xml:space="preserve"> to take into account that there is an increase in retail revenue to correspond with the increase in power supply expense.  Absent the </w:t>
      </w:r>
      <w:r w:rsidR="009E1E89">
        <w:rPr>
          <w:b w:val="0"/>
          <w:bCs w:val="0"/>
        </w:rPr>
        <w:t>LCAR</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w:t>
      </w:r>
      <w:r w:rsidR="001B25B7">
        <w:rPr>
          <w:b w:val="0"/>
          <w:bCs w:val="0"/>
        </w:rPr>
        <w:t>in load</w:t>
      </w:r>
      <w:r w:rsidRPr="006A2054">
        <w:rPr>
          <w:b w:val="0"/>
          <w:bCs w:val="0"/>
        </w:rPr>
        <w:t xml:space="preserve">.  </w:t>
      </w:r>
      <w:r>
        <w:rPr>
          <w:b w:val="0"/>
          <w:bCs w:val="0"/>
        </w:rPr>
        <w:t>The</w:t>
      </w:r>
      <w:r w:rsidRPr="006A2054">
        <w:rPr>
          <w:b w:val="0"/>
          <w:bCs w:val="0"/>
        </w:rPr>
        <w:t xml:space="preserve"> </w:t>
      </w:r>
      <w:r w:rsidR="009E1E89">
        <w:rPr>
          <w:b w:val="0"/>
          <w:bCs w:val="0"/>
        </w:rPr>
        <w:t>LCAR</w:t>
      </w:r>
      <w:r>
        <w:rPr>
          <w:b w:val="0"/>
          <w:bCs w:val="0"/>
        </w:rPr>
        <w:t xml:space="preserve"> </w:t>
      </w:r>
      <w:r w:rsidRPr="006A2054">
        <w:rPr>
          <w:b w:val="0"/>
          <w:bCs w:val="0"/>
        </w:rPr>
        <w:t>is</w:t>
      </w:r>
      <w:r w:rsidR="00955166">
        <w:rPr>
          <w:b w:val="0"/>
          <w:bCs w:val="0"/>
        </w:rPr>
        <w:t xml:space="preserve"> applied to the decrease in sales</w:t>
      </w:r>
      <w:r w:rsidRPr="006A2054">
        <w:rPr>
          <w:b w:val="0"/>
          <w:bCs w:val="0"/>
        </w:rPr>
        <w:t xml:space="preserve"> to take into account that there is a decrease in retail revenue that corresponds with the decrease in power supply expense.  Absent the </w:t>
      </w:r>
      <w:r w:rsidR="009E1E89">
        <w:rPr>
          <w:b w:val="0"/>
          <w:bCs w:val="0"/>
        </w:rPr>
        <w:t xml:space="preserve">LCAR </w:t>
      </w:r>
      <w:r w:rsidRPr="006A2054">
        <w:rPr>
          <w:b w:val="0"/>
          <w:bCs w:val="0"/>
        </w:rPr>
        <w:t>adjustment, customers would receive an und</w:t>
      </w:r>
      <w:r w:rsidR="00460A0B">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946BF5" w:rsidRDefault="00212289" w:rsidP="00212289">
      <w:pPr>
        <w:pStyle w:val="BodyText"/>
        <w:tabs>
          <w:tab w:val="num" w:pos="0"/>
          <w:tab w:val="left" w:pos="810"/>
        </w:tabs>
        <w:spacing w:line="480" w:lineRule="auto"/>
        <w:ind w:firstLine="720"/>
        <w:jc w:val="both"/>
        <w:rPr>
          <w:bCs w:val="0"/>
        </w:rPr>
      </w:pPr>
      <w:proofErr w:type="gramStart"/>
      <w:r w:rsidRPr="00946BF5">
        <w:rPr>
          <w:bCs w:val="0"/>
        </w:rPr>
        <w:t>Q.</w:t>
      </w:r>
      <w:r w:rsidRPr="00946BF5">
        <w:rPr>
          <w:bCs w:val="0"/>
        </w:rPr>
        <w:tab/>
        <w:t>What</w:t>
      </w:r>
      <w:r w:rsidR="00624001">
        <w:rPr>
          <w:bCs w:val="0"/>
        </w:rPr>
        <w:t xml:space="preserve"> </w:t>
      </w:r>
      <w:r w:rsidR="00737769">
        <w:rPr>
          <w:bCs w:val="0"/>
        </w:rPr>
        <w:t xml:space="preserve">change </w:t>
      </w:r>
      <w:r w:rsidR="00233C14">
        <w:rPr>
          <w:bCs w:val="0"/>
        </w:rPr>
        <w:t xml:space="preserve">is the Company </w:t>
      </w:r>
      <w:r w:rsidR="00166263">
        <w:rPr>
          <w:bCs w:val="0"/>
        </w:rPr>
        <w:t>proposing</w:t>
      </w:r>
      <w:r w:rsidR="00233C14">
        <w:rPr>
          <w:bCs w:val="0"/>
        </w:rPr>
        <w:t xml:space="preserve"> to </w:t>
      </w:r>
      <w:r w:rsidR="009E1E89">
        <w:rPr>
          <w:bCs w:val="0"/>
        </w:rPr>
        <w:t>the LCAR</w:t>
      </w:r>
      <w:r w:rsidRPr="00946BF5">
        <w:rPr>
          <w:bCs w:val="0"/>
        </w:rPr>
        <w:t>?</w:t>
      </w:r>
      <w:proofErr w:type="gramEnd"/>
    </w:p>
    <w:p w:rsidR="00624001"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r>
      <w:r w:rsidR="00233C14">
        <w:rPr>
          <w:b w:val="0"/>
          <w:bCs w:val="0"/>
        </w:rPr>
        <w:t xml:space="preserve">The Company is proposing </w:t>
      </w:r>
      <w:r w:rsidR="0073566F">
        <w:rPr>
          <w:b w:val="0"/>
          <w:bCs w:val="0"/>
        </w:rPr>
        <w:t xml:space="preserve">that </w:t>
      </w:r>
      <w:r w:rsidR="009E1E89">
        <w:rPr>
          <w:b w:val="0"/>
          <w:bCs w:val="0"/>
        </w:rPr>
        <w:t>the LCAR</w:t>
      </w:r>
      <w:r w:rsidR="00233C14">
        <w:rPr>
          <w:b w:val="0"/>
          <w:bCs w:val="0"/>
        </w:rPr>
        <w:t xml:space="preserve"> be set at the average </w:t>
      </w:r>
      <w:r w:rsidR="00B30736">
        <w:rPr>
          <w:b w:val="0"/>
          <w:bCs w:val="0"/>
        </w:rPr>
        <w:t xml:space="preserve">purchase and sale price as determined by the AURORA model in the power supply </w:t>
      </w:r>
      <w:r w:rsidR="00166263">
        <w:rPr>
          <w:b w:val="0"/>
          <w:bCs w:val="0"/>
        </w:rPr>
        <w:t>pro forma</w:t>
      </w:r>
      <w:r w:rsidR="00B30736">
        <w:rPr>
          <w:b w:val="0"/>
          <w:bCs w:val="0"/>
        </w:rPr>
        <w:t xml:space="preserve">.  This value represents the average market price of energy.  </w:t>
      </w:r>
      <w:r w:rsidR="00F03FB8">
        <w:rPr>
          <w:b w:val="0"/>
          <w:bCs w:val="0"/>
        </w:rPr>
        <w:t>That number is $30.68/</w:t>
      </w:r>
      <w:proofErr w:type="spellStart"/>
      <w:r w:rsidR="00F03FB8">
        <w:rPr>
          <w:b w:val="0"/>
          <w:bCs w:val="0"/>
        </w:rPr>
        <w:t>MWh</w:t>
      </w:r>
      <w:proofErr w:type="spellEnd"/>
      <w:r w:rsidR="00F03FB8">
        <w:rPr>
          <w:b w:val="0"/>
          <w:bCs w:val="0"/>
        </w:rPr>
        <w:t xml:space="preserve"> b</w:t>
      </w:r>
      <w:r w:rsidR="00B30736">
        <w:rPr>
          <w:b w:val="0"/>
          <w:bCs w:val="0"/>
        </w:rPr>
        <w:t xml:space="preserve">ased on the </w:t>
      </w:r>
      <w:proofErr w:type="spellStart"/>
      <w:r w:rsidR="00B30736">
        <w:rPr>
          <w:b w:val="0"/>
          <w:bCs w:val="0"/>
        </w:rPr>
        <w:t>filed</w:t>
      </w:r>
      <w:proofErr w:type="spellEnd"/>
      <w:r w:rsidR="00B30736">
        <w:rPr>
          <w:b w:val="0"/>
          <w:bCs w:val="0"/>
        </w:rPr>
        <w:t xml:space="preserve"> power supply pro forma.</w:t>
      </w:r>
      <w:r w:rsidR="005A0BE0">
        <w:rPr>
          <w:b w:val="0"/>
          <w:bCs w:val="0"/>
        </w:rPr>
        <w:t xml:space="preserve">  This is the average wholesale market price in the pro forma at which short-term (hourly) purchases and/or sales are made.</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 xml:space="preserve">Why </w:t>
      </w:r>
      <w:r w:rsidR="00B30736">
        <w:rPr>
          <w:bCs w:val="0"/>
        </w:rPr>
        <w:t xml:space="preserve">is the </w:t>
      </w:r>
      <w:r w:rsidR="001B25B7">
        <w:rPr>
          <w:bCs w:val="0"/>
        </w:rPr>
        <w:t>market price of power a more appropriate</w:t>
      </w:r>
      <w:r w:rsidR="00127FE2">
        <w:rPr>
          <w:bCs w:val="0"/>
        </w:rPr>
        <w:t xml:space="preserve"> value for the LCAR</w:t>
      </w:r>
      <w:r w:rsidRPr="00D20E5B">
        <w:rPr>
          <w:bCs w:val="0"/>
        </w:rPr>
        <w:t>?</w:t>
      </w:r>
    </w:p>
    <w:p w:rsidR="00725FEC" w:rsidRDefault="00212289" w:rsidP="00815CCE">
      <w:pPr>
        <w:pStyle w:val="BodyText"/>
        <w:tabs>
          <w:tab w:val="num" w:pos="0"/>
          <w:tab w:val="left" w:pos="810"/>
        </w:tabs>
        <w:spacing w:line="480" w:lineRule="auto"/>
        <w:ind w:firstLine="720"/>
        <w:jc w:val="both"/>
        <w:rPr>
          <w:b w:val="0"/>
          <w:bCs w:val="0"/>
        </w:rPr>
      </w:pPr>
      <w:r>
        <w:rPr>
          <w:b w:val="0"/>
          <w:bCs w:val="0"/>
        </w:rPr>
        <w:t>A.</w:t>
      </w:r>
      <w:r>
        <w:rPr>
          <w:b w:val="0"/>
          <w:bCs w:val="0"/>
        </w:rPr>
        <w:tab/>
      </w:r>
      <w:r w:rsidR="001B25B7">
        <w:rPr>
          <w:b w:val="0"/>
          <w:bCs w:val="0"/>
        </w:rPr>
        <w:t xml:space="preserve">The market price of power is more representative of the actual increased or decreased cost that will occur </w:t>
      </w:r>
      <w:r w:rsidR="00DD154D">
        <w:rPr>
          <w:b w:val="0"/>
          <w:bCs w:val="0"/>
        </w:rPr>
        <w:t>with a</w:t>
      </w:r>
      <w:r w:rsidR="001B25B7">
        <w:rPr>
          <w:b w:val="0"/>
          <w:bCs w:val="0"/>
        </w:rPr>
        <w:t xml:space="preserve"> change in load from the authorized level.  </w:t>
      </w:r>
      <w:r w:rsidR="00EC6A21">
        <w:rPr>
          <w:b w:val="0"/>
          <w:bCs w:val="0"/>
        </w:rPr>
        <w:t>For example, if loads are higher than the authorized level</w:t>
      </w:r>
      <w:r w:rsidR="00127FE2">
        <w:rPr>
          <w:b w:val="0"/>
          <w:bCs w:val="0"/>
        </w:rPr>
        <w:t>,</w:t>
      </w:r>
      <w:r w:rsidR="00EC6A21">
        <w:rPr>
          <w:b w:val="0"/>
          <w:bCs w:val="0"/>
        </w:rPr>
        <w:t xml:space="preserve"> costs will increase because of either increased </w:t>
      </w:r>
      <w:r w:rsidR="00EC6A21">
        <w:rPr>
          <w:b w:val="0"/>
          <w:bCs w:val="0"/>
        </w:rPr>
        <w:lastRenderedPageBreak/>
        <w:t>power purchase or decreased power sales.  Those power transaction</w:t>
      </w:r>
      <w:r w:rsidR="00FE4ED9">
        <w:rPr>
          <w:b w:val="0"/>
          <w:bCs w:val="0"/>
        </w:rPr>
        <w:t>s</w:t>
      </w:r>
      <w:r w:rsidR="00EC6A21">
        <w:rPr>
          <w:b w:val="0"/>
          <w:bCs w:val="0"/>
        </w:rPr>
        <w:t xml:space="preserve"> occur at </w:t>
      </w:r>
      <w:r w:rsidR="00F03FB8">
        <w:rPr>
          <w:b w:val="0"/>
          <w:bCs w:val="0"/>
        </w:rPr>
        <w:t>a</w:t>
      </w:r>
      <w:r w:rsidR="00EC6A21">
        <w:rPr>
          <w:b w:val="0"/>
          <w:bCs w:val="0"/>
        </w:rPr>
        <w:t xml:space="preserve"> market power price which is likely to be higher than the </w:t>
      </w:r>
      <w:r w:rsidR="00127FE2">
        <w:rPr>
          <w:b w:val="0"/>
          <w:bCs w:val="0"/>
        </w:rPr>
        <w:t xml:space="preserve">existing </w:t>
      </w:r>
      <w:r w:rsidR="00EC6A21">
        <w:rPr>
          <w:b w:val="0"/>
          <w:bCs w:val="0"/>
        </w:rPr>
        <w:t>$</w:t>
      </w:r>
      <w:r w:rsidR="00253EEF">
        <w:rPr>
          <w:b w:val="0"/>
          <w:bCs w:val="0"/>
        </w:rPr>
        <w:t>22</w:t>
      </w:r>
      <w:r w:rsidR="00166263">
        <w:rPr>
          <w:b w:val="0"/>
          <w:bCs w:val="0"/>
        </w:rPr>
        <w:t>.</w:t>
      </w:r>
      <w:r w:rsidR="00253EEF">
        <w:rPr>
          <w:b w:val="0"/>
          <w:bCs w:val="0"/>
        </w:rPr>
        <w:t>80</w:t>
      </w:r>
      <w:r w:rsidR="00127FE2">
        <w:rPr>
          <w:b w:val="0"/>
          <w:bCs w:val="0"/>
        </w:rPr>
        <w:t xml:space="preserve"> LCAR</w:t>
      </w:r>
      <w:r w:rsidR="00EC6A21">
        <w:rPr>
          <w:b w:val="0"/>
          <w:bCs w:val="0"/>
        </w:rPr>
        <w:t>.  This results in an ERM surcharge b</w:t>
      </w:r>
      <w:r w:rsidR="00127FE2">
        <w:rPr>
          <w:b w:val="0"/>
          <w:bCs w:val="0"/>
        </w:rPr>
        <w:t>ecause the LCAR adjustment</w:t>
      </w:r>
      <w:r w:rsidR="00EC6A21">
        <w:rPr>
          <w:b w:val="0"/>
          <w:bCs w:val="0"/>
        </w:rPr>
        <w:t xml:space="preserve"> does not offset the increased power expense.  </w:t>
      </w:r>
      <w:r w:rsidR="00FE4ED9">
        <w:rPr>
          <w:b w:val="0"/>
          <w:bCs w:val="0"/>
        </w:rPr>
        <w:t>The same is true with the opposite situation when loads are lower than the authorized level.  Power costs decrease because of increased sales or decreased purchases at market</w:t>
      </w:r>
      <w:r w:rsidR="00127FE2">
        <w:rPr>
          <w:b w:val="0"/>
          <w:bCs w:val="0"/>
        </w:rPr>
        <w:t xml:space="preserve"> power prices.  The LCAR adjustment</w:t>
      </w:r>
      <w:r w:rsidR="00FE4ED9">
        <w:rPr>
          <w:b w:val="0"/>
          <w:bCs w:val="0"/>
        </w:rPr>
        <w:t xml:space="preserve"> will </w:t>
      </w:r>
      <w:r w:rsidR="0073566F">
        <w:rPr>
          <w:b w:val="0"/>
          <w:bCs w:val="0"/>
        </w:rPr>
        <w:t xml:space="preserve">likely </w:t>
      </w:r>
      <w:r w:rsidR="00FE4ED9">
        <w:rPr>
          <w:b w:val="0"/>
          <w:bCs w:val="0"/>
        </w:rPr>
        <w:t xml:space="preserve">be less than the </w:t>
      </w:r>
      <w:r w:rsidR="00815CCE">
        <w:rPr>
          <w:b w:val="0"/>
          <w:bCs w:val="0"/>
        </w:rPr>
        <w:t>dec</w:t>
      </w:r>
      <w:r w:rsidR="00FE4ED9">
        <w:rPr>
          <w:b w:val="0"/>
          <w:bCs w:val="0"/>
        </w:rPr>
        <w:t>re</w:t>
      </w:r>
      <w:r w:rsidR="00815CCE">
        <w:rPr>
          <w:b w:val="0"/>
          <w:bCs w:val="0"/>
        </w:rPr>
        <w:t>a</w:t>
      </w:r>
      <w:r w:rsidR="00FE4ED9">
        <w:rPr>
          <w:b w:val="0"/>
          <w:bCs w:val="0"/>
        </w:rPr>
        <w:t xml:space="preserve">sed power costs and an ERM rebate deferral will result.  </w:t>
      </w:r>
      <w:r w:rsidR="004E686C">
        <w:rPr>
          <w:b w:val="0"/>
          <w:bCs w:val="0"/>
        </w:rPr>
        <w:t>I</w:t>
      </w:r>
      <w:r w:rsidR="00127FE2">
        <w:rPr>
          <w:b w:val="0"/>
          <w:bCs w:val="0"/>
        </w:rPr>
        <w:t>f the LCAR</w:t>
      </w:r>
      <w:r w:rsidR="004E686C">
        <w:rPr>
          <w:b w:val="0"/>
          <w:bCs w:val="0"/>
        </w:rPr>
        <w:t>, however, is at the market price of power at which purchases or sales are made</w:t>
      </w:r>
      <w:r w:rsidR="00127FE2">
        <w:rPr>
          <w:b w:val="0"/>
          <w:bCs w:val="0"/>
        </w:rPr>
        <w:t>, then any</w:t>
      </w:r>
      <w:r w:rsidR="004E686C">
        <w:rPr>
          <w:b w:val="0"/>
          <w:bCs w:val="0"/>
        </w:rPr>
        <w:t xml:space="preserve"> deferral </w:t>
      </w:r>
      <w:r w:rsidR="00FA62E9">
        <w:rPr>
          <w:b w:val="0"/>
          <w:bCs w:val="0"/>
        </w:rPr>
        <w:t>will be reduced or eliminated</w:t>
      </w:r>
      <w:r w:rsidR="004E686C">
        <w:rPr>
          <w:b w:val="0"/>
          <w:bCs w:val="0"/>
        </w:rPr>
        <w:t>.</w:t>
      </w:r>
    </w:p>
    <w:p w:rsidR="000F27C0" w:rsidRDefault="00890D94" w:rsidP="00815CCE">
      <w:pPr>
        <w:pStyle w:val="BodyText"/>
        <w:tabs>
          <w:tab w:val="num" w:pos="0"/>
          <w:tab w:val="left" w:pos="810"/>
        </w:tabs>
        <w:spacing w:line="480" w:lineRule="auto"/>
        <w:ind w:firstLine="720"/>
        <w:jc w:val="both"/>
        <w:rPr>
          <w:b w:val="0"/>
          <w:bCs w:val="0"/>
        </w:rPr>
      </w:pPr>
      <w:proofErr w:type="gramStart"/>
      <w:r>
        <w:rPr>
          <w:b w:val="0"/>
          <w:bCs w:val="0"/>
        </w:rPr>
        <w:t>Table No. 2 and Table No. 3</w:t>
      </w:r>
      <w:r w:rsidR="000F27C0">
        <w:rPr>
          <w:b w:val="0"/>
          <w:bCs w:val="0"/>
        </w:rPr>
        <w:t xml:space="preserve"> below show the impact to the ERM for diffe</w:t>
      </w:r>
      <w:r w:rsidR="008D1089">
        <w:rPr>
          <w:b w:val="0"/>
          <w:bCs w:val="0"/>
        </w:rPr>
        <w:t>rent LCARs</w:t>
      </w:r>
      <w:r w:rsidR="000F27C0">
        <w:rPr>
          <w:b w:val="0"/>
          <w:bCs w:val="0"/>
        </w:rPr>
        <w:t xml:space="preserve"> for a month with higher loads and a month with lower loads.</w:t>
      </w:r>
      <w:proofErr w:type="gramEnd"/>
      <w:r w:rsidR="000F27C0">
        <w:rPr>
          <w:b w:val="0"/>
          <w:bCs w:val="0"/>
        </w:rPr>
        <w:t xml:space="preserve">  In these two </w:t>
      </w:r>
      <w:r w:rsidR="00DD154D">
        <w:rPr>
          <w:b w:val="0"/>
          <w:bCs w:val="0"/>
        </w:rPr>
        <w:t>examples</w:t>
      </w:r>
      <w:r w:rsidR="000F27C0">
        <w:rPr>
          <w:b w:val="0"/>
          <w:bCs w:val="0"/>
        </w:rPr>
        <w:t xml:space="preserve"> I have used actual load changes and market power prices that occurred in November and December 2014 and the current and prop</w:t>
      </w:r>
      <w:r w:rsidR="008D1089">
        <w:rPr>
          <w:b w:val="0"/>
          <w:bCs w:val="0"/>
        </w:rPr>
        <w:t>osed LCAR</w:t>
      </w:r>
      <w:r w:rsidR="000F27C0">
        <w:rPr>
          <w:b w:val="0"/>
          <w:bCs w:val="0"/>
        </w:rPr>
        <w:t>.</w:t>
      </w:r>
    </w:p>
    <w:p w:rsidR="00890D94" w:rsidRPr="00890D94" w:rsidRDefault="00890D94" w:rsidP="00890D94">
      <w:pPr>
        <w:pStyle w:val="BodyText"/>
        <w:tabs>
          <w:tab w:val="num" w:pos="0"/>
          <w:tab w:val="left" w:pos="810"/>
        </w:tabs>
        <w:spacing w:line="480" w:lineRule="auto"/>
        <w:jc w:val="both"/>
        <w:rPr>
          <w:bCs w:val="0"/>
          <w:u w:val="single"/>
        </w:rPr>
      </w:pPr>
      <w:r w:rsidRPr="00890D94">
        <w:rPr>
          <w:bCs w:val="0"/>
          <w:u w:val="single"/>
        </w:rPr>
        <w:t>Table No. 2:</w:t>
      </w:r>
    </w:p>
    <w:p w:rsidR="00890D94" w:rsidRDefault="00C90D40" w:rsidP="00D35315">
      <w:pPr>
        <w:pStyle w:val="BodyText"/>
        <w:tabs>
          <w:tab w:val="num" w:pos="0"/>
          <w:tab w:val="left" w:pos="810"/>
        </w:tabs>
        <w:spacing w:line="480" w:lineRule="auto"/>
        <w:ind w:firstLine="720"/>
        <w:jc w:val="left"/>
      </w:pPr>
      <w:r w:rsidRPr="00C90D40">
        <w:rPr>
          <w:noProof/>
        </w:rPr>
        <w:drawing>
          <wp:inline distT="0" distB="0" distL="0" distR="0">
            <wp:extent cx="5105400" cy="34734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05400" cy="3473450"/>
                    </a:xfrm>
                    <a:prstGeom prst="rect">
                      <a:avLst/>
                    </a:prstGeom>
                    <a:noFill/>
                    <a:ln w="9525">
                      <a:noFill/>
                      <a:miter lim="800000"/>
                      <a:headEnd/>
                      <a:tailEnd/>
                    </a:ln>
                  </pic:spPr>
                </pic:pic>
              </a:graphicData>
            </a:graphic>
          </wp:inline>
        </w:drawing>
      </w:r>
      <w:r w:rsidR="00890D94">
        <w:br w:type="page"/>
      </w:r>
    </w:p>
    <w:p w:rsidR="000F27C0" w:rsidRPr="00890D94" w:rsidRDefault="00890D94" w:rsidP="00890D94">
      <w:pPr>
        <w:pStyle w:val="BodyText"/>
        <w:tabs>
          <w:tab w:val="num" w:pos="0"/>
          <w:tab w:val="left" w:pos="810"/>
        </w:tabs>
        <w:spacing w:line="480" w:lineRule="auto"/>
        <w:jc w:val="left"/>
        <w:rPr>
          <w:bCs w:val="0"/>
          <w:u w:val="single"/>
        </w:rPr>
      </w:pPr>
      <w:r w:rsidRPr="00890D94">
        <w:rPr>
          <w:bCs w:val="0"/>
          <w:u w:val="single"/>
        </w:rPr>
        <w:lastRenderedPageBreak/>
        <w:t>Table No. 3:</w:t>
      </w:r>
    </w:p>
    <w:p w:rsidR="000F27C0" w:rsidRDefault="00C90D40" w:rsidP="00815CCE">
      <w:pPr>
        <w:pStyle w:val="BodyText"/>
        <w:tabs>
          <w:tab w:val="num" w:pos="0"/>
          <w:tab w:val="left" w:pos="810"/>
        </w:tabs>
        <w:spacing w:line="480" w:lineRule="auto"/>
        <w:ind w:firstLine="720"/>
        <w:jc w:val="both"/>
        <w:rPr>
          <w:b w:val="0"/>
          <w:bCs w:val="0"/>
        </w:rPr>
      </w:pPr>
      <w:r w:rsidRPr="00C90D40">
        <w:rPr>
          <w:noProof/>
        </w:rPr>
        <w:drawing>
          <wp:inline distT="0" distB="0" distL="0" distR="0">
            <wp:extent cx="5105400" cy="35242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05400" cy="3524250"/>
                    </a:xfrm>
                    <a:prstGeom prst="rect">
                      <a:avLst/>
                    </a:prstGeom>
                    <a:noFill/>
                    <a:ln w="9525">
                      <a:noFill/>
                      <a:miter lim="800000"/>
                      <a:headEnd/>
                      <a:tailEnd/>
                    </a:ln>
                  </pic:spPr>
                </pic:pic>
              </a:graphicData>
            </a:graphic>
          </wp:inline>
        </w:drawing>
      </w:r>
    </w:p>
    <w:p w:rsidR="00C90D40" w:rsidRDefault="00C90D40" w:rsidP="00815CCE">
      <w:pPr>
        <w:pStyle w:val="BodyText"/>
        <w:tabs>
          <w:tab w:val="num" w:pos="0"/>
          <w:tab w:val="left" w:pos="810"/>
        </w:tabs>
        <w:spacing w:line="480" w:lineRule="auto"/>
        <w:ind w:firstLine="720"/>
        <w:jc w:val="both"/>
        <w:rPr>
          <w:b w:val="0"/>
          <w:bCs w:val="0"/>
        </w:rPr>
      </w:pPr>
    </w:p>
    <w:p w:rsidR="000F27C0" w:rsidRDefault="00330FD2" w:rsidP="00A86A8F">
      <w:pPr>
        <w:pStyle w:val="BodyText"/>
        <w:tabs>
          <w:tab w:val="num" w:pos="0"/>
          <w:tab w:val="left" w:pos="810"/>
        </w:tabs>
        <w:spacing w:line="480" w:lineRule="auto"/>
        <w:ind w:firstLine="720"/>
        <w:jc w:val="both"/>
        <w:rPr>
          <w:b w:val="0"/>
          <w:bCs w:val="0"/>
        </w:rPr>
      </w:pPr>
      <w:r>
        <w:rPr>
          <w:b w:val="0"/>
          <w:bCs w:val="0"/>
        </w:rPr>
        <w:t>As shown in these examples</w:t>
      </w:r>
      <w:r w:rsidR="00C90D40">
        <w:rPr>
          <w:b w:val="0"/>
          <w:bCs w:val="0"/>
        </w:rPr>
        <w:t>,</w:t>
      </w:r>
      <w:r>
        <w:rPr>
          <w:b w:val="0"/>
          <w:bCs w:val="0"/>
        </w:rPr>
        <w:t xml:space="preserve"> using the modeled average market price of power a</w:t>
      </w:r>
      <w:r w:rsidR="00C90D40">
        <w:rPr>
          <w:b w:val="0"/>
          <w:bCs w:val="0"/>
        </w:rPr>
        <w:t>s the LCAR</w:t>
      </w:r>
      <w:r>
        <w:rPr>
          <w:b w:val="0"/>
          <w:bCs w:val="0"/>
        </w:rPr>
        <w:t xml:space="preserve"> results in much lower deferrals than </w:t>
      </w:r>
      <w:r w:rsidR="00A86A8F">
        <w:rPr>
          <w:b w:val="0"/>
          <w:bCs w:val="0"/>
        </w:rPr>
        <w:t>using the rate based on</w:t>
      </w:r>
      <w:r>
        <w:rPr>
          <w:b w:val="0"/>
          <w:bCs w:val="0"/>
        </w:rPr>
        <w:t xml:space="preserve"> the ERM FERC-related accounts.  In these two months the actual market price of power was close </w:t>
      </w:r>
      <w:r w:rsidR="00C90D40">
        <w:rPr>
          <w:b w:val="0"/>
          <w:bCs w:val="0"/>
        </w:rPr>
        <w:t xml:space="preserve">to </w:t>
      </w:r>
      <w:r>
        <w:rPr>
          <w:b w:val="0"/>
          <w:bCs w:val="0"/>
        </w:rPr>
        <w:t>the modeled market power price resulting in very small load change related deferrals.  That may not be true in every month since the actual market price of power varies and could be substantially different than the modeled price</w:t>
      </w:r>
      <w:r w:rsidR="00057F2E">
        <w:rPr>
          <w:b w:val="0"/>
          <w:bCs w:val="0"/>
        </w:rPr>
        <w:t xml:space="preserve">, which </w:t>
      </w:r>
      <w:r>
        <w:rPr>
          <w:b w:val="0"/>
          <w:bCs w:val="0"/>
        </w:rPr>
        <w:t>would result in larger load change related deferrals.  However, in that case</w:t>
      </w:r>
      <w:r w:rsidR="00F56C02">
        <w:rPr>
          <w:b w:val="0"/>
          <w:bCs w:val="0"/>
        </w:rPr>
        <w:t>,</w:t>
      </w:r>
      <w:r>
        <w:rPr>
          <w:b w:val="0"/>
          <w:bCs w:val="0"/>
        </w:rPr>
        <w:t xml:space="preserve"> the ERM is capturing the actual change in expense because the difference in the actual price of power and the modeled price of power represents the real change of expense related to a change in</w:t>
      </w:r>
      <w:r w:rsidR="00F56C02">
        <w:rPr>
          <w:b w:val="0"/>
          <w:bCs w:val="0"/>
        </w:rPr>
        <w:t xml:space="preserve"> load.  </w:t>
      </w:r>
      <w:r w:rsidR="00F54106">
        <w:rPr>
          <w:b w:val="0"/>
          <w:bCs w:val="0"/>
        </w:rPr>
        <w:t xml:space="preserve">The change in power supply expense due to a change in load is directly related to the </w:t>
      </w:r>
      <w:r w:rsidR="00057F2E">
        <w:rPr>
          <w:b w:val="0"/>
          <w:bCs w:val="0"/>
        </w:rPr>
        <w:t xml:space="preserve">short-term </w:t>
      </w:r>
      <w:r w:rsidR="00F54106">
        <w:rPr>
          <w:b w:val="0"/>
          <w:bCs w:val="0"/>
        </w:rPr>
        <w:t>market price of power</w:t>
      </w:r>
      <w:r w:rsidR="00057F2E">
        <w:rPr>
          <w:b w:val="0"/>
          <w:bCs w:val="0"/>
        </w:rPr>
        <w:t>,</w:t>
      </w:r>
      <w:r w:rsidR="00F54106">
        <w:rPr>
          <w:b w:val="0"/>
          <w:bCs w:val="0"/>
        </w:rPr>
        <w:t xml:space="preserve"> and </w:t>
      </w:r>
      <w:r w:rsidR="00057F2E">
        <w:rPr>
          <w:b w:val="0"/>
          <w:bCs w:val="0"/>
        </w:rPr>
        <w:t xml:space="preserve">this market </w:t>
      </w:r>
      <w:r w:rsidR="00057F2E">
        <w:rPr>
          <w:b w:val="0"/>
          <w:bCs w:val="0"/>
        </w:rPr>
        <w:lastRenderedPageBreak/>
        <w:t xml:space="preserve">price of power is more representative of the actual change in costs then the current LCAR based on </w:t>
      </w:r>
      <w:r w:rsidR="00F54106">
        <w:rPr>
          <w:b w:val="0"/>
          <w:bCs w:val="0"/>
        </w:rPr>
        <w:t>ERM-related FERC accounts.</w:t>
      </w:r>
    </w:p>
    <w:p w:rsidR="00815CCE" w:rsidRPr="003D76A3" w:rsidRDefault="00F54106" w:rsidP="00815CCE">
      <w:pPr>
        <w:pStyle w:val="BodyText"/>
        <w:tabs>
          <w:tab w:val="num" w:pos="0"/>
          <w:tab w:val="left" w:pos="810"/>
        </w:tabs>
        <w:spacing w:line="480" w:lineRule="auto"/>
        <w:ind w:firstLine="720"/>
        <w:jc w:val="both"/>
        <w:rPr>
          <w:bCs w:val="0"/>
        </w:rPr>
      </w:pPr>
      <w:r>
        <w:rPr>
          <w:bCs w:val="0"/>
        </w:rPr>
        <w:t>Q.</w:t>
      </w:r>
      <w:r>
        <w:rPr>
          <w:bCs w:val="0"/>
        </w:rPr>
        <w:tab/>
        <w:t xml:space="preserve">Should the same </w:t>
      </w:r>
      <w:r w:rsidR="00057F2E">
        <w:rPr>
          <w:bCs w:val="0"/>
        </w:rPr>
        <w:t>LCAR</w:t>
      </w:r>
      <w:r w:rsidR="00815CCE" w:rsidRPr="003D76A3">
        <w:rPr>
          <w:bCs w:val="0"/>
        </w:rPr>
        <w:t xml:space="preserve"> </w:t>
      </w:r>
      <w:r>
        <w:rPr>
          <w:bCs w:val="0"/>
        </w:rPr>
        <w:t xml:space="preserve">be used in the </w:t>
      </w:r>
      <w:r w:rsidR="00815CCE" w:rsidRPr="003D76A3">
        <w:rPr>
          <w:bCs w:val="0"/>
        </w:rPr>
        <w:t>de</w:t>
      </w:r>
      <w:r>
        <w:rPr>
          <w:bCs w:val="0"/>
        </w:rPr>
        <w:t>coupling mechanism</w:t>
      </w:r>
      <w:r w:rsidR="00815CCE" w:rsidRPr="003D76A3">
        <w:rPr>
          <w:bCs w:val="0"/>
        </w:rPr>
        <w:t>?</w:t>
      </w:r>
    </w:p>
    <w:p w:rsidR="00A01A78" w:rsidRDefault="00815CCE" w:rsidP="00F54106">
      <w:pPr>
        <w:pStyle w:val="BodyText"/>
        <w:tabs>
          <w:tab w:val="num" w:pos="0"/>
          <w:tab w:val="left" w:pos="810"/>
        </w:tabs>
        <w:spacing w:line="480" w:lineRule="auto"/>
        <w:ind w:firstLine="720"/>
        <w:jc w:val="both"/>
        <w:rPr>
          <w:b w:val="0"/>
          <w:bCs w:val="0"/>
        </w:rPr>
      </w:pPr>
      <w:r>
        <w:rPr>
          <w:b w:val="0"/>
          <w:bCs w:val="0"/>
        </w:rPr>
        <w:t>A.</w:t>
      </w:r>
      <w:r>
        <w:rPr>
          <w:b w:val="0"/>
          <w:bCs w:val="0"/>
        </w:rPr>
        <w:tab/>
      </w:r>
      <w:r w:rsidR="00F54106">
        <w:rPr>
          <w:b w:val="0"/>
          <w:bCs w:val="0"/>
        </w:rPr>
        <w:t>Yes.  As explained above</w:t>
      </w:r>
      <w:r w:rsidR="00057F2E">
        <w:rPr>
          <w:b w:val="0"/>
          <w:bCs w:val="0"/>
        </w:rPr>
        <w:t>,</w:t>
      </w:r>
      <w:r w:rsidR="00F54106">
        <w:rPr>
          <w:b w:val="0"/>
          <w:bCs w:val="0"/>
        </w:rPr>
        <w:t xml:space="preserve"> the </w:t>
      </w:r>
      <w:r w:rsidR="00057F2E">
        <w:rPr>
          <w:b w:val="0"/>
          <w:bCs w:val="0"/>
        </w:rPr>
        <w:t>LCAR</w:t>
      </w:r>
      <w:r w:rsidR="00F54106">
        <w:rPr>
          <w:b w:val="0"/>
          <w:bCs w:val="0"/>
        </w:rPr>
        <w:t xml:space="preserve"> should be a value that most appropriately represents the change in power supply expense resulting from a change in load.</w:t>
      </w:r>
    </w:p>
    <w:p w:rsidR="004716D2" w:rsidRDefault="00BC7152">
      <w:pPr>
        <w:pStyle w:val="BodyText"/>
        <w:tabs>
          <w:tab w:val="num" w:pos="0"/>
          <w:tab w:val="left" w:pos="810"/>
        </w:tabs>
        <w:spacing w:line="480" w:lineRule="auto"/>
        <w:jc w:val="both"/>
        <w:rPr>
          <w:bCs w:val="0"/>
          <w:u w:val="single"/>
        </w:rPr>
      </w:pPr>
      <w:r w:rsidRPr="00BC7152">
        <w:rPr>
          <w:bCs w:val="0"/>
          <w:u w:val="single"/>
        </w:rPr>
        <w:t>Colstrip and Coyote Spring</w:t>
      </w:r>
      <w:r w:rsidR="00890D94">
        <w:rPr>
          <w:bCs w:val="0"/>
          <w:u w:val="single"/>
        </w:rPr>
        <w:t>s</w:t>
      </w:r>
      <w:r w:rsidRPr="00BC7152">
        <w:rPr>
          <w:bCs w:val="0"/>
          <w:u w:val="single"/>
        </w:rPr>
        <w:t xml:space="preserve"> 2 Op</w:t>
      </w:r>
      <w:r w:rsidR="00F54106">
        <w:rPr>
          <w:bCs w:val="0"/>
          <w:u w:val="single"/>
        </w:rPr>
        <w:t>eration and Maintenance Expense</w:t>
      </w:r>
    </w:p>
    <w:p w:rsidR="00A01A78" w:rsidRPr="003D76A3" w:rsidRDefault="004C0A1A">
      <w:pPr>
        <w:pStyle w:val="BodyText"/>
        <w:tabs>
          <w:tab w:val="num" w:pos="0"/>
          <w:tab w:val="left" w:pos="810"/>
        </w:tabs>
        <w:spacing w:line="480" w:lineRule="auto"/>
        <w:ind w:firstLine="720"/>
        <w:jc w:val="both"/>
        <w:rPr>
          <w:bCs w:val="0"/>
        </w:rPr>
      </w:pPr>
      <w:r w:rsidRPr="003D76A3">
        <w:rPr>
          <w:bCs w:val="0"/>
        </w:rPr>
        <w:t>Q.</w:t>
      </w:r>
      <w:r w:rsidRPr="003D76A3">
        <w:rPr>
          <w:bCs w:val="0"/>
        </w:rPr>
        <w:tab/>
        <w:t>What is the Company proposing</w:t>
      </w:r>
      <w:r w:rsidR="00F54106">
        <w:rPr>
          <w:bCs w:val="0"/>
        </w:rPr>
        <w:t xml:space="preserve"> related</w:t>
      </w:r>
      <w:r w:rsidR="00890D94">
        <w:rPr>
          <w:bCs w:val="0"/>
        </w:rPr>
        <w:t xml:space="preserve"> to Colstrip and Coyote Springs </w:t>
      </w:r>
      <w:r w:rsidR="00F54106">
        <w:rPr>
          <w:bCs w:val="0"/>
        </w:rPr>
        <w:t>2 O&amp;M expense</w:t>
      </w:r>
      <w:r w:rsidRPr="003D76A3">
        <w:rPr>
          <w:bCs w:val="0"/>
        </w:rPr>
        <w:t>?</w:t>
      </w:r>
    </w:p>
    <w:p w:rsidR="00A01A78" w:rsidRDefault="004C0A1A">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Company is proposing to track the difference between the </w:t>
      </w:r>
      <w:r w:rsidR="00F54106">
        <w:rPr>
          <w:b w:val="0"/>
          <w:bCs w:val="0"/>
        </w:rPr>
        <w:t>authori</w:t>
      </w:r>
      <w:r w:rsidR="00E70D39">
        <w:rPr>
          <w:b w:val="0"/>
          <w:bCs w:val="0"/>
        </w:rPr>
        <w:t xml:space="preserve">zed level of O&amp;M expense </w:t>
      </w:r>
      <w:r>
        <w:rPr>
          <w:b w:val="0"/>
          <w:bCs w:val="0"/>
        </w:rPr>
        <w:t>and actual O&amp;M costs in the ERM</w:t>
      </w:r>
      <w:r w:rsidR="00E822D9">
        <w:rPr>
          <w:b w:val="0"/>
          <w:bCs w:val="0"/>
        </w:rPr>
        <w:t>.</w:t>
      </w:r>
    </w:p>
    <w:p w:rsidR="00A01A78" w:rsidRPr="003D76A3" w:rsidRDefault="006907EE">
      <w:pPr>
        <w:pStyle w:val="BodyText"/>
        <w:tabs>
          <w:tab w:val="num" w:pos="0"/>
          <w:tab w:val="left" w:pos="810"/>
        </w:tabs>
        <w:spacing w:line="480" w:lineRule="auto"/>
        <w:ind w:firstLine="720"/>
        <w:jc w:val="both"/>
        <w:rPr>
          <w:bCs w:val="0"/>
        </w:rPr>
      </w:pPr>
      <w:r>
        <w:rPr>
          <w:bCs w:val="0"/>
        </w:rPr>
        <w:t>Q.</w:t>
      </w:r>
      <w:r>
        <w:rPr>
          <w:bCs w:val="0"/>
        </w:rPr>
        <w:tab/>
      </w:r>
      <w:r w:rsidR="00575BCA">
        <w:rPr>
          <w:bCs w:val="0"/>
        </w:rPr>
        <w:t>Why d</w:t>
      </w:r>
      <w:r w:rsidR="00FC3EF5">
        <w:rPr>
          <w:bCs w:val="0"/>
        </w:rPr>
        <w:t xml:space="preserve">oes the Company </w:t>
      </w:r>
      <w:proofErr w:type="gramStart"/>
      <w:r w:rsidR="00FC3EF5">
        <w:rPr>
          <w:bCs w:val="0"/>
        </w:rPr>
        <w:t>belie</w:t>
      </w:r>
      <w:r>
        <w:rPr>
          <w:bCs w:val="0"/>
        </w:rPr>
        <w:t>ve</w:t>
      </w:r>
      <w:proofErr w:type="gramEnd"/>
      <w:r>
        <w:rPr>
          <w:bCs w:val="0"/>
        </w:rPr>
        <w:t xml:space="preserve"> it is appropriate to include such costs in the ERM</w:t>
      </w:r>
      <w:r w:rsidR="00F02152" w:rsidRPr="003D76A3">
        <w:rPr>
          <w:bCs w:val="0"/>
        </w:rPr>
        <w:t>?</w:t>
      </w:r>
    </w:p>
    <w:p w:rsidR="00A01A78" w:rsidRDefault="006907EE">
      <w:pPr>
        <w:pStyle w:val="BodyText"/>
        <w:tabs>
          <w:tab w:val="num" w:pos="0"/>
          <w:tab w:val="left" w:pos="810"/>
        </w:tabs>
        <w:spacing w:line="480" w:lineRule="auto"/>
        <w:ind w:firstLine="720"/>
        <w:jc w:val="both"/>
        <w:rPr>
          <w:b w:val="0"/>
          <w:bCs w:val="0"/>
        </w:rPr>
      </w:pPr>
      <w:r>
        <w:rPr>
          <w:b w:val="0"/>
          <w:bCs w:val="0"/>
        </w:rPr>
        <w:t>A.</w:t>
      </w:r>
      <w:r>
        <w:rPr>
          <w:b w:val="0"/>
          <w:bCs w:val="0"/>
        </w:rPr>
        <w:tab/>
      </w:r>
      <w:r w:rsidR="00FC3EF5">
        <w:rPr>
          <w:b w:val="0"/>
          <w:bCs w:val="0"/>
        </w:rPr>
        <w:t xml:space="preserve">Including the O&amp;M expense in </w:t>
      </w:r>
      <w:r w:rsidR="00557BA6">
        <w:rPr>
          <w:b w:val="0"/>
          <w:bCs w:val="0"/>
        </w:rPr>
        <w:t xml:space="preserve">the </w:t>
      </w:r>
      <w:r w:rsidR="00FC3EF5">
        <w:rPr>
          <w:b w:val="0"/>
          <w:bCs w:val="0"/>
        </w:rPr>
        <w:t xml:space="preserve">ERM better captures the total variation in power supply costs.  </w:t>
      </w:r>
      <w:r w:rsidR="00575BCA">
        <w:rPr>
          <w:b w:val="0"/>
          <w:bCs w:val="0"/>
        </w:rPr>
        <w:t xml:space="preserve">O&amp;M at the </w:t>
      </w:r>
      <w:r w:rsidR="004C0A1A">
        <w:rPr>
          <w:b w:val="0"/>
          <w:bCs w:val="0"/>
        </w:rPr>
        <w:t>Colstrip an</w:t>
      </w:r>
      <w:r>
        <w:rPr>
          <w:b w:val="0"/>
          <w:bCs w:val="0"/>
        </w:rPr>
        <w:t xml:space="preserve">d Coyote Springs 2 </w:t>
      </w:r>
      <w:r w:rsidR="00575BCA">
        <w:rPr>
          <w:b w:val="0"/>
          <w:bCs w:val="0"/>
        </w:rPr>
        <w:t xml:space="preserve">plants is a significant expense and both plants </w:t>
      </w:r>
      <w:r>
        <w:rPr>
          <w:b w:val="0"/>
          <w:bCs w:val="0"/>
        </w:rPr>
        <w:t>have highly variable maintenance schedules that are</w:t>
      </w:r>
      <w:r w:rsidR="004C0A1A">
        <w:rPr>
          <w:b w:val="0"/>
          <w:bCs w:val="0"/>
        </w:rPr>
        <w:t xml:space="preserve"> dependent on fa</w:t>
      </w:r>
      <w:r w:rsidR="00CE56C7">
        <w:rPr>
          <w:b w:val="0"/>
          <w:bCs w:val="0"/>
        </w:rPr>
        <w:t>ctors</w:t>
      </w:r>
      <w:r w:rsidR="004C0A1A">
        <w:rPr>
          <w:b w:val="0"/>
          <w:bCs w:val="0"/>
        </w:rPr>
        <w:t xml:space="preserve"> outside the Company’s control</w:t>
      </w:r>
      <w:r w:rsidR="00CE56C7">
        <w:rPr>
          <w:b w:val="0"/>
          <w:bCs w:val="0"/>
        </w:rPr>
        <w:t xml:space="preserve">.  The real issue is primarily maintenance and not operation expense.  Major maintenance is done every </w:t>
      </w:r>
      <w:r w:rsidR="00725FEC">
        <w:rPr>
          <w:b w:val="0"/>
          <w:bCs w:val="0"/>
        </w:rPr>
        <w:t xml:space="preserve">2 out of </w:t>
      </w:r>
      <w:r w:rsidR="00CE56C7">
        <w:rPr>
          <w:b w:val="0"/>
          <w:bCs w:val="0"/>
        </w:rPr>
        <w:t xml:space="preserve">3 years at Colstrip </w:t>
      </w:r>
      <w:r w:rsidR="00725FEC">
        <w:rPr>
          <w:b w:val="0"/>
          <w:bCs w:val="0"/>
        </w:rPr>
        <w:t xml:space="preserve">(each unit every 3 years) </w:t>
      </w:r>
      <w:r w:rsidR="00CE56C7">
        <w:rPr>
          <w:b w:val="0"/>
          <w:bCs w:val="0"/>
        </w:rPr>
        <w:t>and is known in advance.  Avista does not control this maintenance cycle as it is a jointly owned plant.  Coyote Springs 2</w:t>
      </w:r>
      <w:r w:rsidR="00575BCA">
        <w:rPr>
          <w:b w:val="0"/>
          <w:bCs w:val="0"/>
        </w:rPr>
        <w:t>’s</w:t>
      </w:r>
      <w:r w:rsidR="00CE56C7">
        <w:rPr>
          <w:b w:val="0"/>
          <w:bCs w:val="0"/>
        </w:rPr>
        <w:t xml:space="preserve"> major maintenance is dependent on </w:t>
      </w:r>
      <w:r w:rsidR="00F9307C">
        <w:rPr>
          <w:b w:val="0"/>
          <w:bCs w:val="0"/>
        </w:rPr>
        <w:t>fired</w:t>
      </w:r>
      <w:r w:rsidR="00F02152">
        <w:rPr>
          <w:b w:val="0"/>
          <w:bCs w:val="0"/>
        </w:rPr>
        <w:t>-</w:t>
      </w:r>
      <w:r w:rsidR="00CE56C7">
        <w:rPr>
          <w:b w:val="0"/>
          <w:bCs w:val="0"/>
        </w:rPr>
        <w:t>run hours</w:t>
      </w:r>
      <w:r w:rsidR="00F9307C">
        <w:rPr>
          <w:b w:val="0"/>
          <w:bCs w:val="0"/>
        </w:rPr>
        <w:t xml:space="preserve"> on the gas turbine.  Major maintenance occurs every 24,000 hours.  It is expected that the turbine will reach 72,000 </w:t>
      </w:r>
      <w:r w:rsidR="001F2B04">
        <w:rPr>
          <w:b w:val="0"/>
          <w:bCs w:val="0"/>
        </w:rPr>
        <w:t xml:space="preserve">hours </w:t>
      </w:r>
      <w:r w:rsidR="00F9307C">
        <w:rPr>
          <w:b w:val="0"/>
          <w:bCs w:val="0"/>
        </w:rPr>
        <w:t>of run time sometime in 2016.  Run time</w:t>
      </w:r>
      <w:r w:rsidR="00CE56C7">
        <w:rPr>
          <w:b w:val="0"/>
          <w:bCs w:val="0"/>
        </w:rPr>
        <w:t xml:space="preserve"> is dependent on </w:t>
      </w:r>
      <w:r w:rsidR="00CE56C7">
        <w:rPr>
          <w:b w:val="0"/>
          <w:bCs w:val="0"/>
        </w:rPr>
        <w:lastRenderedPageBreak/>
        <w:t xml:space="preserve">market </w:t>
      </w:r>
      <w:r w:rsidR="00F9307C">
        <w:rPr>
          <w:b w:val="0"/>
          <w:bCs w:val="0"/>
        </w:rPr>
        <w:t>conditions and</w:t>
      </w:r>
      <w:r w:rsidR="001F2B04">
        <w:rPr>
          <w:b w:val="0"/>
          <w:bCs w:val="0"/>
        </w:rPr>
        <w:t xml:space="preserve"> Avista cannot be certain</w:t>
      </w:r>
      <w:r w:rsidR="00CE56C7">
        <w:rPr>
          <w:b w:val="0"/>
          <w:bCs w:val="0"/>
        </w:rPr>
        <w:t xml:space="preserve"> when major maintenance will occur because market conditions and therefore run hours vary.</w:t>
      </w:r>
    </w:p>
    <w:p w:rsidR="006907EE" w:rsidRDefault="006907EE" w:rsidP="00FC3EF5">
      <w:pPr>
        <w:pStyle w:val="BodyText"/>
        <w:tabs>
          <w:tab w:val="num" w:pos="0"/>
          <w:tab w:val="left" w:pos="810"/>
        </w:tabs>
        <w:spacing w:line="480" w:lineRule="auto"/>
        <w:ind w:firstLine="720"/>
        <w:jc w:val="both"/>
        <w:rPr>
          <w:b w:val="0"/>
          <w:bCs w:val="0"/>
        </w:rPr>
      </w:pPr>
      <w:r>
        <w:rPr>
          <w:b w:val="0"/>
          <w:bCs w:val="0"/>
        </w:rPr>
        <w:t xml:space="preserve">In 2016 </w:t>
      </w:r>
      <w:r w:rsidR="00CE56C7">
        <w:rPr>
          <w:b w:val="0"/>
          <w:bCs w:val="0"/>
        </w:rPr>
        <w:t xml:space="preserve">both Colstrip and Coyote Springs 2 are expected to </w:t>
      </w:r>
      <w:r w:rsidR="00166263">
        <w:rPr>
          <w:b w:val="0"/>
          <w:bCs w:val="0"/>
        </w:rPr>
        <w:t>incur major</w:t>
      </w:r>
      <w:r w:rsidR="00CE56C7">
        <w:rPr>
          <w:b w:val="0"/>
          <w:bCs w:val="0"/>
        </w:rPr>
        <w:t xml:space="preserve"> maintenance expense and that expense level is $</w:t>
      </w:r>
      <w:r w:rsidR="0095387E">
        <w:rPr>
          <w:b w:val="0"/>
          <w:bCs w:val="0"/>
        </w:rPr>
        <w:t>3,105,745</w:t>
      </w:r>
      <w:r w:rsidR="00CE56C7">
        <w:rPr>
          <w:b w:val="0"/>
          <w:bCs w:val="0"/>
        </w:rPr>
        <w:t xml:space="preserve"> higher than the expense level in the test-year</w:t>
      </w:r>
      <w:r w:rsidR="0095387E">
        <w:rPr>
          <w:b w:val="0"/>
          <w:bCs w:val="0"/>
        </w:rPr>
        <w:t xml:space="preserve"> (Washington allocation)</w:t>
      </w:r>
      <w:r w:rsidR="00CE56C7">
        <w:rPr>
          <w:b w:val="0"/>
          <w:bCs w:val="0"/>
        </w:rPr>
        <w:t>.</w:t>
      </w:r>
      <w:r w:rsidR="000B7F16">
        <w:rPr>
          <w:b w:val="0"/>
          <w:bCs w:val="0"/>
        </w:rPr>
        <w:t xml:space="preserve">  Avista will significantly </w:t>
      </w:r>
      <w:r w:rsidR="00166263">
        <w:rPr>
          <w:b w:val="0"/>
          <w:bCs w:val="0"/>
        </w:rPr>
        <w:t>under recover</w:t>
      </w:r>
      <w:r w:rsidR="000B7F16">
        <w:rPr>
          <w:b w:val="0"/>
          <w:bCs w:val="0"/>
        </w:rPr>
        <w:t xml:space="preserve"> its O&amp;M </w:t>
      </w:r>
      <w:r w:rsidR="003D76A3">
        <w:rPr>
          <w:b w:val="0"/>
          <w:bCs w:val="0"/>
        </w:rPr>
        <w:t xml:space="preserve">expense </w:t>
      </w:r>
      <w:r w:rsidR="000B7F16">
        <w:rPr>
          <w:b w:val="0"/>
          <w:bCs w:val="0"/>
        </w:rPr>
        <w:t xml:space="preserve">for Colstrip and Coyote Springs 2 in 2016 if it </w:t>
      </w:r>
      <w:r w:rsidR="00E70D39">
        <w:rPr>
          <w:b w:val="0"/>
          <w:bCs w:val="0"/>
        </w:rPr>
        <w:t>does not have some means to include these costs in retail rates.</w:t>
      </w:r>
    </w:p>
    <w:p w:rsidR="00A01A78" w:rsidRPr="003D76A3" w:rsidRDefault="00902CFF">
      <w:pPr>
        <w:pStyle w:val="BodyText"/>
        <w:tabs>
          <w:tab w:val="num" w:pos="0"/>
          <w:tab w:val="left" w:pos="810"/>
        </w:tabs>
        <w:spacing w:line="480" w:lineRule="auto"/>
        <w:ind w:firstLine="720"/>
        <w:jc w:val="both"/>
        <w:rPr>
          <w:bCs w:val="0"/>
        </w:rPr>
      </w:pPr>
      <w:r w:rsidRPr="003D76A3">
        <w:rPr>
          <w:bCs w:val="0"/>
        </w:rPr>
        <w:t>Q.</w:t>
      </w:r>
      <w:r w:rsidRPr="003D76A3">
        <w:rPr>
          <w:bCs w:val="0"/>
        </w:rPr>
        <w:tab/>
        <w:t>Why include operation expense</w:t>
      </w:r>
      <w:r w:rsidR="003D76A3" w:rsidRPr="003D76A3">
        <w:rPr>
          <w:bCs w:val="0"/>
        </w:rPr>
        <w:t>?</w:t>
      </w:r>
    </w:p>
    <w:p w:rsidR="00A01A78" w:rsidRDefault="00902CFF">
      <w:pPr>
        <w:pStyle w:val="BodyText"/>
        <w:tabs>
          <w:tab w:val="num" w:pos="0"/>
          <w:tab w:val="left" w:pos="810"/>
        </w:tabs>
        <w:spacing w:line="480" w:lineRule="auto"/>
        <w:ind w:firstLine="720"/>
        <w:jc w:val="both"/>
        <w:rPr>
          <w:b w:val="0"/>
          <w:bCs w:val="0"/>
        </w:rPr>
      </w:pPr>
      <w:r>
        <w:rPr>
          <w:b w:val="0"/>
          <w:bCs w:val="0"/>
        </w:rPr>
        <w:t>A.</w:t>
      </w:r>
      <w:r>
        <w:rPr>
          <w:b w:val="0"/>
          <w:bCs w:val="0"/>
        </w:rPr>
        <w:tab/>
        <w:t xml:space="preserve">Operation expense is included because it may be lower in years with major maintenance expense because the plant will run less time.  It would be unfair to customers to </w:t>
      </w:r>
      <w:r w:rsidR="009D3B90">
        <w:rPr>
          <w:b w:val="0"/>
          <w:bCs w:val="0"/>
        </w:rPr>
        <w:t>charge them for higher maintenance expense but not credit them for lower operation expense.</w:t>
      </w:r>
    </w:p>
    <w:p w:rsidR="00A01A78" w:rsidRPr="003D76A3" w:rsidRDefault="00057F2E">
      <w:pPr>
        <w:pStyle w:val="BodyText"/>
        <w:tabs>
          <w:tab w:val="num" w:pos="0"/>
          <w:tab w:val="left" w:pos="810"/>
        </w:tabs>
        <w:spacing w:line="480" w:lineRule="auto"/>
        <w:ind w:firstLine="720"/>
        <w:jc w:val="both"/>
        <w:rPr>
          <w:bCs w:val="0"/>
        </w:rPr>
      </w:pPr>
      <w:r>
        <w:rPr>
          <w:bCs w:val="0"/>
        </w:rPr>
        <w:t>Q.</w:t>
      </w:r>
      <w:r>
        <w:rPr>
          <w:bCs w:val="0"/>
        </w:rPr>
        <w:tab/>
        <w:t>What accounts would</w:t>
      </w:r>
      <w:r w:rsidR="009D3B90" w:rsidRPr="003D76A3">
        <w:rPr>
          <w:bCs w:val="0"/>
        </w:rPr>
        <w:t xml:space="preserve"> be tracked?</w:t>
      </w:r>
    </w:p>
    <w:p w:rsidR="00A01A78" w:rsidRDefault="00057F2E">
      <w:pPr>
        <w:pStyle w:val="BodyText"/>
        <w:tabs>
          <w:tab w:val="num" w:pos="0"/>
          <w:tab w:val="left" w:pos="810"/>
        </w:tabs>
        <w:spacing w:line="480" w:lineRule="auto"/>
        <w:ind w:firstLine="720"/>
        <w:jc w:val="both"/>
        <w:rPr>
          <w:b w:val="0"/>
          <w:bCs w:val="0"/>
        </w:rPr>
      </w:pPr>
      <w:r>
        <w:rPr>
          <w:b w:val="0"/>
          <w:bCs w:val="0"/>
        </w:rPr>
        <w:t>A.</w:t>
      </w:r>
      <w:r>
        <w:rPr>
          <w:b w:val="0"/>
          <w:bCs w:val="0"/>
        </w:rPr>
        <w:tab/>
        <w:t>The accounts that would</w:t>
      </w:r>
      <w:r w:rsidR="009D3B90">
        <w:rPr>
          <w:b w:val="0"/>
          <w:bCs w:val="0"/>
        </w:rPr>
        <w:t xml:space="preserve"> be tracked are</w:t>
      </w:r>
      <w:r w:rsidR="002069D0">
        <w:rPr>
          <w:b w:val="0"/>
          <w:bCs w:val="0"/>
        </w:rPr>
        <w:t xml:space="preserve"> </w:t>
      </w:r>
      <w:r>
        <w:rPr>
          <w:b w:val="0"/>
          <w:bCs w:val="0"/>
        </w:rPr>
        <w:t xml:space="preserve">FERC accounts </w:t>
      </w:r>
      <w:r w:rsidR="002069D0">
        <w:rPr>
          <w:b w:val="0"/>
          <w:bCs w:val="0"/>
        </w:rPr>
        <w:t>500 through 507 and 510 through 514 for Colstrip</w:t>
      </w:r>
      <w:r>
        <w:rPr>
          <w:b w:val="0"/>
          <w:bCs w:val="0"/>
        </w:rPr>
        <w:t>,</w:t>
      </w:r>
      <w:r w:rsidR="002069D0">
        <w:rPr>
          <w:b w:val="0"/>
          <w:bCs w:val="0"/>
        </w:rPr>
        <w:t xml:space="preserve"> and 546 through 554 and 562 for Coyote Springs 2.  The test-year and pro forma expenses for </w:t>
      </w:r>
      <w:r w:rsidR="00FC3EF5">
        <w:rPr>
          <w:b w:val="0"/>
          <w:bCs w:val="0"/>
        </w:rPr>
        <w:t>these accounts are shown in workpapers</w:t>
      </w:r>
      <w:r>
        <w:rPr>
          <w:b w:val="0"/>
          <w:bCs w:val="0"/>
        </w:rPr>
        <w:t xml:space="preserve"> included with this filing.</w:t>
      </w:r>
    </w:p>
    <w:p w:rsidR="00A01A78" w:rsidRPr="003D76A3" w:rsidRDefault="004C0A1A">
      <w:pPr>
        <w:pStyle w:val="BodyText"/>
        <w:tabs>
          <w:tab w:val="num" w:pos="0"/>
          <w:tab w:val="left" w:pos="810"/>
        </w:tabs>
        <w:spacing w:line="480" w:lineRule="auto"/>
        <w:ind w:firstLine="720"/>
        <w:jc w:val="both"/>
        <w:rPr>
          <w:bCs w:val="0"/>
        </w:rPr>
      </w:pPr>
      <w:r w:rsidRPr="003D76A3">
        <w:rPr>
          <w:bCs w:val="0"/>
        </w:rPr>
        <w:t>Q.</w:t>
      </w:r>
      <w:r w:rsidRPr="003D76A3">
        <w:rPr>
          <w:bCs w:val="0"/>
        </w:rPr>
        <w:tab/>
        <w:t>How would the difference in O&amp;M be included in the ERM deferrals</w:t>
      </w:r>
      <w:r w:rsidR="003D76A3">
        <w:rPr>
          <w:bCs w:val="0"/>
        </w:rPr>
        <w:t>?</w:t>
      </w:r>
    </w:p>
    <w:p w:rsidR="00D35315" w:rsidRDefault="004C0A1A" w:rsidP="00D35315">
      <w:pPr>
        <w:pStyle w:val="BodyText"/>
        <w:tabs>
          <w:tab w:val="num" w:pos="0"/>
          <w:tab w:val="left" w:pos="810"/>
        </w:tabs>
        <w:spacing w:line="480" w:lineRule="auto"/>
        <w:ind w:firstLine="720"/>
        <w:jc w:val="both"/>
      </w:pPr>
      <w:r>
        <w:rPr>
          <w:b w:val="0"/>
          <w:bCs w:val="0"/>
        </w:rPr>
        <w:t>A.</w:t>
      </w:r>
      <w:r>
        <w:rPr>
          <w:b w:val="0"/>
          <w:bCs w:val="0"/>
        </w:rPr>
        <w:tab/>
        <w:t xml:space="preserve">The difference </w:t>
      </w:r>
      <w:r w:rsidR="002069D0">
        <w:rPr>
          <w:b w:val="0"/>
          <w:bCs w:val="0"/>
        </w:rPr>
        <w:t xml:space="preserve">between actual and pro </w:t>
      </w:r>
      <w:r w:rsidR="00166263">
        <w:rPr>
          <w:b w:val="0"/>
          <w:bCs w:val="0"/>
        </w:rPr>
        <w:t>forma O&amp;M</w:t>
      </w:r>
      <w:r>
        <w:rPr>
          <w:b w:val="0"/>
          <w:bCs w:val="0"/>
        </w:rPr>
        <w:t xml:space="preserve"> costs would be treated the same as any other power supply expense variation</w:t>
      </w:r>
      <w:r w:rsidR="00057F2E">
        <w:rPr>
          <w:b w:val="0"/>
          <w:bCs w:val="0"/>
        </w:rPr>
        <w:t>,</w:t>
      </w:r>
      <w:r>
        <w:rPr>
          <w:b w:val="0"/>
          <w:bCs w:val="0"/>
        </w:rPr>
        <w:t xml:space="preserve"> and </w:t>
      </w:r>
      <w:r w:rsidR="00CE56C7">
        <w:rPr>
          <w:b w:val="0"/>
          <w:bCs w:val="0"/>
        </w:rPr>
        <w:t xml:space="preserve">be subject to the </w:t>
      </w:r>
      <w:r w:rsidR="00166263">
        <w:rPr>
          <w:b w:val="0"/>
          <w:bCs w:val="0"/>
        </w:rPr>
        <w:t>dead band</w:t>
      </w:r>
      <w:r w:rsidR="00CE56C7">
        <w:rPr>
          <w:b w:val="0"/>
          <w:bCs w:val="0"/>
        </w:rPr>
        <w:t xml:space="preserve"> and the sharing bands</w:t>
      </w:r>
      <w:r w:rsidR="00470FE7">
        <w:rPr>
          <w:b w:val="0"/>
          <w:bCs w:val="0"/>
        </w:rPr>
        <w:t>.</w:t>
      </w:r>
      <w:r w:rsidR="00D35315">
        <w:rPr>
          <w:b w:val="0"/>
          <w:bCs w:val="0"/>
        </w:rPr>
        <w:br w:type="page"/>
      </w:r>
    </w:p>
    <w:p w:rsidR="00BE21E7" w:rsidRPr="00BE21E7" w:rsidRDefault="007E493D" w:rsidP="007E493D">
      <w:pPr>
        <w:pStyle w:val="BodyText"/>
        <w:tabs>
          <w:tab w:val="num" w:pos="0"/>
        </w:tabs>
        <w:spacing w:line="480" w:lineRule="auto"/>
        <w:rPr>
          <w:bCs w:val="0"/>
          <w:u w:val="single"/>
        </w:rPr>
      </w:pPr>
      <w:r>
        <w:rPr>
          <w:bCs w:val="0"/>
          <w:u w:val="single"/>
        </w:rPr>
        <w:lastRenderedPageBreak/>
        <w:t>V.</w:t>
      </w:r>
      <w:r>
        <w:rPr>
          <w:bCs w:val="0"/>
          <w:u w:val="single"/>
        </w:rPr>
        <w:tab/>
      </w:r>
      <w:r w:rsidR="00975878">
        <w:rPr>
          <w:bCs w:val="0"/>
          <w:u w:val="single"/>
        </w:rPr>
        <w:t xml:space="preserve">ERM AUTHORIZED </w:t>
      </w:r>
      <w:r w:rsidR="00647807">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253EEF">
        <w:rPr>
          <w:b w:val="0"/>
          <w:bCs w:val="0"/>
        </w:rPr>
        <w:t>197</w:t>
      </w:r>
      <w:r w:rsidR="008A2713">
        <w:rPr>
          <w:b w:val="0"/>
          <w:bCs w:val="0"/>
        </w:rPr>
        <w:t>,</w:t>
      </w:r>
      <w:r w:rsidR="00253EEF">
        <w:rPr>
          <w:b w:val="0"/>
          <w:bCs w:val="0"/>
        </w:rPr>
        <w:t>770</w:t>
      </w:r>
      <w:r w:rsidR="008A2713">
        <w:rPr>
          <w:b w:val="0"/>
          <w:bCs w:val="0"/>
        </w:rPr>
        <w:t>,</w:t>
      </w:r>
      <w:r w:rsidR="00253EEF">
        <w:rPr>
          <w:b w:val="0"/>
          <w:bCs w:val="0"/>
        </w:rPr>
        <w:t>559</w:t>
      </w:r>
      <w:r w:rsidRPr="00BE21E7">
        <w:rPr>
          <w:b w:val="0"/>
          <w:bCs w:val="0"/>
        </w:rPr>
        <w:t>.  This is the sum of Accounts 555 (Purchased Power), 501 (Thermal Fuel), 547 (Fuel), less Account 447 (Sale</w:t>
      </w:r>
      <w:r w:rsidR="00557BA6">
        <w:rPr>
          <w:b w:val="0"/>
          <w:bCs w:val="0"/>
        </w:rPr>
        <w:t xml:space="preserve"> for Resale).</w:t>
      </w:r>
      <w:r w:rsidR="00253EEF">
        <w:rPr>
          <w:b w:val="0"/>
          <w:bCs w:val="0"/>
        </w:rPr>
        <w:t xml:space="preserve"> It also includes t</w:t>
      </w:r>
      <w:r w:rsidR="008A66AA">
        <w:rPr>
          <w:b w:val="0"/>
          <w:bCs w:val="0"/>
        </w:rPr>
        <w:t>he O&amp;M accounts noted above related t</w:t>
      </w:r>
      <w:r w:rsidR="00253EEF">
        <w:rPr>
          <w:b w:val="0"/>
          <w:bCs w:val="0"/>
        </w:rPr>
        <w:t xml:space="preserve">o its Colstrip and </w:t>
      </w:r>
      <w:r w:rsidR="00890D94">
        <w:rPr>
          <w:b w:val="0"/>
          <w:bCs w:val="0"/>
        </w:rPr>
        <w:t>Coyote Springs 2</w:t>
      </w:r>
      <w:r w:rsidR="00253EEF">
        <w:rPr>
          <w:b w:val="0"/>
          <w:bCs w:val="0"/>
        </w:rPr>
        <w:t xml:space="preserve"> plants, transmission expense, transmission revenue and broker fee expense</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w:t>
      </w:r>
      <w:r w:rsidR="00057F2E">
        <w:t>LCAR</w:t>
      </w:r>
      <w:r>
        <w:t xml:space="preserve">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E81AD1">
        <w:rPr>
          <w:b w:val="0"/>
          <w:bCs w:val="0"/>
        </w:rPr>
        <w:t>October</w:t>
      </w:r>
      <w:r w:rsidR="00E81AD1" w:rsidRPr="00BE21E7">
        <w:rPr>
          <w:b w:val="0"/>
          <w:bCs w:val="0"/>
        </w:rPr>
        <w:t xml:space="preserve"> </w:t>
      </w:r>
      <w:r w:rsidR="00BE21E7" w:rsidRPr="00BE21E7">
        <w:rPr>
          <w:b w:val="0"/>
          <w:bCs w:val="0"/>
        </w:rPr>
        <w:t>201</w:t>
      </w:r>
      <w:r w:rsidR="00E81AD1">
        <w:rPr>
          <w:b w:val="0"/>
          <w:bCs w:val="0"/>
        </w:rPr>
        <w:t>3</w:t>
      </w:r>
      <w:r w:rsidR="00BE21E7" w:rsidRPr="00BE21E7">
        <w:rPr>
          <w:b w:val="0"/>
          <w:bCs w:val="0"/>
        </w:rPr>
        <w:t xml:space="preserve"> through </w:t>
      </w:r>
      <w:r w:rsidR="00E81AD1">
        <w:rPr>
          <w:b w:val="0"/>
          <w:bCs w:val="0"/>
        </w:rPr>
        <w:t>September</w:t>
      </w:r>
      <w:r w:rsidR="00D13452">
        <w:rPr>
          <w:b w:val="0"/>
          <w:bCs w:val="0"/>
        </w:rPr>
        <w:t xml:space="preserve"> 201</w:t>
      </w:r>
      <w:r w:rsidR="00E81AD1">
        <w:rPr>
          <w:b w:val="0"/>
          <w:bCs w:val="0"/>
        </w:rPr>
        <w:t>4</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6E0068">
        <w:rPr>
          <w:b w:val="0"/>
          <w:bCs w:val="0"/>
        </w:rPr>
        <w:t>.</w:t>
      </w:r>
      <w:r w:rsidR="00BE21E7" w:rsidRPr="00BE21E7">
        <w:rPr>
          <w:b w:val="0"/>
          <w:bCs w:val="0"/>
        </w:rPr>
        <w:t xml:space="preserve">  The pr</w:t>
      </w:r>
      <w:r w:rsidR="00D15846">
        <w:rPr>
          <w:b w:val="0"/>
          <w:bCs w:val="0"/>
        </w:rPr>
        <w:t xml:space="preserve">oposed </w:t>
      </w:r>
      <w:r w:rsidR="00057F2E">
        <w:rPr>
          <w:b w:val="0"/>
          <w:bCs w:val="0"/>
        </w:rPr>
        <w:t xml:space="preserve">LCAR </w:t>
      </w:r>
      <w:r w:rsidR="00D15846">
        <w:rPr>
          <w:b w:val="0"/>
          <w:bCs w:val="0"/>
        </w:rPr>
        <w:t xml:space="preserve">is </w:t>
      </w:r>
      <w:r w:rsidR="00647807">
        <w:rPr>
          <w:b w:val="0"/>
          <w:bCs w:val="0"/>
        </w:rPr>
        <w:t>$</w:t>
      </w:r>
      <w:r w:rsidR="00647807" w:rsidRPr="00647807">
        <w:rPr>
          <w:b w:val="0"/>
          <w:bCs w:val="0"/>
        </w:rPr>
        <w:t>3</w:t>
      </w:r>
      <w:r w:rsidR="00E81AD1">
        <w:rPr>
          <w:b w:val="0"/>
          <w:bCs w:val="0"/>
        </w:rPr>
        <w:t>0.68</w:t>
      </w:r>
      <w:r w:rsidR="00BE21E7" w:rsidRPr="00647807">
        <w:rPr>
          <w:b w:val="0"/>
          <w:bCs w:val="0"/>
        </w:rPr>
        <w:t>MWh</w:t>
      </w:r>
      <w:r w:rsidR="00BE21E7" w:rsidRPr="00BE21E7">
        <w:rPr>
          <w:b w:val="0"/>
          <w:bCs w:val="0"/>
        </w:rPr>
        <w:t>, which is the</w:t>
      </w:r>
      <w:r w:rsidR="0029173E">
        <w:rPr>
          <w:b w:val="0"/>
          <w:bCs w:val="0"/>
        </w:rPr>
        <w:t xml:space="preserve"> </w:t>
      </w:r>
      <w:r w:rsidR="00E81AD1">
        <w:rPr>
          <w:b w:val="0"/>
          <w:bCs w:val="0"/>
        </w:rPr>
        <w:t xml:space="preserve">average spot market purchase and sales rate in the </w:t>
      </w:r>
      <w:r w:rsidR="0029173E">
        <w:rPr>
          <w:b w:val="0"/>
          <w:bCs w:val="0"/>
        </w:rPr>
        <w:t xml:space="preserve">power supply </w:t>
      </w:r>
      <w:r w:rsidR="008A66AA">
        <w:rPr>
          <w:b w:val="0"/>
          <w:bCs w:val="0"/>
        </w:rPr>
        <w:t>pro forma</w:t>
      </w:r>
      <w:r w:rsidR="00BE21E7" w:rsidRPr="00BE21E7">
        <w:rPr>
          <w:b w:val="0"/>
          <w:bCs w:val="0"/>
        </w:rPr>
        <w:t>.</w:t>
      </w:r>
    </w:p>
    <w:p w:rsidR="00BE21E7" w:rsidRPr="00BE21E7" w:rsidRDefault="00BE21E7" w:rsidP="006E0068">
      <w:pPr>
        <w:pStyle w:val="BodyText"/>
        <w:tabs>
          <w:tab w:val="num" w:pos="0"/>
        </w:tabs>
        <w:spacing w:line="480" w:lineRule="auto"/>
        <w:ind w:firstLine="720"/>
        <w:jc w:val="both"/>
        <w:rPr>
          <w:b w:val="0"/>
          <w:bCs w:val="0"/>
        </w:rPr>
      </w:pPr>
      <w:r w:rsidRPr="00BE21E7">
        <w:rPr>
          <w:b w:val="0"/>
          <w:bCs w:val="0"/>
        </w:rPr>
        <w:t xml:space="preserve">The proposed authorized ERM power supply expense and revenue, transmission expense and revenue, and </w:t>
      </w:r>
      <w:r w:rsidR="00C43FEC" w:rsidRPr="00BE21E7">
        <w:rPr>
          <w:b w:val="0"/>
          <w:bCs w:val="0"/>
        </w:rPr>
        <w:t>retail sales are</w:t>
      </w:r>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F3495A">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D35315">
      <w:pgSz w:w="12240" w:h="15840" w:code="1"/>
      <w:pgMar w:top="1440" w:right="1440" w:bottom="1584"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3D" w:rsidRDefault="00F4413D">
      <w:r>
        <w:separator/>
      </w:r>
    </w:p>
  </w:endnote>
  <w:endnote w:type="continuationSeparator" w:id="0">
    <w:p w:rsidR="00F4413D" w:rsidRDefault="00F4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Pr="006E0068" w:rsidRDefault="00F4413D">
    <w:pPr>
      <w:pStyle w:val="Footer"/>
      <w:tabs>
        <w:tab w:val="clear" w:pos="4320"/>
        <w:tab w:val="clear" w:pos="8640"/>
        <w:tab w:val="left" w:pos="180"/>
        <w:tab w:val="right" w:pos="9360"/>
      </w:tabs>
    </w:pPr>
    <w:r w:rsidRPr="006E0068">
      <w:t>Direct Testimony of William G. Johnson</w:t>
    </w:r>
  </w:p>
  <w:p w:rsidR="00F4413D" w:rsidRPr="006E0068" w:rsidRDefault="00F4413D">
    <w:pPr>
      <w:pStyle w:val="Footer"/>
      <w:tabs>
        <w:tab w:val="clear" w:pos="4320"/>
        <w:tab w:val="clear" w:pos="8640"/>
        <w:tab w:val="left" w:pos="180"/>
        <w:tab w:val="right" w:pos="9360"/>
      </w:tabs>
      <w:rPr>
        <w:lang w:val="fr-FR"/>
      </w:rPr>
    </w:pPr>
    <w:r w:rsidRPr="006E0068">
      <w:rPr>
        <w:lang w:val="fr-FR"/>
      </w:rPr>
      <w:t>Avista Corporation</w:t>
    </w:r>
  </w:p>
  <w:p w:rsidR="00F4413D" w:rsidRDefault="00F4413D">
    <w:pPr>
      <w:pStyle w:val="Footer"/>
      <w:tabs>
        <w:tab w:val="clear" w:pos="4320"/>
        <w:tab w:val="clear" w:pos="8640"/>
        <w:tab w:val="left" w:pos="180"/>
        <w:tab w:val="right" w:pos="9360"/>
      </w:tabs>
      <w:rPr>
        <w:lang w:val="fr-FR"/>
      </w:rPr>
    </w:pPr>
    <w:proofErr w:type="spellStart"/>
    <w:r w:rsidRPr="006E0068">
      <w:rPr>
        <w:lang w:val="fr-FR"/>
      </w:rPr>
      <w:t>Docket</w:t>
    </w:r>
    <w:proofErr w:type="spellEnd"/>
    <w:r w:rsidRPr="006E0068">
      <w:rPr>
        <w:lang w:val="fr-FR"/>
      </w:rPr>
      <w:t xml:space="preserve"> No. UE-15____</w:t>
    </w:r>
    <w:r w:rsidRPr="00BE21E7">
      <w:rPr>
        <w:lang w:val="fr-FR"/>
      </w:rPr>
      <w:tab/>
      <w:t>Page</w:t>
    </w:r>
    <w:r w:rsidRPr="00BE21E7">
      <w:rPr>
        <w:rFonts w:ascii="Palatino Linotype" w:hAnsi="Palatino Linotype" w:cs="Palatino Linotype"/>
        <w:lang w:val="fr-FR"/>
      </w:rPr>
      <w:t xml:space="preserve"> </w:t>
    </w:r>
    <w:r w:rsidR="00DE644C">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DE644C">
      <w:rPr>
        <w:rStyle w:val="PageNumber"/>
        <w:rFonts w:ascii="Palatino Linotype" w:hAnsi="Palatino Linotype" w:cs="Palatino Linotype"/>
      </w:rPr>
      <w:fldChar w:fldCharType="separate"/>
    </w:r>
    <w:r w:rsidR="00D35315">
      <w:rPr>
        <w:rStyle w:val="PageNumber"/>
        <w:rFonts w:ascii="Palatino Linotype" w:hAnsi="Palatino Linotype" w:cs="Palatino Linotype"/>
        <w:noProof/>
        <w:lang w:val="fr-FR"/>
      </w:rPr>
      <w:t>1</w:t>
    </w:r>
    <w:r w:rsidR="00DE644C">
      <w:rPr>
        <w:rStyle w:val="PageNumber"/>
        <w:rFonts w:ascii="Palatino Linotype" w:hAnsi="Palatino Linotype" w:cs="Palatino Linoty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3D" w:rsidRDefault="00F4413D">
      <w:r>
        <w:separator/>
      </w:r>
    </w:p>
  </w:footnote>
  <w:footnote w:type="continuationSeparator" w:id="0">
    <w:p w:rsidR="00F4413D" w:rsidRDefault="00F4413D">
      <w:r>
        <w:continuationSeparator/>
      </w:r>
    </w:p>
  </w:footnote>
  <w:footnote w:id="1">
    <w:p w:rsidR="00F4413D" w:rsidRDefault="00F4413D">
      <w:pPr>
        <w:pStyle w:val="FootnoteText"/>
      </w:pPr>
      <w:r>
        <w:rPr>
          <w:rStyle w:val="FootnoteReference"/>
        </w:rPr>
        <w:footnoteRef/>
      </w:r>
      <w:r>
        <w:t xml:space="preserve"> In previous filings, the load change adjustment rate was referred to as the retail revenue credit.</w:t>
      </w:r>
    </w:p>
  </w:footnote>
  <w:footnote w:id="2">
    <w:p w:rsidR="00F4413D" w:rsidRDefault="00F4413D" w:rsidP="00890D94">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3">
    <w:p w:rsidR="00F4413D" w:rsidRDefault="00F4413D" w:rsidP="00890D94">
      <w:pPr>
        <w:pStyle w:val="FootnoteText"/>
        <w:jc w:val="both"/>
      </w:pPr>
      <w:r>
        <w:rPr>
          <w:rStyle w:val="FootnoteReference"/>
        </w:rPr>
        <w:footnoteRef/>
      </w:r>
      <w:r>
        <w:t xml:space="preserve"> The pro forma power supply expense was also provided to Company witness Ms. Smith for the electric pro forma cross check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rsidP="006E0068">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152E"/>
    <w:rsid w:val="00006315"/>
    <w:rsid w:val="00022CA6"/>
    <w:rsid w:val="0003296D"/>
    <w:rsid w:val="00036DBA"/>
    <w:rsid w:val="00037B2A"/>
    <w:rsid w:val="00044806"/>
    <w:rsid w:val="000519D7"/>
    <w:rsid w:val="0005483B"/>
    <w:rsid w:val="00055978"/>
    <w:rsid w:val="00057F2E"/>
    <w:rsid w:val="00062317"/>
    <w:rsid w:val="00067E1A"/>
    <w:rsid w:val="00071F0A"/>
    <w:rsid w:val="00076370"/>
    <w:rsid w:val="000773D0"/>
    <w:rsid w:val="00087628"/>
    <w:rsid w:val="00087A02"/>
    <w:rsid w:val="00087BD0"/>
    <w:rsid w:val="00092D05"/>
    <w:rsid w:val="00095636"/>
    <w:rsid w:val="000A2769"/>
    <w:rsid w:val="000B1526"/>
    <w:rsid w:val="000B57DD"/>
    <w:rsid w:val="000B7F16"/>
    <w:rsid w:val="000C6001"/>
    <w:rsid w:val="000C64AF"/>
    <w:rsid w:val="000E01AF"/>
    <w:rsid w:val="000E42F0"/>
    <w:rsid w:val="000F27C0"/>
    <w:rsid w:val="000F40A2"/>
    <w:rsid w:val="00102CD7"/>
    <w:rsid w:val="00105104"/>
    <w:rsid w:val="001177A0"/>
    <w:rsid w:val="001245BE"/>
    <w:rsid w:val="0012703B"/>
    <w:rsid w:val="00127C1C"/>
    <w:rsid w:val="00127FE2"/>
    <w:rsid w:val="0013441E"/>
    <w:rsid w:val="00137F9D"/>
    <w:rsid w:val="00147465"/>
    <w:rsid w:val="00166263"/>
    <w:rsid w:val="001665E9"/>
    <w:rsid w:val="001705BE"/>
    <w:rsid w:val="00182994"/>
    <w:rsid w:val="00184A88"/>
    <w:rsid w:val="00187892"/>
    <w:rsid w:val="00190B9E"/>
    <w:rsid w:val="001947A1"/>
    <w:rsid w:val="001951A0"/>
    <w:rsid w:val="001973DE"/>
    <w:rsid w:val="00197849"/>
    <w:rsid w:val="001A4335"/>
    <w:rsid w:val="001B0749"/>
    <w:rsid w:val="001B0DAD"/>
    <w:rsid w:val="001B25B7"/>
    <w:rsid w:val="001B4D44"/>
    <w:rsid w:val="001C4C68"/>
    <w:rsid w:val="001D0EAD"/>
    <w:rsid w:val="001D1466"/>
    <w:rsid w:val="001D2067"/>
    <w:rsid w:val="001E1555"/>
    <w:rsid w:val="001F1D02"/>
    <w:rsid w:val="001F2B04"/>
    <w:rsid w:val="001F351E"/>
    <w:rsid w:val="001F37AE"/>
    <w:rsid w:val="001F3D71"/>
    <w:rsid w:val="001F4990"/>
    <w:rsid w:val="001F63E1"/>
    <w:rsid w:val="001F7A60"/>
    <w:rsid w:val="00200197"/>
    <w:rsid w:val="00201A6E"/>
    <w:rsid w:val="00201AC3"/>
    <w:rsid w:val="002034E5"/>
    <w:rsid w:val="002069D0"/>
    <w:rsid w:val="00212289"/>
    <w:rsid w:val="002276E4"/>
    <w:rsid w:val="00230CF6"/>
    <w:rsid w:val="00231AD4"/>
    <w:rsid w:val="00233C14"/>
    <w:rsid w:val="002477D3"/>
    <w:rsid w:val="00251070"/>
    <w:rsid w:val="00253EEF"/>
    <w:rsid w:val="0025436C"/>
    <w:rsid w:val="00254D97"/>
    <w:rsid w:val="002562C3"/>
    <w:rsid w:val="00267481"/>
    <w:rsid w:val="0027382E"/>
    <w:rsid w:val="00291043"/>
    <w:rsid w:val="00291602"/>
    <w:rsid w:val="0029173E"/>
    <w:rsid w:val="002A0F23"/>
    <w:rsid w:val="002A2261"/>
    <w:rsid w:val="002A24F7"/>
    <w:rsid w:val="002A4C87"/>
    <w:rsid w:val="002C2686"/>
    <w:rsid w:val="002D06C3"/>
    <w:rsid w:val="002D0C51"/>
    <w:rsid w:val="002D7756"/>
    <w:rsid w:val="002E5016"/>
    <w:rsid w:val="002F1C20"/>
    <w:rsid w:val="002F6EB0"/>
    <w:rsid w:val="00301D3F"/>
    <w:rsid w:val="00304235"/>
    <w:rsid w:val="00305307"/>
    <w:rsid w:val="00320963"/>
    <w:rsid w:val="003214E3"/>
    <w:rsid w:val="00321801"/>
    <w:rsid w:val="00326EEB"/>
    <w:rsid w:val="00330FD2"/>
    <w:rsid w:val="00332E92"/>
    <w:rsid w:val="00334E47"/>
    <w:rsid w:val="00335253"/>
    <w:rsid w:val="0033668A"/>
    <w:rsid w:val="0035252D"/>
    <w:rsid w:val="00353674"/>
    <w:rsid w:val="00363D96"/>
    <w:rsid w:val="003749AB"/>
    <w:rsid w:val="00380D3E"/>
    <w:rsid w:val="0038309E"/>
    <w:rsid w:val="00387A30"/>
    <w:rsid w:val="003932C2"/>
    <w:rsid w:val="00393612"/>
    <w:rsid w:val="003A768F"/>
    <w:rsid w:val="003B2A55"/>
    <w:rsid w:val="003B5B38"/>
    <w:rsid w:val="003C2A70"/>
    <w:rsid w:val="003D15A9"/>
    <w:rsid w:val="003D76A3"/>
    <w:rsid w:val="003F0DD4"/>
    <w:rsid w:val="003F3CBF"/>
    <w:rsid w:val="003F55FA"/>
    <w:rsid w:val="004007BE"/>
    <w:rsid w:val="00406185"/>
    <w:rsid w:val="00407CC1"/>
    <w:rsid w:val="004131C2"/>
    <w:rsid w:val="00414AC3"/>
    <w:rsid w:val="00414DD7"/>
    <w:rsid w:val="00431EB0"/>
    <w:rsid w:val="00434B9F"/>
    <w:rsid w:val="00435577"/>
    <w:rsid w:val="00444B3E"/>
    <w:rsid w:val="0044617E"/>
    <w:rsid w:val="0044625D"/>
    <w:rsid w:val="00452AA7"/>
    <w:rsid w:val="00460A0B"/>
    <w:rsid w:val="00460B02"/>
    <w:rsid w:val="004628CA"/>
    <w:rsid w:val="00465735"/>
    <w:rsid w:val="00465B31"/>
    <w:rsid w:val="004704D9"/>
    <w:rsid w:val="00470FE7"/>
    <w:rsid w:val="004716D2"/>
    <w:rsid w:val="00472C4D"/>
    <w:rsid w:val="0047521C"/>
    <w:rsid w:val="00476EBC"/>
    <w:rsid w:val="004936A1"/>
    <w:rsid w:val="0049447F"/>
    <w:rsid w:val="00496490"/>
    <w:rsid w:val="004967E7"/>
    <w:rsid w:val="004A135E"/>
    <w:rsid w:val="004A3454"/>
    <w:rsid w:val="004A789D"/>
    <w:rsid w:val="004B4163"/>
    <w:rsid w:val="004B4C41"/>
    <w:rsid w:val="004C0725"/>
    <w:rsid w:val="004C0A1A"/>
    <w:rsid w:val="004C2BF7"/>
    <w:rsid w:val="004C3981"/>
    <w:rsid w:val="004D3D45"/>
    <w:rsid w:val="004D52D2"/>
    <w:rsid w:val="004D5669"/>
    <w:rsid w:val="004E1917"/>
    <w:rsid w:val="004E686C"/>
    <w:rsid w:val="004E6CF8"/>
    <w:rsid w:val="004E7A16"/>
    <w:rsid w:val="004F4DA3"/>
    <w:rsid w:val="004F74FC"/>
    <w:rsid w:val="004F758B"/>
    <w:rsid w:val="00506FC8"/>
    <w:rsid w:val="005108F2"/>
    <w:rsid w:val="005145D4"/>
    <w:rsid w:val="00514AC4"/>
    <w:rsid w:val="005265AF"/>
    <w:rsid w:val="0053057E"/>
    <w:rsid w:val="00541D93"/>
    <w:rsid w:val="00542569"/>
    <w:rsid w:val="005430BA"/>
    <w:rsid w:val="005517D9"/>
    <w:rsid w:val="00553EC1"/>
    <w:rsid w:val="005542A8"/>
    <w:rsid w:val="00557BA6"/>
    <w:rsid w:val="00565FD8"/>
    <w:rsid w:val="0057220C"/>
    <w:rsid w:val="00575BCA"/>
    <w:rsid w:val="00576309"/>
    <w:rsid w:val="005803F9"/>
    <w:rsid w:val="00580970"/>
    <w:rsid w:val="00582255"/>
    <w:rsid w:val="0058225F"/>
    <w:rsid w:val="00583433"/>
    <w:rsid w:val="005834BD"/>
    <w:rsid w:val="005845F1"/>
    <w:rsid w:val="00584894"/>
    <w:rsid w:val="00590DD4"/>
    <w:rsid w:val="00591D43"/>
    <w:rsid w:val="00591EDC"/>
    <w:rsid w:val="00593E33"/>
    <w:rsid w:val="005A0BE0"/>
    <w:rsid w:val="005A6D43"/>
    <w:rsid w:val="005B1E66"/>
    <w:rsid w:val="005B5B8F"/>
    <w:rsid w:val="005C366C"/>
    <w:rsid w:val="005C39B4"/>
    <w:rsid w:val="005C7A39"/>
    <w:rsid w:val="005D12F1"/>
    <w:rsid w:val="005D7E94"/>
    <w:rsid w:val="005D7EE1"/>
    <w:rsid w:val="005E055D"/>
    <w:rsid w:val="005E439A"/>
    <w:rsid w:val="005E6D8E"/>
    <w:rsid w:val="005F3EF2"/>
    <w:rsid w:val="005F4F7A"/>
    <w:rsid w:val="005F5256"/>
    <w:rsid w:val="00601E14"/>
    <w:rsid w:val="00612931"/>
    <w:rsid w:val="00615B6C"/>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07EE"/>
    <w:rsid w:val="00691CB7"/>
    <w:rsid w:val="006A26AD"/>
    <w:rsid w:val="006A2758"/>
    <w:rsid w:val="006A6139"/>
    <w:rsid w:val="006A7CFD"/>
    <w:rsid w:val="006B05D4"/>
    <w:rsid w:val="006B492E"/>
    <w:rsid w:val="006B7E17"/>
    <w:rsid w:val="006C01C8"/>
    <w:rsid w:val="006C0205"/>
    <w:rsid w:val="006D1A9B"/>
    <w:rsid w:val="006D353A"/>
    <w:rsid w:val="006D5BF7"/>
    <w:rsid w:val="006E0068"/>
    <w:rsid w:val="006E4941"/>
    <w:rsid w:val="006F4590"/>
    <w:rsid w:val="00703491"/>
    <w:rsid w:val="0070505F"/>
    <w:rsid w:val="007105B1"/>
    <w:rsid w:val="00710B7C"/>
    <w:rsid w:val="007119B4"/>
    <w:rsid w:val="0071369A"/>
    <w:rsid w:val="00725FEC"/>
    <w:rsid w:val="0072665A"/>
    <w:rsid w:val="0073566F"/>
    <w:rsid w:val="00737769"/>
    <w:rsid w:val="00742583"/>
    <w:rsid w:val="00743E18"/>
    <w:rsid w:val="00747553"/>
    <w:rsid w:val="0075076D"/>
    <w:rsid w:val="00751E45"/>
    <w:rsid w:val="007544BA"/>
    <w:rsid w:val="00754E86"/>
    <w:rsid w:val="00765BA1"/>
    <w:rsid w:val="00765C77"/>
    <w:rsid w:val="0077507E"/>
    <w:rsid w:val="007937D3"/>
    <w:rsid w:val="00796F4B"/>
    <w:rsid w:val="007A04C5"/>
    <w:rsid w:val="007A40D4"/>
    <w:rsid w:val="007A6A7F"/>
    <w:rsid w:val="007A6DE3"/>
    <w:rsid w:val="007A74A3"/>
    <w:rsid w:val="007A795E"/>
    <w:rsid w:val="007A7EF9"/>
    <w:rsid w:val="007B40B5"/>
    <w:rsid w:val="007B6398"/>
    <w:rsid w:val="007C4511"/>
    <w:rsid w:val="007D01A9"/>
    <w:rsid w:val="007D09A6"/>
    <w:rsid w:val="007D3E87"/>
    <w:rsid w:val="007D544E"/>
    <w:rsid w:val="007E2219"/>
    <w:rsid w:val="007E493D"/>
    <w:rsid w:val="007E6C13"/>
    <w:rsid w:val="007E7BC2"/>
    <w:rsid w:val="007F0DC8"/>
    <w:rsid w:val="007F462F"/>
    <w:rsid w:val="00800A6B"/>
    <w:rsid w:val="00804CDF"/>
    <w:rsid w:val="008103E4"/>
    <w:rsid w:val="0081054C"/>
    <w:rsid w:val="0081197F"/>
    <w:rsid w:val="00815CCE"/>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863F6"/>
    <w:rsid w:val="00890A57"/>
    <w:rsid w:val="00890D94"/>
    <w:rsid w:val="00892EAA"/>
    <w:rsid w:val="008A0A47"/>
    <w:rsid w:val="008A1678"/>
    <w:rsid w:val="008A2713"/>
    <w:rsid w:val="008A35A7"/>
    <w:rsid w:val="008A45E4"/>
    <w:rsid w:val="008A5BC6"/>
    <w:rsid w:val="008A66AA"/>
    <w:rsid w:val="008A76B4"/>
    <w:rsid w:val="008C3F60"/>
    <w:rsid w:val="008D07D9"/>
    <w:rsid w:val="008D1089"/>
    <w:rsid w:val="008D3155"/>
    <w:rsid w:val="008D4A8D"/>
    <w:rsid w:val="008E0200"/>
    <w:rsid w:val="008F3931"/>
    <w:rsid w:val="008F3A6A"/>
    <w:rsid w:val="008F6E74"/>
    <w:rsid w:val="008F7A01"/>
    <w:rsid w:val="00902CFF"/>
    <w:rsid w:val="00904869"/>
    <w:rsid w:val="009055A6"/>
    <w:rsid w:val="0091276F"/>
    <w:rsid w:val="00922C46"/>
    <w:rsid w:val="00930F4B"/>
    <w:rsid w:val="00934412"/>
    <w:rsid w:val="009366BC"/>
    <w:rsid w:val="009373A5"/>
    <w:rsid w:val="0094078E"/>
    <w:rsid w:val="00945166"/>
    <w:rsid w:val="00945390"/>
    <w:rsid w:val="00946AEE"/>
    <w:rsid w:val="00946E37"/>
    <w:rsid w:val="0095196D"/>
    <w:rsid w:val="00953816"/>
    <w:rsid w:val="0095387E"/>
    <w:rsid w:val="00954DB7"/>
    <w:rsid w:val="00954E28"/>
    <w:rsid w:val="00955166"/>
    <w:rsid w:val="00957004"/>
    <w:rsid w:val="00972518"/>
    <w:rsid w:val="00975878"/>
    <w:rsid w:val="00976E12"/>
    <w:rsid w:val="009920E0"/>
    <w:rsid w:val="009A26DF"/>
    <w:rsid w:val="009A2DAA"/>
    <w:rsid w:val="009A4D7E"/>
    <w:rsid w:val="009A55A7"/>
    <w:rsid w:val="009A610C"/>
    <w:rsid w:val="009B1B04"/>
    <w:rsid w:val="009B24E1"/>
    <w:rsid w:val="009C2006"/>
    <w:rsid w:val="009C412C"/>
    <w:rsid w:val="009D0195"/>
    <w:rsid w:val="009D3B90"/>
    <w:rsid w:val="009E1656"/>
    <w:rsid w:val="009E1E89"/>
    <w:rsid w:val="009E49FE"/>
    <w:rsid w:val="009E6F0C"/>
    <w:rsid w:val="009F0721"/>
    <w:rsid w:val="009F2E2E"/>
    <w:rsid w:val="00A01A78"/>
    <w:rsid w:val="00A040D3"/>
    <w:rsid w:val="00A2043B"/>
    <w:rsid w:val="00A30378"/>
    <w:rsid w:val="00A31DD2"/>
    <w:rsid w:val="00A37109"/>
    <w:rsid w:val="00A402FE"/>
    <w:rsid w:val="00A46A7E"/>
    <w:rsid w:val="00A47217"/>
    <w:rsid w:val="00A55DD3"/>
    <w:rsid w:val="00A61E60"/>
    <w:rsid w:val="00A634B5"/>
    <w:rsid w:val="00A726C8"/>
    <w:rsid w:val="00A73B72"/>
    <w:rsid w:val="00A745AE"/>
    <w:rsid w:val="00A774E3"/>
    <w:rsid w:val="00A8574B"/>
    <w:rsid w:val="00A86A8F"/>
    <w:rsid w:val="00A9086B"/>
    <w:rsid w:val="00A93765"/>
    <w:rsid w:val="00A938FB"/>
    <w:rsid w:val="00A95D47"/>
    <w:rsid w:val="00AA1E96"/>
    <w:rsid w:val="00AA20C9"/>
    <w:rsid w:val="00AA2ED4"/>
    <w:rsid w:val="00AA3E66"/>
    <w:rsid w:val="00AA4BA2"/>
    <w:rsid w:val="00AC036F"/>
    <w:rsid w:val="00AE2899"/>
    <w:rsid w:val="00AE47A2"/>
    <w:rsid w:val="00B03276"/>
    <w:rsid w:val="00B0687F"/>
    <w:rsid w:val="00B06EB1"/>
    <w:rsid w:val="00B07EE5"/>
    <w:rsid w:val="00B07FCC"/>
    <w:rsid w:val="00B10EED"/>
    <w:rsid w:val="00B12AD5"/>
    <w:rsid w:val="00B14A2A"/>
    <w:rsid w:val="00B174B1"/>
    <w:rsid w:val="00B20483"/>
    <w:rsid w:val="00B30736"/>
    <w:rsid w:val="00B30FD8"/>
    <w:rsid w:val="00B358E3"/>
    <w:rsid w:val="00B36369"/>
    <w:rsid w:val="00B3712F"/>
    <w:rsid w:val="00B417CF"/>
    <w:rsid w:val="00B4374B"/>
    <w:rsid w:val="00B500C4"/>
    <w:rsid w:val="00B502D2"/>
    <w:rsid w:val="00B527F3"/>
    <w:rsid w:val="00B53214"/>
    <w:rsid w:val="00B53D8C"/>
    <w:rsid w:val="00B54AB5"/>
    <w:rsid w:val="00B67011"/>
    <w:rsid w:val="00B708DF"/>
    <w:rsid w:val="00B71810"/>
    <w:rsid w:val="00B7736F"/>
    <w:rsid w:val="00B77F17"/>
    <w:rsid w:val="00B80027"/>
    <w:rsid w:val="00B968D6"/>
    <w:rsid w:val="00B97984"/>
    <w:rsid w:val="00BA6FE4"/>
    <w:rsid w:val="00BB000A"/>
    <w:rsid w:val="00BB1045"/>
    <w:rsid w:val="00BB4F8F"/>
    <w:rsid w:val="00BB6621"/>
    <w:rsid w:val="00BB766A"/>
    <w:rsid w:val="00BC03AA"/>
    <w:rsid w:val="00BC154E"/>
    <w:rsid w:val="00BC7152"/>
    <w:rsid w:val="00BD5EFD"/>
    <w:rsid w:val="00BE21E7"/>
    <w:rsid w:val="00BE221B"/>
    <w:rsid w:val="00BE36C6"/>
    <w:rsid w:val="00BE64BC"/>
    <w:rsid w:val="00C019A2"/>
    <w:rsid w:val="00C026FD"/>
    <w:rsid w:val="00C030B8"/>
    <w:rsid w:val="00C03549"/>
    <w:rsid w:val="00C0583F"/>
    <w:rsid w:val="00C117D9"/>
    <w:rsid w:val="00C162D3"/>
    <w:rsid w:val="00C20A53"/>
    <w:rsid w:val="00C213E7"/>
    <w:rsid w:val="00C23C54"/>
    <w:rsid w:val="00C26DE3"/>
    <w:rsid w:val="00C43FEC"/>
    <w:rsid w:val="00C507EB"/>
    <w:rsid w:val="00C540B4"/>
    <w:rsid w:val="00C55E1F"/>
    <w:rsid w:val="00C579DD"/>
    <w:rsid w:val="00C608F0"/>
    <w:rsid w:val="00C61CF4"/>
    <w:rsid w:val="00C62BDA"/>
    <w:rsid w:val="00C66AA5"/>
    <w:rsid w:val="00C74C46"/>
    <w:rsid w:val="00C74E30"/>
    <w:rsid w:val="00C86BD0"/>
    <w:rsid w:val="00C90090"/>
    <w:rsid w:val="00C90C2A"/>
    <w:rsid w:val="00C90D40"/>
    <w:rsid w:val="00C911EC"/>
    <w:rsid w:val="00C923ED"/>
    <w:rsid w:val="00C92781"/>
    <w:rsid w:val="00C95537"/>
    <w:rsid w:val="00C97820"/>
    <w:rsid w:val="00CA4C19"/>
    <w:rsid w:val="00CA52FC"/>
    <w:rsid w:val="00CB1427"/>
    <w:rsid w:val="00CB687A"/>
    <w:rsid w:val="00CB6E42"/>
    <w:rsid w:val="00CC1C97"/>
    <w:rsid w:val="00CD0757"/>
    <w:rsid w:val="00CD172A"/>
    <w:rsid w:val="00CE56C7"/>
    <w:rsid w:val="00CF4DB1"/>
    <w:rsid w:val="00D007A9"/>
    <w:rsid w:val="00D118D9"/>
    <w:rsid w:val="00D13452"/>
    <w:rsid w:val="00D150B6"/>
    <w:rsid w:val="00D15846"/>
    <w:rsid w:val="00D21307"/>
    <w:rsid w:val="00D22C98"/>
    <w:rsid w:val="00D244AB"/>
    <w:rsid w:val="00D26E33"/>
    <w:rsid w:val="00D2745E"/>
    <w:rsid w:val="00D33FF6"/>
    <w:rsid w:val="00D35315"/>
    <w:rsid w:val="00D36CB0"/>
    <w:rsid w:val="00D43991"/>
    <w:rsid w:val="00D47735"/>
    <w:rsid w:val="00D51E9F"/>
    <w:rsid w:val="00D5554F"/>
    <w:rsid w:val="00D60043"/>
    <w:rsid w:val="00D61105"/>
    <w:rsid w:val="00D61654"/>
    <w:rsid w:val="00D63340"/>
    <w:rsid w:val="00D70A5F"/>
    <w:rsid w:val="00D753BA"/>
    <w:rsid w:val="00D7657F"/>
    <w:rsid w:val="00D77B2C"/>
    <w:rsid w:val="00D81DE9"/>
    <w:rsid w:val="00D83854"/>
    <w:rsid w:val="00D83B3A"/>
    <w:rsid w:val="00DB1DF5"/>
    <w:rsid w:val="00DB3BCC"/>
    <w:rsid w:val="00DB55EE"/>
    <w:rsid w:val="00DC2711"/>
    <w:rsid w:val="00DC7D94"/>
    <w:rsid w:val="00DD154D"/>
    <w:rsid w:val="00DD3971"/>
    <w:rsid w:val="00DD5899"/>
    <w:rsid w:val="00DE03DF"/>
    <w:rsid w:val="00DE644C"/>
    <w:rsid w:val="00DF0891"/>
    <w:rsid w:val="00DF4581"/>
    <w:rsid w:val="00E00851"/>
    <w:rsid w:val="00E04B65"/>
    <w:rsid w:val="00E24BB0"/>
    <w:rsid w:val="00E263B2"/>
    <w:rsid w:val="00E273CB"/>
    <w:rsid w:val="00E31282"/>
    <w:rsid w:val="00E32E34"/>
    <w:rsid w:val="00E33341"/>
    <w:rsid w:val="00E35276"/>
    <w:rsid w:val="00E469CC"/>
    <w:rsid w:val="00E47BE6"/>
    <w:rsid w:val="00E502AC"/>
    <w:rsid w:val="00E62431"/>
    <w:rsid w:val="00E65C27"/>
    <w:rsid w:val="00E67E92"/>
    <w:rsid w:val="00E700D9"/>
    <w:rsid w:val="00E70D39"/>
    <w:rsid w:val="00E74A1D"/>
    <w:rsid w:val="00E81931"/>
    <w:rsid w:val="00E81AD1"/>
    <w:rsid w:val="00E822D9"/>
    <w:rsid w:val="00E86EAC"/>
    <w:rsid w:val="00E94F2D"/>
    <w:rsid w:val="00EA06F1"/>
    <w:rsid w:val="00EA23FF"/>
    <w:rsid w:val="00EA44DF"/>
    <w:rsid w:val="00EA4963"/>
    <w:rsid w:val="00EA66E0"/>
    <w:rsid w:val="00EA7203"/>
    <w:rsid w:val="00EA73D4"/>
    <w:rsid w:val="00EB2665"/>
    <w:rsid w:val="00EB7000"/>
    <w:rsid w:val="00EC62F1"/>
    <w:rsid w:val="00EC6A21"/>
    <w:rsid w:val="00EE7C43"/>
    <w:rsid w:val="00EF46C5"/>
    <w:rsid w:val="00F02152"/>
    <w:rsid w:val="00F03FB8"/>
    <w:rsid w:val="00F105DA"/>
    <w:rsid w:val="00F134B6"/>
    <w:rsid w:val="00F155E9"/>
    <w:rsid w:val="00F22C09"/>
    <w:rsid w:val="00F23840"/>
    <w:rsid w:val="00F243FF"/>
    <w:rsid w:val="00F34816"/>
    <w:rsid w:val="00F3495A"/>
    <w:rsid w:val="00F34D22"/>
    <w:rsid w:val="00F4206A"/>
    <w:rsid w:val="00F4413D"/>
    <w:rsid w:val="00F46162"/>
    <w:rsid w:val="00F54106"/>
    <w:rsid w:val="00F54F39"/>
    <w:rsid w:val="00F55612"/>
    <w:rsid w:val="00F56C02"/>
    <w:rsid w:val="00F62AEF"/>
    <w:rsid w:val="00F63D5B"/>
    <w:rsid w:val="00F67CA5"/>
    <w:rsid w:val="00F743C5"/>
    <w:rsid w:val="00F7443D"/>
    <w:rsid w:val="00F76008"/>
    <w:rsid w:val="00F83CE7"/>
    <w:rsid w:val="00F90B35"/>
    <w:rsid w:val="00F92D8E"/>
    <w:rsid w:val="00F9307C"/>
    <w:rsid w:val="00FA2BB9"/>
    <w:rsid w:val="00FA5D11"/>
    <w:rsid w:val="00FA62E9"/>
    <w:rsid w:val="00FB6544"/>
    <w:rsid w:val="00FC09A4"/>
    <w:rsid w:val="00FC3EF5"/>
    <w:rsid w:val="00FD413F"/>
    <w:rsid w:val="00FD6B49"/>
    <w:rsid w:val="00FD76EC"/>
    <w:rsid w:val="00FE2C77"/>
    <w:rsid w:val="00FE4ED9"/>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 w:type="paragraph" w:styleId="EndnoteText">
    <w:name w:val="endnote text"/>
    <w:basedOn w:val="Normal"/>
    <w:link w:val="EndnoteTextChar"/>
    <w:rsid w:val="003749AB"/>
    <w:rPr>
      <w:sz w:val="20"/>
      <w:szCs w:val="20"/>
    </w:rPr>
  </w:style>
  <w:style w:type="character" w:customStyle="1" w:styleId="EndnoteTextChar">
    <w:name w:val="Endnote Text Char"/>
    <w:basedOn w:val="DefaultParagraphFont"/>
    <w:link w:val="EndnoteText"/>
    <w:rsid w:val="003749AB"/>
  </w:style>
  <w:style w:type="character" w:styleId="EndnoteReference">
    <w:name w:val="endnote reference"/>
    <w:basedOn w:val="DefaultParagraphFont"/>
    <w:rsid w:val="003749AB"/>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73D37-D206-409F-9475-DDBE15DDDDE2}"/>
</file>

<file path=customXml/itemProps2.xml><?xml version="1.0" encoding="utf-8"?>
<ds:datastoreItem xmlns:ds="http://schemas.openxmlformats.org/officeDocument/2006/customXml" ds:itemID="{5BB5E6F2-EB3C-41E3-AFD9-DFF35A27F893}"/>
</file>

<file path=customXml/itemProps3.xml><?xml version="1.0" encoding="utf-8"?>
<ds:datastoreItem xmlns:ds="http://schemas.openxmlformats.org/officeDocument/2006/customXml" ds:itemID="{B57E3C89-E074-4D5D-9EE9-698D3B0FF4B3}"/>
</file>

<file path=customXml/itemProps4.xml><?xml version="1.0" encoding="utf-8"?>
<ds:datastoreItem xmlns:ds="http://schemas.openxmlformats.org/officeDocument/2006/customXml" ds:itemID="{B8581AB4-8AC8-4FDB-8B35-48D7FF8C331E}"/>
</file>

<file path=customXml/itemProps5.xml><?xml version="1.0" encoding="utf-8"?>
<ds:datastoreItem xmlns:ds="http://schemas.openxmlformats.org/officeDocument/2006/customXml" ds:itemID="{C0B5BD52-DEC7-4721-A80B-5F017AD1436B}"/>
</file>

<file path=docProps/app.xml><?xml version="1.0" encoding="utf-8"?>
<Properties xmlns="http://schemas.openxmlformats.org/officeDocument/2006/extended-properties" xmlns:vt="http://schemas.openxmlformats.org/officeDocument/2006/docPropsVTypes">
  <Template>Normal.dotm</Template>
  <TotalTime>3230</TotalTime>
  <Pages>17</Pages>
  <Words>3740</Words>
  <Characters>19185</Characters>
  <Application>Microsoft Office Word</Application>
  <DocSecurity>0</DocSecurity>
  <Lines>355</Lines>
  <Paragraphs>124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65</cp:revision>
  <cp:lastPrinted>2015-02-04T15:59:00Z</cp:lastPrinted>
  <dcterms:created xsi:type="dcterms:W3CDTF">2014-01-15T23:18:00Z</dcterms:created>
  <dcterms:modified xsi:type="dcterms:W3CDTF">2015-02-04T18:52:00Z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