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0361C" w14:textId="77777777" w:rsidR="00E061F9" w:rsidRDefault="001A592D">
      <w:pPr>
        <w:spacing w:after="200" w:line="276" w:lineRule="auto"/>
      </w:pPr>
      <w:bookmarkStart w:id="0" w:name="_Toc234046346"/>
      <w:bookmarkStart w:id="1" w:name="_Toc165107947"/>
      <w:bookmarkStart w:id="2" w:name="_Ref165107126"/>
      <w:bookmarkStart w:id="3" w:name="_GoBack"/>
      <w:bookmarkEnd w:id="3"/>
      <w:r>
        <w:rPr>
          <w:noProof/>
          <w:lang w:eastAsia="en-US"/>
        </w:rPr>
        <w:drawing>
          <wp:inline distT="0" distB="0" distL="0" distR="0" wp14:anchorId="05E038B5" wp14:editId="05E038B6">
            <wp:extent cx="3064474" cy="590550"/>
            <wp:effectExtent l="0" t="0" r="3175" b="0"/>
            <wp:docPr id="1" name="Picture 1" descr="P:\New Stuff\PacifiCorp_BHE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ew Stuff\PacifiCorp_BHE_L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4474" cy="590550"/>
                    </a:xfrm>
                    <a:prstGeom prst="rect">
                      <a:avLst/>
                    </a:prstGeom>
                    <a:noFill/>
                    <a:ln>
                      <a:noFill/>
                    </a:ln>
                  </pic:spPr>
                </pic:pic>
              </a:graphicData>
            </a:graphic>
          </wp:inline>
        </w:drawing>
      </w:r>
    </w:p>
    <w:p w14:paraId="05E0361D" w14:textId="77777777" w:rsidR="00E061F9" w:rsidRDefault="00E061F9">
      <w:pPr>
        <w:spacing w:after="200" w:line="276" w:lineRule="auto"/>
      </w:pPr>
    </w:p>
    <w:p w14:paraId="05E0361E" w14:textId="77777777" w:rsidR="00E061F9" w:rsidRDefault="00E061F9">
      <w:pPr>
        <w:spacing w:after="200" w:line="276" w:lineRule="auto"/>
      </w:pPr>
    </w:p>
    <w:p w14:paraId="05E0361F" w14:textId="77777777" w:rsidR="004747F2" w:rsidRDefault="004747F2">
      <w:pPr>
        <w:spacing w:after="200" w:line="276" w:lineRule="auto"/>
      </w:pPr>
    </w:p>
    <w:p w14:paraId="05E03620" w14:textId="77777777" w:rsidR="006D6562" w:rsidRDefault="006D6562">
      <w:pPr>
        <w:spacing w:after="200" w:line="276" w:lineRule="auto"/>
      </w:pPr>
    </w:p>
    <w:p w14:paraId="05E03621" w14:textId="77777777" w:rsidR="00E061F9" w:rsidRPr="002F738C" w:rsidRDefault="00E061F9" w:rsidP="00E061F9">
      <w:pPr>
        <w:spacing w:after="200"/>
        <w:contextualSpacing/>
        <w:jc w:val="center"/>
        <w:rPr>
          <w:sz w:val="72"/>
          <w:szCs w:val="72"/>
        </w:rPr>
      </w:pPr>
      <w:r w:rsidRPr="002F738C">
        <w:rPr>
          <w:sz w:val="72"/>
          <w:szCs w:val="72"/>
        </w:rPr>
        <w:t>201</w:t>
      </w:r>
      <w:r w:rsidR="009B7936">
        <w:rPr>
          <w:sz w:val="72"/>
          <w:szCs w:val="72"/>
        </w:rPr>
        <w:t>4</w:t>
      </w:r>
      <w:r w:rsidR="00670568">
        <w:rPr>
          <w:sz w:val="72"/>
          <w:szCs w:val="72"/>
        </w:rPr>
        <w:t>-</w:t>
      </w:r>
      <w:r w:rsidRPr="002F738C">
        <w:rPr>
          <w:sz w:val="72"/>
          <w:szCs w:val="72"/>
        </w:rPr>
        <w:t>201</w:t>
      </w:r>
      <w:r w:rsidR="009B7936">
        <w:rPr>
          <w:sz w:val="72"/>
          <w:szCs w:val="72"/>
        </w:rPr>
        <w:t>5</w:t>
      </w:r>
      <w:r w:rsidRPr="002F738C">
        <w:rPr>
          <w:sz w:val="72"/>
          <w:szCs w:val="72"/>
        </w:rPr>
        <w:t xml:space="preserve"> </w:t>
      </w:r>
    </w:p>
    <w:p w14:paraId="05E03622" w14:textId="77777777" w:rsidR="00E061F9" w:rsidRPr="002F738C" w:rsidRDefault="00E061F9" w:rsidP="00E061F9">
      <w:pPr>
        <w:spacing w:after="200"/>
        <w:contextualSpacing/>
        <w:jc w:val="center"/>
        <w:rPr>
          <w:sz w:val="72"/>
          <w:szCs w:val="72"/>
        </w:rPr>
      </w:pPr>
      <w:r w:rsidRPr="002F738C">
        <w:rPr>
          <w:sz w:val="72"/>
          <w:szCs w:val="72"/>
        </w:rPr>
        <w:t xml:space="preserve">Biennial Conservation Report </w:t>
      </w:r>
    </w:p>
    <w:p w14:paraId="05E03623" w14:textId="77777777" w:rsidR="00E061F9" w:rsidRPr="002F738C" w:rsidRDefault="00E061F9" w:rsidP="00E061F9">
      <w:pPr>
        <w:spacing w:after="200"/>
        <w:contextualSpacing/>
        <w:jc w:val="center"/>
        <w:rPr>
          <w:sz w:val="72"/>
          <w:szCs w:val="72"/>
        </w:rPr>
      </w:pPr>
    </w:p>
    <w:p w14:paraId="05E03624" w14:textId="77777777" w:rsidR="00E061F9" w:rsidRDefault="00E061F9" w:rsidP="00E061F9">
      <w:pPr>
        <w:spacing w:after="200"/>
        <w:contextualSpacing/>
        <w:jc w:val="center"/>
        <w:rPr>
          <w:sz w:val="72"/>
          <w:szCs w:val="72"/>
        </w:rPr>
      </w:pPr>
      <w:r w:rsidRPr="002F738C">
        <w:rPr>
          <w:sz w:val="72"/>
          <w:szCs w:val="72"/>
        </w:rPr>
        <w:t>Washington</w:t>
      </w:r>
    </w:p>
    <w:p w14:paraId="05E03625" w14:textId="77777777" w:rsidR="004747F2" w:rsidRDefault="004747F2" w:rsidP="00E061F9">
      <w:pPr>
        <w:spacing w:after="200"/>
        <w:contextualSpacing/>
        <w:jc w:val="center"/>
        <w:rPr>
          <w:sz w:val="72"/>
          <w:szCs w:val="72"/>
        </w:rPr>
      </w:pPr>
    </w:p>
    <w:p w14:paraId="05E03626" w14:textId="77777777" w:rsidR="004747F2" w:rsidRDefault="004747F2" w:rsidP="00E061F9">
      <w:pPr>
        <w:spacing w:after="200"/>
        <w:contextualSpacing/>
        <w:jc w:val="center"/>
        <w:rPr>
          <w:sz w:val="72"/>
          <w:szCs w:val="72"/>
        </w:rPr>
      </w:pPr>
    </w:p>
    <w:p w14:paraId="05E03627" w14:textId="77777777" w:rsidR="004747F2" w:rsidRDefault="004747F2" w:rsidP="00E061F9">
      <w:pPr>
        <w:spacing w:after="200"/>
        <w:contextualSpacing/>
        <w:jc w:val="center"/>
        <w:rPr>
          <w:sz w:val="72"/>
          <w:szCs w:val="72"/>
        </w:rPr>
      </w:pPr>
    </w:p>
    <w:p w14:paraId="05E03628" w14:textId="77777777" w:rsidR="004747F2" w:rsidRDefault="004747F2" w:rsidP="00E061F9">
      <w:pPr>
        <w:spacing w:after="200"/>
        <w:contextualSpacing/>
        <w:jc w:val="center"/>
        <w:rPr>
          <w:sz w:val="72"/>
          <w:szCs w:val="72"/>
        </w:rPr>
      </w:pPr>
    </w:p>
    <w:p w14:paraId="05E03629" w14:textId="77777777" w:rsidR="004747F2" w:rsidRDefault="004747F2" w:rsidP="00E061F9">
      <w:pPr>
        <w:spacing w:after="200"/>
        <w:contextualSpacing/>
        <w:jc w:val="center"/>
        <w:rPr>
          <w:sz w:val="72"/>
          <w:szCs w:val="72"/>
        </w:rPr>
      </w:pPr>
    </w:p>
    <w:p w14:paraId="05E0362A" w14:textId="77777777" w:rsidR="004B662D" w:rsidRDefault="004B662D">
      <w:pPr>
        <w:spacing w:after="200"/>
        <w:contextualSpacing/>
        <w:rPr>
          <w:sz w:val="28"/>
          <w:szCs w:val="28"/>
        </w:rPr>
      </w:pPr>
    </w:p>
    <w:p w14:paraId="05E0362B" w14:textId="77777777" w:rsidR="004B662D" w:rsidRDefault="004B662D">
      <w:pPr>
        <w:spacing w:after="200"/>
        <w:contextualSpacing/>
        <w:rPr>
          <w:sz w:val="28"/>
          <w:szCs w:val="28"/>
        </w:rPr>
      </w:pPr>
    </w:p>
    <w:p w14:paraId="05E0362C" w14:textId="77777777" w:rsidR="004B662D" w:rsidRDefault="004B662D">
      <w:pPr>
        <w:spacing w:after="200"/>
        <w:contextualSpacing/>
        <w:rPr>
          <w:sz w:val="28"/>
          <w:szCs w:val="28"/>
        </w:rPr>
      </w:pPr>
    </w:p>
    <w:p w14:paraId="324D09A5" w14:textId="77777777" w:rsidR="00F86032" w:rsidRDefault="00C920FB" w:rsidP="004747F2">
      <w:pPr>
        <w:spacing w:after="200"/>
        <w:contextualSpacing/>
        <w:rPr>
          <w:sz w:val="28"/>
          <w:szCs w:val="28"/>
        </w:rPr>
      </w:pPr>
      <w:r>
        <w:rPr>
          <w:sz w:val="28"/>
          <w:szCs w:val="28"/>
        </w:rPr>
        <w:t xml:space="preserve">Filed </w:t>
      </w:r>
      <w:r w:rsidR="001A715A">
        <w:rPr>
          <w:sz w:val="28"/>
          <w:szCs w:val="28"/>
        </w:rPr>
        <w:t>June</w:t>
      </w:r>
      <w:r>
        <w:rPr>
          <w:sz w:val="28"/>
          <w:szCs w:val="28"/>
        </w:rPr>
        <w:t xml:space="preserve"> </w:t>
      </w:r>
      <w:r w:rsidR="009B7936">
        <w:rPr>
          <w:sz w:val="28"/>
          <w:szCs w:val="28"/>
        </w:rPr>
        <w:t>1</w:t>
      </w:r>
      <w:r w:rsidR="004747F2">
        <w:rPr>
          <w:sz w:val="28"/>
          <w:szCs w:val="28"/>
        </w:rPr>
        <w:t>, 201</w:t>
      </w:r>
      <w:r w:rsidR="009B7936">
        <w:rPr>
          <w:sz w:val="28"/>
          <w:szCs w:val="28"/>
        </w:rPr>
        <w:t>6</w:t>
      </w:r>
    </w:p>
    <w:p w14:paraId="05E0362D" w14:textId="2DA79116" w:rsidR="004747F2" w:rsidRPr="004747F2" w:rsidRDefault="00F86032" w:rsidP="004747F2">
      <w:pPr>
        <w:spacing w:after="200"/>
        <w:contextualSpacing/>
        <w:rPr>
          <w:sz w:val="28"/>
          <w:szCs w:val="28"/>
        </w:rPr>
      </w:pPr>
      <w:r>
        <w:rPr>
          <w:sz w:val="28"/>
          <w:szCs w:val="28"/>
        </w:rPr>
        <w:t>Revised July 2</w:t>
      </w:r>
      <w:r w:rsidR="00F800B5">
        <w:rPr>
          <w:sz w:val="28"/>
          <w:szCs w:val="28"/>
        </w:rPr>
        <w:t>7</w:t>
      </w:r>
      <w:r>
        <w:rPr>
          <w:sz w:val="28"/>
          <w:szCs w:val="28"/>
        </w:rPr>
        <w:t xml:space="preserve">, 2016 </w:t>
      </w:r>
      <w:r w:rsidR="003E5DCB">
        <w:rPr>
          <w:sz w:val="28"/>
          <w:szCs w:val="28"/>
        </w:rPr>
        <w:t xml:space="preserve">   </w:t>
      </w: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EndPr/>
      <w:sdtContent>
        <w:p w14:paraId="05E0362E" w14:textId="77777777" w:rsidR="00A32AFB" w:rsidRDefault="00A32AFB">
          <w:pPr>
            <w:pStyle w:val="TOCHeading"/>
          </w:pPr>
          <w:r>
            <w:t>Table of Contents</w:t>
          </w:r>
        </w:p>
        <w:p w14:paraId="7EA257FB" w14:textId="77777777" w:rsidR="001C0823" w:rsidRDefault="004B662D">
          <w:pPr>
            <w:pStyle w:val="TOC1"/>
            <w:tabs>
              <w:tab w:val="right" w:leader="dot" w:pos="8630"/>
            </w:tabs>
            <w:rPr>
              <w:rFonts w:asciiTheme="minorHAnsi" w:eastAsiaTheme="minorEastAsia" w:hAnsiTheme="minorHAnsi" w:cstheme="minorBidi"/>
              <w:noProof/>
              <w:sz w:val="22"/>
              <w:szCs w:val="22"/>
              <w:lang w:eastAsia="en-US"/>
            </w:rPr>
          </w:pPr>
          <w:r>
            <w:fldChar w:fldCharType="begin"/>
          </w:r>
          <w:r w:rsidR="00A32AFB">
            <w:instrText xml:space="preserve"> TOC \o "1-3" \h \z \u </w:instrText>
          </w:r>
          <w:r>
            <w:fldChar w:fldCharType="separate"/>
          </w:r>
          <w:hyperlink w:anchor="_Toc457371996" w:history="1">
            <w:r w:rsidR="001C0823" w:rsidRPr="004835BF">
              <w:rPr>
                <w:rStyle w:val="Hyperlink"/>
                <w:noProof/>
              </w:rPr>
              <w:t>Introduction</w:t>
            </w:r>
            <w:r w:rsidR="001C0823">
              <w:rPr>
                <w:noProof/>
                <w:webHidden/>
              </w:rPr>
              <w:tab/>
            </w:r>
            <w:r w:rsidR="001C0823">
              <w:rPr>
                <w:noProof/>
                <w:webHidden/>
              </w:rPr>
              <w:fldChar w:fldCharType="begin"/>
            </w:r>
            <w:r w:rsidR="001C0823">
              <w:rPr>
                <w:noProof/>
                <w:webHidden/>
              </w:rPr>
              <w:instrText xml:space="preserve"> PAGEREF _Toc457371996 \h </w:instrText>
            </w:r>
            <w:r w:rsidR="001C0823">
              <w:rPr>
                <w:noProof/>
                <w:webHidden/>
              </w:rPr>
            </w:r>
            <w:r w:rsidR="001C0823">
              <w:rPr>
                <w:noProof/>
                <w:webHidden/>
              </w:rPr>
              <w:fldChar w:fldCharType="separate"/>
            </w:r>
            <w:r w:rsidR="001C0823">
              <w:rPr>
                <w:noProof/>
                <w:webHidden/>
              </w:rPr>
              <w:t>3</w:t>
            </w:r>
            <w:r w:rsidR="001C0823">
              <w:rPr>
                <w:noProof/>
                <w:webHidden/>
              </w:rPr>
              <w:fldChar w:fldCharType="end"/>
            </w:r>
          </w:hyperlink>
        </w:p>
        <w:p w14:paraId="351631A5" w14:textId="77777777" w:rsidR="001C0823" w:rsidRDefault="00EA3F35">
          <w:pPr>
            <w:pStyle w:val="TOC1"/>
            <w:tabs>
              <w:tab w:val="right" w:leader="dot" w:pos="8630"/>
            </w:tabs>
            <w:rPr>
              <w:rFonts w:asciiTheme="minorHAnsi" w:eastAsiaTheme="minorEastAsia" w:hAnsiTheme="minorHAnsi" w:cstheme="minorBidi"/>
              <w:noProof/>
              <w:sz w:val="22"/>
              <w:szCs w:val="22"/>
              <w:lang w:eastAsia="en-US"/>
            </w:rPr>
          </w:pPr>
          <w:hyperlink w:anchor="_Toc457371997" w:history="1">
            <w:r w:rsidR="001C0823" w:rsidRPr="004835BF">
              <w:rPr>
                <w:rStyle w:val="Hyperlink"/>
                <w:noProof/>
              </w:rPr>
              <w:t>Executive Summary</w:t>
            </w:r>
            <w:r w:rsidR="001C0823">
              <w:rPr>
                <w:noProof/>
                <w:webHidden/>
              </w:rPr>
              <w:tab/>
            </w:r>
            <w:r w:rsidR="001C0823">
              <w:rPr>
                <w:noProof/>
                <w:webHidden/>
              </w:rPr>
              <w:fldChar w:fldCharType="begin"/>
            </w:r>
            <w:r w:rsidR="001C0823">
              <w:rPr>
                <w:noProof/>
                <w:webHidden/>
              </w:rPr>
              <w:instrText xml:space="preserve"> PAGEREF _Toc457371997 \h </w:instrText>
            </w:r>
            <w:r w:rsidR="001C0823">
              <w:rPr>
                <w:noProof/>
                <w:webHidden/>
              </w:rPr>
            </w:r>
            <w:r w:rsidR="001C0823">
              <w:rPr>
                <w:noProof/>
                <w:webHidden/>
              </w:rPr>
              <w:fldChar w:fldCharType="separate"/>
            </w:r>
            <w:r w:rsidR="001C0823">
              <w:rPr>
                <w:noProof/>
                <w:webHidden/>
              </w:rPr>
              <w:t>4</w:t>
            </w:r>
            <w:r w:rsidR="001C0823">
              <w:rPr>
                <w:noProof/>
                <w:webHidden/>
              </w:rPr>
              <w:fldChar w:fldCharType="end"/>
            </w:r>
          </w:hyperlink>
        </w:p>
        <w:p w14:paraId="2F7B4B5A" w14:textId="77777777" w:rsidR="001C0823" w:rsidRDefault="00EA3F35">
          <w:pPr>
            <w:pStyle w:val="TOC1"/>
            <w:tabs>
              <w:tab w:val="right" w:leader="dot" w:pos="8630"/>
            </w:tabs>
            <w:rPr>
              <w:rFonts w:asciiTheme="minorHAnsi" w:eastAsiaTheme="minorEastAsia" w:hAnsiTheme="minorHAnsi" w:cstheme="minorBidi"/>
              <w:noProof/>
              <w:sz w:val="22"/>
              <w:szCs w:val="22"/>
              <w:lang w:eastAsia="en-US"/>
            </w:rPr>
          </w:pPr>
          <w:hyperlink w:anchor="_Toc457371998" w:history="1">
            <w:r w:rsidR="001C0823" w:rsidRPr="004835BF">
              <w:rPr>
                <w:rStyle w:val="Hyperlink"/>
                <w:noProof/>
                <w:lang w:eastAsia="en-US"/>
              </w:rPr>
              <w:t>Energy Independence Act (I-937) Commerce Conservation Report</w:t>
            </w:r>
            <w:r w:rsidR="001C0823">
              <w:rPr>
                <w:noProof/>
                <w:webHidden/>
              </w:rPr>
              <w:tab/>
            </w:r>
            <w:r w:rsidR="001C0823">
              <w:rPr>
                <w:noProof/>
                <w:webHidden/>
              </w:rPr>
              <w:fldChar w:fldCharType="begin"/>
            </w:r>
            <w:r w:rsidR="001C0823">
              <w:rPr>
                <w:noProof/>
                <w:webHidden/>
              </w:rPr>
              <w:instrText xml:space="preserve"> PAGEREF _Toc457371998 \h </w:instrText>
            </w:r>
            <w:r w:rsidR="001C0823">
              <w:rPr>
                <w:noProof/>
                <w:webHidden/>
              </w:rPr>
            </w:r>
            <w:r w:rsidR="001C0823">
              <w:rPr>
                <w:noProof/>
                <w:webHidden/>
              </w:rPr>
              <w:fldChar w:fldCharType="separate"/>
            </w:r>
            <w:r w:rsidR="001C0823">
              <w:rPr>
                <w:noProof/>
                <w:webHidden/>
              </w:rPr>
              <w:t>5</w:t>
            </w:r>
            <w:r w:rsidR="001C0823">
              <w:rPr>
                <w:noProof/>
                <w:webHidden/>
              </w:rPr>
              <w:fldChar w:fldCharType="end"/>
            </w:r>
          </w:hyperlink>
        </w:p>
        <w:p w14:paraId="28068F51" w14:textId="77777777" w:rsidR="001C0823" w:rsidRDefault="00EA3F35">
          <w:pPr>
            <w:pStyle w:val="TOC1"/>
            <w:tabs>
              <w:tab w:val="right" w:leader="dot" w:pos="8630"/>
            </w:tabs>
            <w:rPr>
              <w:rFonts w:asciiTheme="minorHAnsi" w:eastAsiaTheme="minorEastAsia" w:hAnsiTheme="minorHAnsi" w:cstheme="minorBidi"/>
              <w:noProof/>
              <w:sz w:val="22"/>
              <w:szCs w:val="22"/>
              <w:lang w:eastAsia="en-US"/>
            </w:rPr>
          </w:pPr>
          <w:hyperlink w:anchor="_Toc457371999" w:history="1">
            <w:r w:rsidR="001C0823" w:rsidRPr="004835BF">
              <w:rPr>
                <w:rStyle w:val="Hyperlink"/>
                <w:noProof/>
              </w:rPr>
              <w:t>Biennial Target Compared to Actual</w:t>
            </w:r>
            <w:r w:rsidR="001C0823">
              <w:rPr>
                <w:noProof/>
                <w:webHidden/>
              </w:rPr>
              <w:tab/>
            </w:r>
            <w:r w:rsidR="001C0823">
              <w:rPr>
                <w:noProof/>
                <w:webHidden/>
              </w:rPr>
              <w:fldChar w:fldCharType="begin"/>
            </w:r>
            <w:r w:rsidR="001C0823">
              <w:rPr>
                <w:noProof/>
                <w:webHidden/>
              </w:rPr>
              <w:instrText xml:space="preserve"> PAGEREF _Toc457371999 \h </w:instrText>
            </w:r>
            <w:r w:rsidR="001C0823">
              <w:rPr>
                <w:noProof/>
                <w:webHidden/>
              </w:rPr>
            </w:r>
            <w:r w:rsidR="001C0823">
              <w:rPr>
                <w:noProof/>
                <w:webHidden/>
              </w:rPr>
              <w:fldChar w:fldCharType="separate"/>
            </w:r>
            <w:r w:rsidR="001C0823">
              <w:rPr>
                <w:noProof/>
                <w:webHidden/>
              </w:rPr>
              <w:t>7</w:t>
            </w:r>
            <w:r w:rsidR="001C0823">
              <w:rPr>
                <w:noProof/>
                <w:webHidden/>
              </w:rPr>
              <w:fldChar w:fldCharType="end"/>
            </w:r>
          </w:hyperlink>
        </w:p>
        <w:p w14:paraId="1EB4E52E" w14:textId="77777777" w:rsidR="001C0823" w:rsidRDefault="00EA3F35">
          <w:pPr>
            <w:pStyle w:val="TOC1"/>
            <w:tabs>
              <w:tab w:val="right" w:leader="dot" w:pos="8630"/>
            </w:tabs>
            <w:rPr>
              <w:rFonts w:asciiTheme="minorHAnsi" w:eastAsiaTheme="minorEastAsia" w:hAnsiTheme="minorHAnsi" w:cstheme="minorBidi"/>
              <w:noProof/>
              <w:sz w:val="22"/>
              <w:szCs w:val="22"/>
              <w:lang w:eastAsia="en-US"/>
            </w:rPr>
          </w:pPr>
          <w:hyperlink w:anchor="_Toc457372000" w:history="1">
            <w:r w:rsidR="001C0823" w:rsidRPr="004835BF">
              <w:rPr>
                <w:rStyle w:val="Hyperlink"/>
                <w:noProof/>
              </w:rPr>
              <w:t>Savings Reporting Adjustments</w:t>
            </w:r>
            <w:r w:rsidR="001C0823">
              <w:rPr>
                <w:noProof/>
                <w:webHidden/>
              </w:rPr>
              <w:tab/>
            </w:r>
            <w:r w:rsidR="001C0823">
              <w:rPr>
                <w:noProof/>
                <w:webHidden/>
              </w:rPr>
              <w:fldChar w:fldCharType="begin"/>
            </w:r>
            <w:r w:rsidR="001C0823">
              <w:rPr>
                <w:noProof/>
                <w:webHidden/>
              </w:rPr>
              <w:instrText xml:space="preserve"> PAGEREF _Toc457372000 \h </w:instrText>
            </w:r>
            <w:r w:rsidR="001C0823">
              <w:rPr>
                <w:noProof/>
                <w:webHidden/>
              </w:rPr>
            </w:r>
            <w:r w:rsidR="001C0823">
              <w:rPr>
                <w:noProof/>
                <w:webHidden/>
              </w:rPr>
              <w:fldChar w:fldCharType="separate"/>
            </w:r>
            <w:r w:rsidR="001C0823">
              <w:rPr>
                <w:noProof/>
                <w:webHidden/>
              </w:rPr>
              <w:t>9</w:t>
            </w:r>
            <w:r w:rsidR="001C0823">
              <w:rPr>
                <w:noProof/>
                <w:webHidden/>
              </w:rPr>
              <w:fldChar w:fldCharType="end"/>
            </w:r>
          </w:hyperlink>
        </w:p>
        <w:p w14:paraId="1CC8C585" w14:textId="77777777" w:rsidR="001C0823" w:rsidRDefault="00EA3F35">
          <w:pPr>
            <w:pStyle w:val="TOC1"/>
            <w:tabs>
              <w:tab w:val="right" w:leader="dot" w:pos="8630"/>
            </w:tabs>
            <w:rPr>
              <w:rFonts w:asciiTheme="minorHAnsi" w:eastAsiaTheme="minorEastAsia" w:hAnsiTheme="minorHAnsi" w:cstheme="minorBidi"/>
              <w:noProof/>
              <w:sz w:val="22"/>
              <w:szCs w:val="22"/>
              <w:lang w:eastAsia="en-US"/>
            </w:rPr>
          </w:pPr>
          <w:hyperlink w:anchor="_Toc457372001" w:history="1">
            <w:r w:rsidR="001C0823" w:rsidRPr="004835BF">
              <w:rPr>
                <w:rStyle w:val="Hyperlink"/>
                <w:noProof/>
              </w:rPr>
              <w:t>UES Baseline Analysis</w:t>
            </w:r>
            <w:r w:rsidR="001C0823">
              <w:rPr>
                <w:noProof/>
                <w:webHidden/>
              </w:rPr>
              <w:tab/>
            </w:r>
            <w:r w:rsidR="001C0823">
              <w:rPr>
                <w:noProof/>
                <w:webHidden/>
              </w:rPr>
              <w:fldChar w:fldCharType="begin"/>
            </w:r>
            <w:r w:rsidR="001C0823">
              <w:rPr>
                <w:noProof/>
                <w:webHidden/>
              </w:rPr>
              <w:instrText xml:space="preserve"> PAGEREF _Toc457372001 \h </w:instrText>
            </w:r>
            <w:r w:rsidR="001C0823">
              <w:rPr>
                <w:noProof/>
                <w:webHidden/>
              </w:rPr>
            </w:r>
            <w:r w:rsidR="001C0823">
              <w:rPr>
                <w:noProof/>
                <w:webHidden/>
              </w:rPr>
              <w:fldChar w:fldCharType="separate"/>
            </w:r>
            <w:r w:rsidR="001C0823">
              <w:rPr>
                <w:noProof/>
                <w:webHidden/>
              </w:rPr>
              <w:t>14</w:t>
            </w:r>
            <w:r w:rsidR="001C0823">
              <w:rPr>
                <w:noProof/>
                <w:webHidden/>
              </w:rPr>
              <w:fldChar w:fldCharType="end"/>
            </w:r>
          </w:hyperlink>
        </w:p>
        <w:p w14:paraId="5D4E2E72" w14:textId="77777777" w:rsidR="001C0823" w:rsidRDefault="00EA3F35">
          <w:pPr>
            <w:pStyle w:val="TOC1"/>
            <w:tabs>
              <w:tab w:val="right" w:leader="dot" w:pos="8630"/>
            </w:tabs>
            <w:rPr>
              <w:rFonts w:asciiTheme="minorHAnsi" w:eastAsiaTheme="minorEastAsia" w:hAnsiTheme="minorHAnsi" w:cstheme="minorBidi"/>
              <w:noProof/>
              <w:sz w:val="22"/>
              <w:szCs w:val="22"/>
              <w:lang w:eastAsia="en-US"/>
            </w:rPr>
          </w:pPr>
          <w:hyperlink w:anchor="_Toc457372002" w:history="1">
            <w:r w:rsidR="001C0823" w:rsidRPr="004835BF">
              <w:rPr>
                <w:rStyle w:val="Hyperlink"/>
                <w:noProof/>
                <w:lang w:eastAsia="en-US"/>
              </w:rPr>
              <w:t>Summary of Adaptive Management Actions for the 2014-2015 Washington Programs</w:t>
            </w:r>
            <w:r w:rsidR="001C0823">
              <w:rPr>
                <w:noProof/>
                <w:webHidden/>
              </w:rPr>
              <w:tab/>
            </w:r>
            <w:r w:rsidR="001C0823">
              <w:rPr>
                <w:noProof/>
                <w:webHidden/>
              </w:rPr>
              <w:fldChar w:fldCharType="begin"/>
            </w:r>
            <w:r w:rsidR="001C0823">
              <w:rPr>
                <w:noProof/>
                <w:webHidden/>
              </w:rPr>
              <w:instrText xml:space="preserve"> PAGEREF _Toc457372002 \h </w:instrText>
            </w:r>
            <w:r w:rsidR="001C0823">
              <w:rPr>
                <w:noProof/>
                <w:webHidden/>
              </w:rPr>
            </w:r>
            <w:r w:rsidR="001C0823">
              <w:rPr>
                <w:noProof/>
                <w:webHidden/>
              </w:rPr>
              <w:fldChar w:fldCharType="separate"/>
            </w:r>
            <w:r w:rsidR="001C0823">
              <w:rPr>
                <w:noProof/>
                <w:webHidden/>
              </w:rPr>
              <w:t>18</w:t>
            </w:r>
            <w:r w:rsidR="001C0823">
              <w:rPr>
                <w:noProof/>
                <w:webHidden/>
              </w:rPr>
              <w:fldChar w:fldCharType="end"/>
            </w:r>
          </w:hyperlink>
        </w:p>
        <w:p w14:paraId="1B58AEEC" w14:textId="77777777" w:rsidR="001C0823" w:rsidRDefault="00EA3F35">
          <w:pPr>
            <w:pStyle w:val="TOC1"/>
            <w:tabs>
              <w:tab w:val="right" w:leader="dot" w:pos="8630"/>
            </w:tabs>
            <w:rPr>
              <w:rFonts w:asciiTheme="minorHAnsi" w:eastAsiaTheme="minorEastAsia" w:hAnsiTheme="minorHAnsi" w:cstheme="minorBidi"/>
              <w:noProof/>
              <w:sz w:val="22"/>
              <w:szCs w:val="22"/>
              <w:lang w:eastAsia="en-US"/>
            </w:rPr>
          </w:pPr>
          <w:hyperlink w:anchor="_Toc457372003" w:history="1">
            <w:r w:rsidR="001C0823" w:rsidRPr="004835BF">
              <w:rPr>
                <w:rStyle w:val="Hyperlink"/>
                <w:noProof/>
              </w:rPr>
              <w:t>Supporting Documents for Conservation</w:t>
            </w:r>
            <w:r w:rsidR="001C0823">
              <w:rPr>
                <w:noProof/>
                <w:webHidden/>
              </w:rPr>
              <w:tab/>
            </w:r>
            <w:r w:rsidR="001C0823">
              <w:rPr>
                <w:noProof/>
                <w:webHidden/>
              </w:rPr>
              <w:fldChar w:fldCharType="begin"/>
            </w:r>
            <w:r w:rsidR="001C0823">
              <w:rPr>
                <w:noProof/>
                <w:webHidden/>
              </w:rPr>
              <w:instrText xml:space="preserve"> PAGEREF _Toc457372003 \h </w:instrText>
            </w:r>
            <w:r w:rsidR="001C0823">
              <w:rPr>
                <w:noProof/>
                <w:webHidden/>
              </w:rPr>
            </w:r>
            <w:r w:rsidR="001C0823">
              <w:rPr>
                <w:noProof/>
                <w:webHidden/>
              </w:rPr>
              <w:fldChar w:fldCharType="separate"/>
            </w:r>
            <w:r w:rsidR="001C0823">
              <w:rPr>
                <w:noProof/>
                <w:webHidden/>
              </w:rPr>
              <w:t>21</w:t>
            </w:r>
            <w:r w:rsidR="001C0823">
              <w:rPr>
                <w:noProof/>
                <w:webHidden/>
              </w:rPr>
              <w:fldChar w:fldCharType="end"/>
            </w:r>
          </w:hyperlink>
        </w:p>
        <w:p w14:paraId="343B4F9A" w14:textId="77777777" w:rsidR="001C0823" w:rsidRDefault="00EA3F35">
          <w:pPr>
            <w:pStyle w:val="TOC1"/>
            <w:tabs>
              <w:tab w:val="right" w:leader="dot" w:pos="8630"/>
            </w:tabs>
            <w:rPr>
              <w:rFonts w:asciiTheme="minorHAnsi" w:eastAsiaTheme="minorEastAsia" w:hAnsiTheme="minorHAnsi" w:cstheme="minorBidi"/>
              <w:noProof/>
              <w:sz w:val="22"/>
              <w:szCs w:val="22"/>
              <w:lang w:eastAsia="en-US"/>
            </w:rPr>
          </w:pPr>
          <w:hyperlink w:anchor="_Toc457372004" w:history="1">
            <w:r w:rsidR="001C0823" w:rsidRPr="004835BF">
              <w:rPr>
                <w:rStyle w:val="Hyperlink"/>
                <w:noProof/>
              </w:rPr>
              <w:t>Appendices</w:t>
            </w:r>
            <w:r w:rsidR="001C0823">
              <w:rPr>
                <w:noProof/>
                <w:webHidden/>
              </w:rPr>
              <w:tab/>
            </w:r>
            <w:r w:rsidR="001C0823">
              <w:rPr>
                <w:noProof/>
                <w:webHidden/>
              </w:rPr>
              <w:fldChar w:fldCharType="begin"/>
            </w:r>
            <w:r w:rsidR="001C0823">
              <w:rPr>
                <w:noProof/>
                <w:webHidden/>
              </w:rPr>
              <w:instrText xml:space="preserve"> PAGEREF _Toc457372004 \h </w:instrText>
            </w:r>
            <w:r w:rsidR="001C0823">
              <w:rPr>
                <w:noProof/>
                <w:webHidden/>
              </w:rPr>
            </w:r>
            <w:r w:rsidR="001C0823">
              <w:rPr>
                <w:noProof/>
                <w:webHidden/>
              </w:rPr>
              <w:fldChar w:fldCharType="separate"/>
            </w:r>
            <w:r w:rsidR="001C0823">
              <w:rPr>
                <w:noProof/>
                <w:webHidden/>
              </w:rPr>
              <w:t>22</w:t>
            </w:r>
            <w:r w:rsidR="001C0823">
              <w:rPr>
                <w:noProof/>
                <w:webHidden/>
              </w:rPr>
              <w:fldChar w:fldCharType="end"/>
            </w:r>
          </w:hyperlink>
        </w:p>
        <w:p w14:paraId="6269A5CE" w14:textId="77777777" w:rsidR="001C0823" w:rsidRDefault="00EA3F35">
          <w:pPr>
            <w:pStyle w:val="TOC2"/>
            <w:tabs>
              <w:tab w:val="right" w:leader="dot" w:pos="8630"/>
            </w:tabs>
            <w:rPr>
              <w:rFonts w:asciiTheme="minorHAnsi" w:eastAsiaTheme="minorEastAsia" w:hAnsiTheme="minorHAnsi" w:cstheme="minorBidi"/>
              <w:noProof/>
            </w:rPr>
          </w:pPr>
          <w:hyperlink w:anchor="_Toc457372005" w:history="1">
            <w:r w:rsidR="001C0823" w:rsidRPr="004835BF">
              <w:rPr>
                <w:rStyle w:val="Hyperlink"/>
                <w:rFonts w:ascii="Times New Roman" w:hAnsi="Times New Roman" w:cs="Times New Roman"/>
                <w:noProof/>
              </w:rPr>
              <w:t>Appendix 1 – 2014-2015 Plan Condition Requirements and Compliance</w:t>
            </w:r>
            <w:r w:rsidR="001C0823">
              <w:rPr>
                <w:noProof/>
                <w:webHidden/>
              </w:rPr>
              <w:tab/>
            </w:r>
            <w:r w:rsidR="001C0823">
              <w:rPr>
                <w:noProof/>
                <w:webHidden/>
              </w:rPr>
              <w:fldChar w:fldCharType="begin"/>
            </w:r>
            <w:r w:rsidR="001C0823">
              <w:rPr>
                <w:noProof/>
                <w:webHidden/>
              </w:rPr>
              <w:instrText xml:space="preserve"> PAGEREF _Toc457372005 \h </w:instrText>
            </w:r>
            <w:r w:rsidR="001C0823">
              <w:rPr>
                <w:noProof/>
                <w:webHidden/>
              </w:rPr>
            </w:r>
            <w:r w:rsidR="001C0823">
              <w:rPr>
                <w:noProof/>
                <w:webHidden/>
              </w:rPr>
              <w:fldChar w:fldCharType="separate"/>
            </w:r>
            <w:r w:rsidR="001C0823">
              <w:rPr>
                <w:noProof/>
                <w:webHidden/>
              </w:rPr>
              <w:t>22</w:t>
            </w:r>
            <w:r w:rsidR="001C0823">
              <w:rPr>
                <w:noProof/>
                <w:webHidden/>
              </w:rPr>
              <w:fldChar w:fldCharType="end"/>
            </w:r>
          </w:hyperlink>
        </w:p>
        <w:p w14:paraId="0A0AA808" w14:textId="77777777" w:rsidR="001C0823" w:rsidRDefault="00EA3F35">
          <w:pPr>
            <w:pStyle w:val="TOC2"/>
            <w:tabs>
              <w:tab w:val="right" w:leader="dot" w:pos="8630"/>
            </w:tabs>
            <w:rPr>
              <w:rFonts w:asciiTheme="minorHAnsi" w:eastAsiaTheme="minorEastAsia" w:hAnsiTheme="minorHAnsi" w:cstheme="minorBidi"/>
              <w:noProof/>
            </w:rPr>
          </w:pPr>
          <w:hyperlink w:anchor="_Toc457372006" w:history="1">
            <w:r w:rsidR="001C0823" w:rsidRPr="004835BF">
              <w:rPr>
                <w:rStyle w:val="Hyperlink"/>
                <w:rFonts w:ascii="Times New Roman" w:hAnsi="Times New Roman" w:cs="Times New Roman"/>
                <w:noProof/>
              </w:rPr>
              <w:t>Appendix 2 – Washington Verification of Savings Review</w:t>
            </w:r>
            <w:r w:rsidR="001C0823">
              <w:rPr>
                <w:noProof/>
                <w:webHidden/>
              </w:rPr>
              <w:tab/>
            </w:r>
            <w:r w:rsidR="001C0823">
              <w:rPr>
                <w:noProof/>
                <w:webHidden/>
              </w:rPr>
              <w:fldChar w:fldCharType="begin"/>
            </w:r>
            <w:r w:rsidR="001C0823">
              <w:rPr>
                <w:noProof/>
                <w:webHidden/>
              </w:rPr>
              <w:instrText xml:space="preserve"> PAGEREF _Toc457372006 \h </w:instrText>
            </w:r>
            <w:r w:rsidR="001C0823">
              <w:rPr>
                <w:noProof/>
                <w:webHidden/>
              </w:rPr>
            </w:r>
            <w:r w:rsidR="001C0823">
              <w:rPr>
                <w:noProof/>
                <w:webHidden/>
              </w:rPr>
              <w:fldChar w:fldCharType="separate"/>
            </w:r>
            <w:r w:rsidR="001C0823">
              <w:rPr>
                <w:noProof/>
                <w:webHidden/>
              </w:rPr>
              <w:t>22</w:t>
            </w:r>
            <w:r w:rsidR="001C0823">
              <w:rPr>
                <w:noProof/>
                <w:webHidden/>
              </w:rPr>
              <w:fldChar w:fldCharType="end"/>
            </w:r>
          </w:hyperlink>
        </w:p>
        <w:p w14:paraId="55DCE65D" w14:textId="77777777" w:rsidR="001C0823" w:rsidRDefault="00EA3F35">
          <w:pPr>
            <w:pStyle w:val="TOC2"/>
            <w:tabs>
              <w:tab w:val="right" w:leader="dot" w:pos="8630"/>
            </w:tabs>
            <w:rPr>
              <w:rFonts w:asciiTheme="minorHAnsi" w:eastAsiaTheme="minorEastAsia" w:hAnsiTheme="minorHAnsi" w:cstheme="minorBidi"/>
              <w:noProof/>
            </w:rPr>
          </w:pPr>
          <w:hyperlink w:anchor="_Toc457372007" w:history="1">
            <w:r w:rsidR="001C0823" w:rsidRPr="004835BF">
              <w:rPr>
                <w:rStyle w:val="Hyperlink"/>
                <w:rFonts w:ascii="Times New Roman" w:hAnsi="Times New Roman" w:cs="Times New Roman"/>
                <w:noProof/>
              </w:rPr>
              <w:t>Appendix 3 – NEEA Memorandum of 2014-2015 Final Savings</w:t>
            </w:r>
            <w:r w:rsidR="001C0823">
              <w:rPr>
                <w:noProof/>
                <w:webHidden/>
              </w:rPr>
              <w:tab/>
            </w:r>
            <w:r w:rsidR="001C0823">
              <w:rPr>
                <w:noProof/>
                <w:webHidden/>
              </w:rPr>
              <w:fldChar w:fldCharType="begin"/>
            </w:r>
            <w:r w:rsidR="001C0823">
              <w:rPr>
                <w:noProof/>
                <w:webHidden/>
              </w:rPr>
              <w:instrText xml:space="preserve"> PAGEREF _Toc457372007 \h </w:instrText>
            </w:r>
            <w:r w:rsidR="001C0823">
              <w:rPr>
                <w:noProof/>
                <w:webHidden/>
              </w:rPr>
            </w:r>
            <w:r w:rsidR="001C0823">
              <w:rPr>
                <w:noProof/>
                <w:webHidden/>
              </w:rPr>
              <w:fldChar w:fldCharType="separate"/>
            </w:r>
            <w:r w:rsidR="001C0823">
              <w:rPr>
                <w:noProof/>
                <w:webHidden/>
              </w:rPr>
              <w:t>22</w:t>
            </w:r>
            <w:r w:rsidR="001C0823">
              <w:rPr>
                <w:noProof/>
                <w:webHidden/>
              </w:rPr>
              <w:fldChar w:fldCharType="end"/>
            </w:r>
          </w:hyperlink>
        </w:p>
        <w:p w14:paraId="05E0363A" w14:textId="77777777" w:rsidR="00A32AFB" w:rsidRDefault="004B662D">
          <w:r>
            <w:fldChar w:fldCharType="end"/>
          </w:r>
        </w:p>
      </w:sdtContent>
    </w:sdt>
    <w:p w14:paraId="05E0363B" w14:textId="77777777" w:rsidR="008C6BDB" w:rsidRPr="00B34E9C" w:rsidRDefault="008C6BDB">
      <w:pPr>
        <w:pStyle w:val="TOCHeading"/>
        <w:rPr>
          <w:rFonts w:ascii="Times New Roman" w:eastAsia="MS Mincho" w:hAnsi="Times New Roman" w:cs="Times New Roman"/>
          <w:b w:val="0"/>
          <w:bCs w:val="0"/>
          <w:color w:val="auto"/>
          <w:sz w:val="24"/>
          <w:szCs w:val="24"/>
          <w:lang w:eastAsia="ja-JP"/>
        </w:rPr>
      </w:pPr>
    </w:p>
    <w:p w14:paraId="05E0363C" w14:textId="77777777" w:rsidR="00D74261" w:rsidRDefault="00D74261">
      <w:pPr>
        <w:rPr>
          <w:b/>
          <w:sz w:val="32"/>
          <w:szCs w:val="32"/>
        </w:rPr>
      </w:pPr>
      <w:r>
        <w:rPr>
          <w:b/>
          <w:sz w:val="32"/>
          <w:szCs w:val="32"/>
        </w:rPr>
        <w:br w:type="page"/>
      </w:r>
    </w:p>
    <w:p w14:paraId="05E0363D" w14:textId="77777777" w:rsidR="008C6BDB" w:rsidRPr="005F6583" w:rsidRDefault="00D74261" w:rsidP="002D4FB2">
      <w:pPr>
        <w:pStyle w:val="Heading1"/>
        <w:rPr>
          <w:rFonts w:ascii="Times New Roman" w:hAnsi="Times New Roman" w:cs="Times New Roman"/>
        </w:rPr>
      </w:pPr>
      <w:bookmarkStart w:id="4" w:name="_Toc457371996"/>
      <w:bookmarkEnd w:id="0"/>
      <w:bookmarkEnd w:id="1"/>
      <w:bookmarkEnd w:id="2"/>
      <w:r>
        <w:rPr>
          <w:rFonts w:ascii="Times New Roman" w:hAnsi="Times New Roman" w:cs="Times New Roman"/>
        </w:rPr>
        <w:lastRenderedPageBreak/>
        <w:t>Introduction</w:t>
      </w:r>
      <w:bookmarkEnd w:id="4"/>
    </w:p>
    <w:p w14:paraId="05E0363E" w14:textId="77777777" w:rsidR="008C6BDB" w:rsidRPr="00B34E9C" w:rsidRDefault="008C6BDB" w:rsidP="002810D1">
      <w:pPr>
        <w:jc w:val="both"/>
      </w:pPr>
    </w:p>
    <w:p w14:paraId="05E0363F" w14:textId="77777777" w:rsidR="004B75D8" w:rsidRDefault="00B36AA5" w:rsidP="004B75D8">
      <w:pPr>
        <w:jc w:val="both"/>
      </w:pPr>
      <w:r>
        <w:t>Pacific Power &amp; Light Company</w:t>
      </w:r>
      <w:r w:rsidR="00CC5FDB">
        <w:t xml:space="preserve"> (Pacific Power or Company)</w:t>
      </w:r>
      <w:r w:rsidR="009D61B5">
        <w:t>, a division of PacifiCorp,</w:t>
      </w:r>
      <w:r w:rsidR="00E0147F" w:rsidRPr="00B34E9C">
        <w:t xml:space="preserve"> </w:t>
      </w:r>
      <w:r w:rsidR="001A592D">
        <w:t xml:space="preserve">submits this </w:t>
      </w:r>
      <w:r w:rsidR="00D74261">
        <w:t>201</w:t>
      </w:r>
      <w:r w:rsidR="00BD0FCF">
        <w:t>4</w:t>
      </w:r>
      <w:r w:rsidR="00D74261">
        <w:t>-201</w:t>
      </w:r>
      <w:r w:rsidR="00BD0FCF">
        <w:t>5</w:t>
      </w:r>
      <w:r w:rsidR="00D74261">
        <w:t xml:space="preserve"> Biennial Con</w:t>
      </w:r>
      <w:r w:rsidR="00FB2D71">
        <w:t>serv</w:t>
      </w:r>
      <w:r w:rsidR="00D74261">
        <w:t xml:space="preserve">ation Report </w:t>
      </w:r>
      <w:r w:rsidR="002E6923">
        <w:t xml:space="preserve">to the Washington Utilities and Transportation Commission </w:t>
      </w:r>
      <w:r w:rsidR="009D61B5">
        <w:t>(</w:t>
      </w:r>
      <w:r w:rsidR="0097267D">
        <w:t>Commission</w:t>
      </w:r>
      <w:r w:rsidR="009D61B5">
        <w:t>)</w:t>
      </w:r>
      <w:r w:rsidR="002E6923">
        <w:t xml:space="preserve"> </w:t>
      </w:r>
      <w:r w:rsidR="00B8639A">
        <w:t xml:space="preserve">and the Energy Independence Act (I-937) Commerce Conversation Report to Washington Department of Commerce </w:t>
      </w:r>
      <w:r w:rsidR="009D61B5">
        <w:t>(</w:t>
      </w:r>
      <w:r w:rsidR="00B8639A">
        <w:t>Commerce</w:t>
      </w:r>
      <w:r w:rsidR="009D61B5">
        <w:t>)</w:t>
      </w:r>
      <w:r w:rsidR="00B8639A">
        <w:t xml:space="preserve"> </w:t>
      </w:r>
      <w:r w:rsidR="00D74261">
        <w:t xml:space="preserve">in response to </w:t>
      </w:r>
      <w:r w:rsidR="00BD0346">
        <w:t>reporting</w:t>
      </w:r>
      <w:r w:rsidR="002E6923">
        <w:t xml:space="preserve"> requirements</w:t>
      </w:r>
      <w:r w:rsidR="00BD0346">
        <w:t xml:space="preserve"> established as part</w:t>
      </w:r>
      <w:r w:rsidR="002E6923">
        <w:t xml:space="preserve"> of the Energy Independence </w:t>
      </w:r>
      <w:r w:rsidR="002E6923" w:rsidRPr="00030370">
        <w:t xml:space="preserve">Act.   The report </w:t>
      </w:r>
      <w:r w:rsidR="00BD0346" w:rsidRPr="00030370">
        <w:t xml:space="preserve">is consistent with </w:t>
      </w:r>
      <w:r w:rsidR="0042795A">
        <w:t>RCW 19.285.</w:t>
      </w:r>
      <w:r w:rsidR="002E6923">
        <w:t>70</w:t>
      </w:r>
      <w:r w:rsidR="004B75D8">
        <w:t xml:space="preserve"> which states: </w:t>
      </w:r>
    </w:p>
    <w:p w14:paraId="05E03640" w14:textId="77777777" w:rsidR="004B75D8" w:rsidRDefault="004B75D8" w:rsidP="004B75D8">
      <w:pPr>
        <w:jc w:val="both"/>
      </w:pPr>
    </w:p>
    <w:p w14:paraId="05E03641" w14:textId="77777777" w:rsidR="004B75D8" w:rsidRDefault="004B75D8" w:rsidP="004B75D8">
      <w:pPr>
        <w:pStyle w:val="ListParagraph"/>
        <w:numPr>
          <w:ilvl w:val="0"/>
          <w:numId w:val="40"/>
        </w:numPr>
        <w:jc w:val="both"/>
      </w:pPr>
      <w:r w:rsidRPr="002E6923">
        <w:rPr>
          <w:i/>
        </w:rPr>
        <w:t>O</w:t>
      </w:r>
      <w:r w:rsidR="00BD0346" w:rsidRPr="002E6923">
        <w:rPr>
          <w:i/>
        </w:rPr>
        <w:t xml:space="preserve">n or before </w:t>
      </w:r>
      <w:r w:rsidRPr="002E6923">
        <w:rPr>
          <w:i/>
        </w:rPr>
        <w:t>June 1, 2012, and annually thereafter, each qualifying utility shall report to the department on its progress in the preceding year in meetin</w:t>
      </w:r>
      <w:r w:rsidR="009A17A4">
        <w:rPr>
          <w:i/>
        </w:rPr>
        <w:t>g the targets established in RCW</w:t>
      </w:r>
      <w:r w:rsidRPr="002E6923">
        <w:rPr>
          <w:i/>
        </w:rPr>
        <w:t xml:space="preserve"> 19.285.40, including expected electricity savings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w:t>
      </w:r>
      <w:r>
        <w:t xml:space="preserve">  </w:t>
      </w:r>
    </w:p>
    <w:p w14:paraId="05E03642" w14:textId="77777777" w:rsidR="006014D5" w:rsidRDefault="006014D5" w:rsidP="002810D1">
      <w:pPr>
        <w:jc w:val="both"/>
      </w:pPr>
    </w:p>
    <w:p w14:paraId="05E03643" w14:textId="77777777" w:rsidR="00D74261" w:rsidRDefault="00CC6FA8" w:rsidP="002810D1">
      <w:pPr>
        <w:jc w:val="both"/>
      </w:pPr>
      <w:r>
        <w:t>This report is also consistent with the g</w:t>
      </w:r>
      <w:r w:rsidR="00A31667">
        <w:t xml:space="preserve">uidelines </w:t>
      </w:r>
      <w:r w:rsidR="002E6923">
        <w:t>set forth in</w:t>
      </w:r>
      <w:r w:rsidR="00BD0FCF">
        <w:t xml:space="preserve"> the revised</w:t>
      </w:r>
      <w:r w:rsidR="002E6923">
        <w:t xml:space="preserve"> </w:t>
      </w:r>
      <w:r w:rsidR="00720B68">
        <w:t xml:space="preserve">WAC </w:t>
      </w:r>
      <w:r w:rsidR="002E6923">
        <w:t>480-109</w:t>
      </w:r>
      <w:r w:rsidR="00720B68">
        <w:t>-</w:t>
      </w:r>
      <w:r w:rsidR="00BD0FCF">
        <w:t>1</w:t>
      </w:r>
      <w:r w:rsidR="00720B68">
        <w:t>00(</w:t>
      </w:r>
      <w:r w:rsidR="00BD0FCF">
        <w:t>3</w:t>
      </w:r>
      <w:r w:rsidR="00720B68">
        <w:t>)</w:t>
      </w:r>
      <w:r w:rsidR="00FB2D71">
        <w:t xml:space="preserve"> and </w:t>
      </w:r>
      <w:r w:rsidR="00140D48">
        <w:t>Condition (8)(</w:t>
      </w:r>
      <w:r w:rsidR="00E75343">
        <w:t>e</w:t>
      </w:r>
      <w:r w:rsidR="00140D48">
        <w:t>) in Docket UE-</w:t>
      </w:r>
      <w:r w:rsidR="00E75343">
        <w:t>132047</w:t>
      </w:r>
      <w:r w:rsidR="00140D48">
        <w:t xml:space="preserve">, Order </w:t>
      </w:r>
      <w:r w:rsidR="00030370">
        <w:t>0</w:t>
      </w:r>
      <w:r w:rsidR="00C920FB">
        <w:t>1</w:t>
      </w:r>
      <w:r w:rsidR="00140D48">
        <w:t xml:space="preserve">, </w:t>
      </w:r>
      <w:r w:rsidR="002E6923">
        <w:t>addressing reporting requirements</w:t>
      </w:r>
      <w:r>
        <w:t>.</w:t>
      </w:r>
    </w:p>
    <w:p w14:paraId="05E03644" w14:textId="77777777" w:rsidR="002E6923" w:rsidRDefault="002E6923" w:rsidP="002810D1">
      <w:pPr>
        <w:jc w:val="both"/>
      </w:pPr>
    </w:p>
    <w:p w14:paraId="05E03645" w14:textId="77777777" w:rsidR="002E6923" w:rsidRDefault="00CC6FA8" w:rsidP="002810D1">
      <w:pPr>
        <w:jc w:val="both"/>
      </w:pPr>
      <w:r w:rsidRPr="00527C1A">
        <w:t xml:space="preserve">As directed in </w:t>
      </w:r>
      <w:r w:rsidR="00B44B26" w:rsidRPr="00527C1A">
        <w:t>Docket UE-100523 memorandum dated May 4, 2012</w:t>
      </w:r>
      <w:r w:rsidR="001D55D5" w:rsidRPr="00527C1A">
        <w:t>,</w:t>
      </w:r>
      <w:r w:rsidR="00B44B26" w:rsidRPr="00527C1A">
        <w:t xml:space="preserve"> two separate filings will be submitted for “Conservation” and “Renewables”.  This report is addressing the Conservation target and savings.</w:t>
      </w:r>
    </w:p>
    <w:p w14:paraId="05E03646" w14:textId="77777777" w:rsidR="00024B54" w:rsidRDefault="00024B54" w:rsidP="00024B54">
      <w:pPr>
        <w:jc w:val="both"/>
      </w:pPr>
    </w:p>
    <w:p w14:paraId="05E03647" w14:textId="77777777" w:rsidR="0065125E" w:rsidRDefault="00024B54">
      <w:pPr>
        <w:jc w:val="both"/>
      </w:pPr>
      <w:r>
        <w:t>Consistent with the requirement to pursue all cost-effective, reliable</w:t>
      </w:r>
      <w:r w:rsidR="009D61B5">
        <w:t>,</w:t>
      </w:r>
      <w:r>
        <w:t xml:space="preserve"> and feasible conservation, the </w:t>
      </w:r>
      <w:r w:rsidR="00720B68">
        <w:t xml:space="preserve">Company </w:t>
      </w:r>
      <w:r>
        <w:t>completed a comprehensive conservation potential assessment followed by economic resource screening and selection through the Company’s Integrated Resource Planning process. The resulting ten-year conservation forecast</w:t>
      </w:r>
      <w:r w:rsidR="00DA7447">
        <w:t>, with adjustments as appropriate to account for new information,</w:t>
      </w:r>
      <w:r>
        <w:t xml:space="preserve"> and biennial target was filed with and approved by the </w:t>
      </w:r>
      <w:r w:rsidR="0097267D">
        <w:t xml:space="preserve">Commission </w:t>
      </w:r>
      <w:r>
        <w:t>in Docket UE-</w:t>
      </w:r>
      <w:r w:rsidR="00527C1A">
        <w:t>132047</w:t>
      </w:r>
      <w:r>
        <w:t xml:space="preserve">. </w:t>
      </w:r>
    </w:p>
    <w:p w14:paraId="05E03648" w14:textId="77777777" w:rsidR="00024B54" w:rsidRDefault="00024B54" w:rsidP="002810D1">
      <w:pPr>
        <w:jc w:val="both"/>
      </w:pPr>
    </w:p>
    <w:p w14:paraId="05E03649" w14:textId="77777777" w:rsidR="00D74261" w:rsidRDefault="00D74261" w:rsidP="002810D1">
      <w:pPr>
        <w:jc w:val="both"/>
      </w:pPr>
    </w:p>
    <w:p w14:paraId="05E0364A" w14:textId="77777777" w:rsidR="00A31667" w:rsidRDefault="00A31667">
      <w:pPr>
        <w:rPr>
          <w:b/>
          <w:bCs/>
          <w:kern w:val="32"/>
          <w:sz w:val="32"/>
          <w:szCs w:val="32"/>
        </w:rPr>
      </w:pPr>
      <w:bookmarkStart w:id="5" w:name="_Toc234046347"/>
      <w:bookmarkStart w:id="6" w:name="_Toc288484123"/>
      <w:bookmarkStart w:id="7" w:name="_Toc289064242"/>
      <w:r>
        <w:br w:type="page"/>
      </w:r>
    </w:p>
    <w:p w14:paraId="05E0364B" w14:textId="77777777" w:rsidR="00FC0DA2" w:rsidRPr="00B44B26" w:rsidRDefault="00FC0DA2" w:rsidP="00B44B26">
      <w:pPr>
        <w:pStyle w:val="Heading1"/>
        <w:rPr>
          <w:rFonts w:ascii="Times New Roman" w:hAnsi="Times New Roman" w:cs="Times New Roman"/>
          <w:sz w:val="28"/>
          <w:szCs w:val="28"/>
        </w:rPr>
      </w:pPr>
      <w:bookmarkStart w:id="8" w:name="_Toc457371997"/>
      <w:bookmarkEnd w:id="5"/>
      <w:bookmarkEnd w:id="6"/>
      <w:bookmarkEnd w:id="7"/>
      <w:r w:rsidRPr="00B44B26">
        <w:rPr>
          <w:rFonts w:ascii="Times New Roman" w:hAnsi="Times New Roman" w:cs="Times New Roman"/>
          <w:sz w:val="28"/>
          <w:szCs w:val="28"/>
        </w:rPr>
        <w:lastRenderedPageBreak/>
        <w:t>Executive Summary</w:t>
      </w:r>
      <w:bookmarkEnd w:id="8"/>
    </w:p>
    <w:p w14:paraId="05E0364C" w14:textId="77777777" w:rsidR="006014D5" w:rsidRDefault="006014D5" w:rsidP="002810D1">
      <w:pPr>
        <w:jc w:val="both"/>
      </w:pPr>
    </w:p>
    <w:p w14:paraId="05E0364D" w14:textId="77777777" w:rsidR="00743E0C" w:rsidRDefault="00CC6FA8" w:rsidP="002810D1">
      <w:pPr>
        <w:jc w:val="both"/>
      </w:pPr>
      <w:r>
        <w:t xml:space="preserve">The Company </w:t>
      </w:r>
      <w:r w:rsidR="00743E0C">
        <w:t>has achieved its 201</w:t>
      </w:r>
      <w:r w:rsidR="00527C1A">
        <w:t>4</w:t>
      </w:r>
      <w:r w:rsidR="00743E0C">
        <w:t>-201</w:t>
      </w:r>
      <w:r w:rsidR="00527C1A">
        <w:t>5</w:t>
      </w:r>
      <w:r w:rsidR="00743E0C">
        <w:t xml:space="preserve"> Biennial Conservation Target as set forth in Docket UE-</w:t>
      </w:r>
      <w:r w:rsidR="00527C1A">
        <w:t>132047</w:t>
      </w:r>
      <w:r w:rsidR="004A4BA9">
        <w:t>,</w:t>
      </w:r>
      <w:r w:rsidR="00743E0C">
        <w:t xml:space="preserve"> PacifiCorp’s Ten-Year Conservation Potential and 201</w:t>
      </w:r>
      <w:r w:rsidR="00527C1A">
        <w:t>4</w:t>
      </w:r>
      <w:r w:rsidR="00743E0C">
        <w:t>-201</w:t>
      </w:r>
      <w:r w:rsidR="00527C1A">
        <w:t>5</w:t>
      </w:r>
      <w:r w:rsidR="00743E0C">
        <w:t xml:space="preserve"> Biennial Conservation Target.</w:t>
      </w:r>
    </w:p>
    <w:p w14:paraId="05E0364E" w14:textId="77777777" w:rsidR="00743E0C" w:rsidRDefault="00743E0C" w:rsidP="002810D1">
      <w:pPr>
        <w:jc w:val="both"/>
      </w:pPr>
    </w:p>
    <w:p w14:paraId="05E0364F" w14:textId="77777777" w:rsidR="00FC0DA2" w:rsidRDefault="00743E0C" w:rsidP="002810D1">
      <w:pPr>
        <w:jc w:val="both"/>
      </w:pPr>
      <w:r>
        <w:t>A summary of 201</w:t>
      </w:r>
      <w:r w:rsidR="00527C1A">
        <w:t>4</w:t>
      </w:r>
      <w:r>
        <w:t>-201</w:t>
      </w:r>
      <w:r w:rsidR="00527C1A">
        <w:t>5</w:t>
      </w:r>
      <w:r>
        <w:t xml:space="preserve"> electric conservation targets, expenditures and savings results are provided below.</w:t>
      </w:r>
    </w:p>
    <w:p w14:paraId="05E03650" w14:textId="77777777" w:rsidR="00EB3633" w:rsidRDefault="00EB3633" w:rsidP="002810D1">
      <w:pPr>
        <w:jc w:val="both"/>
      </w:pPr>
    </w:p>
    <w:p w14:paraId="05E03651" w14:textId="77777777" w:rsidR="006432D2" w:rsidRDefault="00EB3633" w:rsidP="00EB3633">
      <w:pPr>
        <w:jc w:val="center"/>
      </w:pPr>
      <w:r w:rsidRPr="00EB3633">
        <w:rPr>
          <w:noProof/>
          <w:lang w:eastAsia="en-US"/>
        </w:rPr>
        <w:drawing>
          <wp:inline distT="0" distB="0" distL="0" distR="0" wp14:anchorId="05E038B7" wp14:editId="05E038B8">
            <wp:extent cx="3924935" cy="1319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935" cy="1319530"/>
                    </a:xfrm>
                    <a:prstGeom prst="rect">
                      <a:avLst/>
                    </a:prstGeom>
                    <a:noFill/>
                    <a:ln>
                      <a:noFill/>
                    </a:ln>
                  </pic:spPr>
                </pic:pic>
              </a:graphicData>
            </a:graphic>
          </wp:inline>
        </w:drawing>
      </w:r>
    </w:p>
    <w:p w14:paraId="05E03652" w14:textId="77777777" w:rsidR="006D6562" w:rsidRDefault="006D6562" w:rsidP="006432D2">
      <w:pPr>
        <w:jc w:val="center"/>
      </w:pPr>
    </w:p>
    <w:p w14:paraId="05E03653" w14:textId="77777777" w:rsidR="006D6562" w:rsidRPr="00743E0C" w:rsidRDefault="00DD3AC5">
      <w:pPr>
        <w:rPr>
          <w:b/>
          <w:bCs/>
          <w:kern w:val="32"/>
        </w:rPr>
      </w:pPr>
      <w:r>
        <w:t xml:space="preserve">    </w:t>
      </w:r>
    </w:p>
    <w:p w14:paraId="05E03654" w14:textId="77777777" w:rsidR="00743E0C" w:rsidRDefault="00C666E2" w:rsidP="001F3BDA">
      <w:pPr>
        <w:jc w:val="both"/>
        <w:rPr>
          <w:lang w:eastAsia="en-US"/>
        </w:rPr>
      </w:pPr>
      <w:r w:rsidRPr="00B213E4">
        <w:rPr>
          <w:lang w:eastAsia="en-US"/>
        </w:rPr>
        <w:t xml:space="preserve">Consistent with the conditions established by the </w:t>
      </w:r>
      <w:r w:rsidR="00B36AA5" w:rsidRPr="00B213E4">
        <w:rPr>
          <w:lang w:eastAsia="en-US"/>
        </w:rPr>
        <w:t xml:space="preserve">Commission in </w:t>
      </w:r>
      <w:r w:rsidRPr="00B213E4">
        <w:rPr>
          <w:lang w:eastAsia="en-US"/>
        </w:rPr>
        <w:t xml:space="preserve">Docket </w:t>
      </w:r>
      <w:r w:rsidR="00E07DDB" w:rsidRPr="00B213E4">
        <w:rPr>
          <w:lang w:eastAsia="en-US"/>
        </w:rPr>
        <w:t>UE-</w:t>
      </w:r>
      <w:r w:rsidR="00527C1A">
        <w:rPr>
          <w:lang w:eastAsia="en-US"/>
        </w:rPr>
        <w:t>132047</w:t>
      </w:r>
      <w:r w:rsidR="00E07DDB" w:rsidRPr="00B213E4">
        <w:rPr>
          <w:lang w:eastAsia="en-US"/>
        </w:rPr>
        <w:t xml:space="preserve"> </w:t>
      </w:r>
      <w:r w:rsidR="00E07DDB" w:rsidRPr="00A834F3">
        <w:rPr>
          <w:lang w:eastAsia="en-US"/>
        </w:rPr>
        <w:t xml:space="preserve">Order </w:t>
      </w:r>
      <w:r w:rsidR="00B213E4">
        <w:rPr>
          <w:lang w:eastAsia="en-US"/>
        </w:rPr>
        <w:t>0</w:t>
      </w:r>
      <w:r w:rsidR="00C920FB">
        <w:rPr>
          <w:lang w:eastAsia="en-US"/>
        </w:rPr>
        <w:t>1</w:t>
      </w:r>
      <w:r>
        <w:rPr>
          <w:lang w:eastAsia="en-US"/>
        </w:rPr>
        <w:t>, the cost</w:t>
      </w:r>
      <w:r w:rsidR="00B36AA5">
        <w:rPr>
          <w:lang w:eastAsia="en-US"/>
        </w:rPr>
        <w:t>-</w:t>
      </w:r>
      <w:r>
        <w:rPr>
          <w:lang w:eastAsia="en-US"/>
        </w:rPr>
        <w:t xml:space="preserve">effectiveness has been determined based on the </w:t>
      </w:r>
      <w:r w:rsidR="00743E0C" w:rsidRPr="00743E0C">
        <w:rPr>
          <w:lang w:eastAsia="en-US"/>
        </w:rPr>
        <w:t xml:space="preserve">Total Resource Cost (TRC) test incorporating the 10 percent conservation benefit and risk adder consistent with the </w:t>
      </w:r>
      <w:r w:rsidR="00B36AA5">
        <w:rPr>
          <w:lang w:eastAsia="en-US"/>
        </w:rPr>
        <w:t>Northwest Power</w:t>
      </w:r>
      <w:r w:rsidR="00F015F2">
        <w:rPr>
          <w:lang w:eastAsia="en-US"/>
        </w:rPr>
        <w:t xml:space="preserve"> and Conservation</w:t>
      </w:r>
      <w:r w:rsidR="00B36AA5">
        <w:rPr>
          <w:lang w:eastAsia="en-US"/>
        </w:rPr>
        <w:t xml:space="preserve"> </w:t>
      </w:r>
      <w:r w:rsidR="00743E0C" w:rsidRPr="00743E0C">
        <w:rPr>
          <w:lang w:eastAsia="en-US"/>
        </w:rPr>
        <w:t>Council’s approach</w:t>
      </w:r>
      <w:r w:rsidR="00743E0C">
        <w:rPr>
          <w:lang w:eastAsia="en-US"/>
        </w:rPr>
        <w:t xml:space="preserve">. Using this test, the benefit to </w:t>
      </w:r>
      <w:r w:rsidR="00743E0C" w:rsidRPr="001A0E93">
        <w:rPr>
          <w:lang w:eastAsia="en-US"/>
        </w:rPr>
        <w:t xml:space="preserve">cost ratio for the </w:t>
      </w:r>
      <w:r w:rsidR="0003426C" w:rsidRPr="001A0E93">
        <w:rPr>
          <w:lang w:eastAsia="en-US"/>
        </w:rPr>
        <w:t xml:space="preserve">Company’s </w:t>
      </w:r>
      <w:r w:rsidR="00743E0C" w:rsidRPr="001A0E93">
        <w:rPr>
          <w:lang w:eastAsia="en-US"/>
        </w:rPr>
        <w:t>201</w:t>
      </w:r>
      <w:r w:rsidR="00527C1A" w:rsidRPr="001A0E93">
        <w:rPr>
          <w:lang w:eastAsia="en-US"/>
        </w:rPr>
        <w:t>4-</w:t>
      </w:r>
      <w:r w:rsidR="00743E0C" w:rsidRPr="001A0E93">
        <w:rPr>
          <w:lang w:eastAsia="en-US"/>
        </w:rPr>
        <w:t>201</w:t>
      </w:r>
      <w:r w:rsidR="00527C1A" w:rsidRPr="001A0E93">
        <w:rPr>
          <w:lang w:eastAsia="en-US"/>
        </w:rPr>
        <w:t>5</w:t>
      </w:r>
      <w:r w:rsidR="00743E0C" w:rsidRPr="001A0E93">
        <w:rPr>
          <w:lang w:eastAsia="en-US"/>
        </w:rPr>
        <w:t xml:space="preserve"> Biennial Conservation </w:t>
      </w:r>
      <w:r w:rsidR="0003426C" w:rsidRPr="001A0E93">
        <w:rPr>
          <w:lang w:eastAsia="en-US"/>
        </w:rPr>
        <w:t xml:space="preserve">savings </w:t>
      </w:r>
      <w:r w:rsidR="00743E0C" w:rsidRPr="001A0E93">
        <w:rPr>
          <w:lang w:eastAsia="en-US"/>
        </w:rPr>
        <w:t>was</w:t>
      </w:r>
      <w:r w:rsidR="001A0E93">
        <w:rPr>
          <w:lang w:eastAsia="en-US"/>
        </w:rPr>
        <w:t xml:space="preserve"> </w:t>
      </w:r>
      <w:r w:rsidR="001A0E93" w:rsidRPr="001D7139">
        <w:rPr>
          <w:lang w:eastAsia="en-US"/>
        </w:rPr>
        <w:t>1.73</w:t>
      </w:r>
      <w:r w:rsidR="00AD5A46" w:rsidRPr="001D7139">
        <w:rPr>
          <w:rStyle w:val="FootnoteReference"/>
          <w:lang w:eastAsia="en-US"/>
        </w:rPr>
        <w:footnoteReference w:id="1"/>
      </w:r>
      <w:r w:rsidR="00CC14F1" w:rsidRPr="001D7139">
        <w:rPr>
          <w:rStyle w:val="FootnoteReference"/>
          <w:lang w:eastAsia="en-US"/>
        </w:rPr>
        <w:footnoteReference w:id="2"/>
      </w:r>
      <w:r w:rsidR="00B213E4" w:rsidRPr="001D7139">
        <w:rPr>
          <w:lang w:eastAsia="en-US"/>
        </w:rPr>
        <w:t>.</w:t>
      </w:r>
      <w:r w:rsidR="0053352A">
        <w:rPr>
          <w:lang w:eastAsia="en-US"/>
        </w:rPr>
        <w:t xml:space="preserve"> </w:t>
      </w:r>
    </w:p>
    <w:p w14:paraId="05E03655" w14:textId="77777777" w:rsidR="00743E0C" w:rsidRDefault="00743E0C">
      <w:pPr>
        <w:rPr>
          <w:lang w:eastAsia="en-US"/>
        </w:rPr>
      </w:pPr>
    </w:p>
    <w:p w14:paraId="05E03656" w14:textId="77777777" w:rsidR="00743E0C" w:rsidRPr="001F3BDA" w:rsidRDefault="00C666E2" w:rsidP="00666A20">
      <w:pPr>
        <w:jc w:val="both"/>
      </w:pPr>
      <w:r>
        <w:rPr>
          <w:lang w:eastAsia="en-US"/>
        </w:rPr>
        <w:t>Working in partnership with its customers</w:t>
      </w:r>
      <w:r w:rsidR="009E6A45">
        <w:rPr>
          <w:lang w:eastAsia="en-US"/>
        </w:rPr>
        <w:t xml:space="preserve">, Commission staff, and demand side </w:t>
      </w:r>
      <w:r w:rsidR="009E6A45" w:rsidRPr="001A0E93">
        <w:rPr>
          <w:lang w:eastAsia="en-US"/>
        </w:rPr>
        <w:t>management advisory group members</w:t>
      </w:r>
      <w:r w:rsidR="00B213E4" w:rsidRPr="001A0E93">
        <w:rPr>
          <w:lang w:eastAsia="en-US"/>
        </w:rPr>
        <w:t>,</w:t>
      </w:r>
      <w:r w:rsidRPr="001A0E93">
        <w:rPr>
          <w:lang w:eastAsia="en-US"/>
        </w:rPr>
        <w:t xml:space="preserve"> the Company achieved these results </w:t>
      </w:r>
      <w:r w:rsidR="009E6A45" w:rsidRPr="001A0E93">
        <w:rPr>
          <w:lang w:eastAsia="en-US"/>
        </w:rPr>
        <w:t xml:space="preserve">while adhering to </w:t>
      </w:r>
      <w:r w:rsidRPr="001A0E93">
        <w:rPr>
          <w:lang w:eastAsia="en-US"/>
        </w:rPr>
        <w:t xml:space="preserve">the conditions established by the </w:t>
      </w:r>
      <w:r w:rsidR="00B36AA5" w:rsidRPr="001A0E93">
        <w:rPr>
          <w:lang w:eastAsia="en-US"/>
        </w:rPr>
        <w:t xml:space="preserve">Commission </w:t>
      </w:r>
      <w:r w:rsidRPr="001A0E93">
        <w:rPr>
          <w:lang w:eastAsia="en-US"/>
        </w:rPr>
        <w:t xml:space="preserve">in Docket </w:t>
      </w:r>
      <w:r w:rsidR="009E6A45" w:rsidRPr="001A0E93">
        <w:t>UE-</w:t>
      </w:r>
      <w:r w:rsidR="008A0905" w:rsidRPr="001A0E93">
        <w:t>132047</w:t>
      </w:r>
      <w:r w:rsidRPr="001A0E93">
        <w:rPr>
          <w:lang w:eastAsia="en-US"/>
        </w:rPr>
        <w:t xml:space="preserve">. Appendix </w:t>
      </w:r>
      <w:r w:rsidR="00B213E4" w:rsidRPr="001A0E93">
        <w:rPr>
          <w:lang w:eastAsia="en-US"/>
        </w:rPr>
        <w:t xml:space="preserve">1 </w:t>
      </w:r>
      <w:r w:rsidR="001A0E93">
        <w:rPr>
          <w:lang w:eastAsia="en-US"/>
        </w:rPr>
        <w:t xml:space="preserve">of this report </w:t>
      </w:r>
      <w:r w:rsidRPr="001A0E93">
        <w:rPr>
          <w:lang w:eastAsia="en-US"/>
        </w:rPr>
        <w:t>summarizes</w:t>
      </w:r>
      <w:r>
        <w:rPr>
          <w:lang w:eastAsia="en-US"/>
        </w:rPr>
        <w:t xml:space="preserve"> the Company’s </w:t>
      </w:r>
      <w:r w:rsidR="00B36AA5">
        <w:rPr>
          <w:lang w:eastAsia="en-US"/>
        </w:rPr>
        <w:t>compliance</w:t>
      </w:r>
      <w:r>
        <w:rPr>
          <w:lang w:eastAsia="en-US"/>
        </w:rPr>
        <w:t xml:space="preserve">.  </w:t>
      </w:r>
      <w:r w:rsidR="00743E0C" w:rsidRPr="00743E0C">
        <w:rPr>
          <w:lang w:eastAsia="en-US"/>
        </w:rPr>
        <w:br w:type="page"/>
      </w:r>
    </w:p>
    <w:p w14:paraId="05E03657" w14:textId="77777777" w:rsidR="007E2539" w:rsidRDefault="007E2539" w:rsidP="007E2539">
      <w:pPr>
        <w:pStyle w:val="Heading1"/>
        <w:rPr>
          <w:rFonts w:ascii="Times New Roman" w:hAnsi="Times New Roman" w:cs="Times New Roman"/>
          <w:sz w:val="28"/>
          <w:szCs w:val="28"/>
          <w:lang w:eastAsia="en-US"/>
        </w:rPr>
      </w:pPr>
      <w:bookmarkStart w:id="9" w:name="_Toc457371998"/>
      <w:r w:rsidRPr="00ED5B98">
        <w:rPr>
          <w:rFonts w:ascii="Times New Roman" w:hAnsi="Times New Roman" w:cs="Times New Roman"/>
          <w:sz w:val="28"/>
          <w:szCs w:val="28"/>
          <w:lang w:eastAsia="en-US"/>
        </w:rPr>
        <w:lastRenderedPageBreak/>
        <w:t>Energy Independence Act (I-937) Commerce Conservation</w:t>
      </w:r>
      <w:r w:rsidRPr="007E2539">
        <w:rPr>
          <w:rFonts w:ascii="Times New Roman" w:hAnsi="Times New Roman" w:cs="Times New Roman"/>
          <w:sz w:val="28"/>
          <w:szCs w:val="28"/>
          <w:lang w:eastAsia="en-US"/>
        </w:rPr>
        <w:t xml:space="preserve"> Report</w:t>
      </w:r>
      <w:bookmarkEnd w:id="9"/>
      <w:r w:rsidRPr="007E2539">
        <w:rPr>
          <w:rFonts w:ascii="Times New Roman" w:hAnsi="Times New Roman" w:cs="Times New Roman"/>
          <w:sz w:val="28"/>
          <w:szCs w:val="28"/>
          <w:lang w:eastAsia="en-US"/>
        </w:rPr>
        <w:t xml:space="preserve"> </w:t>
      </w:r>
    </w:p>
    <w:p w14:paraId="05E03658" w14:textId="77777777" w:rsidR="007E2539" w:rsidRDefault="007E2539" w:rsidP="007E2539">
      <w:pPr>
        <w:rPr>
          <w:lang w:eastAsia="en-US"/>
        </w:rPr>
      </w:pPr>
    </w:p>
    <w:p w14:paraId="05E03659" w14:textId="77777777" w:rsidR="00B213E4" w:rsidRDefault="00B213E4" w:rsidP="007E2539">
      <w:pPr>
        <w:rPr>
          <w:lang w:eastAsia="en-US"/>
        </w:rPr>
      </w:pPr>
    </w:p>
    <w:p w14:paraId="05E0365A" w14:textId="77777777" w:rsidR="00ED5B98" w:rsidRPr="007E2539" w:rsidRDefault="00ED5B98" w:rsidP="007E2539">
      <w:pPr>
        <w:rPr>
          <w:lang w:eastAsia="en-US"/>
        </w:rPr>
      </w:pPr>
    </w:p>
    <w:p w14:paraId="05E0365B" w14:textId="77777777" w:rsidR="00FC0DA2" w:rsidRDefault="00FC0DA2" w:rsidP="002810D1">
      <w:pPr>
        <w:jc w:val="both"/>
        <w:rPr>
          <w:b/>
        </w:rPr>
      </w:pPr>
    </w:p>
    <w:p w14:paraId="05E0365C" w14:textId="77777777" w:rsidR="006E37F8" w:rsidRPr="007E2539" w:rsidRDefault="008B3658" w:rsidP="002810D1">
      <w:pPr>
        <w:jc w:val="both"/>
      </w:pPr>
      <w:r w:rsidRPr="008B3658">
        <w:rPr>
          <w:noProof/>
          <w:lang w:eastAsia="en-US"/>
        </w:rPr>
        <w:drawing>
          <wp:inline distT="0" distB="0" distL="0" distR="0" wp14:anchorId="05E038B9" wp14:editId="05E038BA">
            <wp:extent cx="5524500" cy="4676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1345" cy="4691035"/>
                    </a:xfrm>
                    <a:prstGeom prst="rect">
                      <a:avLst/>
                    </a:prstGeom>
                    <a:noFill/>
                    <a:ln>
                      <a:noFill/>
                    </a:ln>
                  </pic:spPr>
                </pic:pic>
              </a:graphicData>
            </a:graphic>
          </wp:inline>
        </w:drawing>
      </w:r>
    </w:p>
    <w:p w14:paraId="05E0365D" w14:textId="77777777" w:rsidR="007E2539" w:rsidRDefault="007E2539" w:rsidP="008B3658">
      <w:pPr>
        <w:jc w:val="center"/>
        <w:rPr>
          <w:b/>
        </w:rPr>
      </w:pPr>
      <w:r>
        <w:rPr>
          <w:b/>
        </w:rPr>
        <w:br w:type="page"/>
      </w:r>
    </w:p>
    <w:p w14:paraId="05E0365E" w14:textId="77777777" w:rsidR="00DD6F8A" w:rsidRDefault="00DD6F8A" w:rsidP="00DD6F8A">
      <w:pPr>
        <w:jc w:val="both"/>
        <w:rPr>
          <w:b/>
        </w:rPr>
      </w:pPr>
    </w:p>
    <w:p w14:paraId="05E0365F" w14:textId="77777777" w:rsidR="00DD6F8A" w:rsidRDefault="008B3658" w:rsidP="008B3658">
      <w:pPr>
        <w:jc w:val="center"/>
        <w:rPr>
          <w:b/>
        </w:rPr>
      </w:pPr>
      <w:r w:rsidRPr="008B3658">
        <w:rPr>
          <w:noProof/>
          <w:lang w:eastAsia="en-US"/>
        </w:rPr>
        <w:drawing>
          <wp:inline distT="0" distB="0" distL="0" distR="0" wp14:anchorId="05E038BB" wp14:editId="05E038BC">
            <wp:extent cx="5486400" cy="286301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863018"/>
                    </a:xfrm>
                    <a:prstGeom prst="rect">
                      <a:avLst/>
                    </a:prstGeom>
                    <a:noFill/>
                    <a:ln>
                      <a:noFill/>
                    </a:ln>
                  </pic:spPr>
                </pic:pic>
              </a:graphicData>
            </a:graphic>
          </wp:inline>
        </w:drawing>
      </w:r>
    </w:p>
    <w:p w14:paraId="05E03660" w14:textId="77777777" w:rsidR="007E2539" w:rsidRDefault="007E2539">
      <w:pPr>
        <w:rPr>
          <w:b/>
          <w:bCs/>
          <w:kern w:val="32"/>
          <w:sz w:val="28"/>
          <w:szCs w:val="28"/>
        </w:rPr>
      </w:pPr>
      <w:r>
        <w:rPr>
          <w:sz w:val="28"/>
          <w:szCs w:val="28"/>
        </w:rPr>
        <w:br w:type="page"/>
      </w:r>
    </w:p>
    <w:p w14:paraId="05E03661" w14:textId="77777777" w:rsidR="002D70F8" w:rsidRDefault="00743E0C" w:rsidP="002D70F8">
      <w:pPr>
        <w:pStyle w:val="Heading1"/>
        <w:rPr>
          <w:rFonts w:ascii="Times New Roman" w:hAnsi="Times New Roman" w:cs="Times New Roman"/>
          <w:sz w:val="28"/>
          <w:szCs w:val="28"/>
        </w:rPr>
      </w:pPr>
      <w:bookmarkStart w:id="10" w:name="_Toc457371999"/>
      <w:r w:rsidRPr="00071EFA">
        <w:rPr>
          <w:rFonts w:ascii="Times New Roman" w:hAnsi="Times New Roman" w:cs="Times New Roman"/>
          <w:sz w:val="28"/>
          <w:szCs w:val="28"/>
        </w:rPr>
        <w:lastRenderedPageBreak/>
        <w:t>B</w:t>
      </w:r>
      <w:r w:rsidR="007E2539" w:rsidRPr="00071EFA">
        <w:rPr>
          <w:rFonts w:ascii="Times New Roman" w:hAnsi="Times New Roman" w:cs="Times New Roman"/>
          <w:sz w:val="28"/>
          <w:szCs w:val="28"/>
        </w:rPr>
        <w:t xml:space="preserve">iennial </w:t>
      </w:r>
      <w:r w:rsidR="005E683C" w:rsidRPr="00071EFA">
        <w:rPr>
          <w:rFonts w:ascii="Times New Roman" w:hAnsi="Times New Roman" w:cs="Times New Roman"/>
          <w:sz w:val="28"/>
          <w:szCs w:val="28"/>
        </w:rPr>
        <w:t xml:space="preserve">Target </w:t>
      </w:r>
      <w:r w:rsidR="006E37F8" w:rsidRPr="00071EFA">
        <w:rPr>
          <w:rFonts w:ascii="Times New Roman" w:hAnsi="Times New Roman" w:cs="Times New Roman"/>
          <w:sz w:val="28"/>
          <w:szCs w:val="28"/>
        </w:rPr>
        <w:t>Compared to Actual</w:t>
      </w:r>
      <w:bookmarkEnd w:id="10"/>
    </w:p>
    <w:p w14:paraId="05E03662" w14:textId="77777777" w:rsidR="00071EFA" w:rsidRDefault="00071EFA" w:rsidP="00071EFA"/>
    <w:p w14:paraId="05E03663" w14:textId="77777777" w:rsidR="00071EFA" w:rsidRPr="00071EFA" w:rsidRDefault="00071EFA" w:rsidP="00071EFA"/>
    <w:p w14:paraId="05E03664" w14:textId="77777777" w:rsidR="005004CE" w:rsidRDefault="005004CE" w:rsidP="00874C67">
      <w:pPr>
        <w:ind w:left="-450"/>
      </w:pPr>
    </w:p>
    <w:p w14:paraId="05E03665" w14:textId="77777777" w:rsidR="00A834F3" w:rsidRPr="00A834F3" w:rsidRDefault="00165284" w:rsidP="00332026">
      <w:pPr>
        <w:jc w:val="center"/>
      </w:pPr>
      <w:r w:rsidRPr="00165284">
        <w:rPr>
          <w:noProof/>
          <w:lang w:eastAsia="en-US"/>
        </w:rPr>
        <w:drawing>
          <wp:inline distT="0" distB="0" distL="0" distR="0" wp14:anchorId="05E038BD" wp14:editId="05E038BE">
            <wp:extent cx="5486400" cy="4891774"/>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891774"/>
                    </a:xfrm>
                    <a:prstGeom prst="rect">
                      <a:avLst/>
                    </a:prstGeom>
                    <a:noFill/>
                    <a:ln>
                      <a:noFill/>
                    </a:ln>
                  </pic:spPr>
                </pic:pic>
              </a:graphicData>
            </a:graphic>
          </wp:inline>
        </w:drawing>
      </w:r>
    </w:p>
    <w:p w14:paraId="05E03666" w14:textId="77777777" w:rsidR="007E2539" w:rsidRDefault="007E2539">
      <w:pPr>
        <w:rPr>
          <w:sz w:val="28"/>
          <w:szCs w:val="28"/>
        </w:rPr>
      </w:pPr>
    </w:p>
    <w:p w14:paraId="05E03667" w14:textId="77777777" w:rsidR="00FA7ED6" w:rsidRDefault="00FA7ED6">
      <w:pPr>
        <w:rPr>
          <w:sz w:val="28"/>
          <w:szCs w:val="28"/>
        </w:rPr>
      </w:pPr>
    </w:p>
    <w:p w14:paraId="05E03668" w14:textId="77777777" w:rsidR="00FA7ED6" w:rsidRDefault="00FA7ED6">
      <w:pPr>
        <w:rPr>
          <w:sz w:val="28"/>
          <w:szCs w:val="28"/>
        </w:rPr>
      </w:pPr>
    </w:p>
    <w:p w14:paraId="05E03669" w14:textId="77777777" w:rsidR="00FA7ED6" w:rsidRDefault="00FA7ED6">
      <w:pPr>
        <w:rPr>
          <w:sz w:val="28"/>
          <w:szCs w:val="28"/>
        </w:rPr>
      </w:pPr>
    </w:p>
    <w:p w14:paraId="05E0366A" w14:textId="77777777" w:rsidR="00FA7ED6" w:rsidRDefault="00FA7ED6" w:rsidP="00874C67">
      <w:pPr>
        <w:ind w:left="-450"/>
        <w:rPr>
          <w:sz w:val="28"/>
          <w:szCs w:val="28"/>
        </w:rPr>
      </w:pPr>
    </w:p>
    <w:p w14:paraId="05E0366B" w14:textId="77777777" w:rsidR="00F2428B" w:rsidRDefault="00165284" w:rsidP="00165284">
      <w:pPr>
        <w:jc w:val="center"/>
        <w:rPr>
          <w:noProof/>
          <w:lang w:eastAsia="en-US"/>
        </w:rPr>
      </w:pPr>
      <w:r w:rsidRPr="00165284">
        <w:rPr>
          <w:noProof/>
          <w:lang w:eastAsia="en-US"/>
        </w:rPr>
        <w:lastRenderedPageBreak/>
        <w:drawing>
          <wp:inline distT="0" distB="0" distL="0" distR="0" wp14:anchorId="05E038BF" wp14:editId="05E038C0">
            <wp:extent cx="5486400" cy="5191432"/>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5191432"/>
                    </a:xfrm>
                    <a:prstGeom prst="rect">
                      <a:avLst/>
                    </a:prstGeom>
                    <a:noFill/>
                    <a:ln>
                      <a:noFill/>
                    </a:ln>
                  </pic:spPr>
                </pic:pic>
              </a:graphicData>
            </a:graphic>
          </wp:inline>
        </w:drawing>
      </w:r>
    </w:p>
    <w:p w14:paraId="05E0366C" w14:textId="77777777" w:rsidR="00FA7ED6" w:rsidRDefault="00FA7ED6" w:rsidP="00165284">
      <w:pPr>
        <w:ind w:left="-450"/>
        <w:jc w:val="center"/>
        <w:rPr>
          <w:sz w:val="28"/>
          <w:szCs w:val="28"/>
        </w:rPr>
      </w:pPr>
      <w:r>
        <w:rPr>
          <w:sz w:val="28"/>
          <w:szCs w:val="28"/>
        </w:rPr>
        <w:br w:type="page"/>
      </w:r>
      <w:r w:rsidR="00165284" w:rsidRPr="00165284">
        <w:rPr>
          <w:noProof/>
          <w:lang w:eastAsia="en-US"/>
        </w:rPr>
        <w:lastRenderedPageBreak/>
        <w:drawing>
          <wp:inline distT="0" distB="0" distL="0" distR="0" wp14:anchorId="05E038C1" wp14:editId="05E038C2">
            <wp:extent cx="5486400" cy="5444743"/>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5444743"/>
                    </a:xfrm>
                    <a:prstGeom prst="rect">
                      <a:avLst/>
                    </a:prstGeom>
                    <a:noFill/>
                    <a:ln>
                      <a:noFill/>
                    </a:ln>
                  </pic:spPr>
                </pic:pic>
              </a:graphicData>
            </a:graphic>
          </wp:inline>
        </w:drawing>
      </w:r>
    </w:p>
    <w:p w14:paraId="05E0366D" w14:textId="77777777" w:rsidR="00165284" w:rsidRDefault="00165284" w:rsidP="007A002D">
      <w:pPr>
        <w:pStyle w:val="Heading1"/>
        <w:spacing w:line="360" w:lineRule="auto"/>
        <w:rPr>
          <w:rFonts w:ascii="Times New Roman" w:hAnsi="Times New Roman" w:cs="Times New Roman"/>
          <w:sz w:val="28"/>
          <w:szCs w:val="28"/>
        </w:rPr>
      </w:pPr>
    </w:p>
    <w:p w14:paraId="05E0366E" w14:textId="77777777" w:rsidR="00DC2045" w:rsidRPr="00B44B26" w:rsidRDefault="007A002D" w:rsidP="007A002D">
      <w:pPr>
        <w:pStyle w:val="Heading1"/>
        <w:spacing w:line="360" w:lineRule="auto"/>
        <w:rPr>
          <w:rFonts w:ascii="Times New Roman" w:hAnsi="Times New Roman" w:cs="Times New Roman"/>
          <w:sz w:val="28"/>
          <w:szCs w:val="28"/>
        </w:rPr>
      </w:pPr>
      <w:bookmarkStart w:id="11" w:name="_Toc457372000"/>
      <w:r>
        <w:rPr>
          <w:rFonts w:ascii="Times New Roman" w:hAnsi="Times New Roman" w:cs="Times New Roman"/>
          <w:sz w:val="28"/>
          <w:szCs w:val="28"/>
        </w:rPr>
        <w:t>Savings Reporting</w:t>
      </w:r>
      <w:r w:rsidR="00DC2045" w:rsidRPr="00B44B26">
        <w:rPr>
          <w:rFonts w:ascii="Times New Roman" w:hAnsi="Times New Roman" w:cs="Times New Roman"/>
          <w:sz w:val="28"/>
          <w:szCs w:val="28"/>
        </w:rPr>
        <w:t xml:space="preserve"> Adjustments</w:t>
      </w:r>
      <w:bookmarkEnd w:id="11"/>
    </w:p>
    <w:p w14:paraId="05E0366F" w14:textId="77777777" w:rsidR="007A002D" w:rsidRDefault="00456C8F" w:rsidP="007A002D">
      <w:pPr>
        <w:contextualSpacing/>
        <w:jc w:val="both"/>
      </w:pPr>
      <w:r>
        <w:t>In t</w:t>
      </w:r>
      <w:r w:rsidR="007A002D" w:rsidRPr="00762699">
        <w:t>he Washington</w:t>
      </w:r>
      <w:r w:rsidR="007A002D">
        <w:t xml:space="preserve"> Conservation Working Group, parties agreed “</w:t>
      </w:r>
      <w:r w:rsidR="00E81BB2">
        <w:t>t</w:t>
      </w:r>
      <w:r w:rsidR="007A002D">
        <w:t>o the extent practicable, t</w:t>
      </w:r>
      <w:r w:rsidR="007A002D" w:rsidRPr="00877C2C">
        <w:t xml:space="preserve">here should be </w:t>
      </w:r>
      <w:r w:rsidR="007A002D">
        <w:t>consistency</w:t>
      </w:r>
      <w:r w:rsidR="007A002D" w:rsidRPr="00877C2C">
        <w:t xml:space="preserve"> between the </w:t>
      </w:r>
      <w:r w:rsidR="007A002D">
        <w:t xml:space="preserve">use of prescriptive unit energy </w:t>
      </w:r>
      <w:r w:rsidR="007A002D" w:rsidRPr="00877C2C" w:rsidDel="00C00366">
        <w:t>savings</w:t>
      </w:r>
      <w:r w:rsidR="007A002D">
        <w:t xml:space="preserve"> estimates in</w:t>
      </w:r>
      <w:r w:rsidR="007A002D" w:rsidRPr="00877C2C">
        <w:t xml:space="preserve"> the establishment of the </w:t>
      </w:r>
      <w:r w:rsidR="007A002D">
        <w:t xml:space="preserve">biennial </w:t>
      </w:r>
      <w:r w:rsidR="007A002D" w:rsidRPr="00877C2C">
        <w:t>target</w:t>
      </w:r>
      <w:r w:rsidR="007A002D">
        <w:t xml:space="preserve"> </w:t>
      </w:r>
      <w:r w:rsidR="007A002D" w:rsidRPr="00877C2C">
        <w:t xml:space="preserve">and the reliance on those same savings estimates in the utility’s demonstration that it met the </w:t>
      </w:r>
      <w:r w:rsidR="007A002D">
        <w:t xml:space="preserve">biennial </w:t>
      </w:r>
      <w:r w:rsidR="007A002D" w:rsidRPr="00877C2C">
        <w:t>target.</w:t>
      </w:r>
      <w:r w:rsidR="007A002D">
        <w:t>”</w:t>
      </w:r>
      <w:r w:rsidR="007A002D">
        <w:rPr>
          <w:rStyle w:val="FootnoteReference"/>
        </w:rPr>
        <w:footnoteReference w:id="3"/>
      </w:r>
      <w:r w:rsidR="007A002D">
        <w:t xml:space="preserve"> Consistent with this approach, </w:t>
      </w:r>
      <w:r w:rsidR="00E81BB2">
        <w:t>the results provided in the Company’s 201</w:t>
      </w:r>
      <w:r w:rsidR="00A01434">
        <w:t>4</w:t>
      </w:r>
      <w:r w:rsidR="00E81BB2">
        <w:t xml:space="preserve"> and 201</w:t>
      </w:r>
      <w:r w:rsidR="00A01434">
        <w:t>5</w:t>
      </w:r>
      <w:r w:rsidR="00E81BB2">
        <w:t xml:space="preserve"> </w:t>
      </w:r>
      <w:r w:rsidR="00762699">
        <w:t>Annual R</w:t>
      </w:r>
      <w:r w:rsidR="00E81BB2">
        <w:t>eports</w:t>
      </w:r>
      <w:r w:rsidR="00762699">
        <w:t xml:space="preserve"> on Conservation Acquisition</w:t>
      </w:r>
      <w:r w:rsidR="00E81BB2">
        <w:t xml:space="preserve"> have been adjusted</w:t>
      </w:r>
      <w:r w:rsidR="00762699">
        <w:t>,</w:t>
      </w:r>
      <w:r w:rsidR="00E81BB2">
        <w:t xml:space="preserve"> incorporating the </w:t>
      </w:r>
      <w:r w:rsidR="007A002D">
        <w:t>key planning assumptions used in establish</w:t>
      </w:r>
      <w:r w:rsidR="00E81BB2">
        <w:t>ing</w:t>
      </w:r>
      <w:r w:rsidR="007A002D">
        <w:t xml:space="preserve"> the 201</w:t>
      </w:r>
      <w:r w:rsidR="00A01434">
        <w:t>4</w:t>
      </w:r>
      <w:r w:rsidR="007A002D">
        <w:t>-201</w:t>
      </w:r>
      <w:r w:rsidR="00A01434">
        <w:t>5</w:t>
      </w:r>
      <w:r w:rsidR="007A002D">
        <w:t xml:space="preserve"> target</w:t>
      </w:r>
      <w:r w:rsidR="00E81BB2">
        <w:t xml:space="preserve">. The adjustments are discussed in detail in the following sections. </w:t>
      </w:r>
    </w:p>
    <w:p w14:paraId="05E03670" w14:textId="77777777" w:rsidR="009B4A16" w:rsidRPr="00A834F3" w:rsidRDefault="00D57414" w:rsidP="009B4A16">
      <w:pPr>
        <w:rPr>
          <w:b/>
          <w:u w:val="single"/>
        </w:rPr>
      </w:pPr>
      <w:r w:rsidRPr="00707FE5">
        <w:rPr>
          <w:b/>
          <w:u w:val="single"/>
        </w:rPr>
        <w:lastRenderedPageBreak/>
        <w:t xml:space="preserve">wattsmart Business </w:t>
      </w:r>
    </w:p>
    <w:p w14:paraId="05E03671" w14:textId="77777777" w:rsidR="009B4A16" w:rsidRDefault="009B4A16" w:rsidP="009B4A16">
      <w:pPr>
        <w:rPr>
          <w:u w:val="single"/>
        </w:rPr>
      </w:pPr>
    </w:p>
    <w:p w14:paraId="05E03672" w14:textId="77777777" w:rsidR="00311FAD" w:rsidRDefault="00311FAD" w:rsidP="00C85868">
      <w:pPr>
        <w:jc w:val="both"/>
      </w:pPr>
      <w:r>
        <w:t>The Washington Savings Verification and Reporting Process Review identified</w:t>
      </w:r>
      <w:r w:rsidR="00DA7447">
        <w:t xml:space="preserve"> a</w:t>
      </w:r>
      <w:r>
        <w:t xml:space="preserve"> discrepancy </w:t>
      </w:r>
      <w:r w:rsidR="00DA7447">
        <w:t>in</w:t>
      </w:r>
      <w:r>
        <w:t xml:space="preserve"> savings </w:t>
      </w:r>
      <w:r w:rsidR="00652CB1">
        <w:t>associated with a</w:t>
      </w:r>
      <w:r w:rsidR="00707FE5">
        <w:t xml:space="preserve"> specific</w:t>
      </w:r>
      <w:r w:rsidR="00652CB1">
        <w:t xml:space="preserve"> lighting project.</w:t>
      </w:r>
      <w:r w:rsidR="00CC5FDB">
        <w:rPr>
          <w:rStyle w:val="FootnoteReference"/>
        </w:rPr>
        <w:footnoteReference w:id="4"/>
      </w:r>
      <w:r w:rsidR="00652CB1">
        <w:t xml:space="preserve"> </w:t>
      </w:r>
      <w:r>
        <w:t xml:space="preserve"> </w:t>
      </w:r>
    </w:p>
    <w:p w14:paraId="05E03673" w14:textId="77777777" w:rsidR="00311FAD" w:rsidRDefault="00311FAD" w:rsidP="00C85868">
      <w:pPr>
        <w:jc w:val="both"/>
      </w:pPr>
    </w:p>
    <w:p w14:paraId="05E03674" w14:textId="77777777" w:rsidR="00707FE5" w:rsidRDefault="00652CB1" w:rsidP="00C85868">
      <w:pPr>
        <w:jc w:val="both"/>
      </w:pPr>
      <w:r>
        <w:t>During one of the seven lighting</w:t>
      </w:r>
      <w:r w:rsidR="00C91BB3">
        <w:t xml:space="preserve"> project</w:t>
      </w:r>
      <w:r>
        <w:t xml:space="preserve"> site visits that ha</w:t>
      </w:r>
      <w:r w:rsidR="00C91BB3">
        <w:t>d</w:t>
      </w:r>
      <w:r>
        <w:t xml:space="preserve"> post-inspections completed, the </w:t>
      </w:r>
      <w:r w:rsidR="00707FE5">
        <w:t>visit revealed significantly lower operation hours for a specific set of fixtures</w:t>
      </w:r>
      <w:r w:rsidR="00C91BB3">
        <w:t xml:space="preserve"> than what was reported</w:t>
      </w:r>
      <w:r w:rsidR="00DE3352">
        <w:t>.  Specifically, 8,064</w:t>
      </w:r>
      <w:r w:rsidR="00707FE5">
        <w:t xml:space="preserve"> hours was used in estimating the program savings when actually the</w:t>
      </w:r>
      <w:r w:rsidR="00C85868">
        <w:t xml:space="preserve"> set of</w:t>
      </w:r>
      <w:r w:rsidR="00707FE5">
        <w:t xml:space="preserve"> fixtures were in use only 10 hours per day, five days per week, </w:t>
      </w:r>
      <w:r w:rsidR="00C91BB3">
        <w:t xml:space="preserve">which </w:t>
      </w:r>
      <w:r w:rsidR="00707FE5">
        <w:t xml:space="preserve">was </w:t>
      </w:r>
      <w:r w:rsidR="00C91BB3">
        <w:t xml:space="preserve">also </w:t>
      </w:r>
      <w:r w:rsidR="00707FE5">
        <w:t>the case in the baseline condition.</w:t>
      </w:r>
      <w:r w:rsidR="00C85868">
        <w:t xml:space="preserve"> </w:t>
      </w:r>
      <w:r w:rsidR="00C91BB3">
        <w:t>Since the sample size was too small to generalize the finding to a broader population of lighting measures, the third party review team concluded that the savings adjustment should only be applied to the measure in which it was observed and not be applied generally.</w:t>
      </w:r>
      <w:r w:rsidR="00707FE5">
        <w:t xml:space="preserve">  </w:t>
      </w:r>
    </w:p>
    <w:p w14:paraId="05E03675" w14:textId="77777777" w:rsidR="00707FE5" w:rsidRDefault="00707FE5" w:rsidP="00C85868">
      <w:pPr>
        <w:ind w:left="360"/>
        <w:jc w:val="both"/>
      </w:pPr>
    </w:p>
    <w:p w14:paraId="05E03676" w14:textId="77777777" w:rsidR="00B035E6" w:rsidRDefault="00DA7447" w:rsidP="00C85868">
      <w:pPr>
        <w:jc w:val="both"/>
      </w:pPr>
      <w:r>
        <w:t xml:space="preserve">The resulting </w:t>
      </w:r>
      <w:r w:rsidR="00707FE5">
        <w:t xml:space="preserve">adjustment </w:t>
      </w:r>
      <w:r>
        <w:t xml:space="preserve">represents </w:t>
      </w:r>
      <w:r w:rsidR="00707FE5">
        <w:t xml:space="preserve">a decrease </w:t>
      </w:r>
      <w:r w:rsidR="00B71C4B">
        <w:t xml:space="preserve">of 21,858 kWh at site for this project, reducing savings </w:t>
      </w:r>
      <w:r w:rsidR="00707FE5">
        <w:t xml:space="preserve">from 35,497 kWh to 13,639 kWh. </w:t>
      </w:r>
      <w:r w:rsidR="00A508B9">
        <w:t xml:space="preserve"> Adjustment for 2015 is a decrease of 23,941 kWh at generation.</w:t>
      </w:r>
    </w:p>
    <w:p w14:paraId="05E03677" w14:textId="77777777" w:rsidR="00707FE5" w:rsidRDefault="00707FE5" w:rsidP="007D6F56">
      <w:pPr>
        <w:jc w:val="both"/>
        <w:rPr>
          <w:b/>
          <w:highlight w:val="yellow"/>
          <w:u w:val="single"/>
        </w:rPr>
      </w:pPr>
    </w:p>
    <w:p w14:paraId="05E03678" w14:textId="77777777" w:rsidR="001C1674" w:rsidRDefault="001C1674" w:rsidP="007A002D">
      <w:pPr>
        <w:jc w:val="both"/>
        <w:rPr>
          <w:b/>
          <w:u w:val="single"/>
        </w:rPr>
      </w:pPr>
    </w:p>
    <w:p w14:paraId="05E03679" w14:textId="77777777" w:rsidR="007A002D" w:rsidRPr="007D6F56" w:rsidRDefault="002E407F" w:rsidP="007A002D">
      <w:pPr>
        <w:jc w:val="both"/>
        <w:rPr>
          <w:b/>
          <w:u w:val="single"/>
        </w:rPr>
      </w:pPr>
      <w:r w:rsidRPr="00755B14">
        <w:rPr>
          <w:b/>
          <w:u w:val="single"/>
        </w:rPr>
        <w:t>Home Energy Reports</w:t>
      </w:r>
    </w:p>
    <w:p w14:paraId="05E0367A" w14:textId="77777777" w:rsidR="007A002D" w:rsidRDefault="007A002D" w:rsidP="007A002D">
      <w:pPr>
        <w:jc w:val="both"/>
        <w:rPr>
          <w:i/>
        </w:rPr>
      </w:pPr>
    </w:p>
    <w:p w14:paraId="05E0367B" w14:textId="77777777" w:rsidR="007A002D" w:rsidRDefault="002E407F" w:rsidP="007D6F56">
      <w:pPr>
        <w:jc w:val="both"/>
      </w:pPr>
      <w:r>
        <w:t xml:space="preserve">A third party impact evaluation </w:t>
      </w:r>
      <w:r w:rsidR="008A07A7">
        <w:t>h</w:t>
      </w:r>
      <w:r>
        <w:t>as recently</w:t>
      </w:r>
      <w:r w:rsidR="008A07A7">
        <w:t xml:space="preserve"> been</w:t>
      </w:r>
      <w:r>
        <w:t xml:space="preserve"> completed on Washington’s Home Energy Reports program for </w:t>
      </w:r>
      <w:r w:rsidR="009F2C5E">
        <w:t xml:space="preserve">program years </w:t>
      </w:r>
      <w:r w:rsidR="008A07A7">
        <w:t>2014-2015</w:t>
      </w:r>
      <w:r>
        <w:t xml:space="preserve">.  Results from the evaluation provided verifiable energy savings </w:t>
      </w:r>
      <w:r w:rsidR="001A71F5">
        <w:t xml:space="preserve">that were achieved </w:t>
      </w:r>
      <w:r w:rsidR="001D355F">
        <w:t xml:space="preserve">by customers who were participants in </w:t>
      </w:r>
      <w:r w:rsidR="001A71F5">
        <w:t>Home Energy Reports</w:t>
      </w:r>
      <w:r w:rsidR="001D355F">
        <w:t xml:space="preserve"> program</w:t>
      </w:r>
      <w:r w:rsidR="008A07A7">
        <w:t xml:space="preserve"> for the Legacy, Expansion</w:t>
      </w:r>
      <w:r w:rsidR="00203B8E">
        <w:t>,</w:t>
      </w:r>
      <w:r w:rsidR="008A07A7">
        <w:t xml:space="preserve"> and Refill waves</w:t>
      </w:r>
      <w:r w:rsidR="001A71F5">
        <w:t xml:space="preserve">. </w:t>
      </w:r>
    </w:p>
    <w:p w14:paraId="05E0367C" w14:textId="77777777" w:rsidR="00F47A6E" w:rsidRDefault="00F47A6E" w:rsidP="007D6F56">
      <w:pPr>
        <w:jc w:val="both"/>
      </w:pPr>
    </w:p>
    <w:p w14:paraId="05E0367D" w14:textId="77777777" w:rsidR="003D1F24" w:rsidRDefault="007A002D" w:rsidP="007D6F56">
      <w:pPr>
        <w:jc w:val="both"/>
      </w:pPr>
      <w:r>
        <w:t>As a result, the Company is adjusting the reported savings from th</w:t>
      </w:r>
      <w:r w:rsidR="001A71F5">
        <w:t>is</w:t>
      </w:r>
      <w:r>
        <w:t xml:space="preserve"> </w:t>
      </w:r>
      <w:r w:rsidR="001A71F5">
        <w:t xml:space="preserve">program to reflect the </w:t>
      </w:r>
      <w:r w:rsidR="007A672C">
        <w:t xml:space="preserve">verified net </w:t>
      </w:r>
      <w:r w:rsidR="001A71F5">
        <w:t>savings</w:t>
      </w:r>
      <w:r w:rsidR="003D1F24">
        <w:t xml:space="preserve"> from the evaluation</w:t>
      </w:r>
      <w:r w:rsidR="001A71F5">
        <w:t xml:space="preserve">. </w:t>
      </w:r>
      <w:r w:rsidR="003D1F24">
        <w:t xml:space="preserve">The most significant reason for the increase to savings is a result of the reduction taken in the Company’s reporting system of </w:t>
      </w:r>
      <w:r w:rsidR="006630EE">
        <w:t xml:space="preserve">a seven percent reduction </w:t>
      </w:r>
      <w:r w:rsidR="00841448">
        <w:t>to</w:t>
      </w:r>
      <w:r w:rsidR="006630EE">
        <w:t xml:space="preserve"> the savi</w:t>
      </w:r>
      <w:r w:rsidR="00841448">
        <w:t>n</w:t>
      </w:r>
      <w:r w:rsidR="006630EE">
        <w:t xml:space="preserve">gs reported by OPower to the Company.  This adjustment was applied during the initial planning and delivery phases of the program to account for potential “overlap” between customer actions that are behavioral and directly attributable to the Home Energy Reports and longer term actions such as appliance replacements or lighting upgrades. The adjustment was applied </w:t>
      </w:r>
      <w:r w:rsidR="00C737E9">
        <w:t xml:space="preserve">before </w:t>
      </w:r>
      <w:r w:rsidR="006630EE">
        <w:t>program specific evaluation results being available.</w:t>
      </w:r>
      <w:r w:rsidR="003D1F24">
        <w:t xml:space="preserve"> Now that two evaluations have been completed and </w:t>
      </w:r>
      <w:r w:rsidR="005039AB">
        <w:t xml:space="preserve">measured the extent of the overlap between the </w:t>
      </w:r>
      <w:r w:rsidR="003D1F24">
        <w:t>Home Energy Reports program</w:t>
      </w:r>
      <w:r w:rsidR="005039AB">
        <w:t xml:space="preserve"> savings and savings reported through other programs</w:t>
      </w:r>
      <w:r w:rsidR="003D1F24">
        <w:t>, th</w:t>
      </w:r>
      <w:r w:rsidR="005039AB">
        <w:t xml:space="preserve">e seven </w:t>
      </w:r>
      <w:r w:rsidR="00841448">
        <w:t xml:space="preserve">percent </w:t>
      </w:r>
      <w:r w:rsidR="005039AB">
        <w:t xml:space="preserve">placeholder was removed as part of the application of ex-post evaluation results the savings previously reported. </w:t>
      </w:r>
      <w:r w:rsidR="001A71F5">
        <w:t xml:space="preserve"> </w:t>
      </w:r>
    </w:p>
    <w:p w14:paraId="05E0367E" w14:textId="77777777" w:rsidR="003D1F24" w:rsidRDefault="003D1F24" w:rsidP="007D6F56">
      <w:pPr>
        <w:jc w:val="both"/>
      </w:pPr>
    </w:p>
    <w:p w14:paraId="05E0367F" w14:textId="77777777" w:rsidR="002E407F" w:rsidRPr="0031598B" w:rsidRDefault="007A002D" w:rsidP="007D6F56">
      <w:pPr>
        <w:jc w:val="both"/>
      </w:pPr>
      <w:r>
        <w:t xml:space="preserve">The impact on savings reporting </w:t>
      </w:r>
      <w:r w:rsidRPr="0031598B">
        <w:t xml:space="preserve">adjustments </w:t>
      </w:r>
      <w:r w:rsidR="001D355F" w:rsidRPr="0031598B">
        <w:t>is</w:t>
      </w:r>
      <w:r w:rsidRPr="0031598B">
        <w:t xml:space="preserve"> provided in Tables </w:t>
      </w:r>
      <w:r w:rsidR="0031598B" w:rsidRPr="0031598B">
        <w:t>1</w:t>
      </w:r>
      <w:r w:rsidRPr="0031598B">
        <w:t xml:space="preserve"> and </w:t>
      </w:r>
      <w:r w:rsidR="0031598B" w:rsidRPr="0031598B">
        <w:t>2</w:t>
      </w:r>
      <w:r w:rsidRPr="0031598B">
        <w:t xml:space="preserve">. </w:t>
      </w:r>
    </w:p>
    <w:p w14:paraId="05E03680" w14:textId="77777777" w:rsidR="007E5C07" w:rsidRPr="0031598B" w:rsidRDefault="007A002D" w:rsidP="007A002D">
      <w:pPr>
        <w:jc w:val="both"/>
      </w:pPr>
      <w:r w:rsidRPr="0031598B">
        <w:t xml:space="preserve">  </w:t>
      </w:r>
    </w:p>
    <w:p w14:paraId="05E03681" w14:textId="77777777" w:rsidR="007E5C07" w:rsidRDefault="007E5C07"/>
    <w:p w14:paraId="05E03682" w14:textId="77777777" w:rsidR="00332026" w:rsidRPr="0031598B" w:rsidRDefault="00332026"/>
    <w:p w14:paraId="05E03683" w14:textId="77777777" w:rsidR="002E407F" w:rsidRPr="0031598B" w:rsidRDefault="002E407F" w:rsidP="007A002D">
      <w:pPr>
        <w:spacing w:after="200"/>
        <w:contextualSpacing/>
        <w:jc w:val="center"/>
        <w:rPr>
          <w:b/>
        </w:rPr>
      </w:pPr>
      <w:r w:rsidRPr="0031598B">
        <w:rPr>
          <w:b/>
        </w:rPr>
        <w:lastRenderedPageBreak/>
        <w:t xml:space="preserve">Table </w:t>
      </w:r>
      <w:r w:rsidR="0031598B" w:rsidRPr="0031598B">
        <w:rPr>
          <w:b/>
        </w:rPr>
        <w:t>1</w:t>
      </w:r>
    </w:p>
    <w:p w14:paraId="05E03684" w14:textId="77777777" w:rsidR="002E407F" w:rsidRPr="0031598B" w:rsidRDefault="002E407F" w:rsidP="007A002D">
      <w:pPr>
        <w:spacing w:after="200"/>
        <w:contextualSpacing/>
        <w:jc w:val="center"/>
        <w:rPr>
          <w:b/>
        </w:rPr>
      </w:pPr>
      <w:r w:rsidRPr="0031598B">
        <w:rPr>
          <w:b/>
        </w:rPr>
        <w:t>201</w:t>
      </w:r>
      <w:r w:rsidR="00755B14" w:rsidRPr="0031598B">
        <w:rPr>
          <w:b/>
        </w:rPr>
        <w:t>4</w:t>
      </w:r>
      <w:r w:rsidRPr="0031598B">
        <w:rPr>
          <w:b/>
        </w:rPr>
        <w:t xml:space="preserve"> Home Energy Reports Adjustment Calculations</w:t>
      </w:r>
      <w:r w:rsidR="00456C8F" w:rsidRPr="0031598B">
        <w:rPr>
          <w:b/>
        </w:rPr>
        <w:t xml:space="preserve"> </w:t>
      </w:r>
    </w:p>
    <w:p w14:paraId="05E03685" w14:textId="77777777" w:rsidR="00707472" w:rsidRPr="0031598B" w:rsidRDefault="00C92F8B" w:rsidP="00131321">
      <w:pPr>
        <w:spacing w:after="200"/>
        <w:contextualSpacing/>
        <w:rPr>
          <w:b/>
        </w:rPr>
      </w:pPr>
      <w:r w:rsidRPr="0031598B">
        <w:rPr>
          <w:noProof/>
          <w:lang w:eastAsia="en-US"/>
        </w:rPr>
        <w:drawing>
          <wp:inline distT="0" distB="0" distL="0" distR="0" wp14:anchorId="05E038C3" wp14:editId="05E038C4">
            <wp:extent cx="5486400" cy="1763662"/>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63662"/>
                    </a:xfrm>
                    <a:prstGeom prst="rect">
                      <a:avLst/>
                    </a:prstGeom>
                    <a:noFill/>
                    <a:ln>
                      <a:noFill/>
                    </a:ln>
                  </pic:spPr>
                </pic:pic>
              </a:graphicData>
            </a:graphic>
          </wp:inline>
        </w:drawing>
      </w:r>
    </w:p>
    <w:p w14:paraId="05E03686" w14:textId="77777777" w:rsidR="00707472" w:rsidRPr="0031598B" w:rsidRDefault="00707472" w:rsidP="00707472"/>
    <w:p w14:paraId="05E03687" w14:textId="77777777" w:rsidR="008E573F" w:rsidRPr="0031598B" w:rsidRDefault="008E573F" w:rsidP="007A002D">
      <w:pPr>
        <w:spacing w:after="200"/>
        <w:contextualSpacing/>
        <w:jc w:val="center"/>
        <w:rPr>
          <w:b/>
        </w:rPr>
      </w:pPr>
    </w:p>
    <w:p w14:paraId="05E03688" w14:textId="77777777" w:rsidR="007A002D" w:rsidRDefault="007A002D" w:rsidP="007A002D">
      <w:pPr>
        <w:spacing w:after="200"/>
        <w:contextualSpacing/>
        <w:jc w:val="center"/>
        <w:rPr>
          <w:b/>
        </w:rPr>
      </w:pPr>
      <w:r w:rsidRPr="0031598B">
        <w:rPr>
          <w:b/>
        </w:rPr>
        <w:t xml:space="preserve">Table </w:t>
      </w:r>
      <w:r w:rsidR="0031598B" w:rsidRPr="0031598B">
        <w:rPr>
          <w:b/>
        </w:rPr>
        <w:t>2</w:t>
      </w:r>
    </w:p>
    <w:p w14:paraId="05E03689" w14:textId="77777777" w:rsidR="002E407F" w:rsidRDefault="002E407F" w:rsidP="002E407F">
      <w:pPr>
        <w:spacing w:after="200"/>
        <w:contextualSpacing/>
        <w:jc w:val="center"/>
        <w:rPr>
          <w:b/>
        </w:rPr>
      </w:pPr>
      <w:r>
        <w:rPr>
          <w:b/>
        </w:rPr>
        <w:t>201</w:t>
      </w:r>
      <w:r w:rsidR="00755B14">
        <w:rPr>
          <w:b/>
        </w:rPr>
        <w:t>5</w:t>
      </w:r>
      <w:r>
        <w:rPr>
          <w:b/>
        </w:rPr>
        <w:t xml:space="preserve"> Home Energy Reports Adjustment Calculations</w:t>
      </w:r>
    </w:p>
    <w:p w14:paraId="05E0368A" w14:textId="77777777" w:rsidR="00692304" w:rsidRDefault="00C92F8B" w:rsidP="002E407F">
      <w:pPr>
        <w:spacing w:after="200"/>
        <w:contextualSpacing/>
        <w:jc w:val="center"/>
        <w:rPr>
          <w:b/>
        </w:rPr>
      </w:pPr>
      <w:r w:rsidRPr="00C92F8B">
        <w:rPr>
          <w:noProof/>
          <w:lang w:eastAsia="en-US"/>
        </w:rPr>
        <w:drawing>
          <wp:inline distT="0" distB="0" distL="0" distR="0" wp14:anchorId="05E038C5" wp14:editId="05E038C6">
            <wp:extent cx="5486400" cy="1763662"/>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763662"/>
                    </a:xfrm>
                    <a:prstGeom prst="rect">
                      <a:avLst/>
                    </a:prstGeom>
                    <a:noFill/>
                    <a:ln>
                      <a:noFill/>
                    </a:ln>
                  </pic:spPr>
                </pic:pic>
              </a:graphicData>
            </a:graphic>
          </wp:inline>
        </w:drawing>
      </w:r>
    </w:p>
    <w:p w14:paraId="05E0368B" w14:textId="77777777" w:rsidR="007A002D" w:rsidRDefault="007A002D" w:rsidP="007A002D">
      <w:pPr>
        <w:rPr>
          <w:u w:val="single"/>
        </w:rPr>
      </w:pPr>
    </w:p>
    <w:p w14:paraId="05E0368C" w14:textId="77777777" w:rsidR="007A002D" w:rsidRDefault="007A002D" w:rsidP="007A002D">
      <w:pPr>
        <w:rPr>
          <w:u w:val="single"/>
        </w:rPr>
      </w:pPr>
    </w:p>
    <w:p w14:paraId="05E0368D" w14:textId="77777777" w:rsidR="007A002D" w:rsidRPr="007D6F56" w:rsidRDefault="007A002D" w:rsidP="007A002D">
      <w:pPr>
        <w:spacing w:after="200" w:line="276" w:lineRule="auto"/>
        <w:rPr>
          <w:b/>
          <w:u w:val="single"/>
        </w:rPr>
      </w:pPr>
      <w:r w:rsidRPr="00202DB7">
        <w:rPr>
          <w:b/>
          <w:u w:val="single"/>
        </w:rPr>
        <w:t xml:space="preserve">Northwest Energy Efficiency Alliance </w:t>
      </w:r>
      <w:r w:rsidR="009D61B5">
        <w:rPr>
          <w:b/>
          <w:u w:val="single"/>
        </w:rPr>
        <w:t>(</w:t>
      </w:r>
      <w:r w:rsidRPr="00202DB7">
        <w:rPr>
          <w:b/>
          <w:u w:val="single"/>
        </w:rPr>
        <w:t>NEEA</w:t>
      </w:r>
      <w:r w:rsidR="009D61B5">
        <w:rPr>
          <w:b/>
          <w:u w:val="single"/>
        </w:rPr>
        <w:t>)</w:t>
      </w:r>
    </w:p>
    <w:p w14:paraId="05E0368E" w14:textId="77777777" w:rsidR="001C1674" w:rsidRDefault="007A002D" w:rsidP="001C1674">
      <w:pPr>
        <w:jc w:val="both"/>
      </w:pPr>
      <w:r>
        <w:t xml:space="preserve">NEEA </w:t>
      </w:r>
      <w:r w:rsidR="00A76688">
        <w:t>estimated savings in the Company’s Washington service territory resulting from its initiativ</w:t>
      </w:r>
      <w:r w:rsidR="001C1674">
        <w:t>e</w:t>
      </w:r>
      <w:r w:rsidR="00B71C4B">
        <w:t>s</w:t>
      </w:r>
      <w:r w:rsidR="00A76688">
        <w:t xml:space="preserve"> based on the same baseline assumptions used in the development of the Company’s 2014-2015 biennial conservation target</w:t>
      </w:r>
      <w:r w:rsidR="009D61B5">
        <w:t>.</w:t>
      </w:r>
      <w:r w:rsidR="00A76688">
        <w:rPr>
          <w:rStyle w:val="FootnoteReference"/>
        </w:rPr>
        <w:footnoteReference w:id="5"/>
      </w:r>
      <w:r w:rsidR="00A76688">
        <w:t xml:space="preserve"> </w:t>
      </w:r>
      <w:r w:rsidR="000E1AD6">
        <w:t>NEEA’s savings are relative to the Northwest Power and Conservation Council’s 6</w:t>
      </w:r>
      <w:r w:rsidR="000E1AD6" w:rsidRPr="000E1AD6">
        <w:rPr>
          <w:vertAlign w:val="superscript"/>
        </w:rPr>
        <w:t>th</w:t>
      </w:r>
      <w:r w:rsidR="000E1AD6">
        <w:t xml:space="preserve"> Plan baselines for 2014 and proxy 7</w:t>
      </w:r>
      <w:r w:rsidR="000E1AD6" w:rsidRPr="000E1AD6">
        <w:rPr>
          <w:vertAlign w:val="superscript"/>
        </w:rPr>
        <w:t>th</w:t>
      </w:r>
      <w:r w:rsidR="000E1AD6">
        <w:t xml:space="preserve"> Plan baselines for 2015. Consistent</w:t>
      </w:r>
      <w:r w:rsidR="00A76688">
        <w:t xml:space="preserve"> with the Company’s 2014-2015 Biennial Conservation Plan, 2014 savings identified by NEEA were adjusted</w:t>
      </w:r>
      <w:r w:rsidR="000E1AD6">
        <w:t xml:space="preserve"> to</w:t>
      </w:r>
      <w:r w:rsidR="00A76688">
        <w:t xml:space="preserve"> </w:t>
      </w:r>
      <w:r w:rsidR="000E1AD6">
        <w:t>better align with the Company’s 2013 C</w:t>
      </w:r>
      <w:r w:rsidR="00202DB7">
        <w:t xml:space="preserve">onservation </w:t>
      </w:r>
      <w:r w:rsidR="000E1AD6">
        <w:t>P</w:t>
      </w:r>
      <w:r w:rsidR="00202DB7">
        <w:t xml:space="preserve">otential </w:t>
      </w:r>
      <w:r w:rsidR="000E1AD6">
        <w:t>A</w:t>
      </w:r>
      <w:r w:rsidR="00202DB7">
        <w:t>ssessment</w:t>
      </w:r>
      <w:r w:rsidR="0051530C">
        <w:t xml:space="preserve">, as </w:t>
      </w:r>
      <w:r w:rsidR="0051530C" w:rsidRPr="0031598B">
        <w:t>shown in Table</w:t>
      </w:r>
      <w:r w:rsidR="0051530C">
        <w:t xml:space="preserve"> </w:t>
      </w:r>
      <w:r w:rsidR="0031598B">
        <w:t>3</w:t>
      </w:r>
      <w:r w:rsidR="0051530C">
        <w:t xml:space="preserve"> below</w:t>
      </w:r>
      <w:r w:rsidR="00202DB7">
        <w:t>.</w:t>
      </w:r>
    </w:p>
    <w:p w14:paraId="05E0368F" w14:textId="77777777" w:rsidR="001C1674" w:rsidRDefault="001C1674" w:rsidP="001C1674">
      <w:pPr>
        <w:jc w:val="center"/>
        <w:rPr>
          <w:b/>
        </w:rPr>
      </w:pPr>
    </w:p>
    <w:p w14:paraId="05E03690" w14:textId="77777777" w:rsidR="001D7139" w:rsidRDefault="001D7139" w:rsidP="001C1674">
      <w:pPr>
        <w:jc w:val="center"/>
        <w:rPr>
          <w:b/>
        </w:rPr>
      </w:pPr>
    </w:p>
    <w:p w14:paraId="05E03691" w14:textId="77777777" w:rsidR="001D7139" w:rsidRDefault="001D7139" w:rsidP="001C1674">
      <w:pPr>
        <w:jc w:val="center"/>
        <w:rPr>
          <w:b/>
        </w:rPr>
      </w:pPr>
    </w:p>
    <w:p w14:paraId="05E03692" w14:textId="77777777" w:rsidR="001D7139" w:rsidRDefault="001D7139" w:rsidP="001C1674">
      <w:pPr>
        <w:jc w:val="center"/>
        <w:rPr>
          <w:b/>
        </w:rPr>
      </w:pPr>
    </w:p>
    <w:p w14:paraId="05E03693" w14:textId="77777777" w:rsidR="001D7139" w:rsidRDefault="001D7139" w:rsidP="001C1674">
      <w:pPr>
        <w:jc w:val="center"/>
        <w:rPr>
          <w:b/>
        </w:rPr>
      </w:pPr>
    </w:p>
    <w:p w14:paraId="05E03694" w14:textId="77777777" w:rsidR="001D7139" w:rsidRDefault="001D7139" w:rsidP="001C1674">
      <w:pPr>
        <w:jc w:val="center"/>
        <w:rPr>
          <w:b/>
        </w:rPr>
      </w:pPr>
    </w:p>
    <w:p w14:paraId="05E03695" w14:textId="77777777" w:rsidR="00332026" w:rsidRDefault="00332026" w:rsidP="001C1674">
      <w:pPr>
        <w:jc w:val="center"/>
        <w:rPr>
          <w:b/>
        </w:rPr>
      </w:pPr>
    </w:p>
    <w:p w14:paraId="05E03696" w14:textId="77777777" w:rsidR="001D7139" w:rsidRDefault="001D7139" w:rsidP="001C1674">
      <w:pPr>
        <w:jc w:val="center"/>
        <w:rPr>
          <w:b/>
        </w:rPr>
      </w:pPr>
    </w:p>
    <w:p w14:paraId="05E03697" w14:textId="77777777" w:rsidR="0051530C" w:rsidRDefault="0051530C" w:rsidP="001C1674">
      <w:pPr>
        <w:jc w:val="center"/>
        <w:rPr>
          <w:b/>
        </w:rPr>
      </w:pPr>
      <w:r w:rsidRPr="000611D9">
        <w:rPr>
          <w:b/>
        </w:rPr>
        <w:lastRenderedPageBreak/>
        <w:t xml:space="preserve">Table </w:t>
      </w:r>
      <w:r w:rsidR="0031598B">
        <w:rPr>
          <w:b/>
        </w:rPr>
        <w:t>3</w:t>
      </w:r>
    </w:p>
    <w:p w14:paraId="05E03698" w14:textId="77777777" w:rsidR="0051530C" w:rsidRDefault="0051530C" w:rsidP="0051530C">
      <w:pPr>
        <w:spacing w:after="200"/>
        <w:contextualSpacing/>
        <w:jc w:val="center"/>
        <w:rPr>
          <w:b/>
        </w:rPr>
      </w:pPr>
      <w:r>
        <w:rPr>
          <w:b/>
        </w:rPr>
        <w:t>NEEA 2014-2015 Savings Calculations</w:t>
      </w:r>
    </w:p>
    <w:p w14:paraId="05E03699" w14:textId="77777777" w:rsidR="00D979B5" w:rsidRDefault="00FF1ACA" w:rsidP="0051530C">
      <w:pPr>
        <w:spacing w:after="200"/>
        <w:contextualSpacing/>
        <w:jc w:val="center"/>
        <w:rPr>
          <w:b/>
        </w:rPr>
      </w:pPr>
      <w:r w:rsidRPr="00FF1ACA">
        <w:rPr>
          <w:noProof/>
          <w:lang w:eastAsia="en-US"/>
        </w:rPr>
        <w:drawing>
          <wp:inline distT="0" distB="0" distL="0" distR="0" wp14:anchorId="05E038C7" wp14:editId="05E038C8">
            <wp:extent cx="5486400" cy="14333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433331"/>
                    </a:xfrm>
                    <a:prstGeom prst="rect">
                      <a:avLst/>
                    </a:prstGeom>
                    <a:noFill/>
                    <a:ln>
                      <a:noFill/>
                    </a:ln>
                  </pic:spPr>
                </pic:pic>
              </a:graphicData>
            </a:graphic>
          </wp:inline>
        </w:drawing>
      </w:r>
    </w:p>
    <w:p w14:paraId="05E0369A" w14:textId="77777777" w:rsidR="0051530C" w:rsidRDefault="0051530C" w:rsidP="007A002D">
      <w:pPr>
        <w:jc w:val="both"/>
      </w:pPr>
    </w:p>
    <w:p w14:paraId="05E0369B" w14:textId="77777777" w:rsidR="0051530C" w:rsidRDefault="0051530C" w:rsidP="007A002D">
      <w:pPr>
        <w:jc w:val="both"/>
      </w:pPr>
    </w:p>
    <w:p w14:paraId="05E0369C" w14:textId="77777777" w:rsidR="0051530C" w:rsidRDefault="0051530C" w:rsidP="007A002D">
      <w:pPr>
        <w:jc w:val="both"/>
      </w:pPr>
      <w:r>
        <w:t xml:space="preserve">Savings reported from NEEA initiatives in the Company’s 2014 and 2015 annual reports were based on preliminary estimates provided by NEEA at the time those reports were created. </w:t>
      </w:r>
      <w:r w:rsidR="00202DB7">
        <w:t>The savings calculation adjustment is provided</w:t>
      </w:r>
      <w:r>
        <w:t xml:space="preserve"> </w:t>
      </w:r>
      <w:r w:rsidRPr="0031598B">
        <w:t xml:space="preserve">in Table </w:t>
      </w:r>
      <w:r w:rsidR="0031598B" w:rsidRPr="0031598B">
        <w:t>4</w:t>
      </w:r>
      <w:r w:rsidRPr="0031598B">
        <w:t>.</w:t>
      </w:r>
    </w:p>
    <w:p w14:paraId="05E0369D" w14:textId="77777777" w:rsidR="0051530C" w:rsidRDefault="0051530C" w:rsidP="007A002D">
      <w:pPr>
        <w:jc w:val="both"/>
      </w:pPr>
    </w:p>
    <w:p w14:paraId="05E0369E" w14:textId="77777777" w:rsidR="007A002D" w:rsidRPr="00B976D2" w:rsidRDefault="007A002D" w:rsidP="007A002D">
      <w:pPr>
        <w:jc w:val="center"/>
        <w:rPr>
          <w:b/>
        </w:rPr>
      </w:pPr>
      <w:r w:rsidRPr="00B976D2">
        <w:rPr>
          <w:b/>
        </w:rPr>
        <w:t xml:space="preserve">Table </w:t>
      </w:r>
      <w:r w:rsidR="0031598B">
        <w:rPr>
          <w:b/>
        </w:rPr>
        <w:t>4</w:t>
      </w:r>
    </w:p>
    <w:p w14:paraId="05E0369F" w14:textId="77777777" w:rsidR="007A002D" w:rsidRDefault="007A002D" w:rsidP="007A002D">
      <w:pPr>
        <w:jc w:val="center"/>
        <w:rPr>
          <w:b/>
        </w:rPr>
      </w:pPr>
      <w:r w:rsidRPr="00B976D2">
        <w:rPr>
          <w:b/>
        </w:rPr>
        <w:t>Revised NEEA 201</w:t>
      </w:r>
      <w:r w:rsidR="0051530C">
        <w:rPr>
          <w:b/>
        </w:rPr>
        <w:t>4</w:t>
      </w:r>
      <w:r w:rsidRPr="00B976D2">
        <w:rPr>
          <w:b/>
        </w:rPr>
        <w:t xml:space="preserve"> and 201</w:t>
      </w:r>
      <w:r w:rsidR="0051530C">
        <w:rPr>
          <w:b/>
        </w:rPr>
        <w:t>5</w:t>
      </w:r>
      <w:r w:rsidR="00847734" w:rsidRPr="00847734">
        <w:rPr>
          <w:b/>
        </w:rPr>
        <w:t xml:space="preserve"> </w:t>
      </w:r>
      <w:r w:rsidR="00847734">
        <w:rPr>
          <w:b/>
        </w:rPr>
        <w:t>S</w:t>
      </w:r>
      <w:r w:rsidR="00847734" w:rsidRPr="00B976D2">
        <w:rPr>
          <w:b/>
        </w:rPr>
        <w:t>avings</w:t>
      </w:r>
    </w:p>
    <w:p w14:paraId="05E036A0" w14:textId="77777777" w:rsidR="00A27114" w:rsidRDefault="00FF1ACA" w:rsidP="007A002D">
      <w:pPr>
        <w:jc w:val="center"/>
        <w:rPr>
          <w:b/>
        </w:rPr>
      </w:pPr>
      <w:r w:rsidRPr="00FF1ACA">
        <w:rPr>
          <w:noProof/>
          <w:lang w:eastAsia="en-US"/>
        </w:rPr>
        <w:drawing>
          <wp:inline distT="0" distB="0" distL="0" distR="0" wp14:anchorId="05E038C9" wp14:editId="05E038CA">
            <wp:extent cx="4649638" cy="12029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3472" cy="1203908"/>
                    </a:xfrm>
                    <a:prstGeom prst="rect">
                      <a:avLst/>
                    </a:prstGeom>
                    <a:noFill/>
                    <a:ln>
                      <a:noFill/>
                    </a:ln>
                  </pic:spPr>
                </pic:pic>
              </a:graphicData>
            </a:graphic>
          </wp:inline>
        </w:drawing>
      </w:r>
    </w:p>
    <w:p w14:paraId="05E036A1" w14:textId="77777777" w:rsidR="00A27114" w:rsidRDefault="00A27114" w:rsidP="00A27114">
      <w:pPr>
        <w:jc w:val="center"/>
        <w:rPr>
          <w:b/>
        </w:rPr>
      </w:pPr>
    </w:p>
    <w:p w14:paraId="05E036A2" w14:textId="77777777" w:rsidR="00A27114" w:rsidRDefault="00A27114" w:rsidP="007A002D">
      <w:pPr>
        <w:jc w:val="center"/>
        <w:rPr>
          <w:b/>
        </w:rPr>
      </w:pPr>
    </w:p>
    <w:p w14:paraId="05E036A3" w14:textId="77777777" w:rsidR="00FF2E2B" w:rsidRPr="00847734" w:rsidRDefault="00FF2E2B" w:rsidP="00847734">
      <w:pPr>
        <w:jc w:val="both"/>
        <w:rPr>
          <w:b/>
          <w:u w:val="single"/>
        </w:rPr>
      </w:pPr>
      <w:bookmarkStart w:id="12" w:name="_Toc339191306"/>
      <w:r w:rsidRPr="0014395B">
        <w:rPr>
          <w:b/>
          <w:u w:val="single"/>
        </w:rPr>
        <w:t>Production Efficiency</w:t>
      </w:r>
      <w:bookmarkEnd w:id="12"/>
    </w:p>
    <w:p w14:paraId="05E036A4" w14:textId="77777777" w:rsidR="00FF2E2B" w:rsidRPr="001F1CE0" w:rsidRDefault="00FF2E2B" w:rsidP="00FF2E2B">
      <w:pPr>
        <w:spacing w:before="100" w:beforeAutospacing="1"/>
        <w:jc w:val="both"/>
        <w:rPr>
          <w:bCs/>
          <w:u w:val="single"/>
        </w:rPr>
      </w:pPr>
      <w:r w:rsidRPr="001F1CE0">
        <w:rPr>
          <w:bCs/>
          <w:u w:val="single"/>
        </w:rPr>
        <w:t>Years of Implementation</w:t>
      </w:r>
    </w:p>
    <w:p w14:paraId="05E036A5" w14:textId="77777777" w:rsidR="00FF2E2B" w:rsidRPr="00DB3D81" w:rsidRDefault="00FF2E2B" w:rsidP="00FF2E2B">
      <w:pPr>
        <w:spacing w:after="100" w:afterAutospacing="1"/>
        <w:jc w:val="both"/>
        <w:rPr>
          <w:color w:val="000000" w:themeColor="text1"/>
          <w:u w:val="single"/>
        </w:rPr>
      </w:pPr>
      <w:r>
        <w:t>The Company began a detailed study of the potential energy savings from production efficiency in 2011; with the initial implementation of identified projects beginning in 2012. Final study work was completed in 2012</w:t>
      </w:r>
      <w:r w:rsidRPr="00DB3D81">
        <w:rPr>
          <w:color w:val="000000" w:themeColor="text1"/>
        </w:rPr>
        <w:t>.</w:t>
      </w:r>
      <w:r>
        <w:rPr>
          <w:color w:val="000000" w:themeColor="text1"/>
        </w:rPr>
        <w:t xml:space="preserve"> </w:t>
      </w:r>
    </w:p>
    <w:p w14:paraId="05E036A6" w14:textId="77777777" w:rsidR="00FF2E2B" w:rsidRPr="000F7F70" w:rsidRDefault="00FF2E2B" w:rsidP="00FF2E2B">
      <w:pPr>
        <w:spacing w:before="100" w:beforeAutospacing="1"/>
        <w:jc w:val="both"/>
        <w:rPr>
          <w:bCs/>
          <w:u w:val="single"/>
        </w:rPr>
      </w:pPr>
      <w:r w:rsidRPr="00FD3B65">
        <w:rPr>
          <w:bCs/>
          <w:u w:val="single"/>
        </w:rPr>
        <w:t>Program Description</w:t>
      </w:r>
    </w:p>
    <w:p w14:paraId="05E036A7" w14:textId="77777777" w:rsidR="00FF2E2B" w:rsidRPr="00EA165F" w:rsidRDefault="00FF2E2B" w:rsidP="00FF2E2B">
      <w:pPr>
        <w:spacing w:after="100" w:afterAutospacing="1"/>
        <w:jc w:val="both"/>
        <w:rPr>
          <w:bCs/>
        </w:rPr>
      </w:pPr>
      <w:r w:rsidRPr="00EA165F">
        <w:rPr>
          <w:bCs/>
        </w:rPr>
        <w:t xml:space="preserve">In 2011, the Company began studying potential energy efficiency upgrades to the electrical systems at the thermal and wind power production facilities. </w:t>
      </w:r>
      <w:r w:rsidR="001F1CE0">
        <w:rPr>
          <w:bCs/>
        </w:rPr>
        <w:t>The Company</w:t>
      </w:r>
      <w:r w:rsidRPr="00EA165F">
        <w:rPr>
          <w:bCs/>
        </w:rPr>
        <w:t xml:space="preserve"> fully owns one thermal plant that provides power to Washington State as well as four wind projects. The Company jointly owns two additional thermal plants</w:t>
      </w:r>
      <w:r w:rsidR="00AE339A">
        <w:rPr>
          <w:bCs/>
        </w:rPr>
        <w:t xml:space="preserve">, Jim Bridger and Hermiston and Colstrip unit 4 </w:t>
      </w:r>
      <w:r w:rsidRPr="00EA165F">
        <w:rPr>
          <w:bCs/>
        </w:rPr>
        <w:t>that als</w:t>
      </w:r>
      <w:r>
        <w:rPr>
          <w:bCs/>
        </w:rPr>
        <w:t>o provide power to Washington</w:t>
      </w:r>
      <w:r w:rsidR="00AE339A">
        <w:rPr>
          <w:bCs/>
        </w:rPr>
        <w:t xml:space="preserve">. </w:t>
      </w:r>
      <w:r>
        <w:rPr>
          <w:bCs/>
        </w:rPr>
        <w:t xml:space="preserve"> </w:t>
      </w:r>
    </w:p>
    <w:p w14:paraId="05E036A8" w14:textId="77777777" w:rsidR="00FF2E2B" w:rsidRDefault="00FF2E2B" w:rsidP="00FF2E2B">
      <w:pPr>
        <w:spacing w:before="100" w:beforeAutospacing="1"/>
        <w:jc w:val="both"/>
      </w:pPr>
      <w:r w:rsidRPr="00FD3B65">
        <w:rPr>
          <w:u w:val="single"/>
        </w:rPr>
        <w:t>Program Details</w:t>
      </w:r>
    </w:p>
    <w:p w14:paraId="05E036A9" w14:textId="77777777" w:rsidR="00ED5B98" w:rsidRDefault="00FF2E2B" w:rsidP="00203B8E">
      <w:pPr>
        <w:spacing w:after="100" w:afterAutospacing="1"/>
        <w:jc w:val="both"/>
      </w:pPr>
      <w:r>
        <w:rPr>
          <w:bCs/>
        </w:rPr>
        <w:t>Project work</w:t>
      </w:r>
      <w:r w:rsidRPr="00EA165F">
        <w:rPr>
          <w:bCs/>
        </w:rPr>
        <w:t xml:space="preserve"> beg</w:t>
      </w:r>
      <w:r>
        <w:rPr>
          <w:bCs/>
        </w:rPr>
        <w:t>a</w:t>
      </w:r>
      <w:r w:rsidRPr="00EA165F">
        <w:rPr>
          <w:bCs/>
        </w:rPr>
        <w:t>n in 201</w:t>
      </w:r>
      <w:r w:rsidR="00AE339A">
        <w:rPr>
          <w:bCs/>
        </w:rPr>
        <w:t xml:space="preserve">4 </w:t>
      </w:r>
      <w:r w:rsidRPr="00EA165F">
        <w:rPr>
          <w:bCs/>
        </w:rPr>
        <w:t xml:space="preserve">at the </w:t>
      </w:r>
      <w:r w:rsidR="00AE339A">
        <w:rPr>
          <w:bCs/>
        </w:rPr>
        <w:t>Hermiston</w:t>
      </w:r>
      <w:r w:rsidRPr="00EA165F">
        <w:rPr>
          <w:bCs/>
        </w:rPr>
        <w:t xml:space="preserve"> power plant</w:t>
      </w:r>
      <w:r>
        <w:rPr>
          <w:bCs/>
        </w:rPr>
        <w:t xml:space="preserve"> based on studies completed in 2011</w:t>
      </w:r>
      <w:r w:rsidRPr="00EA165F">
        <w:rPr>
          <w:bCs/>
        </w:rPr>
        <w:t xml:space="preserve">. </w:t>
      </w:r>
      <w:r w:rsidR="00C737E9">
        <w:rPr>
          <w:bCs/>
        </w:rPr>
        <w:t>Before</w:t>
      </w:r>
      <w:r w:rsidR="00B5789A">
        <w:rPr>
          <w:bCs/>
        </w:rPr>
        <w:t xml:space="preserve"> construction, the Company req</w:t>
      </w:r>
      <w:r w:rsidR="00AE339A">
        <w:rPr>
          <w:bCs/>
        </w:rPr>
        <w:t xml:space="preserve">uired approval  from the other plant owners </w:t>
      </w:r>
      <w:r>
        <w:rPr>
          <w:bCs/>
        </w:rPr>
        <w:t xml:space="preserve">for </w:t>
      </w:r>
      <w:r w:rsidRPr="00EA165F">
        <w:rPr>
          <w:bCs/>
        </w:rPr>
        <w:t>projects</w:t>
      </w:r>
      <w:r>
        <w:rPr>
          <w:bCs/>
        </w:rPr>
        <w:t xml:space="preserve"> </w:t>
      </w:r>
      <w:r w:rsidR="00AE339A">
        <w:rPr>
          <w:bCs/>
        </w:rPr>
        <w:t xml:space="preserve">initially </w:t>
      </w:r>
      <w:r>
        <w:rPr>
          <w:bCs/>
        </w:rPr>
        <w:t>identified as cost-effective</w:t>
      </w:r>
      <w:r w:rsidR="004A35C0">
        <w:rPr>
          <w:color w:val="000000" w:themeColor="text1"/>
        </w:rPr>
        <w:t xml:space="preserve"> using the methodology described in</w:t>
      </w:r>
      <w:r w:rsidR="00203B8E">
        <w:rPr>
          <w:color w:val="000000" w:themeColor="text1"/>
        </w:rPr>
        <w:t xml:space="preserve"> </w:t>
      </w:r>
      <w:r w:rsidR="00203B8E">
        <w:rPr>
          <w:color w:val="000000" w:themeColor="text1"/>
        </w:rPr>
        <w:lastRenderedPageBreak/>
        <w:t>Appendix 2—</w:t>
      </w:r>
      <w:r w:rsidR="004A35C0" w:rsidRPr="00AC092C">
        <w:rPr>
          <w:i/>
          <w:color w:val="000000" w:themeColor="text1"/>
        </w:rPr>
        <w:t>Production</w:t>
      </w:r>
      <w:r w:rsidR="00203B8E">
        <w:rPr>
          <w:i/>
          <w:color w:val="000000" w:themeColor="text1"/>
        </w:rPr>
        <w:t xml:space="preserve"> </w:t>
      </w:r>
      <w:r w:rsidR="004A35C0" w:rsidRPr="00AC092C">
        <w:rPr>
          <w:i/>
          <w:color w:val="000000" w:themeColor="text1"/>
        </w:rPr>
        <w:t>Efficiency Economic Evaluation Methodology</w:t>
      </w:r>
      <w:r w:rsidR="00203B8E">
        <w:rPr>
          <w:i/>
          <w:color w:val="000000" w:themeColor="text1"/>
        </w:rPr>
        <w:t xml:space="preserve"> </w:t>
      </w:r>
      <w:r w:rsidR="00203B8E">
        <w:rPr>
          <w:bCs/>
        </w:rPr>
        <w:t xml:space="preserve">of the </w:t>
      </w:r>
      <w:r w:rsidR="004A35C0">
        <w:rPr>
          <w:bCs/>
        </w:rPr>
        <w:t xml:space="preserve">Company’s Demand-side Management 2014-2015 Business Plan.   </w:t>
      </w:r>
    </w:p>
    <w:p w14:paraId="05E036AA" w14:textId="77777777" w:rsidR="00122D86" w:rsidRDefault="00122D86" w:rsidP="00FF2E2B">
      <w:pPr>
        <w:spacing w:after="100" w:afterAutospacing="1"/>
        <w:jc w:val="both"/>
        <w:rPr>
          <w:bCs/>
        </w:rPr>
      </w:pPr>
      <w:r>
        <w:rPr>
          <w:bCs/>
        </w:rPr>
        <w:t xml:space="preserve">The Heating ventilating and Air Conditioning (HVAC) upgrades and the compressed air system upgrades at the Hermiston plant included in the </w:t>
      </w:r>
      <w:r w:rsidR="00B71C4B">
        <w:rPr>
          <w:bCs/>
        </w:rPr>
        <w:t xml:space="preserve">proposed </w:t>
      </w:r>
      <w:r>
        <w:rPr>
          <w:bCs/>
        </w:rPr>
        <w:t>2014-2015 target</w:t>
      </w:r>
      <w:r w:rsidR="00E016BC">
        <w:rPr>
          <w:rStyle w:val="FootnoteReference"/>
          <w:bCs/>
        </w:rPr>
        <w:footnoteReference w:id="6"/>
      </w:r>
      <w:r>
        <w:rPr>
          <w:bCs/>
        </w:rPr>
        <w:t xml:space="preserve"> were completed after joint owner approval was received. The lighting project at Hermiston assessed in the Cascade Energy study (revision: March 12, 2013) was not originally included in the target based on initial economics but was completed during the biennial period after updated pricing </w:t>
      </w:r>
      <w:r w:rsidR="00B71C4B">
        <w:rPr>
          <w:bCs/>
        </w:rPr>
        <w:t>led to a re-assessment of</w:t>
      </w:r>
      <w:r>
        <w:rPr>
          <w:bCs/>
        </w:rPr>
        <w:t xml:space="preserve"> cost effectiveness and the joint owners approv</w:t>
      </w:r>
      <w:r w:rsidR="006D01BB">
        <w:rPr>
          <w:bCs/>
        </w:rPr>
        <w:t>ing</w:t>
      </w:r>
      <w:r>
        <w:rPr>
          <w:bCs/>
        </w:rPr>
        <w:t xml:space="preserve"> their share of the expenditures. </w:t>
      </w:r>
    </w:p>
    <w:p w14:paraId="05E036AB" w14:textId="77777777" w:rsidR="00FF2E2B" w:rsidRDefault="00CC27C7" w:rsidP="00ED5B98">
      <w:pPr>
        <w:spacing w:after="100" w:afterAutospacing="1"/>
        <w:jc w:val="both"/>
        <w:rPr>
          <w:bCs/>
        </w:rPr>
      </w:pPr>
      <w:r>
        <w:rPr>
          <w:bCs/>
        </w:rPr>
        <w:t xml:space="preserve"> </w:t>
      </w:r>
      <w:r w:rsidR="0031598B">
        <w:rPr>
          <w:bCs/>
        </w:rPr>
        <w:t>T</w:t>
      </w:r>
      <w:r w:rsidR="00FF2E2B" w:rsidRPr="00EA165F">
        <w:rPr>
          <w:bCs/>
        </w:rPr>
        <w:t>able</w:t>
      </w:r>
      <w:r w:rsidR="0031598B">
        <w:rPr>
          <w:bCs/>
        </w:rPr>
        <w:t xml:space="preserve"> 5</w:t>
      </w:r>
      <w:r w:rsidR="00FF2E2B" w:rsidRPr="00EA165F">
        <w:rPr>
          <w:bCs/>
        </w:rPr>
        <w:t xml:space="preserve"> details the specific projects comp</w:t>
      </w:r>
      <w:r w:rsidR="00FF2E2B">
        <w:rPr>
          <w:bCs/>
        </w:rPr>
        <w:t>leted in the 201</w:t>
      </w:r>
      <w:r>
        <w:rPr>
          <w:bCs/>
        </w:rPr>
        <w:t xml:space="preserve">4-2015 </w:t>
      </w:r>
      <w:r w:rsidR="00FF2E2B">
        <w:rPr>
          <w:bCs/>
        </w:rPr>
        <w:t>biennium.</w:t>
      </w:r>
    </w:p>
    <w:p w14:paraId="05E036AC" w14:textId="77777777" w:rsidR="0031598B" w:rsidRPr="00B976D2" w:rsidRDefault="0031598B" w:rsidP="0031598B">
      <w:pPr>
        <w:jc w:val="center"/>
        <w:rPr>
          <w:b/>
        </w:rPr>
      </w:pPr>
      <w:r w:rsidRPr="00B976D2">
        <w:rPr>
          <w:b/>
        </w:rPr>
        <w:t xml:space="preserve">Table </w:t>
      </w:r>
      <w:r>
        <w:rPr>
          <w:b/>
        </w:rPr>
        <w:t>5</w:t>
      </w:r>
    </w:p>
    <w:p w14:paraId="05E036AD" w14:textId="77777777" w:rsidR="0031598B" w:rsidRDefault="0031598B" w:rsidP="0031598B">
      <w:pPr>
        <w:jc w:val="center"/>
        <w:rPr>
          <w:b/>
        </w:rPr>
      </w:pPr>
      <w:r>
        <w:rPr>
          <w:b/>
        </w:rPr>
        <w:t>2014-2015 Production Efficiency Projects</w:t>
      </w:r>
    </w:p>
    <w:p w14:paraId="05E036AE" w14:textId="77777777" w:rsidR="00AF1679" w:rsidRDefault="00AF1679" w:rsidP="0031598B">
      <w:pPr>
        <w:jc w:val="center"/>
        <w:rPr>
          <w:b/>
        </w:rPr>
      </w:pPr>
    </w:p>
    <w:tbl>
      <w:tblPr>
        <w:tblStyle w:val="TableGrid"/>
        <w:tblW w:w="0" w:type="auto"/>
        <w:jc w:val="center"/>
        <w:tblLook w:val="04A0" w:firstRow="1" w:lastRow="0" w:firstColumn="1" w:lastColumn="0" w:noHBand="0" w:noVBand="1"/>
      </w:tblPr>
      <w:tblGrid>
        <w:gridCol w:w="2400"/>
        <w:gridCol w:w="1350"/>
        <w:gridCol w:w="1530"/>
      </w:tblGrid>
      <w:tr w:rsidR="008B3658" w:rsidRPr="0014395B" w14:paraId="05E036B2" w14:textId="77777777" w:rsidTr="00AF1679">
        <w:trPr>
          <w:trHeight w:val="287"/>
          <w:jc w:val="center"/>
        </w:trPr>
        <w:tc>
          <w:tcPr>
            <w:tcW w:w="2400" w:type="dxa"/>
            <w:vAlign w:val="bottom"/>
          </w:tcPr>
          <w:p w14:paraId="05E036AF" w14:textId="77777777" w:rsidR="008B3658" w:rsidRPr="0014395B" w:rsidRDefault="00AF1679" w:rsidP="00AF1679">
            <w:pPr>
              <w:jc w:val="center"/>
              <w:rPr>
                <w:rFonts w:asciiTheme="minorHAnsi" w:hAnsiTheme="minorHAnsi"/>
                <w:b/>
                <w:sz w:val="20"/>
                <w:szCs w:val="20"/>
              </w:rPr>
            </w:pPr>
            <w:r>
              <w:rPr>
                <w:rFonts w:asciiTheme="minorHAnsi" w:hAnsiTheme="minorHAnsi"/>
                <w:b/>
                <w:sz w:val="20"/>
                <w:szCs w:val="20"/>
              </w:rPr>
              <w:t>Projects</w:t>
            </w:r>
          </w:p>
        </w:tc>
        <w:tc>
          <w:tcPr>
            <w:tcW w:w="1350" w:type="dxa"/>
            <w:vAlign w:val="bottom"/>
          </w:tcPr>
          <w:p w14:paraId="05E036B0" w14:textId="77777777" w:rsidR="008B3658" w:rsidRPr="0014395B" w:rsidRDefault="008B3658" w:rsidP="00AF1679">
            <w:pPr>
              <w:jc w:val="center"/>
              <w:rPr>
                <w:rFonts w:asciiTheme="minorHAnsi" w:hAnsiTheme="minorHAnsi"/>
                <w:b/>
                <w:sz w:val="20"/>
                <w:szCs w:val="20"/>
              </w:rPr>
            </w:pPr>
            <w:r w:rsidRPr="0014395B">
              <w:rPr>
                <w:rFonts w:asciiTheme="minorHAnsi" w:hAnsiTheme="minorHAnsi"/>
                <w:b/>
                <w:sz w:val="20"/>
                <w:szCs w:val="20"/>
              </w:rPr>
              <w:t>Expenditures</w:t>
            </w:r>
          </w:p>
        </w:tc>
        <w:tc>
          <w:tcPr>
            <w:tcW w:w="1530" w:type="dxa"/>
            <w:vAlign w:val="bottom"/>
          </w:tcPr>
          <w:p w14:paraId="05E036B1" w14:textId="77777777" w:rsidR="008B3658" w:rsidRPr="0014395B" w:rsidRDefault="008B3658" w:rsidP="00AF1679">
            <w:pPr>
              <w:jc w:val="center"/>
              <w:rPr>
                <w:rFonts w:asciiTheme="minorHAnsi" w:hAnsiTheme="minorHAnsi"/>
                <w:b/>
                <w:sz w:val="20"/>
                <w:szCs w:val="20"/>
              </w:rPr>
            </w:pPr>
            <w:r w:rsidRPr="0014395B">
              <w:rPr>
                <w:rFonts w:asciiTheme="minorHAnsi" w:hAnsiTheme="minorHAnsi"/>
                <w:b/>
                <w:sz w:val="20"/>
                <w:szCs w:val="20"/>
              </w:rPr>
              <w:t>Savings (MWh)</w:t>
            </w:r>
          </w:p>
        </w:tc>
      </w:tr>
      <w:tr w:rsidR="008B3658" w:rsidRPr="0014395B" w14:paraId="05E036B6" w14:textId="77777777" w:rsidTr="00AF1679">
        <w:trPr>
          <w:trHeight w:val="350"/>
          <w:jc w:val="center"/>
        </w:trPr>
        <w:tc>
          <w:tcPr>
            <w:tcW w:w="2400" w:type="dxa"/>
            <w:vAlign w:val="bottom"/>
          </w:tcPr>
          <w:p w14:paraId="05E036B3" w14:textId="77777777" w:rsidR="008B3658" w:rsidRPr="0014395B" w:rsidRDefault="008B3658" w:rsidP="00AF1679">
            <w:pPr>
              <w:rPr>
                <w:rFonts w:asciiTheme="minorHAnsi" w:hAnsiTheme="minorHAnsi"/>
                <w:sz w:val="20"/>
                <w:szCs w:val="20"/>
              </w:rPr>
            </w:pPr>
            <w:r>
              <w:rPr>
                <w:rFonts w:asciiTheme="minorHAnsi" w:hAnsiTheme="minorHAnsi"/>
                <w:sz w:val="20"/>
                <w:szCs w:val="20"/>
              </w:rPr>
              <w:t>Lighting</w:t>
            </w:r>
          </w:p>
        </w:tc>
        <w:tc>
          <w:tcPr>
            <w:tcW w:w="1350" w:type="dxa"/>
            <w:vAlign w:val="bottom"/>
          </w:tcPr>
          <w:p w14:paraId="05E036B4" w14:textId="77777777" w:rsidR="008B3658" w:rsidRPr="0014395B" w:rsidRDefault="008B3658" w:rsidP="00AF1679">
            <w:pPr>
              <w:jc w:val="center"/>
              <w:rPr>
                <w:rFonts w:asciiTheme="minorHAnsi" w:hAnsiTheme="minorHAnsi"/>
                <w:sz w:val="20"/>
                <w:szCs w:val="20"/>
              </w:rPr>
            </w:pPr>
            <w:r w:rsidRPr="0014395B">
              <w:rPr>
                <w:rFonts w:asciiTheme="minorHAnsi" w:hAnsiTheme="minorHAnsi"/>
                <w:sz w:val="20"/>
                <w:szCs w:val="20"/>
              </w:rPr>
              <w:t>$</w:t>
            </w:r>
            <w:r>
              <w:rPr>
                <w:rFonts w:asciiTheme="minorHAnsi" w:hAnsiTheme="minorHAnsi"/>
                <w:sz w:val="20"/>
                <w:szCs w:val="20"/>
              </w:rPr>
              <w:t>2,096</w:t>
            </w:r>
          </w:p>
        </w:tc>
        <w:tc>
          <w:tcPr>
            <w:tcW w:w="1530" w:type="dxa"/>
            <w:vAlign w:val="bottom"/>
          </w:tcPr>
          <w:p w14:paraId="05E036B5" w14:textId="77777777" w:rsidR="008B3658" w:rsidRPr="0014395B" w:rsidRDefault="00AF1679" w:rsidP="00AF1679">
            <w:pPr>
              <w:jc w:val="center"/>
              <w:rPr>
                <w:rFonts w:asciiTheme="minorHAnsi" w:hAnsiTheme="minorHAnsi"/>
                <w:sz w:val="20"/>
                <w:szCs w:val="20"/>
              </w:rPr>
            </w:pPr>
            <w:r>
              <w:rPr>
                <w:rFonts w:asciiTheme="minorHAnsi" w:hAnsiTheme="minorHAnsi"/>
                <w:sz w:val="20"/>
                <w:szCs w:val="20"/>
              </w:rPr>
              <w:t>0.56</w:t>
            </w:r>
          </w:p>
        </w:tc>
      </w:tr>
      <w:tr w:rsidR="008B3658" w:rsidRPr="0014395B" w14:paraId="05E036BA" w14:textId="77777777" w:rsidTr="00AF1679">
        <w:trPr>
          <w:trHeight w:val="305"/>
          <w:jc w:val="center"/>
        </w:trPr>
        <w:tc>
          <w:tcPr>
            <w:tcW w:w="2400" w:type="dxa"/>
            <w:vAlign w:val="bottom"/>
          </w:tcPr>
          <w:p w14:paraId="05E036B7" w14:textId="77777777" w:rsidR="008B3658" w:rsidRPr="0014395B" w:rsidRDefault="008B3658" w:rsidP="00AF1679">
            <w:pPr>
              <w:rPr>
                <w:rFonts w:asciiTheme="minorHAnsi" w:hAnsiTheme="minorHAnsi"/>
                <w:sz w:val="20"/>
                <w:szCs w:val="20"/>
              </w:rPr>
            </w:pPr>
            <w:r>
              <w:rPr>
                <w:rFonts w:asciiTheme="minorHAnsi" w:hAnsiTheme="minorHAnsi"/>
                <w:sz w:val="20"/>
                <w:szCs w:val="20"/>
              </w:rPr>
              <w:t>HVAC Upgrade</w:t>
            </w:r>
          </w:p>
        </w:tc>
        <w:tc>
          <w:tcPr>
            <w:tcW w:w="1350" w:type="dxa"/>
            <w:vAlign w:val="bottom"/>
          </w:tcPr>
          <w:p w14:paraId="05E036B8" w14:textId="77777777" w:rsidR="008B3658" w:rsidRPr="0014395B" w:rsidRDefault="008B3658" w:rsidP="00AF1679">
            <w:pPr>
              <w:jc w:val="center"/>
              <w:rPr>
                <w:rFonts w:asciiTheme="minorHAnsi" w:hAnsiTheme="minorHAnsi"/>
                <w:sz w:val="20"/>
                <w:szCs w:val="20"/>
              </w:rPr>
            </w:pPr>
            <w:r>
              <w:rPr>
                <w:rFonts w:asciiTheme="minorHAnsi" w:hAnsiTheme="minorHAnsi"/>
                <w:sz w:val="20"/>
                <w:szCs w:val="20"/>
              </w:rPr>
              <w:t>$364</w:t>
            </w:r>
          </w:p>
        </w:tc>
        <w:tc>
          <w:tcPr>
            <w:tcW w:w="1530" w:type="dxa"/>
            <w:vAlign w:val="bottom"/>
          </w:tcPr>
          <w:p w14:paraId="05E036B9" w14:textId="77777777" w:rsidR="008B3658" w:rsidRPr="0014395B" w:rsidRDefault="00AF1679" w:rsidP="00AF1679">
            <w:pPr>
              <w:jc w:val="center"/>
              <w:rPr>
                <w:rFonts w:asciiTheme="minorHAnsi" w:hAnsiTheme="minorHAnsi"/>
                <w:sz w:val="20"/>
                <w:szCs w:val="20"/>
              </w:rPr>
            </w:pPr>
            <w:r>
              <w:rPr>
                <w:rFonts w:asciiTheme="minorHAnsi" w:hAnsiTheme="minorHAnsi"/>
                <w:sz w:val="20"/>
                <w:szCs w:val="20"/>
              </w:rPr>
              <w:t>0.34</w:t>
            </w:r>
          </w:p>
        </w:tc>
      </w:tr>
      <w:tr w:rsidR="008B3658" w:rsidRPr="0014395B" w14:paraId="05E036BE" w14:textId="77777777" w:rsidTr="00AF1679">
        <w:trPr>
          <w:trHeight w:val="285"/>
          <w:jc w:val="center"/>
        </w:trPr>
        <w:tc>
          <w:tcPr>
            <w:tcW w:w="2400" w:type="dxa"/>
            <w:vAlign w:val="bottom"/>
          </w:tcPr>
          <w:p w14:paraId="05E036BB" w14:textId="77777777" w:rsidR="008B3658" w:rsidRPr="0014395B" w:rsidRDefault="008B3658" w:rsidP="00AF1679">
            <w:pPr>
              <w:rPr>
                <w:rFonts w:asciiTheme="minorHAnsi" w:hAnsiTheme="minorHAnsi"/>
                <w:sz w:val="20"/>
                <w:szCs w:val="20"/>
              </w:rPr>
            </w:pPr>
            <w:r>
              <w:rPr>
                <w:rFonts w:asciiTheme="minorHAnsi" w:hAnsiTheme="minorHAnsi"/>
                <w:sz w:val="20"/>
                <w:szCs w:val="20"/>
              </w:rPr>
              <w:t>Air Compressor Upgrades</w:t>
            </w:r>
          </w:p>
        </w:tc>
        <w:tc>
          <w:tcPr>
            <w:tcW w:w="1350" w:type="dxa"/>
            <w:vAlign w:val="bottom"/>
          </w:tcPr>
          <w:p w14:paraId="05E036BC" w14:textId="77777777" w:rsidR="008B3658" w:rsidRPr="0014395B" w:rsidRDefault="008B3658" w:rsidP="00AF1679">
            <w:pPr>
              <w:jc w:val="center"/>
              <w:rPr>
                <w:rFonts w:asciiTheme="minorHAnsi" w:hAnsiTheme="minorHAnsi"/>
                <w:sz w:val="20"/>
                <w:szCs w:val="20"/>
              </w:rPr>
            </w:pPr>
            <w:r>
              <w:rPr>
                <w:rFonts w:asciiTheme="minorHAnsi" w:hAnsiTheme="minorHAnsi"/>
                <w:sz w:val="20"/>
                <w:szCs w:val="20"/>
              </w:rPr>
              <w:t>$897</w:t>
            </w:r>
          </w:p>
        </w:tc>
        <w:tc>
          <w:tcPr>
            <w:tcW w:w="1530" w:type="dxa"/>
            <w:vAlign w:val="bottom"/>
          </w:tcPr>
          <w:p w14:paraId="05E036BD" w14:textId="77777777" w:rsidR="008B3658" w:rsidRPr="0014395B" w:rsidRDefault="00AF1679" w:rsidP="00AF1679">
            <w:pPr>
              <w:jc w:val="center"/>
              <w:rPr>
                <w:rFonts w:asciiTheme="minorHAnsi" w:hAnsiTheme="minorHAnsi"/>
                <w:sz w:val="20"/>
                <w:szCs w:val="20"/>
              </w:rPr>
            </w:pPr>
            <w:r>
              <w:rPr>
                <w:rFonts w:asciiTheme="minorHAnsi" w:hAnsiTheme="minorHAnsi"/>
                <w:sz w:val="20"/>
                <w:szCs w:val="20"/>
              </w:rPr>
              <w:t>1.46</w:t>
            </w:r>
          </w:p>
        </w:tc>
      </w:tr>
      <w:tr w:rsidR="008B3658" w:rsidRPr="0014395B" w14:paraId="05E036C2" w14:textId="77777777" w:rsidTr="00AF1679">
        <w:trPr>
          <w:trHeight w:val="300"/>
          <w:jc w:val="center"/>
        </w:trPr>
        <w:tc>
          <w:tcPr>
            <w:tcW w:w="2400" w:type="dxa"/>
            <w:vAlign w:val="bottom"/>
          </w:tcPr>
          <w:p w14:paraId="05E036BF" w14:textId="77777777" w:rsidR="008B3658" w:rsidRPr="0014395B" w:rsidRDefault="008B3658" w:rsidP="00AF1679">
            <w:pPr>
              <w:rPr>
                <w:rFonts w:asciiTheme="minorHAnsi" w:hAnsiTheme="minorHAnsi"/>
                <w:b/>
                <w:sz w:val="20"/>
                <w:szCs w:val="20"/>
              </w:rPr>
            </w:pPr>
            <w:r>
              <w:rPr>
                <w:rFonts w:asciiTheme="minorHAnsi" w:hAnsiTheme="minorHAnsi"/>
                <w:b/>
                <w:sz w:val="20"/>
                <w:szCs w:val="20"/>
              </w:rPr>
              <w:t>TOTAL</w:t>
            </w:r>
          </w:p>
        </w:tc>
        <w:tc>
          <w:tcPr>
            <w:tcW w:w="1350" w:type="dxa"/>
            <w:vAlign w:val="bottom"/>
          </w:tcPr>
          <w:p w14:paraId="05E036C0" w14:textId="77777777" w:rsidR="008B3658" w:rsidRPr="0014395B" w:rsidRDefault="008B3658" w:rsidP="00AF1679">
            <w:pPr>
              <w:jc w:val="center"/>
              <w:rPr>
                <w:rFonts w:asciiTheme="minorHAnsi" w:hAnsiTheme="minorHAnsi"/>
                <w:b/>
                <w:sz w:val="20"/>
                <w:szCs w:val="20"/>
              </w:rPr>
            </w:pPr>
            <w:r>
              <w:rPr>
                <w:rFonts w:asciiTheme="minorHAnsi" w:hAnsiTheme="minorHAnsi"/>
                <w:b/>
                <w:sz w:val="20"/>
                <w:szCs w:val="20"/>
              </w:rPr>
              <w:t>$</w:t>
            </w:r>
            <w:r w:rsidR="00AF1679">
              <w:rPr>
                <w:rFonts w:asciiTheme="minorHAnsi" w:hAnsiTheme="minorHAnsi"/>
                <w:b/>
                <w:sz w:val="20"/>
                <w:szCs w:val="20"/>
              </w:rPr>
              <w:t>3,357</w:t>
            </w:r>
          </w:p>
        </w:tc>
        <w:tc>
          <w:tcPr>
            <w:tcW w:w="1530" w:type="dxa"/>
            <w:vAlign w:val="bottom"/>
          </w:tcPr>
          <w:p w14:paraId="05E036C1" w14:textId="77777777" w:rsidR="008B3658" w:rsidRPr="0014395B" w:rsidRDefault="00AF1679" w:rsidP="00AF1679">
            <w:pPr>
              <w:jc w:val="center"/>
              <w:rPr>
                <w:rFonts w:asciiTheme="minorHAnsi" w:hAnsiTheme="minorHAnsi"/>
                <w:b/>
                <w:sz w:val="20"/>
                <w:szCs w:val="20"/>
              </w:rPr>
            </w:pPr>
            <w:r>
              <w:rPr>
                <w:rFonts w:asciiTheme="minorHAnsi" w:hAnsiTheme="minorHAnsi"/>
                <w:b/>
                <w:sz w:val="20"/>
                <w:szCs w:val="20"/>
              </w:rPr>
              <w:t>2.36</w:t>
            </w:r>
          </w:p>
        </w:tc>
      </w:tr>
    </w:tbl>
    <w:p w14:paraId="05E036C3" w14:textId="77777777" w:rsidR="0093128F" w:rsidRDefault="0093128F" w:rsidP="00FF2E2B">
      <w:pPr>
        <w:rPr>
          <w:sz w:val="18"/>
          <w:szCs w:val="18"/>
        </w:rPr>
      </w:pPr>
    </w:p>
    <w:p w14:paraId="05E036C4" w14:textId="77777777" w:rsidR="00FF2E2B" w:rsidRDefault="00D634A2" w:rsidP="00FF2E2B">
      <w:r w:rsidRPr="00AC092C">
        <w:rPr>
          <w:sz w:val="18"/>
          <w:szCs w:val="18"/>
        </w:rPr>
        <w:t xml:space="preserve">Note: </w:t>
      </w:r>
      <w:r>
        <w:rPr>
          <w:sz w:val="18"/>
          <w:szCs w:val="18"/>
        </w:rPr>
        <w:t>Expen</w:t>
      </w:r>
      <w:r w:rsidR="00E12D4B">
        <w:rPr>
          <w:sz w:val="18"/>
          <w:szCs w:val="18"/>
        </w:rPr>
        <w:t xml:space="preserve">ditures </w:t>
      </w:r>
      <w:r>
        <w:rPr>
          <w:sz w:val="18"/>
          <w:szCs w:val="18"/>
        </w:rPr>
        <w:t>and savings a</w:t>
      </w:r>
      <w:r w:rsidR="00E12D4B">
        <w:rPr>
          <w:sz w:val="18"/>
          <w:szCs w:val="18"/>
        </w:rPr>
        <w:t xml:space="preserve">re </w:t>
      </w:r>
      <w:r w:rsidR="0014395B">
        <w:rPr>
          <w:sz w:val="18"/>
          <w:szCs w:val="18"/>
        </w:rPr>
        <w:t>a</w:t>
      </w:r>
      <w:r>
        <w:rPr>
          <w:sz w:val="18"/>
          <w:szCs w:val="18"/>
        </w:rPr>
        <w:t xml:space="preserve">djusted by PacifiCorp ownership (50%) and Washington allocation (22.47%) consistent with planning assumptions utilized in the 2014-2015 Biennial Conservation Target Report, p. 25. </w:t>
      </w:r>
    </w:p>
    <w:p w14:paraId="05E036C5" w14:textId="77777777" w:rsidR="00FF2E2B" w:rsidRDefault="00FF2E2B" w:rsidP="001F1CE0">
      <w:pPr>
        <w:ind w:left="-720"/>
      </w:pPr>
    </w:p>
    <w:p w14:paraId="05E036C6" w14:textId="77777777" w:rsidR="007329E4" w:rsidRPr="00DC1278" w:rsidRDefault="00E12D4B" w:rsidP="001C1674">
      <w:pPr>
        <w:jc w:val="both"/>
      </w:pPr>
      <w:bookmarkStart w:id="13" w:name="_Toc339191305"/>
      <w:r>
        <w:rPr>
          <w:bCs/>
        </w:rPr>
        <w:t>No production efficiency expenditures or savings were reported in 2014</w:t>
      </w:r>
      <w:r w:rsidR="00DF184B">
        <w:rPr>
          <w:bCs/>
        </w:rPr>
        <w:t xml:space="preserve"> Annual Report</w:t>
      </w:r>
      <w:r w:rsidR="006D01BB">
        <w:rPr>
          <w:bCs/>
        </w:rPr>
        <w:t xml:space="preserve"> </w:t>
      </w:r>
      <w:r w:rsidR="00EF0980">
        <w:rPr>
          <w:bCs/>
        </w:rPr>
        <w:t xml:space="preserve">pending final project installations and reconciliation of expenditures which was complete in 2015. </w:t>
      </w:r>
      <w:r w:rsidR="006D01BB">
        <w:rPr>
          <w:bCs/>
        </w:rPr>
        <w:t xml:space="preserve"> </w:t>
      </w:r>
      <w:r w:rsidR="007329E4">
        <w:rPr>
          <w:bCs/>
        </w:rPr>
        <w:t xml:space="preserve">Production efficiency results are included </w:t>
      </w:r>
      <w:r w:rsidR="006D01BB">
        <w:rPr>
          <w:bCs/>
        </w:rPr>
        <w:t>as</w:t>
      </w:r>
      <w:r w:rsidR="007329E4">
        <w:rPr>
          <w:bCs/>
        </w:rPr>
        <w:t xml:space="preserve"> adjustment</w:t>
      </w:r>
      <w:r w:rsidR="006D01BB">
        <w:rPr>
          <w:bCs/>
        </w:rPr>
        <w:t>s</w:t>
      </w:r>
      <w:r w:rsidR="007329E4">
        <w:rPr>
          <w:bCs/>
        </w:rPr>
        <w:t xml:space="preserve"> since they were not previously included in 201</w:t>
      </w:r>
      <w:r w:rsidR="004A35C0">
        <w:rPr>
          <w:bCs/>
        </w:rPr>
        <w:t>4</w:t>
      </w:r>
      <w:r w:rsidR="007329E4">
        <w:rPr>
          <w:bCs/>
        </w:rPr>
        <w:t xml:space="preserve"> or 201</w:t>
      </w:r>
      <w:r w:rsidR="004A35C0">
        <w:rPr>
          <w:bCs/>
        </w:rPr>
        <w:t>5</w:t>
      </w:r>
      <w:r w:rsidR="007329E4">
        <w:rPr>
          <w:bCs/>
        </w:rPr>
        <w:t xml:space="preserve"> annual report(s).  </w:t>
      </w:r>
    </w:p>
    <w:p w14:paraId="05E036C7" w14:textId="77777777" w:rsidR="00DC1278" w:rsidRDefault="00DC1278" w:rsidP="00DC1278"/>
    <w:p w14:paraId="05E036C8" w14:textId="77777777" w:rsidR="00DC1278" w:rsidRDefault="00DC1278" w:rsidP="00DC1278"/>
    <w:bookmarkEnd w:id="13"/>
    <w:p w14:paraId="05E036C9" w14:textId="77777777" w:rsidR="00EF0682" w:rsidRPr="001F70CF" w:rsidRDefault="00E72AC8" w:rsidP="001F70CF">
      <w:pPr>
        <w:rPr>
          <w:b/>
          <w:u w:val="single"/>
        </w:rPr>
      </w:pPr>
      <w:r w:rsidRPr="006449B4">
        <w:rPr>
          <w:b/>
          <w:u w:val="single"/>
        </w:rPr>
        <w:t xml:space="preserve">Adjustment </w:t>
      </w:r>
      <w:r w:rsidR="007329E4" w:rsidRPr="006449B4">
        <w:rPr>
          <w:b/>
          <w:u w:val="single"/>
        </w:rPr>
        <w:t>Summary</w:t>
      </w:r>
      <w:r w:rsidR="007329E4" w:rsidRPr="001F70CF">
        <w:rPr>
          <w:b/>
          <w:u w:val="single"/>
        </w:rPr>
        <w:t xml:space="preserve"> </w:t>
      </w:r>
    </w:p>
    <w:p w14:paraId="05E036CA" w14:textId="77777777" w:rsidR="001F70CF" w:rsidRDefault="001F70CF" w:rsidP="001F70CF">
      <w:pPr>
        <w:contextualSpacing/>
        <w:jc w:val="both"/>
      </w:pPr>
    </w:p>
    <w:p w14:paraId="05E036CB" w14:textId="77777777" w:rsidR="007A002D" w:rsidRDefault="007A002D" w:rsidP="009D61B5">
      <w:pPr>
        <w:jc w:val="both"/>
      </w:pPr>
      <w:r>
        <w:t>The net effect of all adjustments applied to the 201</w:t>
      </w:r>
      <w:r w:rsidR="00122D86">
        <w:t>4</w:t>
      </w:r>
      <w:r>
        <w:t>-201</w:t>
      </w:r>
      <w:r w:rsidR="00122D86">
        <w:t>5</w:t>
      </w:r>
      <w:r>
        <w:t xml:space="preserve"> biennial</w:t>
      </w:r>
      <w:r w:rsidR="00F015F2">
        <w:t xml:space="preserve"> </w:t>
      </w:r>
      <w:r w:rsidR="006D01BB">
        <w:t xml:space="preserve">savings </w:t>
      </w:r>
      <w:r>
        <w:t>is a</w:t>
      </w:r>
      <w:r w:rsidR="006449B4">
        <w:t>n</w:t>
      </w:r>
      <w:r w:rsidR="00150EFE">
        <w:t xml:space="preserve"> </w:t>
      </w:r>
      <w:r w:rsidR="006449B4">
        <w:t>in</w:t>
      </w:r>
      <w:r w:rsidR="00150EFE">
        <w:t xml:space="preserve">crease </w:t>
      </w:r>
      <w:r>
        <w:t xml:space="preserve">of </w:t>
      </w:r>
      <w:r w:rsidR="006449B4">
        <w:t>4,110</w:t>
      </w:r>
      <w:r w:rsidR="00577E28">
        <w:t xml:space="preserve"> </w:t>
      </w:r>
      <w:r w:rsidR="00E81BB2">
        <w:t>M</w:t>
      </w:r>
      <w:r>
        <w:t>Wh. These adjustments include the effects of line losses</w:t>
      </w:r>
      <w:r w:rsidR="009D61B5">
        <w:t>.</w:t>
      </w:r>
    </w:p>
    <w:p w14:paraId="05E036CC" w14:textId="77777777" w:rsidR="009D61B5" w:rsidRDefault="009D61B5" w:rsidP="009D61B5">
      <w:pPr>
        <w:jc w:val="both"/>
        <w:rPr>
          <w:b/>
        </w:rPr>
      </w:pPr>
    </w:p>
    <w:p w14:paraId="05E036CD" w14:textId="77777777" w:rsidR="007A002D" w:rsidRDefault="007A002D" w:rsidP="007A002D">
      <w:pPr>
        <w:rPr>
          <w:b/>
        </w:rPr>
      </w:pPr>
      <w:r w:rsidRPr="0031598B">
        <w:t xml:space="preserve">Table </w:t>
      </w:r>
      <w:r w:rsidR="00841448">
        <w:t>6</w:t>
      </w:r>
      <w:r w:rsidRPr="0031598B">
        <w:t xml:space="preserve"> provides detail by</w:t>
      </w:r>
      <w:r>
        <w:t xml:space="preserve"> adjustment type in kWh and reporting year.  </w:t>
      </w:r>
      <w:r>
        <w:rPr>
          <w:b/>
        </w:rPr>
        <w:t xml:space="preserve"> </w:t>
      </w:r>
    </w:p>
    <w:p w14:paraId="05E036CE" w14:textId="77777777" w:rsidR="00D7527F" w:rsidRDefault="00D7527F" w:rsidP="007A002D">
      <w:pPr>
        <w:jc w:val="center"/>
        <w:rPr>
          <w:b/>
        </w:rPr>
      </w:pPr>
    </w:p>
    <w:p w14:paraId="05E036CF" w14:textId="77777777" w:rsidR="001D7139" w:rsidRDefault="001D7139" w:rsidP="007A002D">
      <w:pPr>
        <w:jc w:val="center"/>
        <w:rPr>
          <w:b/>
        </w:rPr>
      </w:pPr>
    </w:p>
    <w:p w14:paraId="05E036D0" w14:textId="77777777" w:rsidR="001D7139" w:rsidRDefault="001D7139" w:rsidP="007A002D">
      <w:pPr>
        <w:jc w:val="center"/>
        <w:rPr>
          <w:b/>
        </w:rPr>
      </w:pPr>
    </w:p>
    <w:p w14:paraId="05E036D1" w14:textId="77777777" w:rsidR="007A002D" w:rsidRPr="000611D9" w:rsidRDefault="007A002D" w:rsidP="007A002D">
      <w:pPr>
        <w:jc w:val="center"/>
        <w:rPr>
          <w:b/>
        </w:rPr>
      </w:pPr>
      <w:r w:rsidRPr="000611D9">
        <w:rPr>
          <w:b/>
        </w:rPr>
        <w:lastRenderedPageBreak/>
        <w:t xml:space="preserve">Table </w:t>
      </w:r>
      <w:r w:rsidR="00841448">
        <w:rPr>
          <w:b/>
        </w:rPr>
        <w:t>6</w:t>
      </w:r>
      <w:r>
        <w:rPr>
          <w:b/>
        </w:rPr>
        <w:t xml:space="preserve"> </w:t>
      </w:r>
    </w:p>
    <w:p w14:paraId="05E036D2" w14:textId="77777777" w:rsidR="007A002D" w:rsidRDefault="007A002D" w:rsidP="007A002D">
      <w:pPr>
        <w:jc w:val="center"/>
        <w:rPr>
          <w:b/>
        </w:rPr>
      </w:pPr>
      <w:r>
        <w:rPr>
          <w:b/>
        </w:rPr>
        <w:t>Adjustments by Type and Year (kWh</w:t>
      </w:r>
      <w:r w:rsidR="00B46366">
        <w:rPr>
          <w:b/>
        </w:rPr>
        <w:t xml:space="preserve"> at generation</w:t>
      </w:r>
      <w:r w:rsidR="00747139">
        <w:rPr>
          <w:b/>
        </w:rPr>
        <w:t>)</w:t>
      </w:r>
    </w:p>
    <w:p w14:paraId="05E036D3" w14:textId="77777777" w:rsidR="007A002D" w:rsidRDefault="007A002D" w:rsidP="007A002D">
      <w:pPr>
        <w:jc w:val="center"/>
        <w:rPr>
          <w:b/>
        </w:rPr>
      </w:pPr>
    </w:p>
    <w:p w14:paraId="05E036D4" w14:textId="77777777" w:rsidR="007A002D" w:rsidRDefault="00EB3633" w:rsidP="007A002D">
      <w:pPr>
        <w:jc w:val="center"/>
        <w:rPr>
          <w:b/>
        </w:rPr>
      </w:pPr>
      <w:r w:rsidRPr="00EB3633">
        <w:rPr>
          <w:noProof/>
          <w:lang w:eastAsia="en-US"/>
        </w:rPr>
        <w:drawing>
          <wp:inline distT="0" distB="0" distL="0" distR="0" wp14:anchorId="05E038CB" wp14:editId="05E038CC">
            <wp:extent cx="3822259" cy="1175866"/>
            <wp:effectExtent l="0" t="0" r="698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29759" cy="1178173"/>
                    </a:xfrm>
                    <a:prstGeom prst="rect">
                      <a:avLst/>
                    </a:prstGeom>
                    <a:noFill/>
                    <a:ln>
                      <a:noFill/>
                    </a:ln>
                  </pic:spPr>
                </pic:pic>
              </a:graphicData>
            </a:graphic>
          </wp:inline>
        </w:drawing>
      </w:r>
    </w:p>
    <w:p w14:paraId="05E036D5" w14:textId="77777777" w:rsidR="00B93000" w:rsidRPr="008A0C42" w:rsidRDefault="00B93000" w:rsidP="006E37F8">
      <w:pPr>
        <w:pStyle w:val="Heading1"/>
        <w:spacing w:line="360" w:lineRule="auto"/>
        <w:contextualSpacing/>
        <w:rPr>
          <w:rFonts w:ascii="Times New Roman" w:hAnsi="Times New Roman" w:cs="Times New Roman"/>
          <w:sz w:val="24"/>
          <w:szCs w:val="24"/>
          <w:u w:val="single"/>
        </w:rPr>
      </w:pPr>
      <w:bookmarkStart w:id="14" w:name="_Toc457372001"/>
      <w:r w:rsidRPr="008A0C42">
        <w:rPr>
          <w:rFonts w:ascii="Times New Roman" w:hAnsi="Times New Roman" w:cs="Times New Roman"/>
          <w:sz w:val="24"/>
          <w:szCs w:val="24"/>
          <w:u w:val="single"/>
        </w:rPr>
        <w:t>UES Baseline Analysis</w:t>
      </w:r>
      <w:bookmarkEnd w:id="14"/>
    </w:p>
    <w:p w14:paraId="05E036D6" w14:textId="77777777" w:rsidR="00D636FE" w:rsidRDefault="00D636FE" w:rsidP="006449B4">
      <w:pPr>
        <w:jc w:val="both"/>
      </w:pPr>
      <w:r w:rsidRPr="008A0C42">
        <w:t>As explained on Page 11</w:t>
      </w:r>
      <w:r>
        <w:t xml:space="preserve"> of the Company’s 2014-2015 Biennial Conservation Plan, consistent with reporting in previous biennia and </w:t>
      </w:r>
      <w:r w:rsidRPr="00432C28">
        <w:t xml:space="preserve">the general consensus of parties to the </w:t>
      </w:r>
      <w:r>
        <w:t xml:space="preserve">2011 </w:t>
      </w:r>
      <w:r w:rsidRPr="00432C28">
        <w:t>Washington Conservation Work Group meetings</w:t>
      </w:r>
      <w:r>
        <w:t>, the savings reported in this document utilize the same baseline and other planning assumptions</w:t>
      </w:r>
      <w:r w:rsidR="00DE3C1B">
        <w:t xml:space="preserve"> (i.e., “frozen</w:t>
      </w:r>
      <w:r w:rsidR="009D61B5">
        <w:t>)</w:t>
      </w:r>
      <w:r>
        <w:t xml:space="preserve"> used to set the 2014-2015 biennial conservation target</w:t>
      </w:r>
      <w:r w:rsidR="00DE3C1B">
        <w:rPr>
          <w:rStyle w:val="FootnoteReference"/>
        </w:rPr>
        <w:footnoteReference w:id="7"/>
      </w:r>
      <w:r>
        <w:t xml:space="preserve">. Planning assumptions </w:t>
      </w:r>
      <w:r w:rsidR="00DE3C1B">
        <w:t>were</w:t>
      </w:r>
      <w:r>
        <w:t xml:space="preserve"> held constant over the biennial period to mitigate potential risk associated with updating savings assumptions based on RTF</w:t>
      </w:r>
      <w:r w:rsidR="00DE3C1B">
        <w:t xml:space="preserve"> Unit Energy Savings (UES), program evaluation results, or other sources of savings values.</w:t>
      </w:r>
    </w:p>
    <w:p w14:paraId="05E036D7" w14:textId="77777777" w:rsidR="00DE3C1B" w:rsidRDefault="00DE3C1B" w:rsidP="006449B4">
      <w:pPr>
        <w:jc w:val="both"/>
      </w:pPr>
    </w:p>
    <w:p w14:paraId="05E036D8" w14:textId="77777777" w:rsidR="00DE3C1B" w:rsidRDefault="00DE3C1B" w:rsidP="006449B4">
      <w:pPr>
        <w:jc w:val="both"/>
      </w:pPr>
      <w:r>
        <w:t xml:space="preserve">To </w:t>
      </w:r>
      <w:r w:rsidR="00E4125E">
        <w:t xml:space="preserve">quantify the </w:t>
      </w:r>
      <w:r>
        <w:t xml:space="preserve">level of risk associated with “floating” </w:t>
      </w:r>
      <w:r w:rsidR="00E4125E">
        <w:t>assumptions, the Company performed a parallel savings analysis to estimate what savings would have been during the 2014-2015 biennial period if assumptions were allowed to float. To perform this analysis, the Company chose to replicate Puget Sound Energy’s method of updating UES values once during the biennial period, effective January 1</w:t>
      </w:r>
      <w:r w:rsidR="00E4125E" w:rsidRPr="00E4125E">
        <w:rPr>
          <w:vertAlign w:val="superscript"/>
        </w:rPr>
        <w:t>st</w:t>
      </w:r>
      <w:r w:rsidR="00E4125E">
        <w:t xml:space="preserve"> of the second year</w:t>
      </w:r>
      <w:r w:rsidR="00185161">
        <w:t xml:space="preserve"> based on updated information available by October 1</w:t>
      </w:r>
      <w:r w:rsidR="00185161" w:rsidRPr="00185161">
        <w:rPr>
          <w:vertAlign w:val="superscript"/>
        </w:rPr>
        <w:t>st</w:t>
      </w:r>
      <w:r w:rsidR="00185161">
        <w:t xml:space="preserve"> of the first year</w:t>
      </w:r>
      <w:r w:rsidR="00E4125E">
        <w:t>.</w:t>
      </w:r>
      <w:r w:rsidR="00185161">
        <w:t xml:space="preserve"> The Company shared the proposed methodology with its DSM Advisory Group on March 18, 2015</w:t>
      </w:r>
      <w:r w:rsidR="00C737E9">
        <w:t>,</w:t>
      </w:r>
      <w:r w:rsidR="00FD3639">
        <w:t xml:space="preserve"> and Advisory Group members agreed that the method was appropriate for the purpose of this risk assessment</w:t>
      </w:r>
      <w:r w:rsidR="00185161">
        <w:t>.</w:t>
      </w:r>
    </w:p>
    <w:p w14:paraId="05E036D9" w14:textId="77777777" w:rsidR="00FD3639" w:rsidRDefault="00FD3639" w:rsidP="006449B4">
      <w:pPr>
        <w:jc w:val="both"/>
      </w:pPr>
    </w:p>
    <w:p w14:paraId="05E036DA" w14:textId="77777777" w:rsidR="00FD3639" w:rsidRDefault="0060530F" w:rsidP="006449B4">
      <w:pPr>
        <w:jc w:val="both"/>
      </w:pPr>
      <w:r w:rsidRPr="0031598B">
        <w:t xml:space="preserve">Table </w:t>
      </w:r>
      <w:r w:rsidR="00841448">
        <w:t>7</w:t>
      </w:r>
      <w:r w:rsidR="00FD3639" w:rsidRPr="0031598B">
        <w:t xml:space="preserve"> shows</w:t>
      </w:r>
      <w:r w:rsidR="00FD3639">
        <w:t xml:space="preserve"> the result</w:t>
      </w:r>
      <w:r w:rsidR="006449B4">
        <w:t>s</w:t>
      </w:r>
      <w:r w:rsidR="00FD3639">
        <w:t xml:space="preserve"> of the floating UES analysis for affected measures. All of the updated UES values shown below are the result of RTF updates between October 2013 and September 2014. As shown, the total impact on reported 2015 savings is 3,300 MWh at site, or </w:t>
      </w:r>
      <w:r w:rsidR="00242D36">
        <w:t>3.</w:t>
      </w:r>
      <w:r w:rsidR="00242D36" w:rsidRPr="008A0C42">
        <w:t>3</w:t>
      </w:r>
      <w:r w:rsidR="00C737E9">
        <w:t xml:space="preserve"> percent</w:t>
      </w:r>
      <w:r w:rsidR="00FD3639" w:rsidRPr="008A0C42">
        <w:t xml:space="preserve"> of</w:t>
      </w:r>
      <w:r w:rsidR="00FD3639">
        <w:t xml:space="preserve"> savings claimed towards satisfying the Biennial Conservation Target. While the percentage impact was relatively </w:t>
      </w:r>
      <w:r>
        <w:t>small during the 2014-2015 biennium, the analysis illustrates that many measures are affected by RTF updates and that floating UES values with these updates does create risk for a utility in meeting its biennial conservation target.</w:t>
      </w:r>
    </w:p>
    <w:p w14:paraId="05E036DB" w14:textId="77777777" w:rsidR="00FD3639" w:rsidRDefault="00FD3639" w:rsidP="00D636FE"/>
    <w:p w14:paraId="05E036DC" w14:textId="77777777" w:rsidR="001D7139" w:rsidRDefault="001D7139" w:rsidP="00D636FE"/>
    <w:p w14:paraId="05E036DD" w14:textId="77777777" w:rsidR="001D7139" w:rsidRDefault="001D7139" w:rsidP="00D636FE"/>
    <w:p w14:paraId="05E036DE" w14:textId="77777777" w:rsidR="001D7139" w:rsidRPr="00432C28" w:rsidRDefault="001D7139" w:rsidP="00D636FE"/>
    <w:p w14:paraId="05E036DF" w14:textId="77777777" w:rsidR="00FD3639" w:rsidRPr="000611D9" w:rsidRDefault="00FD3639" w:rsidP="00FD3639">
      <w:pPr>
        <w:jc w:val="center"/>
        <w:rPr>
          <w:b/>
        </w:rPr>
      </w:pPr>
      <w:r w:rsidRPr="000611D9">
        <w:rPr>
          <w:b/>
        </w:rPr>
        <w:lastRenderedPageBreak/>
        <w:t xml:space="preserve">Table </w:t>
      </w:r>
      <w:r w:rsidR="00841448">
        <w:rPr>
          <w:b/>
        </w:rPr>
        <w:t>7</w:t>
      </w:r>
    </w:p>
    <w:p w14:paraId="05E036E0" w14:textId="77777777" w:rsidR="00FD3639" w:rsidRDefault="00FD3639" w:rsidP="00FD3639">
      <w:pPr>
        <w:jc w:val="center"/>
        <w:rPr>
          <w:b/>
        </w:rPr>
      </w:pPr>
      <w:r>
        <w:rPr>
          <w:b/>
        </w:rPr>
        <w:t>Impacts of Floating UES Values</w:t>
      </w:r>
    </w:p>
    <w:tbl>
      <w:tblPr>
        <w:tblW w:w="9809" w:type="dxa"/>
        <w:jc w:val="center"/>
        <w:tblLook w:val="04A0" w:firstRow="1" w:lastRow="0" w:firstColumn="1" w:lastColumn="0" w:noHBand="0" w:noVBand="1"/>
      </w:tblPr>
      <w:tblGrid>
        <w:gridCol w:w="1440"/>
        <w:gridCol w:w="2507"/>
        <w:gridCol w:w="935"/>
        <w:gridCol w:w="1145"/>
        <w:gridCol w:w="1145"/>
        <w:gridCol w:w="1145"/>
        <w:gridCol w:w="875"/>
        <w:gridCol w:w="1154"/>
      </w:tblGrid>
      <w:tr w:rsidR="00FA3CE2" w:rsidRPr="008A0C42" w14:paraId="05E036E9" w14:textId="77777777" w:rsidTr="008A0C42">
        <w:trPr>
          <w:trHeight w:val="809"/>
          <w:tblHeade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036E1"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Program</w:t>
            </w:r>
          </w:p>
        </w:tc>
        <w:tc>
          <w:tcPr>
            <w:tcW w:w="2507" w:type="dxa"/>
            <w:tcBorders>
              <w:top w:val="single" w:sz="4" w:space="0" w:color="auto"/>
              <w:left w:val="nil"/>
              <w:bottom w:val="single" w:sz="4" w:space="0" w:color="auto"/>
              <w:right w:val="single" w:sz="4" w:space="0" w:color="auto"/>
            </w:tcBorders>
            <w:shd w:val="clear" w:color="auto" w:fill="auto"/>
            <w:vAlign w:val="bottom"/>
            <w:hideMark/>
          </w:tcPr>
          <w:p w14:paraId="05E036E2"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Measure Name</w:t>
            </w:r>
          </w:p>
        </w:tc>
        <w:tc>
          <w:tcPr>
            <w:tcW w:w="836" w:type="dxa"/>
            <w:tcBorders>
              <w:top w:val="single" w:sz="4" w:space="0" w:color="auto"/>
              <w:left w:val="nil"/>
              <w:bottom w:val="single" w:sz="4" w:space="0" w:color="auto"/>
              <w:right w:val="single" w:sz="4" w:space="0" w:color="auto"/>
            </w:tcBorders>
            <w:shd w:val="clear" w:color="auto" w:fill="auto"/>
            <w:vAlign w:val="bottom"/>
            <w:hideMark/>
          </w:tcPr>
          <w:p w14:paraId="05E036E3"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Unit</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14:paraId="05E036E4"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Frozen UES (kWh/unit)</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14:paraId="05E036E5"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Updated UES (kWh/unit)</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14:paraId="05E036E6"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UES Change (kWh/unit)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05E036E7"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2015 Unit Count</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05E036E8"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Floating UES Impact (kWh)</w:t>
            </w:r>
          </w:p>
        </w:tc>
      </w:tr>
      <w:tr w:rsidR="00FA3CE2" w:rsidRPr="008A0C42" w14:paraId="05E036F2"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6E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6E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Clothes Washers 3.2 MEF - Electric DHW &amp; Electric Dryer</w:t>
            </w:r>
          </w:p>
        </w:tc>
        <w:tc>
          <w:tcPr>
            <w:tcW w:w="836" w:type="dxa"/>
            <w:tcBorders>
              <w:top w:val="nil"/>
              <w:left w:val="nil"/>
              <w:bottom w:val="single" w:sz="4" w:space="0" w:color="auto"/>
              <w:right w:val="single" w:sz="4" w:space="0" w:color="auto"/>
            </w:tcBorders>
            <w:shd w:val="clear" w:color="auto" w:fill="auto"/>
            <w:noWrap/>
            <w:vAlign w:val="bottom"/>
            <w:hideMark/>
          </w:tcPr>
          <w:p w14:paraId="05E036E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6E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143</w:t>
            </w:r>
          </w:p>
        </w:tc>
        <w:tc>
          <w:tcPr>
            <w:tcW w:w="1054" w:type="dxa"/>
            <w:tcBorders>
              <w:top w:val="nil"/>
              <w:left w:val="nil"/>
              <w:bottom w:val="single" w:sz="4" w:space="0" w:color="auto"/>
              <w:right w:val="single" w:sz="4" w:space="0" w:color="auto"/>
            </w:tcBorders>
            <w:shd w:val="clear" w:color="auto" w:fill="auto"/>
            <w:noWrap/>
            <w:vAlign w:val="bottom"/>
            <w:hideMark/>
          </w:tcPr>
          <w:p w14:paraId="05E036E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211</w:t>
            </w:r>
          </w:p>
        </w:tc>
        <w:tc>
          <w:tcPr>
            <w:tcW w:w="1016" w:type="dxa"/>
            <w:tcBorders>
              <w:top w:val="nil"/>
              <w:left w:val="nil"/>
              <w:bottom w:val="single" w:sz="4" w:space="0" w:color="auto"/>
              <w:right w:val="single" w:sz="4" w:space="0" w:color="auto"/>
            </w:tcBorders>
            <w:shd w:val="clear" w:color="auto" w:fill="auto"/>
            <w:noWrap/>
            <w:vAlign w:val="bottom"/>
            <w:hideMark/>
          </w:tcPr>
          <w:p w14:paraId="05E036E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68</w:t>
            </w:r>
          </w:p>
        </w:tc>
        <w:tc>
          <w:tcPr>
            <w:tcW w:w="810" w:type="dxa"/>
            <w:tcBorders>
              <w:top w:val="nil"/>
              <w:left w:val="nil"/>
              <w:bottom w:val="single" w:sz="4" w:space="0" w:color="auto"/>
              <w:right w:val="single" w:sz="4" w:space="0" w:color="auto"/>
            </w:tcBorders>
            <w:shd w:val="clear" w:color="auto" w:fill="auto"/>
            <w:noWrap/>
            <w:vAlign w:val="bottom"/>
            <w:hideMark/>
          </w:tcPr>
          <w:p w14:paraId="05E036F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117</w:t>
            </w:r>
          </w:p>
        </w:tc>
        <w:tc>
          <w:tcPr>
            <w:tcW w:w="1130" w:type="dxa"/>
            <w:tcBorders>
              <w:top w:val="nil"/>
              <w:left w:val="nil"/>
              <w:bottom w:val="single" w:sz="4" w:space="0" w:color="auto"/>
              <w:right w:val="single" w:sz="4" w:space="0" w:color="auto"/>
            </w:tcBorders>
            <w:shd w:val="clear" w:color="auto" w:fill="auto"/>
            <w:noWrap/>
            <w:vAlign w:val="bottom"/>
            <w:hideMark/>
          </w:tcPr>
          <w:p w14:paraId="05E036F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7,956</w:t>
            </w:r>
          </w:p>
        </w:tc>
      </w:tr>
      <w:tr w:rsidR="00FA3CE2" w:rsidRPr="008A0C42" w14:paraId="05E036FB"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6F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6F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Clothes Washers 3.2 MEF - Electric DHW &amp; Gas Dryer</w:t>
            </w:r>
          </w:p>
        </w:tc>
        <w:tc>
          <w:tcPr>
            <w:tcW w:w="836" w:type="dxa"/>
            <w:tcBorders>
              <w:top w:val="nil"/>
              <w:left w:val="nil"/>
              <w:bottom w:val="single" w:sz="4" w:space="0" w:color="auto"/>
              <w:right w:val="single" w:sz="4" w:space="0" w:color="auto"/>
            </w:tcBorders>
            <w:shd w:val="clear" w:color="auto" w:fill="auto"/>
            <w:noWrap/>
            <w:vAlign w:val="bottom"/>
            <w:hideMark/>
          </w:tcPr>
          <w:p w14:paraId="05E036F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6F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54</w:t>
            </w:r>
          </w:p>
        </w:tc>
        <w:tc>
          <w:tcPr>
            <w:tcW w:w="1054" w:type="dxa"/>
            <w:tcBorders>
              <w:top w:val="nil"/>
              <w:left w:val="nil"/>
              <w:bottom w:val="single" w:sz="4" w:space="0" w:color="auto"/>
              <w:right w:val="single" w:sz="4" w:space="0" w:color="auto"/>
            </w:tcBorders>
            <w:shd w:val="clear" w:color="auto" w:fill="auto"/>
            <w:noWrap/>
            <w:vAlign w:val="bottom"/>
            <w:hideMark/>
          </w:tcPr>
          <w:p w14:paraId="05E036F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84</w:t>
            </w:r>
          </w:p>
        </w:tc>
        <w:tc>
          <w:tcPr>
            <w:tcW w:w="1016" w:type="dxa"/>
            <w:tcBorders>
              <w:top w:val="nil"/>
              <w:left w:val="nil"/>
              <w:bottom w:val="single" w:sz="4" w:space="0" w:color="auto"/>
              <w:right w:val="single" w:sz="4" w:space="0" w:color="auto"/>
            </w:tcBorders>
            <w:shd w:val="clear" w:color="auto" w:fill="auto"/>
            <w:noWrap/>
            <w:vAlign w:val="bottom"/>
            <w:hideMark/>
          </w:tcPr>
          <w:p w14:paraId="05E036F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30</w:t>
            </w:r>
          </w:p>
        </w:tc>
        <w:tc>
          <w:tcPr>
            <w:tcW w:w="810" w:type="dxa"/>
            <w:tcBorders>
              <w:top w:val="nil"/>
              <w:left w:val="nil"/>
              <w:bottom w:val="single" w:sz="4" w:space="0" w:color="auto"/>
              <w:right w:val="single" w:sz="4" w:space="0" w:color="auto"/>
            </w:tcBorders>
            <w:shd w:val="clear" w:color="auto" w:fill="auto"/>
            <w:noWrap/>
            <w:vAlign w:val="bottom"/>
            <w:hideMark/>
          </w:tcPr>
          <w:p w14:paraId="05E036F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c>
          <w:tcPr>
            <w:tcW w:w="1130" w:type="dxa"/>
            <w:tcBorders>
              <w:top w:val="nil"/>
              <w:left w:val="nil"/>
              <w:bottom w:val="single" w:sz="4" w:space="0" w:color="auto"/>
              <w:right w:val="single" w:sz="4" w:space="0" w:color="auto"/>
            </w:tcBorders>
            <w:shd w:val="clear" w:color="auto" w:fill="auto"/>
            <w:noWrap/>
            <w:vAlign w:val="bottom"/>
            <w:hideMark/>
          </w:tcPr>
          <w:p w14:paraId="05E036F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r>
      <w:tr w:rsidR="00FA3CE2" w:rsidRPr="008A0C42" w14:paraId="05E03704"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6F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6F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Clothes Washers 3.2 MEF - Gas DHW &amp; Electric Dryer</w:t>
            </w:r>
          </w:p>
        </w:tc>
        <w:tc>
          <w:tcPr>
            <w:tcW w:w="836" w:type="dxa"/>
            <w:tcBorders>
              <w:top w:val="nil"/>
              <w:left w:val="nil"/>
              <w:bottom w:val="single" w:sz="4" w:space="0" w:color="auto"/>
              <w:right w:val="single" w:sz="4" w:space="0" w:color="auto"/>
            </w:tcBorders>
            <w:shd w:val="clear" w:color="auto" w:fill="auto"/>
            <w:noWrap/>
            <w:vAlign w:val="bottom"/>
            <w:hideMark/>
          </w:tcPr>
          <w:p w14:paraId="05E036F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6F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106</w:t>
            </w:r>
          </w:p>
        </w:tc>
        <w:tc>
          <w:tcPr>
            <w:tcW w:w="1054" w:type="dxa"/>
            <w:tcBorders>
              <w:top w:val="nil"/>
              <w:left w:val="nil"/>
              <w:bottom w:val="single" w:sz="4" w:space="0" w:color="auto"/>
              <w:right w:val="single" w:sz="4" w:space="0" w:color="auto"/>
            </w:tcBorders>
            <w:shd w:val="clear" w:color="auto" w:fill="auto"/>
            <w:noWrap/>
            <w:vAlign w:val="bottom"/>
            <w:hideMark/>
          </w:tcPr>
          <w:p w14:paraId="05E0370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151</w:t>
            </w:r>
          </w:p>
        </w:tc>
        <w:tc>
          <w:tcPr>
            <w:tcW w:w="1016" w:type="dxa"/>
            <w:tcBorders>
              <w:top w:val="nil"/>
              <w:left w:val="nil"/>
              <w:bottom w:val="single" w:sz="4" w:space="0" w:color="auto"/>
              <w:right w:val="single" w:sz="4" w:space="0" w:color="auto"/>
            </w:tcBorders>
            <w:shd w:val="clear" w:color="auto" w:fill="auto"/>
            <w:noWrap/>
            <w:vAlign w:val="bottom"/>
            <w:hideMark/>
          </w:tcPr>
          <w:p w14:paraId="05E0370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45</w:t>
            </w:r>
          </w:p>
        </w:tc>
        <w:tc>
          <w:tcPr>
            <w:tcW w:w="810" w:type="dxa"/>
            <w:tcBorders>
              <w:top w:val="nil"/>
              <w:left w:val="nil"/>
              <w:bottom w:val="single" w:sz="4" w:space="0" w:color="auto"/>
              <w:right w:val="single" w:sz="4" w:space="0" w:color="auto"/>
            </w:tcBorders>
            <w:shd w:val="clear" w:color="auto" w:fill="auto"/>
            <w:noWrap/>
            <w:vAlign w:val="bottom"/>
            <w:hideMark/>
          </w:tcPr>
          <w:p w14:paraId="05E0370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39</w:t>
            </w:r>
          </w:p>
        </w:tc>
        <w:tc>
          <w:tcPr>
            <w:tcW w:w="1130" w:type="dxa"/>
            <w:tcBorders>
              <w:top w:val="nil"/>
              <w:left w:val="nil"/>
              <w:bottom w:val="single" w:sz="4" w:space="0" w:color="auto"/>
              <w:right w:val="single" w:sz="4" w:space="0" w:color="auto"/>
            </w:tcBorders>
            <w:shd w:val="clear" w:color="auto" w:fill="auto"/>
            <w:noWrap/>
            <w:vAlign w:val="bottom"/>
            <w:hideMark/>
          </w:tcPr>
          <w:p w14:paraId="05E0370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1,755</w:t>
            </w:r>
          </w:p>
        </w:tc>
      </w:tr>
      <w:tr w:rsidR="00FA3CE2" w:rsidRPr="008A0C42" w14:paraId="05E0370D"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0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0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Clothes Washers 3.2 MEF - Gas DHW &amp; Gas Dryer</w:t>
            </w:r>
          </w:p>
        </w:tc>
        <w:tc>
          <w:tcPr>
            <w:tcW w:w="836" w:type="dxa"/>
            <w:tcBorders>
              <w:top w:val="nil"/>
              <w:left w:val="nil"/>
              <w:bottom w:val="single" w:sz="4" w:space="0" w:color="auto"/>
              <w:right w:val="single" w:sz="4" w:space="0" w:color="auto"/>
            </w:tcBorders>
            <w:shd w:val="clear" w:color="auto" w:fill="auto"/>
            <w:noWrap/>
            <w:vAlign w:val="bottom"/>
            <w:hideMark/>
          </w:tcPr>
          <w:p w14:paraId="05E0370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0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16</w:t>
            </w:r>
          </w:p>
        </w:tc>
        <w:tc>
          <w:tcPr>
            <w:tcW w:w="1054" w:type="dxa"/>
            <w:tcBorders>
              <w:top w:val="nil"/>
              <w:left w:val="nil"/>
              <w:bottom w:val="single" w:sz="4" w:space="0" w:color="auto"/>
              <w:right w:val="single" w:sz="4" w:space="0" w:color="auto"/>
            </w:tcBorders>
            <w:shd w:val="clear" w:color="auto" w:fill="auto"/>
            <w:noWrap/>
            <w:vAlign w:val="bottom"/>
            <w:hideMark/>
          </w:tcPr>
          <w:p w14:paraId="05E0370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24</w:t>
            </w:r>
          </w:p>
        </w:tc>
        <w:tc>
          <w:tcPr>
            <w:tcW w:w="1016" w:type="dxa"/>
            <w:tcBorders>
              <w:top w:val="nil"/>
              <w:left w:val="nil"/>
              <w:bottom w:val="single" w:sz="4" w:space="0" w:color="auto"/>
              <w:right w:val="single" w:sz="4" w:space="0" w:color="auto"/>
            </w:tcBorders>
            <w:shd w:val="clear" w:color="auto" w:fill="auto"/>
            <w:noWrap/>
            <w:vAlign w:val="bottom"/>
            <w:hideMark/>
          </w:tcPr>
          <w:p w14:paraId="05E0370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w:t>
            </w:r>
          </w:p>
        </w:tc>
        <w:tc>
          <w:tcPr>
            <w:tcW w:w="810" w:type="dxa"/>
            <w:tcBorders>
              <w:top w:val="nil"/>
              <w:left w:val="nil"/>
              <w:bottom w:val="single" w:sz="4" w:space="0" w:color="auto"/>
              <w:right w:val="single" w:sz="4" w:space="0" w:color="auto"/>
            </w:tcBorders>
            <w:shd w:val="clear" w:color="auto" w:fill="auto"/>
            <w:noWrap/>
            <w:vAlign w:val="bottom"/>
            <w:hideMark/>
          </w:tcPr>
          <w:p w14:paraId="05E0370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w:t>
            </w:r>
          </w:p>
        </w:tc>
        <w:tc>
          <w:tcPr>
            <w:tcW w:w="1130" w:type="dxa"/>
            <w:tcBorders>
              <w:top w:val="nil"/>
              <w:left w:val="nil"/>
              <w:bottom w:val="single" w:sz="4" w:space="0" w:color="auto"/>
              <w:right w:val="single" w:sz="4" w:space="0" w:color="auto"/>
            </w:tcBorders>
            <w:shd w:val="clear" w:color="auto" w:fill="auto"/>
            <w:noWrap/>
            <w:vAlign w:val="bottom"/>
            <w:hideMark/>
          </w:tcPr>
          <w:p w14:paraId="05E0370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56</w:t>
            </w:r>
          </w:p>
        </w:tc>
      </w:tr>
      <w:tr w:rsidR="00FA3CE2" w:rsidRPr="008A0C42" w14:paraId="05E03716"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0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0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Refrigerator (CEE Tier 2) Any Style</w:t>
            </w:r>
          </w:p>
        </w:tc>
        <w:tc>
          <w:tcPr>
            <w:tcW w:w="836" w:type="dxa"/>
            <w:tcBorders>
              <w:top w:val="nil"/>
              <w:left w:val="nil"/>
              <w:bottom w:val="single" w:sz="4" w:space="0" w:color="auto"/>
              <w:right w:val="single" w:sz="4" w:space="0" w:color="auto"/>
            </w:tcBorders>
            <w:shd w:val="clear" w:color="auto" w:fill="auto"/>
            <w:noWrap/>
            <w:vAlign w:val="bottom"/>
            <w:hideMark/>
          </w:tcPr>
          <w:p w14:paraId="05E0371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1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46</w:t>
            </w:r>
          </w:p>
        </w:tc>
        <w:tc>
          <w:tcPr>
            <w:tcW w:w="1054" w:type="dxa"/>
            <w:tcBorders>
              <w:top w:val="nil"/>
              <w:left w:val="nil"/>
              <w:bottom w:val="single" w:sz="4" w:space="0" w:color="auto"/>
              <w:right w:val="single" w:sz="4" w:space="0" w:color="auto"/>
            </w:tcBorders>
            <w:shd w:val="clear" w:color="auto" w:fill="auto"/>
            <w:noWrap/>
            <w:vAlign w:val="bottom"/>
            <w:hideMark/>
          </w:tcPr>
          <w:p w14:paraId="05E0371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47</w:t>
            </w:r>
          </w:p>
        </w:tc>
        <w:tc>
          <w:tcPr>
            <w:tcW w:w="1016" w:type="dxa"/>
            <w:tcBorders>
              <w:top w:val="nil"/>
              <w:left w:val="nil"/>
              <w:bottom w:val="single" w:sz="4" w:space="0" w:color="auto"/>
              <w:right w:val="single" w:sz="4" w:space="0" w:color="auto"/>
            </w:tcBorders>
            <w:shd w:val="clear" w:color="auto" w:fill="auto"/>
            <w:noWrap/>
            <w:vAlign w:val="bottom"/>
            <w:hideMark/>
          </w:tcPr>
          <w:p w14:paraId="05E0371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w:t>
            </w:r>
          </w:p>
        </w:tc>
        <w:tc>
          <w:tcPr>
            <w:tcW w:w="810" w:type="dxa"/>
            <w:tcBorders>
              <w:top w:val="nil"/>
              <w:left w:val="nil"/>
              <w:bottom w:val="single" w:sz="4" w:space="0" w:color="auto"/>
              <w:right w:val="single" w:sz="4" w:space="0" w:color="auto"/>
            </w:tcBorders>
            <w:shd w:val="clear" w:color="auto" w:fill="auto"/>
            <w:noWrap/>
            <w:vAlign w:val="bottom"/>
            <w:hideMark/>
          </w:tcPr>
          <w:p w14:paraId="05E0371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w:t>
            </w:r>
          </w:p>
        </w:tc>
        <w:tc>
          <w:tcPr>
            <w:tcW w:w="1130" w:type="dxa"/>
            <w:tcBorders>
              <w:top w:val="nil"/>
              <w:left w:val="nil"/>
              <w:bottom w:val="single" w:sz="4" w:space="0" w:color="auto"/>
              <w:right w:val="single" w:sz="4" w:space="0" w:color="auto"/>
            </w:tcBorders>
            <w:shd w:val="clear" w:color="auto" w:fill="auto"/>
            <w:noWrap/>
            <w:vAlign w:val="bottom"/>
            <w:hideMark/>
          </w:tcPr>
          <w:p w14:paraId="05E0371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w:t>
            </w:r>
          </w:p>
        </w:tc>
      </w:tr>
      <w:tr w:rsidR="00FA3CE2" w:rsidRPr="008A0C42" w14:paraId="05E0371F"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1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1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Refrigerator (CEE Tier 3) Any Style</w:t>
            </w:r>
          </w:p>
        </w:tc>
        <w:tc>
          <w:tcPr>
            <w:tcW w:w="836" w:type="dxa"/>
            <w:tcBorders>
              <w:top w:val="nil"/>
              <w:left w:val="nil"/>
              <w:bottom w:val="single" w:sz="4" w:space="0" w:color="auto"/>
              <w:right w:val="single" w:sz="4" w:space="0" w:color="auto"/>
            </w:tcBorders>
            <w:shd w:val="clear" w:color="auto" w:fill="auto"/>
            <w:noWrap/>
            <w:vAlign w:val="bottom"/>
            <w:hideMark/>
          </w:tcPr>
          <w:p w14:paraId="05E0371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1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85</w:t>
            </w:r>
          </w:p>
        </w:tc>
        <w:tc>
          <w:tcPr>
            <w:tcW w:w="1054" w:type="dxa"/>
            <w:tcBorders>
              <w:top w:val="nil"/>
              <w:left w:val="nil"/>
              <w:bottom w:val="single" w:sz="4" w:space="0" w:color="auto"/>
              <w:right w:val="single" w:sz="4" w:space="0" w:color="auto"/>
            </w:tcBorders>
            <w:shd w:val="clear" w:color="auto" w:fill="auto"/>
            <w:noWrap/>
            <w:vAlign w:val="bottom"/>
            <w:hideMark/>
          </w:tcPr>
          <w:p w14:paraId="05E0371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88</w:t>
            </w:r>
          </w:p>
        </w:tc>
        <w:tc>
          <w:tcPr>
            <w:tcW w:w="1016" w:type="dxa"/>
            <w:tcBorders>
              <w:top w:val="nil"/>
              <w:left w:val="nil"/>
              <w:bottom w:val="single" w:sz="4" w:space="0" w:color="auto"/>
              <w:right w:val="single" w:sz="4" w:space="0" w:color="auto"/>
            </w:tcBorders>
            <w:shd w:val="clear" w:color="auto" w:fill="auto"/>
            <w:noWrap/>
            <w:vAlign w:val="bottom"/>
            <w:hideMark/>
          </w:tcPr>
          <w:p w14:paraId="05E0371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w:t>
            </w:r>
          </w:p>
        </w:tc>
        <w:tc>
          <w:tcPr>
            <w:tcW w:w="810" w:type="dxa"/>
            <w:tcBorders>
              <w:top w:val="nil"/>
              <w:left w:val="nil"/>
              <w:bottom w:val="single" w:sz="4" w:space="0" w:color="auto"/>
              <w:right w:val="single" w:sz="4" w:space="0" w:color="auto"/>
            </w:tcBorders>
            <w:shd w:val="clear" w:color="auto" w:fill="auto"/>
            <w:noWrap/>
            <w:vAlign w:val="bottom"/>
            <w:hideMark/>
          </w:tcPr>
          <w:p w14:paraId="05E0371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w:t>
            </w:r>
          </w:p>
        </w:tc>
        <w:tc>
          <w:tcPr>
            <w:tcW w:w="1130" w:type="dxa"/>
            <w:tcBorders>
              <w:top w:val="nil"/>
              <w:left w:val="nil"/>
              <w:bottom w:val="single" w:sz="4" w:space="0" w:color="auto"/>
              <w:right w:val="single" w:sz="4" w:space="0" w:color="auto"/>
            </w:tcBorders>
            <w:shd w:val="clear" w:color="auto" w:fill="auto"/>
            <w:noWrap/>
            <w:vAlign w:val="bottom"/>
            <w:hideMark/>
          </w:tcPr>
          <w:p w14:paraId="05E0371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w:t>
            </w:r>
          </w:p>
        </w:tc>
      </w:tr>
      <w:tr w:rsidR="0060530F" w:rsidRPr="008A0C42" w14:paraId="05E03728"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20"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21"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Air Sealing - Any Electric Heating System</w:t>
            </w:r>
          </w:p>
        </w:tc>
        <w:tc>
          <w:tcPr>
            <w:tcW w:w="836" w:type="dxa"/>
            <w:tcBorders>
              <w:top w:val="nil"/>
              <w:left w:val="nil"/>
              <w:bottom w:val="single" w:sz="4" w:space="0" w:color="auto"/>
              <w:right w:val="single" w:sz="4" w:space="0" w:color="auto"/>
            </w:tcBorders>
            <w:shd w:val="clear" w:color="auto" w:fill="auto"/>
            <w:noWrap/>
            <w:vAlign w:val="bottom"/>
            <w:hideMark/>
          </w:tcPr>
          <w:p w14:paraId="05E03722"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Sq. ft.</w:t>
            </w:r>
          </w:p>
        </w:tc>
        <w:tc>
          <w:tcPr>
            <w:tcW w:w="1016" w:type="dxa"/>
            <w:tcBorders>
              <w:top w:val="nil"/>
              <w:left w:val="nil"/>
              <w:bottom w:val="single" w:sz="4" w:space="0" w:color="auto"/>
              <w:right w:val="single" w:sz="4" w:space="0" w:color="auto"/>
            </w:tcBorders>
            <w:shd w:val="clear" w:color="auto" w:fill="auto"/>
            <w:noWrap/>
            <w:vAlign w:val="bottom"/>
            <w:hideMark/>
          </w:tcPr>
          <w:p w14:paraId="05E03723"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0.46 </w:t>
            </w:r>
          </w:p>
        </w:tc>
        <w:tc>
          <w:tcPr>
            <w:tcW w:w="1054" w:type="dxa"/>
            <w:tcBorders>
              <w:top w:val="nil"/>
              <w:left w:val="nil"/>
              <w:bottom w:val="single" w:sz="4" w:space="0" w:color="auto"/>
              <w:right w:val="single" w:sz="4" w:space="0" w:color="auto"/>
            </w:tcBorders>
            <w:shd w:val="clear" w:color="auto" w:fill="auto"/>
            <w:noWrap/>
            <w:vAlign w:val="bottom"/>
            <w:hideMark/>
          </w:tcPr>
          <w:p w14:paraId="05E03724"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0.45 </w:t>
            </w:r>
          </w:p>
        </w:tc>
        <w:tc>
          <w:tcPr>
            <w:tcW w:w="1016" w:type="dxa"/>
            <w:tcBorders>
              <w:top w:val="nil"/>
              <w:left w:val="nil"/>
              <w:bottom w:val="single" w:sz="4" w:space="0" w:color="auto"/>
              <w:right w:val="single" w:sz="4" w:space="0" w:color="auto"/>
            </w:tcBorders>
            <w:shd w:val="clear" w:color="auto" w:fill="auto"/>
            <w:noWrap/>
            <w:vAlign w:val="bottom"/>
            <w:hideMark/>
          </w:tcPr>
          <w:p w14:paraId="05E03725"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(0.01)</w:t>
            </w:r>
          </w:p>
        </w:tc>
        <w:tc>
          <w:tcPr>
            <w:tcW w:w="810" w:type="dxa"/>
            <w:tcBorders>
              <w:top w:val="nil"/>
              <w:left w:val="nil"/>
              <w:bottom w:val="single" w:sz="4" w:space="0" w:color="auto"/>
              <w:right w:val="single" w:sz="4" w:space="0" w:color="auto"/>
            </w:tcBorders>
            <w:shd w:val="clear" w:color="auto" w:fill="auto"/>
            <w:noWrap/>
            <w:vAlign w:val="bottom"/>
            <w:hideMark/>
          </w:tcPr>
          <w:p w14:paraId="05E03726" w14:textId="77777777" w:rsidR="0060530F" w:rsidRPr="008A0C42" w:rsidRDefault="0060530F"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2,764</w:t>
            </w:r>
          </w:p>
        </w:tc>
        <w:tc>
          <w:tcPr>
            <w:tcW w:w="1130" w:type="dxa"/>
            <w:tcBorders>
              <w:top w:val="nil"/>
              <w:left w:val="nil"/>
              <w:bottom w:val="single" w:sz="4" w:space="0" w:color="auto"/>
              <w:right w:val="single" w:sz="4" w:space="0" w:color="auto"/>
            </w:tcBorders>
            <w:shd w:val="clear" w:color="auto" w:fill="auto"/>
            <w:noWrap/>
            <w:vAlign w:val="bottom"/>
            <w:hideMark/>
          </w:tcPr>
          <w:p w14:paraId="05E03727" w14:textId="77777777" w:rsidR="0060530F"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60530F"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r>
      <w:tr w:rsidR="0060530F" w:rsidRPr="008A0C42" w14:paraId="05E03731"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29"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2A"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Attic Insulation - Any Electric Heating System - No Existing Insulation</w:t>
            </w:r>
          </w:p>
        </w:tc>
        <w:tc>
          <w:tcPr>
            <w:tcW w:w="836" w:type="dxa"/>
            <w:tcBorders>
              <w:top w:val="nil"/>
              <w:left w:val="nil"/>
              <w:bottom w:val="single" w:sz="4" w:space="0" w:color="auto"/>
              <w:right w:val="single" w:sz="4" w:space="0" w:color="auto"/>
            </w:tcBorders>
            <w:shd w:val="clear" w:color="auto" w:fill="auto"/>
            <w:noWrap/>
            <w:vAlign w:val="bottom"/>
            <w:hideMark/>
          </w:tcPr>
          <w:p w14:paraId="05E0372B"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Sq. ft.</w:t>
            </w:r>
          </w:p>
        </w:tc>
        <w:tc>
          <w:tcPr>
            <w:tcW w:w="1016" w:type="dxa"/>
            <w:tcBorders>
              <w:top w:val="nil"/>
              <w:left w:val="nil"/>
              <w:bottom w:val="single" w:sz="4" w:space="0" w:color="auto"/>
              <w:right w:val="single" w:sz="4" w:space="0" w:color="auto"/>
            </w:tcBorders>
            <w:shd w:val="clear" w:color="auto" w:fill="auto"/>
            <w:noWrap/>
            <w:vAlign w:val="bottom"/>
            <w:hideMark/>
          </w:tcPr>
          <w:p w14:paraId="05E0372C"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2.24 </w:t>
            </w:r>
          </w:p>
        </w:tc>
        <w:tc>
          <w:tcPr>
            <w:tcW w:w="1054" w:type="dxa"/>
            <w:tcBorders>
              <w:top w:val="nil"/>
              <w:left w:val="nil"/>
              <w:bottom w:val="single" w:sz="4" w:space="0" w:color="auto"/>
              <w:right w:val="single" w:sz="4" w:space="0" w:color="auto"/>
            </w:tcBorders>
            <w:shd w:val="clear" w:color="auto" w:fill="auto"/>
            <w:noWrap/>
            <w:vAlign w:val="bottom"/>
            <w:hideMark/>
          </w:tcPr>
          <w:p w14:paraId="05E0372D"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2.14 </w:t>
            </w:r>
          </w:p>
        </w:tc>
        <w:tc>
          <w:tcPr>
            <w:tcW w:w="1016" w:type="dxa"/>
            <w:tcBorders>
              <w:top w:val="nil"/>
              <w:left w:val="nil"/>
              <w:bottom w:val="single" w:sz="4" w:space="0" w:color="auto"/>
              <w:right w:val="single" w:sz="4" w:space="0" w:color="auto"/>
            </w:tcBorders>
            <w:shd w:val="clear" w:color="auto" w:fill="auto"/>
            <w:noWrap/>
            <w:vAlign w:val="bottom"/>
            <w:hideMark/>
          </w:tcPr>
          <w:p w14:paraId="05E0372E"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(0.10)</w:t>
            </w:r>
          </w:p>
        </w:tc>
        <w:tc>
          <w:tcPr>
            <w:tcW w:w="810" w:type="dxa"/>
            <w:tcBorders>
              <w:top w:val="nil"/>
              <w:left w:val="nil"/>
              <w:bottom w:val="single" w:sz="4" w:space="0" w:color="auto"/>
              <w:right w:val="single" w:sz="4" w:space="0" w:color="auto"/>
            </w:tcBorders>
            <w:shd w:val="clear" w:color="auto" w:fill="auto"/>
            <w:noWrap/>
            <w:vAlign w:val="bottom"/>
            <w:hideMark/>
          </w:tcPr>
          <w:p w14:paraId="05E0372F" w14:textId="77777777" w:rsidR="0060530F" w:rsidRPr="008A0C42" w:rsidRDefault="0060530F"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40,673</w:t>
            </w:r>
          </w:p>
        </w:tc>
        <w:tc>
          <w:tcPr>
            <w:tcW w:w="1130" w:type="dxa"/>
            <w:tcBorders>
              <w:top w:val="nil"/>
              <w:left w:val="nil"/>
              <w:bottom w:val="single" w:sz="4" w:space="0" w:color="auto"/>
              <w:right w:val="single" w:sz="4" w:space="0" w:color="auto"/>
            </w:tcBorders>
            <w:shd w:val="clear" w:color="auto" w:fill="auto"/>
            <w:noWrap/>
            <w:vAlign w:val="bottom"/>
            <w:hideMark/>
          </w:tcPr>
          <w:p w14:paraId="05E03730" w14:textId="77777777" w:rsidR="0060530F"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60530F" w:rsidRPr="008A0C42">
              <w:rPr>
                <w:rFonts w:asciiTheme="minorHAnsi" w:eastAsia="Times New Roman" w:hAnsiTheme="minorHAnsi"/>
                <w:color w:val="000000"/>
                <w:sz w:val="20"/>
                <w:szCs w:val="20"/>
                <w:lang w:eastAsia="en-US"/>
              </w:rPr>
              <w:t>4,067</w:t>
            </w:r>
            <w:r w:rsidRPr="008A0C42">
              <w:rPr>
                <w:rFonts w:asciiTheme="minorHAnsi" w:eastAsia="Times New Roman" w:hAnsiTheme="minorHAnsi"/>
                <w:color w:val="000000"/>
                <w:sz w:val="20"/>
                <w:szCs w:val="20"/>
                <w:lang w:eastAsia="en-US"/>
              </w:rPr>
              <w:t>)</w:t>
            </w:r>
          </w:p>
        </w:tc>
      </w:tr>
      <w:tr w:rsidR="0060530F" w:rsidRPr="008A0C42" w14:paraId="05E0373A"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32"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33"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Attic Insulation - Any Electric Heating System</w:t>
            </w:r>
          </w:p>
        </w:tc>
        <w:tc>
          <w:tcPr>
            <w:tcW w:w="836" w:type="dxa"/>
            <w:tcBorders>
              <w:top w:val="nil"/>
              <w:left w:val="nil"/>
              <w:bottom w:val="single" w:sz="4" w:space="0" w:color="auto"/>
              <w:right w:val="single" w:sz="4" w:space="0" w:color="auto"/>
            </w:tcBorders>
            <w:shd w:val="clear" w:color="auto" w:fill="auto"/>
            <w:noWrap/>
            <w:vAlign w:val="bottom"/>
            <w:hideMark/>
          </w:tcPr>
          <w:p w14:paraId="05E03734"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Sq. ft.</w:t>
            </w:r>
          </w:p>
        </w:tc>
        <w:tc>
          <w:tcPr>
            <w:tcW w:w="1016" w:type="dxa"/>
            <w:tcBorders>
              <w:top w:val="nil"/>
              <w:left w:val="nil"/>
              <w:bottom w:val="single" w:sz="4" w:space="0" w:color="auto"/>
              <w:right w:val="single" w:sz="4" w:space="0" w:color="auto"/>
            </w:tcBorders>
            <w:shd w:val="clear" w:color="auto" w:fill="auto"/>
            <w:noWrap/>
            <w:vAlign w:val="bottom"/>
            <w:hideMark/>
          </w:tcPr>
          <w:p w14:paraId="05E03735"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0.70 </w:t>
            </w:r>
          </w:p>
        </w:tc>
        <w:tc>
          <w:tcPr>
            <w:tcW w:w="1054" w:type="dxa"/>
            <w:tcBorders>
              <w:top w:val="nil"/>
              <w:left w:val="nil"/>
              <w:bottom w:val="single" w:sz="4" w:space="0" w:color="auto"/>
              <w:right w:val="single" w:sz="4" w:space="0" w:color="auto"/>
            </w:tcBorders>
            <w:shd w:val="clear" w:color="auto" w:fill="auto"/>
            <w:noWrap/>
            <w:vAlign w:val="bottom"/>
            <w:hideMark/>
          </w:tcPr>
          <w:p w14:paraId="05E03736"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0.26 </w:t>
            </w:r>
          </w:p>
        </w:tc>
        <w:tc>
          <w:tcPr>
            <w:tcW w:w="1016" w:type="dxa"/>
            <w:tcBorders>
              <w:top w:val="nil"/>
              <w:left w:val="nil"/>
              <w:bottom w:val="single" w:sz="4" w:space="0" w:color="auto"/>
              <w:right w:val="single" w:sz="4" w:space="0" w:color="auto"/>
            </w:tcBorders>
            <w:shd w:val="clear" w:color="auto" w:fill="auto"/>
            <w:noWrap/>
            <w:vAlign w:val="bottom"/>
            <w:hideMark/>
          </w:tcPr>
          <w:p w14:paraId="05E03737"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(0.44)</w:t>
            </w:r>
          </w:p>
        </w:tc>
        <w:tc>
          <w:tcPr>
            <w:tcW w:w="810" w:type="dxa"/>
            <w:tcBorders>
              <w:top w:val="nil"/>
              <w:left w:val="nil"/>
              <w:bottom w:val="single" w:sz="4" w:space="0" w:color="auto"/>
              <w:right w:val="single" w:sz="4" w:space="0" w:color="auto"/>
            </w:tcBorders>
            <w:shd w:val="clear" w:color="auto" w:fill="auto"/>
            <w:noWrap/>
            <w:vAlign w:val="bottom"/>
            <w:hideMark/>
          </w:tcPr>
          <w:p w14:paraId="05E03738" w14:textId="77777777" w:rsidR="0060530F" w:rsidRPr="008A0C42" w:rsidRDefault="0060530F"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108,356</w:t>
            </w:r>
          </w:p>
        </w:tc>
        <w:tc>
          <w:tcPr>
            <w:tcW w:w="1130" w:type="dxa"/>
            <w:tcBorders>
              <w:top w:val="nil"/>
              <w:left w:val="nil"/>
              <w:bottom w:val="single" w:sz="4" w:space="0" w:color="auto"/>
              <w:right w:val="single" w:sz="4" w:space="0" w:color="auto"/>
            </w:tcBorders>
            <w:shd w:val="clear" w:color="auto" w:fill="auto"/>
            <w:noWrap/>
            <w:vAlign w:val="bottom"/>
            <w:hideMark/>
          </w:tcPr>
          <w:p w14:paraId="05E03739" w14:textId="77777777" w:rsidR="0060530F"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60530F" w:rsidRPr="008A0C42">
              <w:rPr>
                <w:rFonts w:asciiTheme="minorHAnsi" w:eastAsia="Times New Roman" w:hAnsiTheme="minorHAnsi"/>
                <w:color w:val="000000"/>
                <w:sz w:val="20"/>
                <w:szCs w:val="20"/>
                <w:lang w:eastAsia="en-US"/>
              </w:rPr>
              <w:t>47,677</w:t>
            </w:r>
            <w:r w:rsidRPr="008A0C42">
              <w:rPr>
                <w:rFonts w:asciiTheme="minorHAnsi" w:eastAsia="Times New Roman" w:hAnsiTheme="minorHAnsi"/>
                <w:color w:val="000000"/>
                <w:sz w:val="20"/>
                <w:szCs w:val="20"/>
                <w:lang w:eastAsia="en-US"/>
              </w:rPr>
              <w:t>)</w:t>
            </w:r>
          </w:p>
        </w:tc>
      </w:tr>
      <w:tr w:rsidR="0060530F" w:rsidRPr="008A0C42" w14:paraId="05E03743"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3B"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3C"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Floor Insulation - Any Electric Heating System</w:t>
            </w:r>
          </w:p>
        </w:tc>
        <w:tc>
          <w:tcPr>
            <w:tcW w:w="836" w:type="dxa"/>
            <w:tcBorders>
              <w:top w:val="nil"/>
              <w:left w:val="nil"/>
              <w:bottom w:val="single" w:sz="4" w:space="0" w:color="auto"/>
              <w:right w:val="single" w:sz="4" w:space="0" w:color="auto"/>
            </w:tcBorders>
            <w:shd w:val="clear" w:color="auto" w:fill="auto"/>
            <w:noWrap/>
            <w:vAlign w:val="bottom"/>
            <w:hideMark/>
          </w:tcPr>
          <w:p w14:paraId="05E0373D"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Sq. ft.</w:t>
            </w:r>
          </w:p>
        </w:tc>
        <w:tc>
          <w:tcPr>
            <w:tcW w:w="1016" w:type="dxa"/>
            <w:tcBorders>
              <w:top w:val="nil"/>
              <w:left w:val="nil"/>
              <w:bottom w:val="single" w:sz="4" w:space="0" w:color="auto"/>
              <w:right w:val="single" w:sz="4" w:space="0" w:color="auto"/>
            </w:tcBorders>
            <w:shd w:val="clear" w:color="auto" w:fill="auto"/>
            <w:noWrap/>
            <w:vAlign w:val="bottom"/>
            <w:hideMark/>
          </w:tcPr>
          <w:p w14:paraId="05E0373E"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1.29 </w:t>
            </w:r>
          </w:p>
        </w:tc>
        <w:tc>
          <w:tcPr>
            <w:tcW w:w="1054" w:type="dxa"/>
            <w:tcBorders>
              <w:top w:val="nil"/>
              <w:left w:val="nil"/>
              <w:bottom w:val="single" w:sz="4" w:space="0" w:color="auto"/>
              <w:right w:val="single" w:sz="4" w:space="0" w:color="auto"/>
            </w:tcBorders>
            <w:shd w:val="clear" w:color="auto" w:fill="auto"/>
            <w:noWrap/>
            <w:vAlign w:val="bottom"/>
            <w:hideMark/>
          </w:tcPr>
          <w:p w14:paraId="05E0373F"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0.76 </w:t>
            </w:r>
          </w:p>
        </w:tc>
        <w:tc>
          <w:tcPr>
            <w:tcW w:w="1016" w:type="dxa"/>
            <w:tcBorders>
              <w:top w:val="nil"/>
              <w:left w:val="nil"/>
              <w:bottom w:val="single" w:sz="4" w:space="0" w:color="auto"/>
              <w:right w:val="single" w:sz="4" w:space="0" w:color="auto"/>
            </w:tcBorders>
            <w:shd w:val="clear" w:color="auto" w:fill="auto"/>
            <w:noWrap/>
            <w:vAlign w:val="bottom"/>
            <w:hideMark/>
          </w:tcPr>
          <w:p w14:paraId="05E03740"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(0.53)</w:t>
            </w:r>
          </w:p>
        </w:tc>
        <w:tc>
          <w:tcPr>
            <w:tcW w:w="810" w:type="dxa"/>
            <w:tcBorders>
              <w:top w:val="nil"/>
              <w:left w:val="nil"/>
              <w:bottom w:val="single" w:sz="4" w:space="0" w:color="auto"/>
              <w:right w:val="single" w:sz="4" w:space="0" w:color="auto"/>
            </w:tcBorders>
            <w:shd w:val="clear" w:color="auto" w:fill="auto"/>
            <w:noWrap/>
            <w:vAlign w:val="bottom"/>
            <w:hideMark/>
          </w:tcPr>
          <w:p w14:paraId="05E03741" w14:textId="77777777" w:rsidR="0060530F" w:rsidRPr="008A0C42" w:rsidRDefault="0060530F"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50,056</w:t>
            </w:r>
          </w:p>
        </w:tc>
        <w:tc>
          <w:tcPr>
            <w:tcW w:w="1130" w:type="dxa"/>
            <w:tcBorders>
              <w:top w:val="nil"/>
              <w:left w:val="nil"/>
              <w:bottom w:val="single" w:sz="4" w:space="0" w:color="auto"/>
              <w:right w:val="single" w:sz="4" w:space="0" w:color="auto"/>
            </w:tcBorders>
            <w:shd w:val="clear" w:color="auto" w:fill="auto"/>
            <w:noWrap/>
            <w:vAlign w:val="bottom"/>
            <w:hideMark/>
          </w:tcPr>
          <w:p w14:paraId="05E03742" w14:textId="77777777" w:rsidR="0060530F"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60530F" w:rsidRPr="008A0C42">
              <w:rPr>
                <w:rFonts w:asciiTheme="minorHAnsi" w:eastAsia="Times New Roman" w:hAnsiTheme="minorHAnsi"/>
                <w:color w:val="000000"/>
                <w:sz w:val="20"/>
                <w:szCs w:val="20"/>
                <w:lang w:eastAsia="en-US"/>
              </w:rPr>
              <w:t>26,530</w:t>
            </w:r>
            <w:r w:rsidRPr="008A0C42">
              <w:rPr>
                <w:rFonts w:asciiTheme="minorHAnsi" w:eastAsia="Times New Roman" w:hAnsiTheme="minorHAnsi"/>
                <w:color w:val="000000"/>
                <w:sz w:val="20"/>
                <w:szCs w:val="20"/>
                <w:lang w:eastAsia="en-US"/>
              </w:rPr>
              <w:t>)</w:t>
            </w:r>
          </w:p>
        </w:tc>
      </w:tr>
      <w:tr w:rsidR="0060530F" w:rsidRPr="008A0C42" w14:paraId="05E0374C"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44"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45"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Wall Insulation - Any Electric Heating System</w:t>
            </w:r>
          </w:p>
        </w:tc>
        <w:tc>
          <w:tcPr>
            <w:tcW w:w="836" w:type="dxa"/>
            <w:tcBorders>
              <w:top w:val="nil"/>
              <w:left w:val="nil"/>
              <w:bottom w:val="single" w:sz="4" w:space="0" w:color="auto"/>
              <w:right w:val="single" w:sz="4" w:space="0" w:color="auto"/>
            </w:tcBorders>
            <w:shd w:val="clear" w:color="auto" w:fill="auto"/>
            <w:noWrap/>
            <w:vAlign w:val="bottom"/>
            <w:hideMark/>
          </w:tcPr>
          <w:p w14:paraId="05E03746"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Sq. ft.</w:t>
            </w:r>
          </w:p>
        </w:tc>
        <w:tc>
          <w:tcPr>
            <w:tcW w:w="1016" w:type="dxa"/>
            <w:tcBorders>
              <w:top w:val="nil"/>
              <w:left w:val="nil"/>
              <w:bottom w:val="single" w:sz="4" w:space="0" w:color="auto"/>
              <w:right w:val="single" w:sz="4" w:space="0" w:color="auto"/>
            </w:tcBorders>
            <w:shd w:val="clear" w:color="auto" w:fill="auto"/>
            <w:noWrap/>
            <w:vAlign w:val="bottom"/>
            <w:hideMark/>
          </w:tcPr>
          <w:p w14:paraId="05E03747"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1.52 </w:t>
            </w:r>
          </w:p>
        </w:tc>
        <w:tc>
          <w:tcPr>
            <w:tcW w:w="1054" w:type="dxa"/>
            <w:tcBorders>
              <w:top w:val="nil"/>
              <w:left w:val="nil"/>
              <w:bottom w:val="single" w:sz="4" w:space="0" w:color="auto"/>
              <w:right w:val="single" w:sz="4" w:space="0" w:color="auto"/>
            </w:tcBorders>
            <w:shd w:val="clear" w:color="auto" w:fill="auto"/>
            <w:noWrap/>
            <w:vAlign w:val="bottom"/>
            <w:hideMark/>
          </w:tcPr>
          <w:p w14:paraId="05E03748"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1.32 </w:t>
            </w:r>
          </w:p>
        </w:tc>
        <w:tc>
          <w:tcPr>
            <w:tcW w:w="1016" w:type="dxa"/>
            <w:tcBorders>
              <w:top w:val="nil"/>
              <w:left w:val="nil"/>
              <w:bottom w:val="single" w:sz="4" w:space="0" w:color="auto"/>
              <w:right w:val="single" w:sz="4" w:space="0" w:color="auto"/>
            </w:tcBorders>
            <w:shd w:val="clear" w:color="auto" w:fill="auto"/>
            <w:noWrap/>
            <w:vAlign w:val="bottom"/>
            <w:hideMark/>
          </w:tcPr>
          <w:p w14:paraId="05E03749"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(0.20)</w:t>
            </w:r>
          </w:p>
        </w:tc>
        <w:tc>
          <w:tcPr>
            <w:tcW w:w="810" w:type="dxa"/>
            <w:tcBorders>
              <w:top w:val="nil"/>
              <w:left w:val="nil"/>
              <w:bottom w:val="single" w:sz="4" w:space="0" w:color="auto"/>
              <w:right w:val="single" w:sz="4" w:space="0" w:color="auto"/>
            </w:tcBorders>
            <w:shd w:val="clear" w:color="auto" w:fill="auto"/>
            <w:noWrap/>
            <w:vAlign w:val="bottom"/>
            <w:hideMark/>
          </w:tcPr>
          <w:p w14:paraId="05E0374A" w14:textId="77777777" w:rsidR="0060530F" w:rsidRPr="008A0C42" w:rsidRDefault="0060530F"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22,620</w:t>
            </w:r>
          </w:p>
        </w:tc>
        <w:tc>
          <w:tcPr>
            <w:tcW w:w="1130" w:type="dxa"/>
            <w:tcBorders>
              <w:top w:val="nil"/>
              <w:left w:val="nil"/>
              <w:bottom w:val="single" w:sz="4" w:space="0" w:color="auto"/>
              <w:right w:val="single" w:sz="4" w:space="0" w:color="auto"/>
            </w:tcBorders>
            <w:shd w:val="clear" w:color="auto" w:fill="auto"/>
            <w:noWrap/>
            <w:vAlign w:val="bottom"/>
            <w:hideMark/>
          </w:tcPr>
          <w:p w14:paraId="05E0374B" w14:textId="77777777" w:rsidR="0060530F"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60530F" w:rsidRPr="008A0C42">
              <w:rPr>
                <w:rFonts w:asciiTheme="minorHAnsi" w:eastAsia="Times New Roman" w:hAnsiTheme="minorHAnsi"/>
                <w:color w:val="000000"/>
                <w:sz w:val="20"/>
                <w:szCs w:val="20"/>
                <w:lang w:eastAsia="en-US"/>
              </w:rPr>
              <w:t>4,524</w:t>
            </w:r>
            <w:r w:rsidRPr="008A0C42">
              <w:rPr>
                <w:rFonts w:asciiTheme="minorHAnsi" w:eastAsia="Times New Roman" w:hAnsiTheme="minorHAnsi"/>
                <w:color w:val="000000"/>
                <w:sz w:val="20"/>
                <w:szCs w:val="20"/>
                <w:lang w:eastAsia="en-US"/>
              </w:rPr>
              <w:t>)</w:t>
            </w:r>
          </w:p>
        </w:tc>
      </w:tr>
      <w:tr w:rsidR="00FA3CE2" w:rsidRPr="008A0C42" w14:paraId="05E03755"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4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4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CFL</w:t>
            </w:r>
          </w:p>
        </w:tc>
        <w:tc>
          <w:tcPr>
            <w:tcW w:w="836" w:type="dxa"/>
            <w:tcBorders>
              <w:top w:val="nil"/>
              <w:left w:val="nil"/>
              <w:bottom w:val="single" w:sz="4" w:space="0" w:color="auto"/>
              <w:right w:val="single" w:sz="4" w:space="0" w:color="auto"/>
            </w:tcBorders>
            <w:shd w:val="clear" w:color="auto" w:fill="auto"/>
            <w:noWrap/>
            <w:vAlign w:val="bottom"/>
            <w:hideMark/>
          </w:tcPr>
          <w:p w14:paraId="05E0374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5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60</w:t>
            </w:r>
          </w:p>
        </w:tc>
        <w:tc>
          <w:tcPr>
            <w:tcW w:w="1054" w:type="dxa"/>
            <w:tcBorders>
              <w:top w:val="nil"/>
              <w:left w:val="nil"/>
              <w:bottom w:val="single" w:sz="4" w:space="0" w:color="auto"/>
              <w:right w:val="single" w:sz="4" w:space="0" w:color="auto"/>
            </w:tcBorders>
            <w:shd w:val="clear" w:color="auto" w:fill="auto"/>
            <w:noWrap/>
            <w:vAlign w:val="bottom"/>
            <w:hideMark/>
          </w:tcPr>
          <w:p w14:paraId="05E0375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32</w:t>
            </w:r>
          </w:p>
        </w:tc>
        <w:tc>
          <w:tcPr>
            <w:tcW w:w="1016" w:type="dxa"/>
            <w:tcBorders>
              <w:top w:val="nil"/>
              <w:left w:val="nil"/>
              <w:bottom w:val="single" w:sz="4" w:space="0" w:color="auto"/>
              <w:right w:val="single" w:sz="4" w:space="0" w:color="auto"/>
            </w:tcBorders>
            <w:shd w:val="clear" w:color="auto" w:fill="auto"/>
            <w:noWrap/>
            <w:vAlign w:val="bottom"/>
            <w:hideMark/>
          </w:tcPr>
          <w:p w14:paraId="05E03752"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5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961</w:t>
            </w:r>
          </w:p>
        </w:tc>
        <w:tc>
          <w:tcPr>
            <w:tcW w:w="1130" w:type="dxa"/>
            <w:tcBorders>
              <w:top w:val="nil"/>
              <w:left w:val="nil"/>
              <w:bottom w:val="single" w:sz="4" w:space="0" w:color="auto"/>
              <w:right w:val="single" w:sz="4" w:space="0" w:color="auto"/>
            </w:tcBorders>
            <w:shd w:val="clear" w:color="auto" w:fill="auto"/>
            <w:noWrap/>
            <w:vAlign w:val="bottom"/>
            <w:hideMark/>
          </w:tcPr>
          <w:p w14:paraId="05E03754"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26,908</w:t>
            </w:r>
            <w:r w:rsidRPr="008A0C42">
              <w:rPr>
                <w:rFonts w:asciiTheme="minorHAnsi" w:eastAsia="Times New Roman" w:hAnsiTheme="minorHAnsi"/>
                <w:color w:val="000000"/>
                <w:sz w:val="20"/>
                <w:szCs w:val="20"/>
                <w:lang w:eastAsia="en-US"/>
              </w:rPr>
              <w:t>)</w:t>
            </w:r>
          </w:p>
        </w:tc>
      </w:tr>
      <w:tr w:rsidR="00FA3CE2" w:rsidRPr="008A0C42" w14:paraId="05E0375E"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5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5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LED</w:t>
            </w:r>
          </w:p>
        </w:tc>
        <w:tc>
          <w:tcPr>
            <w:tcW w:w="836" w:type="dxa"/>
            <w:tcBorders>
              <w:top w:val="nil"/>
              <w:left w:val="nil"/>
              <w:bottom w:val="single" w:sz="4" w:space="0" w:color="auto"/>
              <w:right w:val="single" w:sz="4" w:space="0" w:color="auto"/>
            </w:tcBorders>
            <w:shd w:val="clear" w:color="auto" w:fill="auto"/>
            <w:noWrap/>
            <w:vAlign w:val="bottom"/>
            <w:hideMark/>
          </w:tcPr>
          <w:p w14:paraId="05E0375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5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63</w:t>
            </w:r>
          </w:p>
        </w:tc>
        <w:tc>
          <w:tcPr>
            <w:tcW w:w="1054" w:type="dxa"/>
            <w:tcBorders>
              <w:top w:val="nil"/>
              <w:left w:val="nil"/>
              <w:bottom w:val="single" w:sz="4" w:space="0" w:color="auto"/>
              <w:right w:val="single" w:sz="4" w:space="0" w:color="auto"/>
            </w:tcBorders>
            <w:shd w:val="clear" w:color="auto" w:fill="auto"/>
            <w:noWrap/>
            <w:vAlign w:val="bottom"/>
            <w:hideMark/>
          </w:tcPr>
          <w:p w14:paraId="05E0375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40</w:t>
            </w:r>
          </w:p>
        </w:tc>
        <w:tc>
          <w:tcPr>
            <w:tcW w:w="1016" w:type="dxa"/>
            <w:tcBorders>
              <w:top w:val="nil"/>
              <w:left w:val="nil"/>
              <w:bottom w:val="single" w:sz="4" w:space="0" w:color="auto"/>
              <w:right w:val="single" w:sz="4" w:space="0" w:color="auto"/>
            </w:tcBorders>
            <w:shd w:val="clear" w:color="auto" w:fill="auto"/>
            <w:noWrap/>
            <w:vAlign w:val="bottom"/>
            <w:hideMark/>
          </w:tcPr>
          <w:p w14:paraId="05E0375B"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23</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5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95</w:t>
            </w:r>
          </w:p>
        </w:tc>
        <w:tc>
          <w:tcPr>
            <w:tcW w:w="1130" w:type="dxa"/>
            <w:tcBorders>
              <w:top w:val="nil"/>
              <w:left w:val="nil"/>
              <w:bottom w:val="single" w:sz="4" w:space="0" w:color="auto"/>
              <w:right w:val="single" w:sz="4" w:space="0" w:color="auto"/>
            </w:tcBorders>
            <w:shd w:val="clear" w:color="auto" w:fill="auto"/>
            <w:noWrap/>
            <w:vAlign w:val="bottom"/>
            <w:hideMark/>
          </w:tcPr>
          <w:p w14:paraId="05E0375D"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2,208</w:t>
            </w:r>
            <w:r w:rsidRPr="008A0C42">
              <w:rPr>
                <w:rFonts w:asciiTheme="minorHAnsi" w:eastAsia="Times New Roman" w:hAnsiTheme="minorHAnsi"/>
                <w:color w:val="000000"/>
                <w:sz w:val="20"/>
                <w:szCs w:val="20"/>
                <w:lang w:eastAsia="en-US"/>
              </w:rPr>
              <w:t>)</w:t>
            </w:r>
          </w:p>
        </w:tc>
      </w:tr>
      <w:tr w:rsidR="00FA3CE2" w:rsidRPr="008A0C42" w14:paraId="05E03767"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5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6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Basic - 1 Bathroom</w:t>
            </w:r>
          </w:p>
        </w:tc>
        <w:tc>
          <w:tcPr>
            <w:tcW w:w="836" w:type="dxa"/>
            <w:tcBorders>
              <w:top w:val="nil"/>
              <w:left w:val="nil"/>
              <w:bottom w:val="single" w:sz="4" w:space="0" w:color="auto"/>
              <w:right w:val="single" w:sz="4" w:space="0" w:color="auto"/>
            </w:tcBorders>
            <w:shd w:val="clear" w:color="auto" w:fill="auto"/>
            <w:noWrap/>
            <w:vAlign w:val="bottom"/>
            <w:hideMark/>
          </w:tcPr>
          <w:p w14:paraId="05E0376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6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268</w:t>
            </w:r>
          </w:p>
        </w:tc>
        <w:tc>
          <w:tcPr>
            <w:tcW w:w="1054" w:type="dxa"/>
            <w:tcBorders>
              <w:top w:val="nil"/>
              <w:left w:val="nil"/>
              <w:bottom w:val="single" w:sz="4" w:space="0" w:color="auto"/>
              <w:right w:val="single" w:sz="4" w:space="0" w:color="auto"/>
            </w:tcBorders>
            <w:shd w:val="clear" w:color="auto" w:fill="auto"/>
            <w:noWrap/>
            <w:vAlign w:val="bottom"/>
            <w:hideMark/>
          </w:tcPr>
          <w:p w14:paraId="05E0376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240</w:t>
            </w:r>
          </w:p>
        </w:tc>
        <w:tc>
          <w:tcPr>
            <w:tcW w:w="1016" w:type="dxa"/>
            <w:tcBorders>
              <w:top w:val="nil"/>
              <w:left w:val="nil"/>
              <w:bottom w:val="single" w:sz="4" w:space="0" w:color="auto"/>
              <w:right w:val="single" w:sz="4" w:space="0" w:color="auto"/>
            </w:tcBorders>
            <w:shd w:val="clear" w:color="auto" w:fill="auto"/>
            <w:noWrap/>
            <w:vAlign w:val="bottom"/>
            <w:hideMark/>
          </w:tcPr>
          <w:p w14:paraId="05E03764"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6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2,024</w:t>
            </w:r>
          </w:p>
        </w:tc>
        <w:tc>
          <w:tcPr>
            <w:tcW w:w="1130" w:type="dxa"/>
            <w:tcBorders>
              <w:top w:val="nil"/>
              <w:left w:val="nil"/>
              <w:bottom w:val="single" w:sz="4" w:space="0" w:color="auto"/>
              <w:right w:val="single" w:sz="4" w:space="0" w:color="auto"/>
            </w:tcBorders>
            <w:shd w:val="clear" w:color="auto" w:fill="auto"/>
            <w:noWrap/>
            <w:vAlign w:val="bottom"/>
            <w:hideMark/>
          </w:tcPr>
          <w:p w14:paraId="05E03766"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56,672</w:t>
            </w:r>
            <w:r w:rsidRPr="008A0C42">
              <w:rPr>
                <w:rFonts w:asciiTheme="minorHAnsi" w:eastAsia="Times New Roman" w:hAnsiTheme="minorHAnsi"/>
                <w:color w:val="000000"/>
                <w:sz w:val="20"/>
                <w:szCs w:val="20"/>
                <w:lang w:eastAsia="en-US"/>
              </w:rPr>
              <w:t>)</w:t>
            </w:r>
          </w:p>
        </w:tc>
      </w:tr>
      <w:tr w:rsidR="00FA3CE2" w:rsidRPr="008A0C42" w14:paraId="05E03770"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6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6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Basic - 2 Bathrooms</w:t>
            </w:r>
          </w:p>
        </w:tc>
        <w:tc>
          <w:tcPr>
            <w:tcW w:w="836" w:type="dxa"/>
            <w:tcBorders>
              <w:top w:val="nil"/>
              <w:left w:val="nil"/>
              <w:bottom w:val="single" w:sz="4" w:space="0" w:color="auto"/>
              <w:right w:val="single" w:sz="4" w:space="0" w:color="auto"/>
            </w:tcBorders>
            <w:shd w:val="clear" w:color="auto" w:fill="auto"/>
            <w:noWrap/>
            <w:vAlign w:val="bottom"/>
            <w:hideMark/>
          </w:tcPr>
          <w:p w14:paraId="05E0376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6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465</w:t>
            </w:r>
          </w:p>
        </w:tc>
        <w:tc>
          <w:tcPr>
            <w:tcW w:w="1054" w:type="dxa"/>
            <w:tcBorders>
              <w:top w:val="nil"/>
              <w:left w:val="nil"/>
              <w:bottom w:val="single" w:sz="4" w:space="0" w:color="auto"/>
              <w:right w:val="single" w:sz="4" w:space="0" w:color="auto"/>
            </w:tcBorders>
            <w:shd w:val="clear" w:color="auto" w:fill="auto"/>
            <w:noWrap/>
            <w:vAlign w:val="bottom"/>
            <w:hideMark/>
          </w:tcPr>
          <w:p w14:paraId="05E0376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437</w:t>
            </w:r>
          </w:p>
        </w:tc>
        <w:tc>
          <w:tcPr>
            <w:tcW w:w="1016" w:type="dxa"/>
            <w:tcBorders>
              <w:top w:val="nil"/>
              <w:left w:val="nil"/>
              <w:bottom w:val="single" w:sz="4" w:space="0" w:color="auto"/>
              <w:right w:val="single" w:sz="4" w:space="0" w:color="auto"/>
            </w:tcBorders>
            <w:shd w:val="clear" w:color="auto" w:fill="auto"/>
            <w:noWrap/>
            <w:vAlign w:val="bottom"/>
            <w:hideMark/>
          </w:tcPr>
          <w:p w14:paraId="05E0376D"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6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3,083</w:t>
            </w:r>
          </w:p>
        </w:tc>
        <w:tc>
          <w:tcPr>
            <w:tcW w:w="1130" w:type="dxa"/>
            <w:tcBorders>
              <w:top w:val="nil"/>
              <w:left w:val="nil"/>
              <w:bottom w:val="single" w:sz="4" w:space="0" w:color="auto"/>
              <w:right w:val="single" w:sz="4" w:space="0" w:color="auto"/>
            </w:tcBorders>
            <w:shd w:val="clear" w:color="auto" w:fill="auto"/>
            <w:noWrap/>
            <w:vAlign w:val="bottom"/>
            <w:hideMark/>
          </w:tcPr>
          <w:p w14:paraId="05E0376F"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86,324</w:t>
            </w:r>
            <w:r w:rsidRPr="008A0C42">
              <w:rPr>
                <w:rFonts w:asciiTheme="minorHAnsi" w:eastAsia="Times New Roman" w:hAnsiTheme="minorHAnsi"/>
                <w:color w:val="000000"/>
                <w:sz w:val="20"/>
                <w:szCs w:val="20"/>
                <w:lang w:eastAsia="en-US"/>
              </w:rPr>
              <w:t>)</w:t>
            </w:r>
          </w:p>
        </w:tc>
      </w:tr>
      <w:tr w:rsidR="00FA3CE2" w:rsidRPr="008A0C42" w14:paraId="05E03779"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7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7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Best - 1 Bathroom</w:t>
            </w:r>
          </w:p>
        </w:tc>
        <w:tc>
          <w:tcPr>
            <w:tcW w:w="836" w:type="dxa"/>
            <w:tcBorders>
              <w:top w:val="nil"/>
              <w:left w:val="nil"/>
              <w:bottom w:val="single" w:sz="4" w:space="0" w:color="auto"/>
              <w:right w:val="single" w:sz="4" w:space="0" w:color="auto"/>
            </w:tcBorders>
            <w:shd w:val="clear" w:color="auto" w:fill="auto"/>
            <w:noWrap/>
            <w:vAlign w:val="bottom"/>
            <w:hideMark/>
          </w:tcPr>
          <w:p w14:paraId="05E0377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7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271</w:t>
            </w:r>
          </w:p>
        </w:tc>
        <w:tc>
          <w:tcPr>
            <w:tcW w:w="1054" w:type="dxa"/>
            <w:tcBorders>
              <w:top w:val="nil"/>
              <w:left w:val="nil"/>
              <w:bottom w:val="single" w:sz="4" w:space="0" w:color="auto"/>
              <w:right w:val="single" w:sz="4" w:space="0" w:color="auto"/>
            </w:tcBorders>
            <w:shd w:val="clear" w:color="auto" w:fill="auto"/>
            <w:noWrap/>
            <w:vAlign w:val="bottom"/>
            <w:hideMark/>
          </w:tcPr>
          <w:p w14:paraId="05E0377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248</w:t>
            </w:r>
          </w:p>
        </w:tc>
        <w:tc>
          <w:tcPr>
            <w:tcW w:w="1016" w:type="dxa"/>
            <w:tcBorders>
              <w:top w:val="nil"/>
              <w:left w:val="nil"/>
              <w:bottom w:val="single" w:sz="4" w:space="0" w:color="auto"/>
              <w:right w:val="single" w:sz="4" w:space="0" w:color="auto"/>
            </w:tcBorders>
            <w:shd w:val="clear" w:color="auto" w:fill="auto"/>
            <w:noWrap/>
            <w:vAlign w:val="bottom"/>
            <w:hideMark/>
          </w:tcPr>
          <w:p w14:paraId="05E03776"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23</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7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119</w:t>
            </w:r>
          </w:p>
        </w:tc>
        <w:tc>
          <w:tcPr>
            <w:tcW w:w="1130" w:type="dxa"/>
            <w:tcBorders>
              <w:top w:val="nil"/>
              <w:left w:val="nil"/>
              <w:bottom w:val="single" w:sz="4" w:space="0" w:color="auto"/>
              <w:right w:val="single" w:sz="4" w:space="0" w:color="auto"/>
            </w:tcBorders>
            <w:shd w:val="clear" w:color="auto" w:fill="auto"/>
            <w:noWrap/>
            <w:vAlign w:val="bottom"/>
            <w:hideMark/>
          </w:tcPr>
          <w:p w14:paraId="05E03778"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2,766</w:t>
            </w:r>
            <w:r w:rsidRPr="008A0C42">
              <w:rPr>
                <w:rFonts w:asciiTheme="minorHAnsi" w:eastAsia="Times New Roman" w:hAnsiTheme="minorHAnsi"/>
                <w:color w:val="000000"/>
                <w:sz w:val="20"/>
                <w:szCs w:val="20"/>
                <w:lang w:eastAsia="en-US"/>
              </w:rPr>
              <w:t>)</w:t>
            </w:r>
          </w:p>
        </w:tc>
      </w:tr>
      <w:tr w:rsidR="00FA3CE2" w:rsidRPr="008A0C42" w14:paraId="05E03782"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7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7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Best - 2 Bathrooms</w:t>
            </w:r>
          </w:p>
        </w:tc>
        <w:tc>
          <w:tcPr>
            <w:tcW w:w="836" w:type="dxa"/>
            <w:tcBorders>
              <w:top w:val="nil"/>
              <w:left w:val="nil"/>
              <w:bottom w:val="single" w:sz="4" w:space="0" w:color="auto"/>
              <w:right w:val="single" w:sz="4" w:space="0" w:color="auto"/>
            </w:tcBorders>
            <w:shd w:val="clear" w:color="auto" w:fill="auto"/>
            <w:noWrap/>
            <w:vAlign w:val="bottom"/>
            <w:hideMark/>
          </w:tcPr>
          <w:p w14:paraId="05E0377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7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468</w:t>
            </w:r>
          </w:p>
        </w:tc>
        <w:tc>
          <w:tcPr>
            <w:tcW w:w="1054" w:type="dxa"/>
            <w:tcBorders>
              <w:top w:val="nil"/>
              <w:left w:val="nil"/>
              <w:bottom w:val="single" w:sz="4" w:space="0" w:color="auto"/>
              <w:right w:val="single" w:sz="4" w:space="0" w:color="auto"/>
            </w:tcBorders>
            <w:shd w:val="clear" w:color="auto" w:fill="auto"/>
            <w:noWrap/>
            <w:vAlign w:val="bottom"/>
            <w:hideMark/>
          </w:tcPr>
          <w:p w14:paraId="05E0377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445</w:t>
            </w:r>
          </w:p>
        </w:tc>
        <w:tc>
          <w:tcPr>
            <w:tcW w:w="1016" w:type="dxa"/>
            <w:tcBorders>
              <w:top w:val="nil"/>
              <w:left w:val="nil"/>
              <w:bottom w:val="single" w:sz="4" w:space="0" w:color="auto"/>
              <w:right w:val="single" w:sz="4" w:space="0" w:color="auto"/>
            </w:tcBorders>
            <w:shd w:val="clear" w:color="auto" w:fill="auto"/>
            <w:noWrap/>
            <w:vAlign w:val="bottom"/>
            <w:hideMark/>
          </w:tcPr>
          <w:p w14:paraId="05E0377F"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23</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8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403</w:t>
            </w:r>
          </w:p>
        </w:tc>
        <w:tc>
          <w:tcPr>
            <w:tcW w:w="1130" w:type="dxa"/>
            <w:tcBorders>
              <w:top w:val="nil"/>
              <w:left w:val="nil"/>
              <w:bottom w:val="single" w:sz="4" w:space="0" w:color="auto"/>
              <w:right w:val="single" w:sz="4" w:space="0" w:color="auto"/>
            </w:tcBorders>
            <w:shd w:val="clear" w:color="auto" w:fill="auto"/>
            <w:noWrap/>
            <w:vAlign w:val="bottom"/>
            <w:hideMark/>
          </w:tcPr>
          <w:p w14:paraId="05E03781"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9,366</w:t>
            </w:r>
            <w:r w:rsidRPr="008A0C42">
              <w:rPr>
                <w:rFonts w:asciiTheme="minorHAnsi" w:eastAsia="Times New Roman" w:hAnsiTheme="minorHAnsi"/>
                <w:color w:val="000000"/>
                <w:sz w:val="20"/>
                <w:szCs w:val="20"/>
                <w:lang w:eastAsia="en-US"/>
              </w:rPr>
              <w:t>)</w:t>
            </w:r>
          </w:p>
        </w:tc>
      </w:tr>
      <w:tr w:rsidR="00FA3CE2" w:rsidRPr="008A0C42" w14:paraId="05E0378B"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8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8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Better - 1 Bathroom</w:t>
            </w:r>
          </w:p>
        </w:tc>
        <w:tc>
          <w:tcPr>
            <w:tcW w:w="836" w:type="dxa"/>
            <w:tcBorders>
              <w:top w:val="nil"/>
              <w:left w:val="nil"/>
              <w:bottom w:val="single" w:sz="4" w:space="0" w:color="auto"/>
              <w:right w:val="single" w:sz="4" w:space="0" w:color="auto"/>
            </w:tcBorders>
            <w:shd w:val="clear" w:color="auto" w:fill="auto"/>
            <w:noWrap/>
            <w:vAlign w:val="bottom"/>
            <w:hideMark/>
          </w:tcPr>
          <w:p w14:paraId="05E0378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8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268</w:t>
            </w:r>
          </w:p>
        </w:tc>
        <w:tc>
          <w:tcPr>
            <w:tcW w:w="1054" w:type="dxa"/>
            <w:tcBorders>
              <w:top w:val="nil"/>
              <w:left w:val="nil"/>
              <w:bottom w:val="single" w:sz="4" w:space="0" w:color="auto"/>
              <w:right w:val="single" w:sz="4" w:space="0" w:color="auto"/>
            </w:tcBorders>
            <w:shd w:val="clear" w:color="auto" w:fill="auto"/>
            <w:noWrap/>
            <w:vAlign w:val="bottom"/>
            <w:hideMark/>
          </w:tcPr>
          <w:p w14:paraId="05E0378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240</w:t>
            </w:r>
          </w:p>
        </w:tc>
        <w:tc>
          <w:tcPr>
            <w:tcW w:w="1016" w:type="dxa"/>
            <w:tcBorders>
              <w:top w:val="nil"/>
              <w:left w:val="nil"/>
              <w:bottom w:val="single" w:sz="4" w:space="0" w:color="auto"/>
              <w:right w:val="single" w:sz="4" w:space="0" w:color="auto"/>
            </w:tcBorders>
            <w:shd w:val="clear" w:color="auto" w:fill="auto"/>
            <w:noWrap/>
            <w:vAlign w:val="bottom"/>
            <w:hideMark/>
          </w:tcPr>
          <w:p w14:paraId="05E03788"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8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21</w:t>
            </w:r>
          </w:p>
        </w:tc>
        <w:tc>
          <w:tcPr>
            <w:tcW w:w="1130" w:type="dxa"/>
            <w:tcBorders>
              <w:top w:val="nil"/>
              <w:left w:val="nil"/>
              <w:bottom w:val="single" w:sz="4" w:space="0" w:color="auto"/>
              <w:right w:val="single" w:sz="4" w:space="0" w:color="auto"/>
            </w:tcBorders>
            <w:shd w:val="clear" w:color="auto" w:fill="auto"/>
            <w:noWrap/>
            <w:vAlign w:val="bottom"/>
            <w:hideMark/>
          </w:tcPr>
          <w:p w14:paraId="05E0378A"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588</w:t>
            </w:r>
            <w:r w:rsidRPr="008A0C42">
              <w:rPr>
                <w:rFonts w:asciiTheme="minorHAnsi" w:eastAsia="Times New Roman" w:hAnsiTheme="minorHAnsi"/>
                <w:color w:val="000000"/>
                <w:sz w:val="20"/>
                <w:szCs w:val="20"/>
                <w:lang w:eastAsia="en-US"/>
              </w:rPr>
              <w:t>)</w:t>
            </w:r>
          </w:p>
        </w:tc>
      </w:tr>
      <w:tr w:rsidR="00FA3CE2" w:rsidRPr="008A0C42" w14:paraId="05E03794"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8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8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Better - 2 Bathrooms</w:t>
            </w:r>
          </w:p>
        </w:tc>
        <w:tc>
          <w:tcPr>
            <w:tcW w:w="836" w:type="dxa"/>
            <w:tcBorders>
              <w:top w:val="nil"/>
              <w:left w:val="nil"/>
              <w:bottom w:val="single" w:sz="4" w:space="0" w:color="auto"/>
              <w:right w:val="single" w:sz="4" w:space="0" w:color="auto"/>
            </w:tcBorders>
            <w:shd w:val="clear" w:color="auto" w:fill="auto"/>
            <w:noWrap/>
            <w:vAlign w:val="bottom"/>
            <w:hideMark/>
          </w:tcPr>
          <w:p w14:paraId="05E0378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8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465</w:t>
            </w:r>
          </w:p>
        </w:tc>
        <w:tc>
          <w:tcPr>
            <w:tcW w:w="1054" w:type="dxa"/>
            <w:tcBorders>
              <w:top w:val="nil"/>
              <w:left w:val="nil"/>
              <w:bottom w:val="single" w:sz="4" w:space="0" w:color="auto"/>
              <w:right w:val="single" w:sz="4" w:space="0" w:color="auto"/>
            </w:tcBorders>
            <w:shd w:val="clear" w:color="auto" w:fill="auto"/>
            <w:noWrap/>
            <w:vAlign w:val="bottom"/>
            <w:hideMark/>
          </w:tcPr>
          <w:p w14:paraId="05E0379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437</w:t>
            </w:r>
          </w:p>
        </w:tc>
        <w:tc>
          <w:tcPr>
            <w:tcW w:w="1016" w:type="dxa"/>
            <w:tcBorders>
              <w:top w:val="nil"/>
              <w:left w:val="nil"/>
              <w:bottom w:val="single" w:sz="4" w:space="0" w:color="auto"/>
              <w:right w:val="single" w:sz="4" w:space="0" w:color="auto"/>
            </w:tcBorders>
            <w:shd w:val="clear" w:color="auto" w:fill="auto"/>
            <w:noWrap/>
            <w:vAlign w:val="bottom"/>
            <w:hideMark/>
          </w:tcPr>
          <w:p w14:paraId="05E03791"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9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77</w:t>
            </w:r>
          </w:p>
        </w:tc>
        <w:tc>
          <w:tcPr>
            <w:tcW w:w="1130" w:type="dxa"/>
            <w:tcBorders>
              <w:top w:val="nil"/>
              <w:left w:val="nil"/>
              <w:bottom w:val="single" w:sz="4" w:space="0" w:color="auto"/>
              <w:right w:val="single" w:sz="4" w:space="0" w:color="auto"/>
            </w:tcBorders>
            <w:shd w:val="clear" w:color="auto" w:fill="auto"/>
            <w:noWrap/>
            <w:vAlign w:val="bottom"/>
            <w:hideMark/>
          </w:tcPr>
          <w:p w14:paraId="05E03793"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2,156</w:t>
            </w:r>
            <w:r w:rsidRPr="008A0C42">
              <w:rPr>
                <w:rFonts w:asciiTheme="minorHAnsi" w:eastAsia="Times New Roman" w:hAnsiTheme="minorHAnsi"/>
                <w:color w:val="000000"/>
                <w:sz w:val="20"/>
                <w:szCs w:val="20"/>
                <w:lang w:eastAsia="en-US"/>
              </w:rPr>
              <w:t>)</w:t>
            </w:r>
          </w:p>
        </w:tc>
      </w:tr>
      <w:tr w:rsidR="00FA3CE2" w:rsidRPr="008A0C42" w14:paraId="05E0379D"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9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9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Ductless Heat Pump</w:t>
            </w:r>
          </w:p>
        </w:tc>
        <w:tc>
          <w:tcPr>
            <w:tcW w:w="836" w:type="dxa"/>
            <w:tcBorders>
              <w:top w:val="nil"/>
              <w:left w:val="nil"/>
              <w:bottom w:val="single" w:sz="4" w:space="0" w:color="auto"/>
              <w:right w:val="single" w:sz="4" w:space="0" w:color="auto"/>
            </w:tcBorders>
            <w:shd w:val="clear" w:color="auto" w:fill="auto"/>
            <w:noWrap/>
            <w:vAlign w:val="bottom"/>
            <w:hideMark/>
          </w:tcPr>
          <w:p w14:paraId="05E0379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9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3,500</w:t>
            </w:r>
          </w:p>
        </w:tc>
        <w:tc>
          <w:tcPr>
            <w:tcW w:w="1054" w:type="dxa"/>
            <w:tcBorders>
              <w:top w:val="nil"/>
              <w:left w:val="nil"/>
              <w:bottom w:val="single" w:sz="4" w:space="0" w:color="auto"/>
              <w:right w:val="single" w:sz="4" w:space="0" w:color="auto"/>
            </w:tcBorders>
            <w:shd w:val="clear" w:color="auto" w:fill="auto"/>
            <w:noWrap/>
            <w:vAlign w:val="bottom"/>
            <w:hideMark/>
          </w:tcPr>
          <w:p w14:paraId="05E0379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2,861</w:t>
            </w:r>
          </w:p>
        </w:tc>
        <w:tc>
          <w:tcPr>
            <w:tcW w:w="1016" w:type="dxa"/>
            <w:tcBorders>
              <w:top w:val="nil"/>
              <w:left w:val="nil"/>
              <w:bottom w:val="single" w:sz="4" w:space="0" w:color="auto"/>
              <w:right w:val="single" w:sz="4" w:space="0" w:color="auto"/>
            </w:tcBorders>
            <w:shd w:val="clear" w:color="auto" w:fill="auto"/>
            <w:noWrap/>
            <w:vAlign w:val="bottom"/>
            <w:hideMark/>
          </w:tcPr>
          <w:p w14:paraId="05E0379A"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639</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9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84</w:t>
            </w:r>
          </w:p>
        </w:tc>
        <w:tc>
          <w:tcPr>
            <w:tcW w:w="1130" w:type="dxa"/>
            <w:tcBorders>
              <w:top w:val="nil"/>
              <w:left w:val="nil"/>
              <w:bottom w:val="single" w:sz="4" w:space="0" w:color="auto"/>
              <w:right w:val="single" w:sz="4" w:space="0" w:color="auto"/>
            </w:tcBorders>
            <w:shd w:val="clear" w:color="auto" w:fill="auto"/>
            <w:noWrap/>
            <w:vAlign w:val="bottom"/>
            <w:hideMark/>
          </w:tcPr>
          <w:p w14:paraId="05E0379C"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53,676</w:t>
            </w:r>
            <w:r w:rsidRPr="008A0C42">
              <w:rPr>
                <w:rFonts w:asciiTheme="minorHAnsi" w:eastAsia="Times New Roman" w:hAnsiTheme="minorHAnsi"/>
                <w:color w:val="000000"/>
                <w:sz w:val="20"/>
                <w:szCs w:val="20"/>
                <w:lang w:eastAsia="en-US"/>
              </w:rPr>
              <w:t>)</w:t>
            </w:r>
          </w:p>
        </w:tc>
      </w:tr>
      <w:tr w:rsidR="00FA3CE2" w:rsidRPr="008A0C42" w14:paraId="05E037A6"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9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9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Manufactured Homes Ductless Heat Pump</w:t>
            </w:r>
          </w:p>
        </w:tc>
        <w:tc>
          <w:tcPr>
            <w:tcW w:w="836" w:type="dxa"/>
            <w:tcBorders>
              <w:top w:val="nil"/>
              <w:left w:val="nil"/>
              <w:bottom w:val="single" w:sz="4" w:space="0" w:color="auto"/>
              <w:right w:val="single" w:sz="4" w:space="0" w:color="auto"/>
            </w:tcBorders>
            <w:shd w:val="clear" w:color="auto" w:fill="auto"/>
            <w:noWrap/>
            <w:vAlign w:val="bottom"/>
            <w:hideMark/>
          </w:tcPr>
          <w:p w14:paraId="05E037A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A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3,500</w:t>
            </w:r>
          </w:p>
        </w:tc>
        <w:tc>
          <w:tcPr>
            <w:tcW w:w="1054" w:type="dxa"/>
            <w:tcBorders>
              <w:top w:val="nil"/>
              <w:left w:val="nil"/>
              <w:bottom w:val="single" w:sz="4" w:space="0" w:color="auto"/>
              <w:right w:val="single" w:sz="4" w:space="0" w:color="auto"/>
            </w:tcBorders>
            <w:shd w:val="clear" w:color="auto" w:fill="auto"/>
            <w:noWrap/>
            <w:vAlign w:val="bottom"/>
            <w:hideMark/>
          </w:tcPr>
          <w:p w14:paraId="05E037A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2,861</w:t>
            </w:r>
          </w:p>
        </w:tc>
        <w:tc>
          <w:tcPr>
            <w:tcW w:w="1016" w:type="dxa"/>
            <w:tcBorders>
              <w:top w:val="nil"/>
              <w:left w:val="nil"/>
              <w:bottom w:val="single" w:sz="4" w:space="0" w:color="auto"/>
              <w:right w:val="single" w:sz="4" w:space="0" w:color="auto"/>
            </w:tcBorders>
            <w:shd w:val="clear" w:color="auto" w:fill="auto"/>
            <w:noWrap/>
            <w:vAlign w:val="bottom"/>
            <w:hideMark/>
          </w:tcPr>
          <w:p w14:paraId="05E037A3"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639</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A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w:t>
            </w:r>
          </w:p>
        </w:tc>
        <w:tc>
          <w:tcPr>
            <w:tcW w:w="1130" w:type="dxa"/>
            <w:tcBorders>
              <w:top w:val="nil"/>
              <w:left w:val="nil"/>
              <w:bottom w:val="single" w:sz="4" w:space="0" w:color="auto"/>
              <w:right w:val="single" w:sz="4" w:space="0" w:color="auto"/>
            </w:tcBorders>
            <w:shd w:val="clear" w:color="auto" w:fill="auto"/>
            <w:noWrap/>
            <w:vAlign w:val="bottom"/>
            <w:hideMark/>
          </w:tcPr>
          <w:p w14:paraId="05E037A5"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3,195</w:t>
            </w:r>
            <w:r w:rsidRPr="008A0C42">
              <w:rPr>
                <w:rFonts w:asciiTheme="minorHAnsi" w:eastAsia="Times New Roman" w:hAnsiTheme="minorHAnsi"/>
                <w:color w:val="000000"/>
                <w:sz w:val="20"/>
                <w:szCs w:val="20"/>
                <w:lang w:eastAsia="en-US"/>
              </w:rPr>
              <w:t>)</w:t>
            </w:r>
          </w:p>
        </w:tc>
      </w:tr>
      <w:tr w:rsidR="00FA3CE2" w:rsidRPr="008A0C42" w14:paraId="05E037AF"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A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Home Energy </w:t>
            </w:r>
            <w:r w:rsidRPr="008A0C42">
              <w:rPr>
                <w:rFonts w:asciiTheme="minorHAnsi" w:eastAsia="Times New Roman" w:hAnsiTheme="minorHAnsi"/>
                <w:color w:val="000000"/>
                <w:sz w:val="20"/>
                <w:szCs w:val="20"/>
                <w:lang w:eastAsia="en-US"/>
              </w:rPr>
              <w:lastRenderedPageBreak/>
              <w:t>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A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lastRenderedPageBreak/>
              <w:t xml:space="preserve">New Homes Ductless Heat </w:t>
            </w:r>
            <w:r w:rsidRPr="008A0C42">
              <w:rPr>
                <w:rFonts w:asciiTheme="minorHAnsi" w:eastAsia="Times New Roman" w:hAnsiTheme="minorHAnsi"/>
                <w:color w:val="000000"/>
                <w:sz w:val="20"/>
                <w:szCs w:val="20"/>
                <w:lang w:eastAsia="en-US"/>
              </w:rPr>
              <w:lastRenderedPageBreak/>
              <w:t>Pump</w:t>
            </w:r>
          </w:p>
        </w:tc>
        <w:tc>
          <w:tcPr>
            <w:tcW w:w="836" w:type="dxa"/>
            <w:tcBorders>
              <w:top w:val="nil"/>
              <w:left w:val="nil"/>
              <w:bottom w:val="single" w:sz="4" w:space="0" w:color="auto"/>
              <w:right w:val="single" w:sz="4" w:space="0" w:color="auto"/>
            </w:tcBorders>
            <w:shd w:val="clear" w:color="auto" w:fill="auto"/>
            <w:noWrap/>
            <w:vAlign w:val="bottom"/>
            <w:hideMark/>
          </w:tcPr>
          <w:p w14:paraId="05E037A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lastRenderedPageBreak/>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A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3,500</w:t>
            </w:r>
          </w:p>
        </w:tc>
        <w:tc>
          <w:tcPr>
            <w:tcW w:w="1054" w:type="dxa"/>
            <w:tcBorders>
              <w:top w:val="nil"/>
              <w:left w:val="nil"/>
              <w:bottom w:val="single" w:sz="4" w:space="0" w:color="auto"/>
              <w:right w:val="single" w:sz="4" w:space="0" w:color="auto"/>
            </w:tcBorders>
            <w:shd w:val="clear" w:color="auto" w:fill="auto"/>
            <w:noWrap/>
            <w:vAlign w:val="bottom"/>
            <w:hideMark/>
          </w:tcPr>
          <w:p w14:paraId="05E037A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2,861</w:t>
            </w:r>
          </w:p>
        </w:tc>
        <w:tc>
          <w:tcPr>
            <w:tcW w:w="1016" w:type="dxa"/>
            <w:tcBorders>
              <w:top w:val="nil"/>
              <w:left w:val="nil"/>
              <w:bottom w:val="single" w:sz="4" w:space="0" w:color="auto"/>
              <w:right w:val="single" w:sz="4" w:space="0" w:color="auto"/>
            </w:tcBorders>
            <w:shd w:val="clear" w:color="auto" w:fill="auto"/>
            <w:noWrap/>
            <w:vAlign w:val="bottom"/>
            <w:hideMark/>
          </w:tcPr>
          <w:p w14:paraId="05E037AC"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639</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A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w:t>
            </w:r>
          </w:p>
        </w:tc>
        <w:tc>
          <w:tcPr>
            <w:tcW w:w="1130" w:type="dxa"/>
            <w:tcBorders>
              <w:top w:val="nil"/>
              <w:left w:val="nil"/>
              <w:bottom w:val="single" w:sz="4" w:space="0" w:color="auto"/>
              <w:right w:val="single" w:sz="4" w:space="0" w:color="auto"/>
            </w:tcBorders>
            <w:shd w:val="clear" w:color="auto" w:fill="auto"/>
            <w:noWrap/>
            <w:vAlign w:val="bottom"/>
            <w:hideMark/>
          </w:tcPr>
          <w:p w14:paraId="05E037AE" w14:textId="77777777" w:rsidR="00FA3CE2" w:rsidRPr="008A0C42" w:rsidRDefault="00242D36" w:rsidP="00242D36">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4,473</w:t>
            </w:r>
            <w:r w:rsidRPr="008A0C42">
              <w:rPr>
                <w:rFonts w:asciiTheme="minorHAnsi" w:eastAsia="Times New Roman" w:hAnsiTheme="minorHAnsi"/>
                <w:color w:val="000000"/>
                <w:sz w:val="20"/>
                <w:szCs w:val="20"/>
                <w:lang w:eastAsia="en-US"/>
              </w:rPr>
              <w:t>)</w:t>
            </w:r>
          </w:p>
        </w:tc>
      </w:tr>
      <w:tr w:rsidR="00FA3CE2" w:rsidRPr="008A0C42" w14:paraId="05E037B8"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B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B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STAR Fixture - CFL - Downstream</w:t>
            </w:r>
          </w:p>
        </w:tc>
        <w:tc>
          <w:tcPr>
            <w:tcW w:w="836" w:type="dxa"/>
            <w:tcBorders>
              <w:top w:val="nil"/>
              <w:left w:val="nil"/>
              <w:bottom w:val="single" w:sz="4" w:space="0" w:color="auto"/>
              <w:right w:val="single" w:sz="4" w:space="0" w:color="auto"/>
            </w:tcBorders>
            <w:shd w:val="clear" w:color="auto" w:fill="auto"/>
            <w:noWrap/>
            <w:vAlign w:val="bottom"/>
            <w:hideMark/>
          </w:tcPr>
          <w:p w14:paraId="05E037B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B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49</w:t>
            </w:r>
          </w:p>
        </w:tc>
        <w:tc>
          <w:tcPr>
            <w:tcW w:w="1054" w:type="dxa"/>
            <w:tcBorders>
              <w:top w:val="nil"/>
              <w:left w:val="nil"/>
              <w:bottom w:val="single" w:sz="4" w:space="0" w:color="auto"/>
              <w:right w:val="single" w:sz="4" w:space="0" w:color="auto"/>
            </w:tcBorders>
            <w:shd w:val="clear" w:color="auto" w:fill="auto"/>
            <w:noWrap/>
            <w:vAlign w:val="bottom"/>
            <w:hideMark/>
          </w:tcPr>
          <w:p w14:paraId="05E037B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w:t>
            </w:r>
          </w:p>
        </w:tc>
        <w:tc>
          <w:tcPr>
            <w:tcW w:w="1016" w:type="dxa"/>
            <w:tcBorders>
              <w:top w:val="nil"/>
              <w:left w:val="nil"/>
              <w:bottom w:val="single" w:sz="4" w:space="0" w:color="auto"/>
              <w:right w:val="single" w:sz="4" w:space="0" w:color="auto"/>
            </w:tcBorders>
            <w:shd w:val="clear" w:color="auto" w:fill="auto"/>
            <w:noWrap/>
            <w:vAlign w:val="bottom"/>
            <w:hideMark/>
          </w:tcPr>
          <w:p w14:paraId="05E037B5"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37</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B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38</w:t>
            </w:r>
          </w:p>
        </w:tc>
        <w:tc>
          <w:tcPr>
            <w:tcW w:w="1130" w:type="dxa"/>
            <w:tcBorders>
              <w:top w:val="nil"/>
              <w:left w:val="nil"/>
              <w:bottom w:val="single" w:sz="4" w:space="0" w:color="auto"/>
              <w:right w:val="single" w:sz="4" w:space="0" w:color="auto"/>
            </w:tcBorders>
            <w:shd w:val="clear" w:color="auto" w:fill="auto"/>
            <w:noWrap/>
            <w:vAlign w:val="bottom"/>
            <w:hideMark/>
          </w:tcPr>
          <w:p w14:paraId="05E037B7"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1,410</w:t>
            </w:r>
            <w:r w:rsidRPr="008A0C42">
              <w:rPr>
                <w:rFonts w:asciiTheme="minorHAnsi" w:eastAsia="Times New Roman" w:hAnsiTheme="minorHAnsi"/>
                <w:color w:val="000000"/>
                <w:sz w:val="20"/>
                <w:szCs w:val="20"/>
                <w:lang w:eastAsia="en-US"/>
              </w:rPr>
              <w:t>)</w:t>
            </w:r>
          </w:p>
        </w:tc>
      </w:tr>
      <w:tr w:rsidR="00FA3CE2" w:rsidRPr="008A0C42" w14:paraId="05E037C1"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B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B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STAR Fixture - CFL - Upstream</w:t>
            </w:r>
          </w:p>
        </w:tc>
        <w:tc>
          <w:tcPr>
            <w:tcW w:w="836" w:type="dxa"/>
            <w:tcBorders>
              <w:top w:val="nil"/>
              <w:left w:val="nil"/>
              <w:bottom w:val="single" w:sz="4" w:space="0" w:color="auto"/>
              <w:right w:val="single" w:sz="4" w:space="0" w:color="auto"/>
            </w:tcBorders>
            <w:shd w:val="clear" w:color="auto" w:fill="auto"/>
            <w:noWrap/>
            <w:vAlign w:val="bottom"/>
            <w:hideMark/>
          </w:tcPr>
          <w:p w14:paraId="05E037B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B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49</w:t>
            </w:r>
          </w:p>
        </w:tc>
        <w:tc>
          <w:tcPr>
            <w:tcW w:w="1054" w:type="dxa"/>
            <w:tcBorders>
              <w:top w:val="nil"/>
              <w:left w:val="nil"/>
              <w:bottom w:val="single" w:sz="4" w:space="0" w:color="auto"/>
              <w:right w:val="single" w:sz="4" w:space="0" w:color="auto"/>
            </w:tcBorders>
            <w:shd w:val="clear" w:color="auto" w:fill="auto"/>
            <w:noWrap/>
            <w:vAlign w:val="bottom"/>
            <w:hideMark/>
          </w:tcPr>
          <w:p w14:paraId="05E037B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w:t>
            </w:r>
          </w:p>
        </w:tc>
        <w:tc>
          <w:tcPr>
            <w:tcW w:w="1016" w:type="dxa"/>
            <w:tcBorders>
              <w:top w:val="nil"/>
              <w:left w:val="nil"/>
              <w:bottom w:val="single" w:sz="4" w:space="0" w:color="auto"/>
              <w:right w:val="single" w:sz="4" w:space="0" w:color="auto"/>
            </w:tcBorders>
            <w:shd w:val="clear" w:color="auto" w:fill="auto"/>
            <w:noWrap/>
            <w:vAlign w:val="bottom"/>
            <w:hideMark/>
          </w:tcPr>
          <w:p w14:paraId="05E037BE"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37</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B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237</w:t>
            </w:r>
          </w:p>
        </w:tc>
        <w:tc>
          <w:tcPr>
            <w:tcW w:w="1130" w:type="dxa"/>
            <w:tcBorders>
              <w:top w:val="nil"/>
              <w:left w:val="nil"/>
              <w:bottom w:val="single" w:sz="4" w:space="0" w:color="auto"/>
              <w:right w:val="single" w:sz="4" w:space="0" w:color="auto"/>
            </w:tcBorders>
            <w:shd w:val="clear" w:color="auto" w:fill="auto"/>
            <w:noWrap/>
            <w:vAlign w:val="bottom"/>
            <w:hideMark/>
          </w:tcPr>
          <w:p w14:paraId="05E037C0"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8,795</w:t>
            </w:r>
            <w:r w:rsidRPr="008A0C42">
              <w:rPr>
                <w:rFonts w:asciiTheme="minorHAnsi" w:eastAsia="Times New Roman" w:hAnsiTheme="minorHAnsi"/>
                <w:color w:val="000000"/>
                <w:sz w:val="20"/>
                <w:szCs w:val="20"/>
                <w:lang w:eastAsia="en-US"/>
              </w:rPr>
              <w:t>)</w:t>
            </w:r>
          </w:p>
        </w:tc>
      </w:tr>
      <w:tr w:rsidR="00FA3CE2" w:rsidRPr="008A0C42" w14:paraId="05E037CA"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C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C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STAR Fixture - LED - Downstream</w:t>
            </w:r>
          </w:p>
        </w:tc>
        <w:tc>
          <w:tcPr>
            <w:tcW w:w="836" w:type="dxa"/>
            <w:tcBorders>
              <w:top w:val="nil"/>
              <w:left w:val="nil"/>
              <w:bottom w:val="single" w:sz="4" w:space="0" w:color="auto"/>
              <w:right w:val="single" w:sz="4" w:space="0" w:color="auto"/>
            </w:tcBorders>
            <w:shd w:val="clear" w:color="auto" w:fill="auto"/>
            <w:noWrap/>
            <w:vAlign w:val="bottom"/>
            <w:hideMark/>
          </w:tcPr>
          <w:p w14:paraId="05E037C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C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49</w:t>
            </w:r>
          </w:p>
        </w:tc>
        <w:tc>
          <w:tcPr>
            <w:tcW w:w="1054" w:type="dxa"/>
            <w:tcBorders>
              <w:top w:val="nil"/>
              <w:left w:val="nil"/>
              <w:bottom w:val="single" w:sz="4" w:space="0" w:color="auto"/>
              <w:right w:val="single" w:sz="4" w:space="0" w:color="auto"/>
            </w:tcBorders>
            <w:shd w:val="clear" w:color="auto" w:fill="auto"/>
            <w:noWrap/>
            <w:vAlign w:val="bottom"/>
            <w:hideMark/>
          </w:tcPr>
          <w:p w14:paraId="05E037C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w:t>
            </w:r>
          </w:p>
        </w:tc>
        <w:tc>
          <w:tcPr>
            <w:tcW w:w="1016" w:type="dxa"/>
            <w:tcBorders>
              <w:top w:val="nil"/>
              <w:left w:val="nil"/>
              <w:bottom w:val="single" w:sz="4" w:space="0" w:color="auto"/>
              <w:right w:val="single" w:sz="4" w:space="0" w:color="auto"/>
            </w:tcBorders>
            <w:shd w:val="clear" w:color="auto" w:fill="auto"/>
            <w:noWrap/>
            <w:vAlign w:val="bottom"/>
            <w:hideMark/>
          </w:tcPr>
          <w:p w14:paraId="05E037C7"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37</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C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916</w:t>
            </w:r>
          </w:p>
        </w:tc>
        <w:tc>
          <w:tcPr>
            <w:tcW w:w="1130" w:type="dxa"/>
            <w:tcBorders>
              <w:top w:val="nil"/>
              <w:left w:val="nil"/>
              <w:bottom w:val="single" w:sz="4" w:space="0" w:color="auto"/>
              <w:right w:val="single" w:sz="4" w:space="0" w:color="auto"/>
            </w:tcBorders>
            <w:shd w:val="clear" w:color="auto" w:fill="auto"/>
            <w:noWrap/>
            <w:vAlign w:val="bottom"/>
            <w:hideMark/>
          </w:tcPr>
          <w:p w14:paraId="05E037C9"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33,991</w:t>
            </w:r>
            <w:r w:rsidRPr="008A0C42">
              <w:rPr>
                <w:rFonts w:asciiTheme="minorHAnsi" w:eastAsia="Times New Roman" w:hAnsiTheme="minorHAnsi"/>
                <w:color w:val="000000"/>
                <w:sz w:val="20"/>
                <w:szCs w:val="20"/>
                <w:lang w:eastAsia="en-US"/>
              </w:rPr>
              <w:t>)</w:t>
            </w:r>
          </w:p>
        </w:tc>
      </w:tr>
      <w:tr w:rsidR="00FA3CE2" w:rsidRPr="008A0C42" w14:paraId="05E037D3"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C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C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STAR Fixture - LED - Upstream</w:t>
            </w:r>
          </w:p>
        </w:tc>
        <w:tc>
          <w:tcPr>
            <w:tcW w:w="836" w:type="dxa"/>
            <w:tcBorders>
              <w:top w:val="nil"/>
              <w:left w:val="nil"/>
              <w:bottom w:val="single" w:sz="4" w:space="0" w:color="auto"/>
              <w:right w:val="single" w:sz="4" w:space="0" w:color="auto"/>
            </w:tcBorders>
            <w:shd w:val="clear" w:color="auto" w:fill="auto"/>
            <w:noWrap/>
            <w:vAlign w:val="bottom"/>
            <w:hideMark/>
          </w:tcPr>
          <w:p w14:paraId="05E037C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C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49</w:t>
            </w:r>
          </w:p>
        </w:tc>
        <w:tc>
          <w:tcPr>
            <w:tcW w:w="1054" w:type="dxa"/>
            <w:tcBorders>
              <w:top w:val="nil"/>
              <w:left w:val="nil"/>
              <w:bottom w:val="single" w:sz="4" w:space="0" w:color="auto"/>
              <w:right w:val="single" w:sz="4" w:space="0" w:color="auto"/>
            </w:tcBorders>
            <w:shd w:val="clear" w:color="auto" w:fill="auto"/>
            <w:noWrap/>
            <w:vAlign w:val="bottom"/>
            <w:hideMark/>
          </w:tcPr>
          <w:p w14:paraId="05E037C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w:t>
            </w:r>
          </w:p>
        </w:tc>
        <w:tc>
          <w:tcPr>
            <w:tcW w:w="1016" w:type="dxa"/>
            <w:tcBorders>
              <w:top w:val="nil"/>
              <w:left w:val="nil"/>
              <w:bottom w:val="single" w:sz="4" w:space="0" w:color="auto"/>
              <w:right w:val="single" w:sz="4" w:space="0" w:color="auto"/>
            </w:tcBorders>
            <w:shd w:val="clear" w:color="auto" w:fill="auto"/>
            <w:noWrap/>
            <w:vAlign w:val="bottom"/>
            <w:hideMark/>
          </w:tcPr>
          <w:p w14:paraId="05E037D0"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37</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D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15,228</w:t>
            </w:r>
          </w:p>
        </w:tc>
        <w:tc>
          <w:tcPr>
            <w:tcW w:w="1130" w:type="dxa"/>
            <w:tcBorders>
              <w:top w:val="nil"/>
              <w:left w:val="nil"/>
              <w:bottom w:val="single" w:sz="4" w:space="0" w:color="auto"/>
              <w:right w:val="single" w:sz="4" w:space="0" w:color="auto"/>
            </w:tcBorders>
            <w:shd w:val="clear" w:color="auto" w:fill="auto"/>
            <w:noWrap/>
            <w:vAlign w:val="bottom"/>
            <w:hideMark/>
          </w:tcPr>
          <w:p w14:paraId="05E037D2"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565,083</w:t>
            </w:r>
            <w:r w:rsidRPr="008A0C42">
              <w:rPr>
                <w:rFonts w:asciiTheme="minorHAnsi" w:eastAsia="Times New Roman" w:hAnsiTheme="minorHAnsi"/>
                <w:color w:val="000000"/>
                <w:sz w:val="20"/>
                <w:szCs w:val="20"/>
                <w:lang w:eastAsia="en-US"/>
              </w:rPr>
              <w:t>)</w:t>
            </w:r>
          </w:p>
        </w:tc>
      </w:tr>
      <w:tr w:rsidR="00FA3CE2" w:rsidRPr="008A0C42" w14:paraId="05E037DC"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D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D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CFLs - General Purpose - Retail</w:t>
            </w:r>
          </w:p>
        </w:tc>
        <w:tc>
          <w:tcPr>
            <w:tcW w:w="836" w:type="dxa"/>
            <w:tcBorders>
              <w:top w:val="nil"/>
              <w:left w:val="nil"/>
              <w:bottom w:val="single" w:sz="4" w:space="0" w:color="auto"/>
              <w:right w:val="single" w:sz="4" w:space="0" w:color="auto"/>
            </w:tcBorders>
            <w:shd w:val="clear" w:color="auto" w:fill="auto"/>
            <w:noWrap/>
            <w:vAlign w:val="bottom"/>
            <w:hideMark/>
          </w:tcPr>
          <w:p w14:paraId="05E037D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D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16</w:t>
            </w:r>
          </w:p>
        </w:tc>
        <w:tc>
          <w:tcPr>
            <w:tcW w:w="1054" w:type="dxa"/>
            <w:tcBorders>
              <w:top w:val="nil"/>
              <w:left w:val="nil"/>
              <w:bottom w:val="single" w:sz="4" w:space="0" w:color="auto"/>
              <w:right w:val="single" w:sz="4" w:space="0" w:color="auto"/>
            </w:tcBorders>
            <w:shd w:val="clear" w:color="auto" w:fill="auto"/>
            <w:noWrap/>
            <w:vAlign w:val="bottom"/>
            <w:hideMark/>
          </w:tcPr>
          <w:p w14:paraId="05E037D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10</w:t>
            </w:r>
          </w:p>
        </w:tc>
        <w:tc>
          <w:tcPr>
            <w:tcW w:w="1016" w:type="dxa"/>
            <w:tcBorders>
              <w:top w:val="nil"/>
              <w:left w:val="nil"/>
              <w:bottom w:val="single" w:sz="4" w:space="0" w:color="auto"/>
              <w:right w:val="single" w:sz="4" w:space="0" w:color="auto"/>
            </w:tcBorders>
            <w:shd w:val="clear" w:color="auto" w:fill="auto"/>
            <w:noWrap/>
            <w:vAlign w:val="bottom"/>
            <w:hideMark/>
          </w:tcPr>
          <w:p w14:paraId="05E037D9"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6</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D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187,393</w:t>
            </w:r>
          </w:p>
        </w:tc>
        <w:tc>
          <w:tcPr>
            <w:tcW w:w="1130" w:type="dxa"/>
            <w:tcBorders>
              <w:top w:val="nil"/>
              <w:left w:val="nil"/>
              <w:bottom w:val="single" w:sz="4" w:space="0" w:color="auto"/>
              <w:right w:val="single" w:sz="4" w:space="0" w:color="auto"/>
            </w:tcBorders>
            <w:shd w:val="clear" w:color="auto" w:fill="auto"/>
            <w:noWrap/>
            <w:vAlign w:val="bottom"/>
            <w:hideMark/>
          </w:tcPr>
          <w:p w14:paraId="05E037DB"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1,206,811</w:t>
            </w:r>
            <w:r w:rsidRPr="008A0C42">
              <w:rPr>
                <w:rFonts w:asciiTheme="minorHAnsi" w:eastAsia="Times New Roman" w:hAnsiTheme="minorHAnsi"/>
                <w:color w:val="000000"/>
                <w:sz w:val="20"/>
                <w:szCs w:val="20"/>
                <w:lang w:eastAsia="en-US"/>
              </w:rPr>
              <w:t>)</w:t>
            </w:r>
          </w:p>
        </w:tc>
      </w:tr>
      <w:tr w:rsidR="00FA3CE2" w:rsidRPr="008A0C42" w14:paraId="05E037E5"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D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D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LEDs - General Purpose (Omnidirectional) - Retail</w:t>
            </w:r>
          </w:p>
        </w:tc>
        <w:tc>
          <w:tcPr>
            <w:tcW w:w="836" w:type="dxa"/>
            <w:tcBorders>
              <w:top w:val="nil"/>
              <w:left w:val="nil"/>
              <w:bottom w:val="single" w:sz="4" w:space="0" w:color="auto"/>
              <w:right w:val="single" w:sz="4" w:space="0" w:color="auto"/>
            </w:tcBorders>
            <w:shd w:val="clear" w:color="auto" w:fill="auto"/>
            <w:noWrap/>
            <w:vAlign w:val="bottom"/>
            <w:hideMark/>
          </w:tcPr>
          <w:p w14:paraId="05E037D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E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16</w:t>
            </w:r>
          </w:p>
        </w:tc>
        <w:tc>
          <w:tcPr>
            <w:tcW w:w="1054" w:type="dxa"/>
            <w:tcBorders>
              <w:top w:val="nil"/>
              <w:left w:val="nil"/>
              <w:bottom w:val="single" w:sz="4" w:space="0" w:color="auto"/>
              <w:right w:val="single" w:sz="4" w:space="0" w:color="auto"/>
            </w:tcBorders>
            <w:shd w:val="clear" w:color="auto" w:fill="auto"/>
            <w:noWrap/>
            <w:vAlign w:val="bottom"/>
            <w:hideMark/>
          </w:tcPr>
          <w:p w14:paraId="05E037E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10</w:t>
            </w:r>
          </w:p>
        </w:tc>
        <w:tc>
          <w:tcPr>
            <w:tcW w:w="1016" w:type="dxa"/>
            <w:tcBorders>
              <w:top w:val="nil"/>
              <w:left w:val="nil"/>
              <w:bottom w:val="single" w:sz="4" w:space="0" w:color="auto"/>
              <w:right w:val="single" w:sz="4" w:space="0" w:color="auto"/>
            </w:tcBorders>
            <w:shd w:val="clear" w:color="auto" w:fill="auto"/>
            <w:noWrap/>
            <w:vAlign w:val="bottom"/>
            <w:hideMark/>
          </w:tcPr>
          <w:p w14:paraId="05E037E2"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6</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E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87,288</w:t>
            </w:r>
          </w:p>
        </w:tc>
        <w:tc>
          <w:tcPr>
            <w:tcW w:w="1130" w:type="dxa"/>
            <w:tcBorders>
              <w:top w:val="nil"/>
              <w:left w:val="nil"/>
              <w:bottom w:val="single" w:sz="4" w:space="0" w:color="auto"/>
              <w:right w:val="single" w:sz="4" w:space="0" w:color="auto"/>
            </w:tcBorders>
            <w:shd w:val="clear" w:color="auto" w:fill="auto"/>
            <w:noWrap/>
            <w:vAlign w:val="bottom"/>
            <w:hideMark/>
          </w:tcPr>
          <w:p w14:paraId="05E037E4"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543,804</w:t>
            </w:r>
            <w:r w:rsidRPr="008A0C42">
              <w:rPr>
                <w:rFonts w:asciiTheme="minorHAnsi" w:eastAsia="Times New Roman" w:hAnsiTheme="minorHAnsi"/>
                <w:color w:val="000000"/>
                <w:sz w:val="20"/>
                <w:szCs w:val="20"/>
                <w:lang w:eastAsia="en-US"/>
              </w:rPr>
              <w:t>)</w:t>
            </w:r>
          </w:p>
        </w:tc>
      </w:tr>
      <w:tr w:rsidR="00FA3CE2" w:rsidRPr="008A0C42" w14:paraId="05E037EE"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E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E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CFLs - Specialty - Retail</w:t>
            </w:r>
          </w:p>
        </w:tc>
        <w:tc>
          <w:tcPr>
            <w:tcW w:w="836" w:type="dxa"/>
            <w:tcBorders>
              <w:top w:val="nil"/>
              <w:left w:val="nil"/>
              <w:bottom w:val="single" w:sz="4" w:space="0" w:color="auto"/>
              <w:right w:val="single" w:sz="4" w:space="0" w:color="auto"/>
            </w:tcBorders>
            <w:shd w:val="clear" w:color="auto" w:fill="auto"/>
            <w:noWrap/>
            <w:vAlign w:val="bottom"/>
            <w:hideMark/>
          </w:tcPr>
          <w:p w14:paraId="05E037E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E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w:t>
            </w:r>
          </w:p>
        </w:tc>
        <w:tc>
          <w:tcPr>
            <w:tcW w:w="1054" w:type="dxa"/>
            <w:tcBorders>
              <w:top w:val="nil"/>
              <w:left w:val="nil"/>
              <w:bottom w:val="single" w:sz="4" w:space="0" w:color="auto"/>
              <w:right w:val="single" w:sz="4" w:space="0" w:color="auto"/>
            </w:tcBorders>
            <w:shd w:val="clear" w:color="auto" w:fill="auto"/>
            <w:noWrap/>
            <w:vAlign w:val="bottom"/>
            <w:hideMark/>
          </w:tcPr>
          <w:p w14:paraId="05E037E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w:t>
            </w:r>
          </w:p>
        </w:tc>
        <w:tc>
          <w:tcPr>
            <w:tcW w:w="1016" w:type="dxa"/>
            <w:tcBorders>
              <w:top w:val="nil"/>
              <w:left w:val="nil"/>
              <w:bottom w:val="single" w:sz="4" w:space="0" w:color="auto"/>
              <w:right w:val="single" w:sz="4" w:space="0" w:color="auto"/>
            </w:tcBorders>
            <w:shd w:val="clear" w:color="auto" w:fill="auto"/>
            <w:noWrap/>
            <w:vAlign w:val="bottom"/>
            <w:hideMark/>
          </w:tcPr>
          <w:p w14:paraId="05E037EB"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E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37,093</w:t>
            </w:r>
          </w:p>
        </w:tc>
        <w:tc>
          <w:tcPr>
            <w:tcW w:w="1130" w:type="dxa"/>
            <w:tcBorders>
              <w:top w:val="nil"/>
              <w:left w:val="nil"/>
              <w:bottom w:val="single" w:sz="4" w:space="0" w:color="auto"/>
              <w:right w:val="single" w:sz="4" w:space="0" w:color="auto"/>
            </w:tcBorders>
            <w:shd w:val="clear" w:color="auto" w:fill="auto"/>
            <w:noWrap/>
            <w:vAlign w:val="bottom"/>
            <w:hideMark/>
          </w:tcPr>
          <w:p w14:paraId="05E037ED"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177,305</w:t>
            </w:r>
            <w:r w:rsidRPr="008A0C42">
              <w:rPr>
                <w:rFonts w:asciiTheme="minorHAnsi" w:eastAsia="Times New Roman" w:hAnsiTheme="minorHAnsi"/>
                <w:color w:val="000000"/>
                <w:sz w:val="20"/>
                <w:szCs w:val="20"/>
                <w:lang w:eastAsia="en-US"/>
              </w:rPr>
              <w:t>)</w:t>
            </w:r>
          </w:p>
        </w:tc>
      </w:tr>
      <w:tr w:rsidR="00FA3CE2" w:rsidRPr="008A0C42" w14:paraId="05E037F7"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E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F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LEDs - Specialty (Decorative and Directional) - Retail</w:t>
            </w:r>
          </w:p>
        </w:tc>
        <w:tc>
          <w:tcPr>
            <w:tcW w:w="836" w:type="dxa"/>
            <w:tcBorders>
              <w:top w:val="nil"/>
              <w:left w:val="nil"/>
              <w:bottom w:val="single" w:sz="4" w:space="0" w:color="auto"/>
              <w:right w:val="single" w:sz="4" w:space="0" w:color="auto"/>
            </w:tcBorders>
            <w:shd w:val="clear" w:color="auto" w:fill="auto"/>
            <w:noWrap/>
            <w:vAlign w:val="bottom"/>
            <w:hideMark/>
          </w:tcPr>
          <w:p w14:paraId="05E037F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F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29</w:t>
            </w:r>
          </w:p>
        </w:tc>
        <w:tc>
          <w:tcPr>
            <w:tcW w:w="1054" w:type="dxa"/>
            <w:tcBorders>
              <w:top w:val="nil"/>
              <w:left w:val="nil"/>
              <w:bottom w:val="single" w:sz="4" w:space="0" w:color="auto"/>
              <w:right w:val="single" w:sz="4" w:space="0" w:color="auto"/>
            </w:tcBorders>
            <w:shd w:val="clear" w:color="auto" w:fill="auto"/>
            <w:noWrap/>
            <w:vAlign w:val="bottom"/>
            <w:hideMark/>
          </w:tcPr>
          <w:p w14:paraId="05E037F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20</w:t>
            </w:r>
          </w:p>
        </w:tc>
        <w:tc>
          <w:tcPr>
            <w:tcW w:w="1016" w:type="dxa"/>
            <w:tcBorders>
              <w:top w:val="nil"/>
              <w:left w:val="nil"/>
              <w:bottom w:val="single" w:sz="4" w:space="0" w:color="auto"/>
              <w:right w:val="single" w:sz="4" w:space="0" w:color="auto"/>
            </w:tcBorders>
            <w:shd w:val="clear" w:color="auto" w:fill="auto"/>
            <w:noWrap/>
            <w:vAlign w:val="bottom"/>
            <w:hideMark/>
          </w:tcPr>
          <w:p w14:paraId="05E037F4"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F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47,886</w:t>
            </w:r>
          </w:p>
        </w:tc>
        <w:tc>
          <w:tcPr>
            <w:tcW w:w="1130" w:type="dxa"/>
            <w:tcBorders>
              <w:top w:val="nil"/>
              <w:left w:val="nil"/>
              <w:bottom w:val="single" w:sz="4" w:space="0" w:color="auto"/>
              <w:right w:val="single" w:sz="4" w:space="0" w:color="auto"/>
            </w:tcBorders>
            <w:shd w:val="clear" w:color="auto" w:fill="auto"/>
            <w:noWrap/>
            <w:vAlign w:val="bottom"/>
            <w:hideMark/>
          </w:tcPr>
          <w:p w14:paraId="05E037F6"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389,313</w:t>
            </w:r>
            <w:r w:rsidRPr="008A0C42">
              <w:rPr>
                <w:rFonts w:asciiTheme="minorHAnsi" w:eastAsia="Times New Roman" w:hAnsiTheme="minorHAnsi"/>
                <w:color w:val="000000"/>
                <w:sz w:val="20"/>
                <w:szCs w:val="20"/>
                <w:lang w:eastAsia="en-US"/>
              </w:rPr>
              <w:t>)</w:t>
            </w:r>
          </w:p>
        </w:tc>
      </w:tr>
      <w:tr w:rsidR="00FA3CE2" w:rsidRPr="008A0C42" w14:paraId="05E03800"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F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F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HPWH - Tier 1 - 50 to 75 gallons - Any Heat Type - Unheated Buffer Location </w:t>
            </w:r>
          </w:p>
        </w:tc>
        <w:tc>
          <w:tcPr>
            <w:tcW w:w="836" w:type="dxa"/>
            <w:tcBorders>
              <w:top w:val="nil"/>
              <w:left w:val="nil"/>
              <w:bottom w:val="single" w:sz="4" w:space="0" w:color="auto"/>
              <w:right w:val="single" w:sz="4" w:space="0" w:color="auto"/>
            </w:tcBorders>
            <w:shd w:val="clear" w:color="auto" w:fill="auto"/>
            <w:noWrap/>
            <w:vAlign w:val="bottom"/>
            <w:hideMark/>
          </w:tcPr>
          <w:p w14:paraId="05E037F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F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881</w:t>
            </w:r>
          </w:p>
        </w:tc>
        <w:tc>
          <w:tcPr>
            <w:tcW w:w="1054" w:type="dxa"/>
            <w:tcBorders>
              <w:top w:val="nil"/>
              <w:left w:val="nil"/>
              <w:bottom w:val="single" w:sz="4" w:space="0" w:color="auto"/>
              <w:right w:val="single" w:sz="4" w:space="0" w:color="auto"/>
            </w:tcBorders>
            <w:shd w:val="clear" w:color="auto" w:fill="auto"/>
            <w:noWrap/>
            <w:vAlign w:val="bottom"/>
            <w:hideMark/>
          </w:tcPr>
          <w:p w14:paraId="05E037F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887</w:t>
            </w:r>
          </w:p>
        </w:tc>
        <w:tc>
          <w:tcPr>
            <w:tcW w:w="1016" w:type="dxa"/>
            <w:tcBorders>
              <w:top w:val="nil"/>
              <w:left w:val="nil"/>
              <w:bottom w:val="single" w:sz="4" w:space="0" w:color="auto"/>
              <w:right w:val="single" w:sz="4" w:space="0" w:color="auto"/>
            </w:tcBorders>
            <w:shd w:val="clear" w:color="auto" w:fill="auto"/>
            <w:noWrap/>
            <w:vAlign w:val="bottom"/>
            <w:hideMark/>
          </w:tcPr>
          <w:p w14:paraId="05E037F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6</w:t>
            </w:r>
          </w:p>
        </w:tc>
        <w:tc>
          <w:tcPr>
            <w:tcW w:w="810" w:type="dxa"/>
            <w:tcBorders>
              <w:top w:val="nil"/>
              <w:left w:val="nil"/>
              <w:bottom w:val="single" w:sz="4" w:space="0" w:color="auto"/>
              <w:right w:val="single" w:sz="4" w:space="0" w:color="auto"/>
            </w:tcBorders>
            <w:shd w:val="clear" w:color="auto" w:fill="auto"/>
            <w:noWrap/>
            <w:vAlign w:val="bottom"/>
            <w:hideMark/>
          </w:tcPr>
          <w:p w14:paraId="05E037F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w:t>
            </w:r>
          </w:p>
        </w:tc>
        <w:tc>
          <w:tcPr>
            <w:tcW w:w="1130" w:type="dxa"/>
            <w:tcBorders>
              <w:top w:val="nil"/>
              <w:left w:val="nil"/>
              <w:bottom w:val="single" w:sz="4" w:space="0" w:color="auto"/>
              <w:right w:val="single" w:sz="4" w:space="0" w:color="auto"/>
            </w:tcBorders>
            <w:shd w:val="clear" w:color="auto" w:fill="auto"/>
            <w:noWrap/>
            <w:vAlign w:val="bottom"/>
            <w:hideMark/>
          </w:tcPr>
          <w:p w14:paraId="05E037F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18</w:t>
            </w:r>
          </w:p>
        </w:tc>
      </w:tr>
      <w:tr w:rsidR="00FA3CE2" w:rsidRPr="008A0C42" w14:paraId="05E03809"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0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0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HPWH - Tier 1 - 50 to 75 gallons - Electric Furnace Heated Home - Interior Location </w:t>
            </w:r>
          </w:p>
        </w:tc>
        <w:tc>
          <w:tcPr>
            <w:tcW w:w="836" w:type="dxa"/>
            <w:tcBorders>
              <w:top w:val="nil"/>
              <w:left w:val="nil"/>
              <w:bottom w:val="single" w:sz="4" w:space="0" w:color="auto"/>
              <w:right w:val="single" w:sz="4" w:space="0" w:color="auto"/>
            </w:tcBorders>
            <w:shd w:val="clear" w:color="auto" w:fill="auto"/>
            <w:noWrap/>
            <w:vAlign w:val="bottom"/>
            <w:hideMark/>
          </w:tcPr>
          <w:p w14:paraId="05E0380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0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556</w:t>
            </w:r>
          </w:p>
        </w:tc>
        <w:tc>
          <w:tcPr>
            <w:tcW w:w="1054" w:type="dxa"/>
            <w:tcBorders>
              <w:top w:val="nil"/>
              <w:left w:val="nil"/>
              <w:bottom w:val="single" w:sz="4" w:space="0" w:color="auto"/>
              <w:right w:val="single" w:sz="4" w:space="0" w:color="auto"/>
            </w:tcBorders>
            <w:shd w:val="clear" w:color="auto" w:fill="auto"/>
            <w:noWrap/>
            <w:vAlign w:val="bottom"/>
            <w:hideMark/>
          </w:tcPr>
          <w:p w14:paraId="05E0380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556</w:t>
            </w:r>
          </w:p>
        </w:tc>
        <w:tc>
          <w:tcPr>
            <w:tcW w:w="1016" w:type="dxa"/>
            <w:tcBorders>
              <w:top w:val="nil"/>
              <w:left w:val="nil"/>
              <w:bottom w:val="single" w:sz="4" w:space="0" w:color="auto"/>
              <w:right w:val="single" w:sz="4" w:space="0" w:color="auto"/>
            </w:tcBorders>
            <w:shd w:val="clear" w:color="auto" w:fill="auto"/>
            <w:noWrap/>
            <w:vAlign w:val="bottom"/>
            <w:hideMark/>
          </w:tcPr>
          <w:p w14:paraId="05E0380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c>
          <w:tcPr>
            <w:tcW w:w="810" w:type="dxa"/>
            <w:tcBorders>
              <w:top w:val="nil"/>
              <w:left w:val="nil"/>
              <w:bottom w:val="single" w:sz="4" w:space="0" w:color="auto"/>
              <w:right w:val="single" w:sz="4" w:space="0" w:color="auto"/>
            </w:tcBorders>
            <w:shd w:val="clear" w:color="auto" w:fill="auto"/>
            <w:noWrap/>
            <w:vAlign w:val="bottom"/>
            <w:hideMark/>
          </w:tcPr>
          <w:p w14:paraId="05E0380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w:t>
            </w:r>
          </w:p>
        </w:tc>
        <w:tc>
          <w:tcPr>
            <w:tcW w:w="1130" w:type="dxa"/>
            <w:tcBorders>
              <w:top w:val="nil"/>
              <w:left w:val="nil"/>
              <w:bottom w:val="single" w:sz="4" w:space="0" w:color="auto"/>
              <w:right w:val="single" w:sz="4" w:space="0" w:color="auto"/>
            </w:tcBorders>
            <w:shd w:val="clear" w:color="auto" w:fill="auto"/>
            <w:noWrap/>
            <w:vAlign w:val="bottom"/>
            <w:hideMark/>
          </w:tcPr>
          <w:p w14:paraId="05E0380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r>
      <w:tr w:rsidR="00FA3CE2" w:rsidRPr="008A0C42" w14:paraId="05E03812"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0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0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HPWH - Tier 1 - 50 to 75 gallons - Heat Pump Heated Home - Interior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0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0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1,189</w:t>
            </w:r>
          </w:p>
        </w:tc>
        <w:tc>
          <w:tcPr>
            <w:tcW w:w="1054" w:type="dxa"/>
            <w:tcBorders>
              <w:top w:val="nil"/>
              <w:left w:val="nil"/>
              <w:bottom w:val="single" w:sz="4" w:space="0" w:color="auto"/>
              <w:right w:val="single" w:sz="4" w:space="0" w:color="auto"/>
            </w:tcBorders>
            <w:shd w:val="clear" w:color="auto" w:fill="auto"/>
            <w:noWrap/>
            <w:vAlign w:val="bottom"/>
            <w:hideMark/>
          </w:tcPr>
          <w:p w14:paraId="05E0380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1,189</w:t>
            </w:r>
          </w:p>
        </w:tc>
        <w:tc>
          <w:tcPr>
            <w:tcW w:w="1016" w:type="dxa"/>
            <w:tcBorders>
              <w:top w:val="nil"/>
              <w:left w:val="nil"/>
              <w:bottom w:val="single" w:sz="4" w:space="0" w:color="auto"/>
              <w:right w:val="single" w:sz="4" w:space="0" w:color="auto"/>
            </w:tcBorders>
            <w:shd w:val="clear" w:color="auto" w:fill="auto"/>
            <w:noWrap/>
            <w:vAlign w:val="bottom"/>
            <w:hideMark/>
          </w:tcPr>
          <w:p w14:paraId="05E0380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c>
          <w:tcPr>
            <w:tcW w:w="810" w:type="dxa"/>
            <w:tcBorders>
              <w:top w:val="nil"/>
              <w:left w:val="nil"/>
              <w:bottom w:val="single" w:sz="4" w:space="0" w:color="auto"/>
              <w:right w:val="single" w:sz="4" w:space="0" w:color="auto"/>
            </w:tcBorders>
            <w:shd w:val="clear" w:color="auto" w:fill="auto"/>
            <w:noWrap/>
            <w:vAlign w:val="bottom"/>
            <w:hideMark/>
          </w:tcPr>
          <w:p w14:paraId="05E0381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w:t>
            </w:r>
          </w:p>
        </w:tc>
        <w:tc>
          <w:tcPr>
            <w:tcW w:w="1130" w:type="dxa"/>
            <w:tcBorders>
              <w:top w:val="nil"/>
              <w:left w:val="nil"/>
              <w:bottom w:val="single" w:sz="4" w:space="0" w:color="auto"/>
              <w:right w:val="single" w:sz="4" w:space="0" w:color="auto"/>
            </w:tcBorders>
            <w:shd w:val="clear" w:color="auto" w:fill="auto"/>
            <w:noWrap/>
            <w:vAlign w:val="bottom"/>
            <w:hideMark/>
          </w:tcPr>
          <w:p w14:paraId="05E0381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r>
      <w:tr w:rsidR="00FA3CE2" w:rsidRPr="008A0C42" w14:paraId="05E0381B"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1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1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HPWH - Tier 1 - greater than 75 gallons - Any Heat Type - Unheated Buffer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1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1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1,811</w:t>
            </w:r>
          </w:p>
        </w:tc>
        <w:tc>
          <w:tcPr>
            <w:tcW w:w="1054" w:type="dxa"/>
            <w:tcBorders>
              <w:top w:val="nil"/>
              <w:left w:val="nil"/>
              <w:bottom w:val="single" w:sz="4" w:space="0" w:color="auto"/>
              <w:right w:val="single" w:sz="4" w:space="0" w:color="auto"/>
            </w:tcBorders>
            <w:shd w:val="clear" w:color="auto" w:fill="auto"/>
            <w:noWrap/>
            <w:vAlign w:val="bottom"/>
            <w:hideMark/>
          </w:tcPr>
          <w:p w14:paraId="05E0381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1,817</w:t>
            </w:r>
          </w:p>
        </w:tc>
        <w:tc>
          <w:tcPr>
            <w:tcW w:w="1016" w:type="dxa"/>
            <w:tcBorders>
              <w:top w:val="nil"/>
              <w:left w:val="nil"/>
              <w:bottom w:val="single" w:sz="4" w:space="0" w:color="auto"/>
              <w:right w:val="single" w:sz="4" w:space="0" w:color="auto"/>
            </w:tcBorders>
            <w:shd w:val="clear" w:color="auto" w:fill="auto"/>
            <w:noWrap/>
            <w:vAlign w:val="bottom"/>
            <w:hideMark/>
          </w:tcPr>
          <w:p w14:paraId="05E0381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6</w:t>
            </w:r>
          </w:p>
        </w:tc>
        <w:tc>
          <w:tcPr>
            <w:tcW w:w="810" w:type="dxa"/>
            <w:tcBorders>
              <w:top w:val="nil"/>
              <w:left w:val="nil"/>
              <w:bottom w:val="single" w:sz="4" w:space="0" w:color="auto"/>
              <w:right w:val="single" w:sz="4" w:space="0" w:color="auto"/>
            </w:tcBorders>
            <w:shd w:val="clear" w:color="auto" w:fill="auto"/>
            <w:noWrap/>
            <w:vAlign w:val="bottom"/>
            <w:hideMark/>
          </w:tcPr>
          <w:p w14:paraId="05E0381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w:t>
            </w:r>
          </w:p>
        </w:tc>
        <w:tc>
          <w:tcPr>
            <w:tcW w:w="1130" w:type="dxa"/>
            <w:tcBorders>
              <w:top w:val="nil"/>
              <w:left w:val="nil"/>
              <w:bottom w:val="single" w:sz="4" w:space="0" w:color="auto"/>
              <w:right w:val="single" w:sz="4" w:space="0" w:color="auto"/>
            </w:tcBorders>
            <w:shd w:val="clear" w:color="auto" w:fill="auto"/>
            <w:noWrap/>
            <w:vAlign w:val="bottom"/>
            <w:hideMark/>
          </w:tcPr>
          <w:p w14:paraId="05E0381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18</w:t>
            </w:r>
          </w:p>
        </w:tc>
      </w:tr>
      <w:tr w:rsidR="00FA3CE2" w:rsidRPr="008A0C42" w14:paraId="05E03824"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1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1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HPWH - Tier 2 - any tank size &gt;= 50 gallons - Any Heat Type - Unheated Buffer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1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1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1,786</w:t>
            </w:r>
          </w:p>
        </w:tc>
        <w:tc>
          <w:tcPr>
            <w:tcW w:w="1054" w:type="dxa"/>
            <w:tcBorders>
              <w:top w:val="nil"/>
              <w:left w:val="nil"/>
              <w:bottom w:val="single" w:sz="4" w:space="0" w:color="auto"/>
              <w:right w:val="single" w:sz="4" w:space="0" w:color="auto"/>
            </w:tcBorders>
            <w:shd w:val="clear" w:color="auto" w:fill="auto"/>
            <w:noWrap/>
            <w:vAlign w:val="bottom"/>
            <w:hideMark/>
          </w:tcPr>
          <w:p w14:paraId="05E0382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1,794</w:t>
            </w:r>
          </w:p>
        </w:tc>
        <w:tc>
          <w:tcPr>
            <w:tcW w:w="1016" w:type="dxa"/>
            <w:tcBorders>
              <w:top w:val="nil"/>
              <w:left w:val="nil"/>
              <w:bottom w:val="single" w:sz="4" w:space="0" w:color="auto"/>
              <w:right w:val="single" w:sz="4" w:space="0" w:color="auto"/>
            </w:tcBorders>
            <w:shd w:val="clear" w:color="auto" w:fill="auto"/>
            <w:noWrap/>
            <w:vAlign w:val="bottom"/>
            <w:hideMark/>
          </w:tcPr>
          <w:p w14:paraId="05E0382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w:t>
            </w:r>
          </w:p>
        </w:tc>
        <w:tc>
          <w:tcPr>
            <w:tcW w:w="810" w:type="dxa"/>
            <w:tcBorders>
              <w:top w:val="nil"/>
              <w:left w:val="nil"/>
              <w:bottom w:val="single" w:sz="4" w:space="0" w:color="auto"/>
              <w:right w:val="single" w:sz="4" w:space="0" w:color="auto"/>
            </w:tcBorders>
            <w:shd w:val="clear" w:color="auto" w:fill="auto"/>
            <w:noWrap/>
            <w:vAlign w:val="bottom"/>
            <w:hideMark/>
          </w:tcPr>
          <w:p w14:paraId="05E0382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w:t>
            </w:r>
          </w:p>
        </w:tc>
        <w:tc>
          <w:tcPr>
            <w:tcW w:w="1130" w:type="dxa"/>
            <w:tcBorders>
              <w:top w:val="nil"/>
              <w:left w:val="nil"/>
              <w:bottom w:val="single" w:sz="4" w:space="0" w:color="auto"/>
              <w:right w:val="single" w:sz="4" w:space="0" w:color="auto"/>
            </w:tcBorders>
            <w:shd w:val="clear" w:color="auto" w:fill="auto"/>
            <w:noWrap/>
            <w:vAlign w:val="bottom"/>
            <w:hideMark/>
          </w:tcPr>
          <w:p w14:paraId="05E0382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56</w:t>
            </w:r>
          </w:p>
        </w:tc>
      </w:tr>
      <w:tr w:rsidR="00FA3CE2" w:rsidRPr="008A0C42" w14:paraId="05E0382D"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2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2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HPWH - Tier 2 - any tank size &gt;= 50 gallons - Gas Heated Home - Interior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2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2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1,726</w:t>
            </w:r>
          </w:p>
        </w:tc>
        <w:tc>
          <w:tcPr>
            <w:tcW w:w="1054" w:type="dxa"/>
            <w:tcBorders>
              <w:top w:val="nil"/>
              <w:left w:val="nil"/>
              <w:bottom w:val="single" w:sz="4" w:space="0" w:color="auto"/>
              <w:right w:val="single" w:sz="4" w:space="0" w:color="auto"/>
            </w:tcBorders>
            <w:shd w:val="clear" w:color="auto" w:fill="auto"/>
            <w:noWrap/>
            <w:vAlign w:val="bottom"/>
            <w:hideMark/>
          </w:tcPr>
          <w:p w14:paraId="05E0382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1,724</w:t>
            </w:r>
          </w:p>
        </w:tc>
        <w:tc>
          <w:tcPr>
            <w:tcW w:w="1016" w:type="dxa"/>
            <w:tcBorders>
              <w:top w:val="nil"/>
              <w:left w:val="nil"/>
              <w:bottom w:val="single" w:sz="4" w:space="0" w:color="auto"/>
              <w:right w:val="single" w:sz="4" w:space="0" w:color="auto"/>
            </w:tcBorders>
            <w:shd w:val="clear" w:color="auto" w:fill="auto"/>
            <w:noWrap/>
            <w:vAlign w:val="bottom"/>
            <w:hideMark/>
          </w:tcPr>
          <w:p w14:paraId="05E0382A"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82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w:t>
            </w:r>
          </w:p>
        </w:tc>
        <w:tc>
          <w:tcPr>
            <w:tcW w:w="1130" w:type="dxa"/>
            <w:tcBorders>
              <w:top w:val="nil"/>
              <w:left w:val="nil"/>
              <w:bottom w:val="single" w:sz="4" w:space="0" w:color="auto"/>
              <w:right w:val="single" w:sz="4" w:space="0" w:color="auto"/>
            </w:tcBorders>
            <w:shd w:val="clear" w:color="auto" w:fill="auto"/>
            <w:noWrap/>
            <w:vAlign w:val="bottom"/>
            <w:hideMark/>
          </w:tcPr>
          <w:p w14:paraId="05E0382C" w14:textId="77777777" w:rsidR="00FA3CE2" w:rsidRPr="008A0C42" w:rsidRDefault="00242D36" w:rsidP="00242D36">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4</w:t>
            </w:r>
            <w:r w:rsidRPr="008A0C42">
              <w:rPr>
                <w:rFonts w:asciiTheme="minorHAnsi" w:eastAsia="Times New Roman" w:hAnsiTheme="minorHAnsi"/>
                <w:color w:val="000000"/>
                <w:sz w:val="20"/>
                <w:szCs w:val="20"/>
                <w:lang w:eastAsia="en-US"/>
              </w:rPr>
              <w:t>)</w:t>
            </w:r>
          </w:p>
        </w:tc>
      </w:tr>
      <w:tr w:rsidR="00FA3CE2" w:rsidRPr="008A0C42" w14:paraId="05E03836"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2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2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New Homes HPWH - Tier 1 - 50 to 75 gallons - Heat Pump Heated Home - Interior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3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3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1,189</w:t>
            </w:r>
          </w:p>
        </w:tc>
        <w:tc>
          <w:tcPr>
            <w:tcW w:w="1054" w:type="dxa"/>
            <w:tcBorders>
              <w:top w:val="nil"/>
              <w:left w:val="nil"/>
              <w:bottom w:val="single" w:sz="4" w:space="0" w:color="auto"/>
              <w:right w:val="single" w:sz="4" w:space="0" w:color="auto"/>
            </w:tcBorders>
            <w:shd w:val="clear" w:color="auto" w:fill="auto"/>
            <w:noWrap/>
            <w:vAlign w:val="bottom"/>
            <w:hideMark/>
          </w:tcPr>
          <w:p w14:paraId="05E0383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1,189</w:t>
            </w:r>
          </w:p>
        </w:tc>
        <w:tc>
          <w:tcPr>
            <w:tcW w:w="1016" w:type="dxa"/>
            <w:tcBorders>
              <w:top w:val="nil"/>
              <w:left w:val="nil"/>
              <w:bottom w:val="single" w:sz="4" w:space="0" w:color="auto"/>
              <w:right w:val="single" w:sz="4" w:space="0" w:color="auto"/>
            </w:tcBorders>
            <w:shd w:val="clear" w:color="auto" w:fill="auto"/>
            <w:noWrap/>
            <w:vAlign w:val="bottom"/>
            <w:hideMark/>
          </w:tcPr>
          <w:p w14:paraId="05E0383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c>
          <w:tcPr>
            <w:tcW w:w="810" w:type="dxa"/>
            <w:tcBorders>
              <w:top w:val="nil"/>
              <w:left w:val="nil"/>
              <w:bottom w:val="single" w:sz="4" w:space="0" w:color="auto"/>
              <w:right w:val="single" w:sz="4" w:space="0" w:color="auto"/>
            </w:tcBorders>
            <w:shd w:val="clear" w:color="auto" w:fill="auto"/>
            <w:noWrap/>
            <w:vAlign w:val="bottom"/>
            <w:hideMark/>
          </w:tcPr>
          <w:p w14:paraId="05E0383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13</w:t>
            </w:r>
          </w:p>
        </w:tc>
        <w:tc>
          <w:tcPr>
            <w:tcW w:w="1130" w:type="dxa"/>
            <w:tcBorders>
              <w:top w:val="nil"/>
              <w:left w:val="nil"/>
              <w:bottom w:val="single" w:sz="4" w:space="0" w:color="auto"/>
              <w:right w:val="single" w:sz="4" w:space="0" w:color="auto"/>
            </w:tcBorders>
            <w:shd w:val="clear" w:color="auto" w:fill="auto"/>
            <w:noWrap/>
            <w:vAlign w:val="bottom"/>
            <w:hideMark/>
          </w:tcPr>
          <w:p w14:paraId="05E0383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r>
      <w:tr w:rsidR="00FA3CE2" w:rsidRPr="008A0C42" w14:paraId="05E0383F"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3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3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New Homes HPWH - Tier 2 - any tank size &gt;= 50 gallons - Heat Pump Heated Home - Interior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3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3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1,297</w:t>
            </w:r>
          </w:p>
        </w:tc>
        <w:tc>
          <w:tcPr>
            <w:tcW w:w="1054" w:type="dxa"/>
            <w:tcBorders>
              <w:top w:val="nil"/>
              <w:left w:val="nil"/>
              <w:bottom w:val="single" w:sz="4" w:space="0" w:color="auto"/>
              <w:right w:val="single" w:sz="4" w:space="0" w:color="auto"/>
            </w:tcBorders>
            <w:shd w:val="clear" w:color="auto" w:fill="auto"/>
            <w:noWrap/>
            <w:vAlign w:val="bottom"/>
            <w:hideMark/>
          </w:tcPr>
          <w:p w14:paraId="05E0383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1,243</w:t>
            </w:r>
          </w:p>
        </w:tc>
        <w:tc>
          <w:tcPr>
            <w:tcW w:w="1016" w:type="dxa"/>
            <w:tcBorders>
              <w:top w:val="nil"/>
              <w:left w:val="nil"/>
              <w:bottom w:val="single" w:sz="4" w:space="0" w:color="auto"/>
              <w:right w:val="single" w:sz="4" w:space="0" w:color="auto"/>
            </w:tcBorders>
            <w:shd w:val="clear" w:color="auto" w:fill="auto"/>
            <w:noWrap/>
            <w:vAlign w:val="bottom"/>
            <w:hideMark/>
          </w:tcPr>
          <w:p w14:paraId="05E0383C"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54</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83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w:t>
            </w:r>
          </w:p>
        </w:tc>
        <w:tc>
          <w:tcPr>
            <w:tcW w:w="1130" w:type="dxa"/>
            <w:tcBorders>
              <w:top w:val="nil"/>
              <w:left w:val="nil"/>
              <w:bottom w:val="single" w:sz="4" w:space="0" w:color="auto"/>
              <w:right w:val="single" w:sz="4" w:space="0" w:color="auto"/>
            </w:tcBorders>
            <w:shd w:val="clear" w:color="auto" w:fill="auto"/>
            <w:noWrap/>
            <w:vAlign w:val="bottom"/>
            <w:hideMark/>
          </w:tcPr>
          <w:p w14:paraId="05E0383E"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378</w:t>
            </w:r>
            <w:r w:rsidRPr="008A0C42">
              <w:rPr>
                <w:rFonts w:asciiTheme="minorHAnsi" w:eastAsia="Times New Roman" w:hAnsiTheme="minorHAnsi"/>
                <w:color w:val="000000"/>
                <w:sz w:val="20"/>
                <w:szCs w:val="20"/>
                <w:lang w:eastAsia="en-US"/>
              </w:rPr>
              <w:t>)</w:t>
            </w:r>
          </w:p>
        </w:tc>
      </w:tr>
      <w:tr w:rsidR="00FA3CE2" w:rsidRPr="008A0C42" w14:paraId="05E03848"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4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lastRenderedPageBreak/>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4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New Homes HPWH - Tier 2 - any tank size &gt;= 50 gallons - Zonal Electric Heated Home - Interior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4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4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994</w:t>
            </w:r>
          </w:p>
        </w:tc>
        <w:tc>
          <w:tcPr>
            <w:tcW w:w="1054" w:type="dxa"/>
            <w:tcBorders>
              <w:top w:val="nil"/>
              <w:left w:val="nil"/>
              <w:bottom w:val="single" w:sz="4" w:space="0" w:color="auto"/>
              <w:right w:val="single" w:sz="4" w:space="0" w:color="auto"/>
            </w:tcBorders>
            <w:shd w:val="clear" w:color="auto" w:fill="auto"/>
            <w:noWrap/>
            <w:vAlign w:val="bottom"/>
            <w:hideMark/>
          </w:tcPr>
          <w:p w14:paraId="05E0384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952</w:t>
            </w:r>
          </w:p>
        </w:tc>
        <w:tc>
          <w:tcPr>
            <w:tcW w:w="1016" w:type="dxa"/>
            <w:tcBorders>
              <w:top w:val="nil"/>
              <w:left w:val="nil"/>
              <w:bottom w:val="single" w:sz="4" w:space="0" w:color="auto"/>
              <w:right w:val="single" w:sz="4" w:space="0" w:color="auto"/>
            </w:tcBorders>
            <w:shd w:val="clear" w:color="auto" w:fill="auto"/>
            <w:noWrap/>
            <w:vAlign w:val="bottom"/>
            <w:hideMark/>
          </w:tcPr>
          <w:p w14:paraId="05E03845"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42</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84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c>
          <w:tcPr>
            <w:tcW w:w="1130" w:type="dxa"/>
            <w:tcBorders>
              <w:top w:val="nil"/>
              <w:left w:val="nil"/>
              <w:bottom w:val="single" w:sz="4" w:space="0" w:color="auto"/>
              <w:right w:val="single" w:sz="4" w:space="0" w:color="auto"/>
            </w:tcBorders>
            <w:shd w:val="clear" w:color="auto" w:fill="auto"/>
            <w:noWrap/>
            <w:vAlign w:val="bottom"/>
            <w:hideMark/>
          </w:tcPr>
          <w:p w14:paraId="05E0384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r>
      <w:tr w:rsidR="00FA3CE2" w:rsidRPr="008A0C42" w14:paraId="05E03851"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49"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Home Energy Savings Total</w:t>
            </w:r>
          </w:p>
        </w:tc>
        <w:tc>
          <w:tcPr>
            <w:tcW w:w="2507" w:type="dxa"/>
            <w:tcBorders>
              <w:top w:val="nil"/>
              <w:left w:val="nil"/>
              <w:bottom w:val="single" w:sz="4" w:space="0" w:color="auto"/>
              <w:right w:val="single" w:sz="4" w:space="0" w:color="auto"/>
            </w:tcBorders>
            <w:shd w:val="clear" w:color="auto" w:fill="auto"/>
            <w:noWrap/>
            <w:vAlign w:val="bottom"/>
            <w:hideMark/>
          </w:tcPr>
          <w:p w14:paraId="05E0384A"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36" w:type="dxa"/>
            <w:tcBorders>
              <w:top w:val="nil"/>
              <w:left w:val="nil"/>
              <w:bottom w:val="single" w:sz="4" w:space="0" w:color="auto"/>
              <w:right w:val="single" w:sz="4" w:space="0" w:color="auto"/>
            </w:tcBorders>
            <w:shd w:val="clear" w:color="auto" w:fill="auto"/>
            <w:noWrap/>
            <w:vAlign w:val="bottom"/>
            <w:hideMark/>
          </w:tcPr>
          <w:p w14:paraId="05E0384B"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4C"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14:paraId="05E0384D"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4E"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10" w:type="dxa"/>
            <w:tcBorders>
              <w:top w:val="nil"/>
              <w:left w:val="nil"/>
              <w:bottom w:val="single" w:sz="4" w:space="0" w:color="auto"/>
              <w:right w:val="single" w:sz="4" w:space="0" w:color="auto"/>
            </w:tcBorders>
            <w:shd w:val="clear" w:color="auto" w:fill="auto"/>
            <w:noWrap/>
            <w:vAlign w:val="bottom"/>
            <w:hideMark/>
          </w:tcPr>
          <w:p w14:paraId="05E0384F"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130" w:type="dxa"/>
            <w:tcBorders>
              <w:top w:val="nil"/>
              <w:left w:val="nil"/>
              <w:bottom w:val="single" w:sz="4" w:space="0" w:color="auto"/>
              <w:right w:val="single" w:sz="4" w:space="0" w:color="auto"/>
            </w:tcBorders>
            <w:shd w:val="clear" w:color="auto" w:fill="auto"/>
            <w:noWrap/>
            <w:vAlign w:val="bottom"/>
            <w:hideMark/>
          </w:tcPr>
          <w:p w14:paraId="05E03850" w14:textId="77777777" w:rsidR="00FA3CE2" w:rsidRPr="008A0C42" w:rsidRDefault="00242D36" w:rsidP="00FA3CE2">
            <w:pPr>
              <w:jc w:val="right"/>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w:t>
            </w:r>
            <w:r w:rsidR="00FA3CE2" w:rsidRPr="008A0C42">
              <w:rPr>
                <w:rFonts w:asciiTheme="minorHAnsi" w:eastAsia="Times New Roman" w:hAnsiTheme="minorHAnsi"/>
                <w:b/>
                <w:bCs/>
                <w:color w:val="000000"/>
                <w:sz w:val="20"/>
                <w:szCs w:val="20"/>
                <w:lang w:eastAsia="en-US"/>
              </w:rPr>
              <w:t>3,248,187</w:t>
            </w:r>
            <w:r w:rsidRPr="008A0C42">
              <w:rPr>
                <w:rFonts w:asciiTheme="minorHAnsi" w:eastAsia="Times New Roman" w:hAnsiTheme="minorHAnsi"/>
                <w:b/>
                <w:bCs/>
                <w:color w:val="000000"/>
                <w:sz w:val="20"/>
                <w:szCs w:val="20"/>
                <w:lang w:eastAsia="en-US"/>
              </w:rPr>
              <w:t>)</w:t>
            </w:r>
          </w:p>
        </w:tc>
      </w:tr>
      <w:tr w:rsidR="00FA3CE2" w:rsidRPr="008A0C42" w14:paraId="05E0385A"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5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wattsmart Business</w:t>
            </w:r>
          </w:p>
        </w:tc>
        <w:tc>
          <w:tcPr>
            <w:tcW w:w="2507" w:type="dxa"/>
            <w:tcBorders>
              <w:top w:val="nil"/>
              <w:left w:val="nil"/>
              <w:bottom w:val="single" w:sz="4" w:space="0" w:color="auto"/>
              <w:right w:val="single" w:sz="4" w:space="0" w:color="auto"/>
            </w:tcBorders>
            <w:shd w:val="clear" w:color="auto" w:fill="auto"/>
            <w:noWrap/>
            <w:vAlign w:val="bottom"/>
            <w:hideMark/>
          </w:tcPr>
          <w:p w14:paraId="05E0385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Anti-Sweat Heater Controls - Low Temp</w:t>
            </w:r>
          </w:p>
        </w:tc>
        <w:tc>
          <w:tcPr>
            <w:tcW w:w="836" w:type="dxa"/>
            <w:tcBorders>
              <w:top w:val="nil"/>
              <w:left w:val="nil"/>
              <w:bottom w:val="single" w:sz="4" w:space="0" w:color="auto"/>
              <w:right w:val="single" w:sz="4" w:space="0" w:color="auto"/>
            </w:tcBorders>
            <w:shd w:val="clear" w:color="auto" w:fill="auto"/>
            <w:noWrap/>
            <w:vAlign w:val="bottom"/>
            <w:hideMark/>
          </w:tcPr>
          <w:p w14:paraId="05E0385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Linear ft.</w:t>
            </w:r>
          </w:p>
        </w:tc>
        <w:tc>
          <w:tcPr>
            <w:tcW w:w="1016" w:type="dxa"/>
            <w:tcBorders>
              <w:top w:val="nil"/>
              <w:left w:val="nil"/>
              <w:bottom w:val="single" w:sz="4" w:space="0" w:color="auto"/>
              <w:right w:val="single" w:sz="4" w:space="0" w:color="auto"/>
            </w:tcBorders>
            <w:shd w:val="clear" w:color="auto" w:fill="auto"/>
            <w:noWrap/>
            <w:vAlign w:val="bottom"/>
            <w:hideMark/>
          </w:tcPr>
          <w:p w14:paraId="05E0385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378</w:t>
            </w:r>
          </w:p>
        </w:tc>
        <w:tc>
          <w:tcPr>
            <w:tcW w:w="1054" w:type="dxa"/>
            <w:tcBorders>
              <w:top w:val="nil"/>
              <w:left w:val="nil"/>
              <w:bottom w:val="single" w:sz="4" w:space="0" w:color="auto"/>
              <w:right w:val="single" w:sz="4" w:space="0" w:color="auto"/>
            </w:tcBorders>
            <w:shd w:val="clear" w:color="auto" w:fill="auto"/>
            <w:noWrap/>
            <w:vAlign w:val="bottom"/>
            <w:hideMark/>
          </w:tcPr>
          <w:p w14:paraId="05E0385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230</w:t>
            </w:r>
          </w:p>
        </w:tc>
        <w:tc>
          <w:tcPr>
            <w:tcW w:w="1016" w:type="dxa"/>
            <w:tcBorders>
              <w:top w:val="nil"/>
              <w:left w:val="nil"/>
              <w:bottom w:val="single" w:sz="4" w:space="0" w:color="auto"/>
              <w:right w:val="single" w:sz="4" w:space="0" w:color="auto"/>
            </w:tcBorders>
            <w:shd w:val="clear" w:color="auto" w:fill="auto"/>
            <w:noWrap/>
            <w:vAlign w:val="bottom"/>
            <w:hideMark/>
          </w:tcPr>
          <w:p w14:paraId="05E03857"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148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85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399</w:t>
            </w:r>
          </w:p>
        </w:tc>
        <w:tc>
          <w:tcPr>
            <w:tcW w:w="1130" w:type="dxa"/>
            <w:tcBorders>
              <w:top w:val="nil"/>
              <w:left w:val="nil"/>
              <w:bottom w:val="single" w:sz="4" w:space="0" w:color="auto"/>
              <w:right w:val="single" w:sz="4" w:space="0" w:color="auto"/>
            </w:tcBorders>
            <w:shd w:val="clear" w:color="auto" w:fill="auto"/>
            <w:noWrap/>
            <w:vAlign w:val="bottom"/>
            <w:hideMark/>
          </w:tcPr>
          <w:p w14:paraId="05E03859"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59,264</w:t>
            </w:r>
            <w:r w:rsidRPr="008A0C42">
              <w:rPr>
                <w:rFonts w:asciiTheme="minorHAnsi" w:eastAsia="Times New Roman" w:hAnsiTheme="minorHAnsi"/>
                <w:color w:val="000000"/>
                <w:sz w:val="20"/>
                <w:szCs w:val="20"/>
                <w:lang w:eastAsia="en-US"/>
              </w:rPr>
              <w:t>)</w:t>
            </w:r>
          </w:p>
        </w:tc>
      </w:tr>
      <w:tr w:rsidR="00FA3CE2" w:rsidRPr="008A0C42" w14:paraId="05E03863"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5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wattsmart Business</w:t>
            </w:r>
          </w:p>
        </w:tc>
        <w:tc>
          <w:tcPr>
            <w:tcW w:w="2507" w:type="dxa"/>
            <w:tcBorders>
              <w:top w:val="nil"/>
              <w:left w:val="nil"/>
              <w:bottom w:val="single" w:sz="4" w:space="0" w:color="auto"/>
              <w:right w:val="single" w:sz="4" w:space="0" w:color="auto"/>
            </w:tcBorders>
            <w:shd w:val="clear" w:color="auto" w:fill="auto"/>
            <w:noWrap/>
            <w:vAlign w:val="bottom"/>
            <w:hideMark/>
          </w:tcPr>
          <w:p w14:paraId="05E0385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Anti-Sweat Heater Controls - Med Temp</w:t>
            </w:r>
          </w:p>
        </w:tc>
        <w:tc>
          <w:tcPr>
            <w:tcW w:w="836" w:type="dxa"/>
            <w:tcBorders>
              <w:top w:val="nil"/>
              <w:left w:val="nil"/>
              <w:bottom w:val="single" w:sz="4" w:space="0" w:color="auto"/>
              <w:right w:val="single" w:sz="4" w:space="0" w:color="auto"/>
            </w:tcBorders>
            <w:shd w:val="clear" w:color="auto" w:fill="auto"/>
            <w:noWrap/>
            <w:vAlign w:val="bottom"/>
            <w:hideMark/>
          </w:tcPr>
          <w:p w14:paraId="05E0385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Linear ft.</w:t>
            </w:r>
          </w:p>
        </w:tc>
        <w:tc>
          <w:tcPr>
            <w:tcW w:w="1016" w:type="dxa"/>
            <w:tcBorders>
              <w:top w:val="nil"/>
              <w:left w:val="nil"/>
              <w:bottom w:val="single" w:sz="4" w:space="0" w:color="auto"/>
              <w:right w:val="single" w:sz="4" w:space="0" w:color="auto"/>
            </w:tcBorders>
            <w:shd w:val="clear" w:color="auto" w:fill="auto"/>
            <w:noWrap/>
            <w:vAlign w:val="bottom"/>
            <w:hideMark/>
          </w:tcPr>
          <w:p w14:paraId="05E0385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233</w:t>
            </w:r>
          </w:p>
        </w:tc>
        <w:tc>
          <w:tcPr>
            <w:tcW w:w="1054" w:type="dxa"/>
            <w:tcBorders>
              <w:top w:val="nil"/>
              <w:left w:val="nil"/>
              <w:bottom w:val="single" w:sz="4" w:space="0" w:color="auto"/>
              <w:right w:val="single" w:sz="4" w:space="0" w:color="auto"/>
            </w:tcBorders>
            <w:shd w:val="clear" w:color="auto" w:fill="auto"/>
            <w:noWrap/>
            <w:vAlign w:val="bottom"/>
            <w:hideMark/>
          </w:tcPr>
          <w:p w14:paraId="05E0385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369</w:t>
            </w:r>
          </w:p>
        </w:tc>
        <w:tc>
          <w:tcPr>
            <w:tcW w:w="1016" w:type="dxa"/>
            <w:tcBorders>
              <w:top w:val="nil"/>
              <w:left w:val="nil"/>
              <w:bottom w:val="single" w:sz="4" w:space="0" w:color="auto"/>
              <w:right w:val="single" w:sz="4" w:space="0" w:color="auto"/>
            </w:tcBorders>
            <w:shd w:val="clear" w:color="auto" w:fill="auto"/>
            <w:noWrap/>
            <w:vAlign w:val="bottom"/>
            <w:hideMark/>
          </w:tcPr>
          <w:p w14:paraId="05E0386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136</w:t>
            </w:r>
          </w:p>
        </w:tc>
        <w:tc>
          <w:tcPr>
            <w:tcW w:w="810" w:type="dxa"/>
            <w:tcBorders>
              <w:top w:val="nil"/>
              <w:left w:val="nil"/>
              <w:bottom w:val="single" w:sz="4" w:space="0" w:color="auto"/>
              <w:right w:val="single" w:sz="4" w:space="0" w:color="auto"/>
            </w:tcBorders>
            <w:shd w:val="clear" w:color="auto" w:fill="auto"/>
            <w:noWrap/>
            <w:vAlign w:val="bottom"/>
            <w:hideMark/>
          </w:tcPr>
          <w:p w14:paraId="05E0386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28</w:t>
            </w:r>
          </w:p>
        </w:tc>
        <w:tc>
          <w:tcPr>
            <w:tcW w:w="1130" w:type="dxa"/>
            <w:tcBorders>
              <w:top w:val="nil"/>
              <w:left w:val="nil"/>
              <w:bottom w:val="single" w:sz="4" w:space="0" w:color="auto"/>
              <w:right w:val="single" w:sz="4" w:space="0" w:color="auto"/>
            </w:tcBorders>
            <w:shd w:val="clear" w:color="auto" w:fill="auto"/>
            <w:noWrap/>
            <w:vAlign w:val="bottom"/>
            <w:hideMark/>
          </w:tcPr>
          <w:p w14:paraId="05E0386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3,746</w:t>
            </w:r>
          </w:p>
        </w:tc>
      </w:tr>
      <w:tr w:rsidR="00FA3CE2" w:rsidRPr="008A0C42" w14:paraId="05E0386C"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64"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wattsmart Business Total</w:t>
            </w:r>
          </w:p>
        </w:tc>
        <w:tc>
          <w:tcPr>
            <w:tcW w:w="2507" w:type="dxa"/>
            <w:tcBorders>
              <w:top w:val="nil"/>
              <w:left w:val="nil"/>
              <w:bottom w:val="single" w:sz="4" w:space="0" w:color="auto"/>
              <w:right w:val="single" w:sz="4" w:space="0" w:color="auto"/>
            </w:tcBorders>
            <w:shd w:val="clear" w:color="auto" w:fill="auto"/>
            <w:noWrap/>
            <w:vAlign w:val="bottom"/>
            <w:hideMark/>
          </w:tcPr>
          <w:p w14:paraId="05E03865"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36" w:type="dxa"/>
            <w:tcBorders>
              <w:top w:val="nil"/>
              <w:left w:val="nil"/>
              <w:bottom w:val="single" w:sz="4" w:space="0" w:color="auto"/>
              <w:right w:val="single" w:sz="4" w:space="0" w:color="auto"/>
            </w:tcBorders>
            <w:shd w:val="clear" w:color="auto" w:fill="auto"/>
            <w:noWrap/>
            <w:vAlign w:val="bottom"/>
            <w:hideMark/>
          </w:tcPr>
          <w:p w14:paraId="05E03866"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67"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14:paraId="05E03868"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69"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10" w:type="dxa"/>
            <w:tcBorders>
              <w:top w:val="nil"/>
              <w:left w:val="nil"/>
              <w:bottom w:val="single" w:sz="4" w:space="0" w:color="auto"/>
              <w:right w:val="single" w:sz="4" w:space="0" w:color="auto"/>
            </w:tcBorders>
            <w:shd w:val="clear" w:color="auto" w:fill="auto"/>
            <w:noWrap/>
            <w:vAlign w:val="bottom"/>
            <w:hideMark/>
          </w:tcPr>
          <w:p w14:paraId="05E0386A"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130" w:type="dxa"/>
            <w:tcBorders>
              <w:top w:val="nil"/>
              <w:left w:val="nil"/>
              <w:bottom w:val="single" w:sz="4" w:space="0" w:color="auto"/>
              <w:right w:val="single" w:sz="4" w:space="0" w:color="auto"/>
            </w:tcBorders>
            <w:shd w:val="clear" w:color="auto" w:fill="auto"/>
            <w:noWrap/>
            <w:vAlign w:val="bottom"/>
            <w:hideMark/>
          </w:tcPr>
          <w:p w14:paraId="05E0386B" w14:textId="77777777" w:rsidR="00FA3CE2" w:rsidRPr="008A0C42" w:rsidRDefault="00242D36" w:rsidP="00FA3CE2">
            <w:pPr>
              <w:jc w:val="right"/>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w:t>
            </w:r>
            <w:r w:rsidR="00FA3CE2" w:rsidRPr="008A0C42">
              <w:rPr>
                <w:rFonts w:asciiTheme="minorHAnsi" w:eastAsia="Times New Roman" w:hAnsiTheme="minorHAnsi"/>
                <w:b/>
                <w:bCs/>
                <w:color w:val="000000"/>
                <w:sz w:val="20"/>
                <w:szCs w:val="20"/>
                <w:lang w:eastAsia="en-US"/>
              </w:rPr>
              <w:t>55,518</w:t>
            </w:r>
            <w:r w:rsidRPr="008A0C42">
              <w:rPr>
                <w:rFonts w:asciiTheme="minorHAnsi" w:eastAsia="Times New Roman" w:hAnsiTheme="minorHAnsi"/>
                <w:b/>
                <w:bCs/>
                <w:color w:val="000000"/>
                <w:sz w:val="20"/>
                <w:szCs w:val="20"/>
                <w:lang w:eastAsia="en-US"/>
              </w:rPr>
              <w:t>)</w:t>
            </w:r>
          </w:p>
        </w:tc>
      </w:tr>
      <w:tr w:rsidR="00FA3CE2" w:rsidRPr="008A0C42" w14:paraId="05E03875"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6D"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Portfolio Total</w:t>
            </w:r>
          </w:p>
        </w:tc>
        <w:tc>
          <w:tcPr>
            <w:tcW w:w="2507" w:type="dxa"/>
            <w:tcBorders>
              <w:top w:val="nil"/>
              <w:left w:val="nil"/>
              <w:bottom w:val="single" w:sz="4" w:space="0" w:color="auto"/>
              <w:right w:val="single" w:sz="4" w:space="0" w:color="auto"/>
            </w:tcBorders>
            <w:shd w:val="clear" w:color="auto" w:fill="auto"/>
            <w:noWrap/>
            <w:vAlign w:val="bottom"/>
            <w:hideMark/>
          </w:tcPr>
          <w:p w14:paraId="05E0386E"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36" w:type="dxa"/>
            <w:tcBorders>
              <w:top w:val="nil"/>
              <w:left w:val="nil"/>
              <w:bottom w:val="single" w:sz="4" w:space="0" w:color="auto"/>
              <w:right w:val="single" w:sz="4" w:space="0" w:color="auto"/>
            </w:tcBorders>
            <w:shd w:val="clear" w:color="auto" w:fill="auto"/>
            <w:noWrap/>
            <w:vAlign w:val="bottom"/>
            <w:hideMark/>
          </w:tcPr>
          <w:p w14:paraId="05E0386F"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70"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14:paraId="05E03871"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72"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10" w:type="dxa"/>
            <w:tcBorders>
              <w:top w:val="nil"/>
              <w:left w:val="nil"/>
              <w:bottom w:val="single" w:sz="4" w:space="0" w:color="auto"/>
              <w:right w:val="single" w:sz="4" w:space="0" w:color="auto"/>
            </w:tcBorders>
            <w:shd w:val="clear" w:color="auto" w:fill="auto"/>
            <w:noWrap/>
            <w:vAlign w:val="bottom"/>
            <w:hideMark/>
          </w:tcPr>
          <w:p w14:paraId="05E03873"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130" w:type="dxa"/>
            <w:tcBorders>
              <w:top w:val="nil"/>
              <w:left w:val="nil"/>
              <w:bottom w:val="single" w:sz="4" w:space="0" w:color="auto"/>
              <w:right w:val="single" w:sz="4" w:space="0" w:color="auto"/>
            </w:tcBorders>
            <w:shd w:val="clear" w:color="auto" w:fill="auto"/>
            <w:noWrap/>
            <w:vAlign w:val="bottom"/>
            <w:hideMark/>
          </w:tcPr>
          <w:p w14:paraId="05E03874" w14:textId="77777777" w:rsidR="00FA3CE2" w:rsidRPr="008A0C42" w:rsidRDefault="00242D36" w:rsidP="00FA3CE2">
            <w:pPr>
              <w:jc w:val="right"/>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w:t>
            </w:r>
            <w:r w:rsidR="00FA3CE2" w:rsidRPr="008A0C42">
              <w:rPr>
                <w:rFonts w:asciiTheme="minorHAnsi" w:eastAsia="Times New Roman" w:hAnsiTheme="minorHAnsi"/>
                <w:b/>
                <w:bCs/>
                <w:color w:val="000000"/>
                <w:sz w:val="20"/>
                <w:szCs w:val="20"/>
                <w:lang w:eastAsia="en-US"/>
              </w:rPr>
              <w:t>3,303,705</w:t>
            </w:r>
            <w:r w:rsidRPr="008A0C42">
              <w:rPr>
                <w:rFonts w:asciiTheme="minorHAnsi" w:eastAsia="Times New Roman" w:hAnsiTheme="minorHAnsi"/>
                <w:b/>
                <w:bCs/>
                <w:color w:val="000000"/>
                <w:sz w:val="20"/>
                <w:szCs w:val="20"/>
                <w:lang w:eastAsia="en-US"/>
              </w:rPr>
              <w:t>)</w:t>
            </w:r>
          </w:p>
        </w:tc>
      </w:tr>
    </w:tbl>
    <w:p w14:paraId="05E03876" w14:textId="77777777" w:rsidR="00FA3CE2" w:rsidRDefault="00FA3CE2" w:rsidP="00C42C65"/>
    <w:p w14:paraId="05E03877" w14:textId="77777777" w:rsidR="00BF746B" w:rsidRDefault="00BF746B">
      <w:r>
        <w:br w:type="page"/>
      </w:r>
    </w:p>
    <w:p w14:paraId="4FFAD505" w14:textId="59807783" w:rsidR="00F86032" w:rsidRPr="009C6A55" w:rsidRDefault="00F86032" w:rsidP="009C6A55">
      <w:pPr>
        <w:pStyle w:val="Heading1"/>
        <w:rPr>
          <w:u w:val="single"/>
        </w:rPr>
      </w:pPr>
      <w:bookmarkStart w:id="15" w:name="_Toc457372002"/>
      <w:r w:rsidRPr="009C6A55">
        <w:rPr>
          <w:rFonts w:ascii="Times New Roman" w:hAnsi="Times New Roman" w:cs="Times New Roman"/>
          <w:sz w:val="24"/>
          <w:szCs w:val="24"/>
          <w:u w:val="single"/>
          <w:lang w:eastAsia="en-US"/>
        </w:rPr>
        <w:lastRenderedPageBreak/>
        <w:t>Summary of Adaptive Management Actions for the 2014-2015 Washington Programs</w:t>
      </w:r>
      <w:bookmarkEnd w:id="15"/>
    </w:p>
    <w:p w14:paraId="64CB0538" w14:textId="77777777" w:rsidR="00F86032" w:rsidRPr="00F86032" w:rsidRDefault="00F86032"/>
    <w:p w14:paraId="448AE4E5" w14:textId="77777777" w:rsidR="00F86032" w:rsidRDefault="00F86032" w:rsidP="00F86032">
      <w:pPr>
        <w:autoSpaceDE w:val="0"/>
        <w:autoSpaceDN w:val="0"/>
        <w:adjustRightInd w:val="0"/>
        <w:rPr>
          <w:rFonts w:eastAsia="Calibri"/>
          <w:b/>
          <w:bCs/>
          <w:lang w:eastAsia="en-US"/>
        </w:rPr>
      </w:pPr>
      <w:r>
        <w:rPr>
          <w:rFonts w:eastAsia="Calibri"/>
          <w:b/>
          <w:bCs/>
          <w:lang w:eastAsia="en-US"/>
        </w:rPr>
        <w:t>Home Energy Savings Program</w:t>
      </w:r>
    </w:p>
    <w:p w14:paraId="7A72F2F2" w14:textId="77777777" w:rsidR="00F86032" w:rsidRDefault="00F86032" w:rsidP="00F86032">
      <w:pPr>
        <w:autoSpaceDE w:val="0"/>
        <w:autoSpaceDN w:val="0"/>
        <w:adjustRightInd w:val="0"/>
        <w:rPr>
          <w:rFonts w:eastAsia="Calibri"/>
          <w:b/>
          <w:bCs/>
          <w:lang w:eastAsia="en-US"/>
        </w:rPr>
      </w:pPr>
    </w:p>
    <w:p w14:paraId="1F7BED33" w14:textId="77777777" w:rsidR="00F86032" w:rsidRDefault="00F86032" w:rsidP="00F86032">
      <w:pPr>
        <w:autoSpaceDE w:val="0"/>
        <w:autoSpaceDN w:val="0"/>
        <w:adjustRightInd w:val="0"/>
        <w:rPr>
          <w:rFonts w:eastAsia="Calibri"/>
          <w:lang w:eastAsia="en-US"/>
        </w:rPr>
      </w:pPr>
      <w:r>
        <w:rPr>
          <w:rFonts w:eastAsia="Calibri"/>
          <w:lang w:eastAsia="en-US"/>
        </w:rPr>
        <w:t>The program was updated at the beginning of 2014 to align measures, savings,</w:t>
      </w:r>
    </w:p>
    <w:p w14:paraId="7047865B" w14:textId="77777777" w:rsidR="00F86032" w:rsidRDefault="00F86032" w:rsidP="00F86032">
      <w:pPr>
        <w:autoSpaceDE w:val="0"/>
        <w:autoSpaceDN w:val="0"/>
        <w:adjustRightInd w:val="0"/>
        <w:rPr>
          <w:rFonts w:eastAsia="Calibri"/>
          <w:lang w:eastAsia="en-US"/>
        </w:rPr>
      </w:pPr>
      <w:r>
        <w:rPr>
          <w:rFonts w:eastAsia="Calibri"/>
          <w:lang w:eastAsia="en-US"/>
        </w:rPr>
        <w:t>and incentives with market conditions, the latest regional information and</w:t>
      </w:r>
    </w:p>
    <w:p w14:paraId="02FA402E" w14:textId="77777777" w:rsidR="00F86032" w:rsidRDefault="00F86032" w:rsidP="00F86032">
      <w:pPr>
        <w:autoSpaceDE w:val="0"/>
        <w:autoSpaceDN w:val="0"/>
        <w:adjustRightInd w:val="0"/>
        <w:rPr>
          <w:rFonts w:eastAsia="Calibri"/>
          <w:lang w:eastAsia="en-US"/>
        </w:rPr>
      </w:pPr>
      <w:r>
        <w:rPr>
          <w:rFonts w:eastAsia="Calibri"/>
          <w:lang w:eastAsia="en-US"/>
        </w:rPr>
        <w:t>Company planning assumptions used to develop the 2014-2015 biennial target.</w:t>
      </w:r>
    </w:p>
    <w:p w14:paraId="557CE692" w14:textId="77777777" w:rsidR="00F86032" w:rsidRDefault="00F86032" w:rsidP="00F86032">
      <w:pPr>
        <w:autoSpaceDE w:val="0"/>
        <w:autoSpaceDN w:val="0"/>
        <w:adjustRightInd w:val="0"/>
        <w:rPr>
          <w:rFonts w:eastAsia="Calibri"/>
          <w:lang w:eastAsia="en-US"/>
        </w:rPr>
      </w:pPr>
      <w:r>
        <w:rPr>
          <w:rFonts w:eastAsia="Calibri"/>
          <w:lang w:eastAsia="en-US"/>
        </w:rPr>
        <w:t>Key updates included adding mail-by-request energy savings kits, providing full</w:t>
      </w:r>
    </w:p>
    <w:p w14:paraId="33A66248" w14:textId="77777777" w:rsidR="00F86032" w:rsidRDefault="00F86032" w:rsidP="00F86032">
      <w:pPr>
        <w:autoSpaceDE w:val="0"/>
        <w:autoSpaceDN w:val="0"/>
        <w:adjustRightInd w:val="0"/>
        <w:rPr>
          <w:rFonts w:eastAsia="Calibri"/>
          <w:lang w:eastAsia="en-US"/>
        </w:rPr>
      </w:pPr>
      <w:r>
        <w:rPr>
          <w:rFonts w:eastAsia="Calibri"/>
          <w:lang w:eastAsia="en-US"/>
        </w:rPr>
        <w:t>funding for manufactured home duct sealing for customers with electric ducted</w:t>
      </w:r>
    </w:p>
    <w:p w14:paraId="11153C93" w14:textId="77777777" w:rsidR="00F86032" w:rsidRDefault="00F86032" w:rsidP="00F86032">
      <w:pPr>
        <w:autoSpaceDE w:val="0"/>
        <w:autoSpaceDN w:val="0"/>
        <w:adjustRightInd w:val="0"/>
        <w:rPr>
          <w:rFonts w:eastAsia="Calibri"/>
          <w:lang w:eastAsia="en-US"/>
        </w:rPr>
      </w:pPr>
      <w:r>
        <w:rPr>
          <w:rFonts w:eastAsia="Calibri"/>
          <w:lang w:eastAsia="en-US"/>
        </w:rPr>
        <w:t>heating systems, adding incentives for comprehensive whole home upgrades,</w:t>
      </w:r>
    </w:p>
    <w:p w14:paraId="76C193C3" w14:textId="77777777" w:rsidR="00F86032" w:rsidRDefault="00F86032" w:rsidP="00F86032">
      <w:pPr>
        <w:autoSpaceDE w:val="0"/>
        <w:autoSpaceDN w:val="0"/>
        <w:adjustRightInd w:val="0"/>
        <w:rPr>
          <w:rFonts w:eastAsia="Calibri"/>
          <w:lang w:eastAsia="en-US"/>
        </w:rPr>
      </w:pPr>
      <w:r>
        <w:rPr>
          <w:rFonts w:eastAsia="Calibri"/>
          <w:lang w:eastAsia="en-US"/>
        </w:rPr>
        <w:t>adding a multi-family specific measure category and shifting incentives for new</w:t>
      </w:r>
    </w:p>
    <w:p w14:paraId="7B4EA12A" w14:textId="77777777" w:rsidR="00F86032" w:rsidRDefault="00F86032" w:rsidP="00F86032">
      <w:pPr>
        <w:autoSpaceDE w:val="0"/>
        <w:autoSpaceDN w:val="0"/>
        <w:adjustRightInd w:val="0"/>
        <w:rPr>
          <w:rFonts w:eastAsia="Calibri"/>
          <w:lang w:eastAsia="en-US"/>
        </w:rPr>
      </w:pPr>
      <w:r>
        <w:rPr>
          <w:rFonts w:eastAsia="Calibri"/>
          <w:lang w:eastAsia="en-US"/>
        </w:rPr>
        <w:t>homes to a whole home performance basis.</w:t>
      </w:r>
    </w:p>
    <w:p w14:paraId="7C65E3B4" w14:textId="77777777" w:rsidR="00F86032" w:rsidRDefault="00F86032" w:rsidP="00F86032">
      <w:pPr>
        <w:autoSpaceDE w:val="0"/>
        <w:autoSpaceDN w:val="0"/>
        <w:adjustRightInd w:val="0"/>
        <w:rPr>
          <w:rFonts w:eastAsia="Calibri"/>
          <w:lang w:eastAsia="en-US"/>
        </w:rPr>
      </w:pPr>
    </w:p>
    <w:p w14:paraId="1289B5BB" w14:textId="77777777" w:rsidR="00F86032" w:rsidRDefault="00F86032" w:rsidP="00F86032">
      <w:pPr>
        <w:autoSpaceDE w:val="0"/>
        <w:autoSpaceDN w:val="0"/>
        <w:adjustRightInd w:val="0"/>
        <w:rPr>
          <w:rFonts w:eastAsia="Calibri"/>
          <w:lang w:eastAsia="en-US"/>
        </w:rPr>
      </w:pPr>
      <w:r>
        <w:rPr>
          <w:rFonts w:eastAsia="Calibri"/>
          <w:lang w:eastAsia="en-US"/>
        </w:rPr>
        <w:t>An updated program website, launched in April 2014, provided simpler</w:t>
      </w:r>
    </w:p>
    <w:p w14:paraId="480D88F2" w14:textId="77777777" w:rsidR="00F86032" w:rsidRDefault="00F86032" w:rsidP="00F86032">
      <w:pPr>
        <w:autoSpaceDE w:val="0"/>
        <w:autoSpaceDN w:val="0"/>
        <w:adjustRightInd w:val="0"/>
        <w:rPr>
          <w:rFonts w:eastAsia="Calibri"/>
          <w:lang w:eastAsia="en-US"/>
        </w:rPr>
      </w:pPr>
      <w:r>
        <w:rPr>
          <w:rFonts w:eastAsia="Calibri"/>
          <w:lang w:eastAsia="en-US"/>
        </w:rPr>
        <w:t>navigation, direct paths to apply for incentives, enhanced customer support and</w:t>
      </w:r>
    </w:p>
    <w:p w14:paraId="4A4B86BA" w14:textId="77777777" w:rsidR="00F86032" w:rsidRDefault="00F86032" w:rsidP="00F86032">
      <w:pPr>
        <w:autoSpaceDE w:val="0"/>
        <w:autoSpaceDN w:val="0"/>
        <w:adjustRightInd w:val="0"/>
        <w:rPr>
          <w:rFonts w:eastAsia="Calibri"/>
          <w:lang w:eastAsia="en-US"/>
        </w:rPr>
      </w:pPr>
      <w:r>
        <w:rPr>
          <w:rFonts w:eastAsia="Calibri"/>
          <w:lang w:eastAsia="en-US"/>
        </w:rPr>
        <w:t>“self-help” content on a platform that improved usability, especially for mobile</w:t>
      </w:r>
    </w:p>
    <w:p w14:paraId="4E7C6D1A" w14:textId="77777777" w:rsidR="00F86032" w:rsidRDefault="00F86032" w:rsidP="00F86032">
      <w:pPr>
        <w:autoSpaceDE w:val="0"/>
        <w:autoSpaceDN w:val="0"/>
        <w:adjustRightInd w:val="0"/>
        <w:rPr>
          <w:rFonts w:eastAsia="Calibri"/>
          <w:lang w:eastAsia="en-US"/>
        </w:rPr>
      </w:pPr>
      <w:r>
        <w:rPr>
          <w:rFonts w:eastAsia="Calibri"/>
          <w:lang w:eastAsia="en-US"/>
        </w:rPr>
        <w:t>devices. All incentive applications were updated in early 2014 to minimize length</w:t>
      </w:r>
    </w:p>
    <w:p w14:paraId="16726EFE" w14:textId="77777777" w:rsidR="00F86032" w:rsidRDefault="00F86032" w:rsidP="00F86032">
      <w:pPr>
        <w:autoSpaceDE w:val="0"/>
        <w:autoSpaceDN w:val="0"/>
        <w:adjustRightInd w:val="0"/>
        <w:rPr>
          <w:rFonts w:eastAsia="Calibri"/>
          <w:lang w:eastAsia="en-US"/>
        </w:rPr>
      </w:pPr>
      <w:r>
        <w:rPr>
          <w:rFonts w:eastAsia="Calibri"/>
          <w:lang w:eastAsia="en-US"/>
        </w:rPr>
        <w:t>and an online incentive application process was added for light fixtures and</w:t>
      </w:r>
    </w:p>
    <w:p w14:paraId="3F18B302" w14:textId="77777777" w:rsidR="00F86032" w:rsidRDefault="00F86032" w:rsidP="00F86032">
      <w:pPr>
        <w:autoSpaceDE w:val="0"/>
        <w:autoSpaceDN w:val="0"/>
        <w:adjustRightInd w:val="0"/>
        <w:rPr>
          <w:rFonts w:eastAsia="Calibri"/>
          <w:lang w:eastAsia="en-US"/>
        </w:rPr>
      </w:pPr>
      <w:r>
        <w:rPr>
          <w:rFonts w:eastAsia="Calibri"/>
          <w:lang w:eastAsia="en-US"/>
        </w:rPr>
        <w:t>appliances. Online applications were added for insulation/air sealing, duct</w:t>
      </w:r>
    </w:p>
    <w:p w14:paraId="31981810" w14:textId="77777777" w:rsidR="00F86032" w:rsidRDefault="00F86032" w:rsidP="00F86032">
      <w:pPr>
        <w:autoSpaceDE w:val="0"/>
        <w:autoSpaceDN w:val="0"/>
        <w:adjustRightInd w:val="0"/>
        <w:rPr>
          <w:rFonts w:eastAsia="Calibri"/>
          <w:lang w:eastAsia="en-US"/>
        </w:rPr>
      </w:pPr>
      <w:r>
        <w:rPr>
          <w:rFonts w:eastAsia="Calibri"/>
          <w:lang w:eastAsia="en-US"/>
        </w:rPr>
        <w:t>sealing/duct insulation and central air conditioning equipment in 2015.</w:t>
      </w:r>
    </w:p>
    <w:p w14:paraId="10647F43" w14:textId="77777777" w:rsidR="00F86032" w:rsidRDefault="00F86032" w:rsidP="00F86032">
      <w:pPr>
        <w:autoSpaceDE w:val="0"/>
        <w:autoSpaceDN w:val="0"/>
        <w:adjustRightInd w:val="0"/>
        <w:rPr>
          <w:rFonts w:eastAsia="Calibri"/>
          <w:lang w:eastAsia="en-US"/>
        </w:rPr>
      </w:pPr>
    </w:p>
    <w:p w14:paraId="32DFEA77" w14:textId="77777777" w:rsidR="00F86032" w:rsidRDefault="00F86032" w:rsidP="00F86032">
      <w:pPr>
        <w:autoSpaceDE w:val="0"/>
        <w:autoSpaceDN w:val="0"/>
        <w:adjustRightInd w:val="0"/>
        <w:rPr>
          <w:rFonts w:eastAsia="Calibri"/>
          <w:lang w:eastAsia="en-US"/>
        </w:rPr>
      </w:pPr>
      <w:r>
        <w:rPr>
          <w:rFonts w:eastAsia="Calibri"/>
          <w:lang w:eastAsia="en-US"/>
        </w:rPr>
        <w:t>During the biennial period, lighting promotions shifted from CFLs to LEDs in</w:t>
      </w:r>
    </w:p>
    <w:p w14:paraId="5332AA1A" w14:textId="77777777" w:rsidR="00F86032" w:rsidRDefault="00F86032" w:rsidP="00F86032">
      <w:pPr>
        <w:autoSpaceDE w:val="0"/>
        <w:autoSpaceDN w:val="0"/>
        <w:adjustRightInd w:val="0"/>
        <w:rPr>
          <w:rFonts w:eastAsia="Calibri"/>
          <w:lang w:eastAsia="en-US"/>
        </w:rPr>
      </w:pPr>
      <w:r>
        <w:rPr>
          <w:rFonts w:eastAsia="Calibri"/>
          <w:lang w:eastAsia="en-US"/>
        </w:rPr>
        <w:t>response to shifting customer preferences and product availability. Recognizing</w:t>
      </w:r>
    </w:p>
    <w:p w14:paraId="59B47D3D" w14:textId="77777777" w:rsidR="00F86032" w:rsidRDefault="00F86032" w:rsidP="00F86032">
      <w:pPr>
        <w:autoSpaceDE w:val="0"/>
        <w:autoSpaceDN w:val="0"/>
        <w:adjustRightInd w:val="0"/>
        <w:rPr>
          <w:rFonts w:eastAsia="Calibri"/>
          <w:lang w:eastAsia="en-US"/>
        </w:rPr>
      </w:pPr>
      <w:r>
        <w:rPr>
          <w:rFonts w:eastAsia="Calibri"/>
          <w:lang w:eastAsia="en-US"/>
        </w:rPr>
        <w:t>the higher relative costs of LEDs (when compared to CFLs), promotions focused</w:t>
      </w:r>
    </w:p>
    <w:p w14:paraId="7C35662C" w14:textId="77777777" w:rsidR="00F86032" w:rsidRDefault="00F86032" w:rsidP="00F86032">
      <w:pPr>
        <w:autoSpaceDE w:val="0"/>
        <w:autoSpaceDN w:val="0"/>
        <w:adjustRightInd w:val="0"/>
        <w:rPr>
          <w:rFonts w:eastAsia="Calibri"/>
          <w:lang w:eastAsia="en-US"/>
        </w:rPr>
      </w:pPr>
      <w:r>
        <w:rPr>
          <w:rFonts w:eastAsia="Calibri"/>
          <w:lang w:eastAsia="en-US"/>
        </w:rPr>
        <w:t>on opportunities where partners (retailers and manufacturers) also made direct</w:t>
      </w:r>
    </w:p>
    <w:p w14:paraId="279D9E19" w14:textId="77777777" w:rsidR="00F86032" w:rsidRDefault="00F86032" w:rsidP="00F86032">
      <w:pPr>
        <w:autoSpaceDE w:val="0"/>
        <w:autoSpaceDN w:val="0"/>
        <w:adjustRightInd w:val="0"/>
        <w:rPr>
          <w:rFonts w:eastAsia="Calibri"/>
          <w:lang w:eastAsia="en-US"/>
        </w:rPr>
      </w:pPr>
      <w:r>
        <w:rPr>
          <w:rFonts w:eastAsia="Calibri"/>
          <w:lang w:eastAsia="en-US"/>
        </w:rPr>
        <w:t>contributions (in addition to program incentives) to lowering the final cost to the</w:t>
      </w:r>
    </w:p>
    <w:p w14:paraId="64C6DF26" w14:textId="77777777" w:rsidR="00F86032" w:rsidRDefault="00F86032" w:rsidP="00F86032">
      <w:pPr>
        <w:autoSpaceDE w:val="0"/>
        <w:autoSpaceDN w:val="0"/>
        <w:adjustRightInd w:val="0"/>
        <w:rPr>
          <w:rFonts w:eastAsia="Calibri"/>
          <w:lang w:eastAsia="en-US"/>
        </w:rPr>
      </w:pPr>
      <w:r>
        <w:rPr>
          <w:rFonts w:eastAsia="Calibri"/>
          <w:lang w:eastAsia="en-US"/>
        </w:rPr>
        <w:t>customer.</w:t>
      </w:r>
    </w:p>
    <w:p w14:paraId="32017157" w14:textId="77777777" w:rsidR="00F86032" w:rsidRDefault="00F86032" w:rsidP="00F86032">
      <w:pPr>
        <w:autoSpaceDE w:val="0"/>
        <w:autoSpaceDN w:val="0"/>
        <w:adjustRightInd w:val="0"/>
        <w:rPr>
          <w:rFonts w:eastAsia="Calibri"/>
          <w:lang w:eastAsia="en-US"/>
        </w:rPr>
      </w:pPr>
    </w:p>
    <w:p w14:paraId="3C6BAC3E" w14:textId="77777777" w:rsidR="00F86032" w:rsidRDefault="00F86032" w:rsidP="00F86032">
      <w:pPr>
        <w:autoSpaceDE w:val="0"/>
        <w:autoSpaceDN w:val="0"/>
        <w:adjustRightInd w:val="0"/>
        <w:rPr>
          <w:rFonts w:eastAsia="Calibri"/>
          <w:lang w:eastAsia="en-US"/>
        </w:rPr>
      </w:pPr>
      <w:r>
        <w:rPr>
          <w:rFonts w:eastAsia="Calibri"/>
          <w:lang w:eastAsia="en-US"/>
        </w:rPr>
        <w:t>During the last two quarters of 2015, CLEAResult (the program implementer)</w:t>
      </w:r>
    </w:p>
    <w:p w14:paraId="09BB8E88" w14:textId="77777777" w:rsidR="00F86032" w:rsidRDefault="00F86032" w:rsidP="00F86032">
      <w:pPr>
        <w:autoSpaceDE w:val="0"/>
        <w:autoSpaceDN w:val="0"/>
        <w:adjustRightInd w:val="0"/>
        <w:rPr>
          <w:rFonts w:eastAsia="Calibri"/>
          <w:lang w:eastAsia="en-US"/>
        </w:rPr>
      </w:pPr>
      <w:r>
        <w:rPr>
          <w:rFonts w:eastAsia="Calibri"/>
          <w:lang w:eastAsia="en-US"/>
        </w:rPr>
        <w:t>worked with the Company to identify new measures, measure updates and</w:t>
      </w:r>
    </w:p>
    <w:p w14:paraId="7B57C03C" w14:textId="77777777" w:rsidR="00F86032" w:rsidRDefault="00F86032" w:rsidP="00F86032">
      <w:pPr>
        <w:autoSpaceDE w:val="0"/>
        <w:autoSpaceDN w:val="0"/>
        <w:adjustRightInd w:val="0"/>
        <w:rPr>
          <w:rFonts w:eastAsia="Calibri"/>
          <w:lang w:eastAsia="en-US"/>
        </w:rPr>
      </w:pPr>
      <w:r>
        <w:rPr>
          <w:rFonts w:eastAsia="Calibri"/>
          <w:lang w:eastAsia="en-US"/>
        </w:rPr>
        <w:t>delivery channel changes for the next biennial period. Changes were provided to</w:t>
      </w:r>
    </w:p>
    <w:p w14:paraId="7076ACEA" w14:textId="77777777" w:rsidR="00F86032" w:rsidRDefault="00F86032" w:rsidP="00F86032">
      <w:pPr>
        <w:autoSpaceDE w:val="0"/>
        <w:autoSpaceDN w:val="0"/>
        <w:adjustRightInd w:val="0"/>
        <w:rPr>
          <w:rFonts w:eastAsia="Calibri"/>
          <w:lang w:eastAsia="en-US"/>
        </w:rPr>
      </w:pPr>
      <w:r>
        <w:rPr>
          <w:rFonts w:eastAsia="Calibri"/>
          <w:lang w:eastAsia="en-US"/>
        </w:rPr>
        <w:t>the DSM Advisory group for review and comment in mid-October and took effect</w:t>
      </w:r>
    </w:p>
    <w:p w14:paraId="13D4753C" w14:textId="77777777" w:rsidR="00F86032" w:rsidRDefault="00F86032" w:rsidP="00F86032">
      <w:pPr>
        <w:autoSpaceDE w:val="0"/>
        <w:autoSpaceDN w:val="0"/>
        <w:adjustRightInd w:val="0"/>
        <w:rPr>
          <w:rFonts w:eastAsia="Calibri"/>
          <w:lang w:eastAsia="en-US"/>
        </w:rPr>
      </w:pPr>
      <w:r>
        <w:rPr>
          <w:rFonts w:eastAsia="Calibri"/>
          <w:lang w:eastAsia="en-US"/>
        </w:rPr>
        <w:t>at the beginning of January 2016. Highlights of the changes included updating</w:t>
      </w:r>
    </w:p>
    <w:p w14:paraId="3DF1CB21" w14:textId="77777777" w:rsidR="00F86032" w:rsidRPr="00F86032" w:rsidRDefault="00F86032" w:rsidP="00F86032">
      <w:pPr>
        <w:rPr>
          <w:rFonts w:eastAsia="Calibri"/>
          <w:lang w:eastAsia="en-US"/>
        </w:rPr>
      </w:pPr>
      <w:r>
        <w:rPr>
          <w:rFonts w:eastAsia="Calibri"/>
          <w:lang w:eastAsia="en-US"/>
        </w:rPr>
        <w:t xml:space="preserve">unit energy savings for LEDs and CFLs with the latest RTF values, moving light </w:t>
      </w:r>
      <w:r w:rsidRPr="00F86032">
        <w:rPr>
          <w:rFonts w:eastAsia="Calibri"/>
          <w:lang w:eastAsia="en-US"/>
        </w:rPr>
        <w:t>fixture incentives upstream, adding incentives for emerging technology or pilot</w:t>
      </w:r>
    </w:p>
    <w:p w14:paraId="000A7ED8" w14:textId="77777777" w:rsidR="00F86032" w:rsidRPr="00F86032" w:rsidRDefault="00F86032" w:rsidP="00F86032">
      <w:pPr>
        <w:rPr>
          <w:rFonts w:eastAsia="Calibri"/>
          <w:lang w:eastAsia="en-US"/>
        </w:rPr>
      </w:pPr>
      <w:r w:rsidRPr="00F86032">
        <w:rPr>
          <w:rFonts w:eastAsia="Calibri"/>
          <w:lang w:eastAsia="en-US"/>
        </w:rPr>
        <w:t>measures including advanced power strips, Wi-Fi enabled programmable</w:t>
      </w:r>
    </w:p>
    <w:p w14:paraId="2DB0CD62" w14:textId="77777777" w:rsidR="00F86032" w:rsidRPr="00F86032" w:rsidRDefault="00F86032" w:rsidP="00F86032">
      <w:pPr>
        <w:rPr>
          <w:rFonts w:eastAsia="Calibri"/>
          <w:lang w:eastAsia="en-US"/>
        </w:rPr>
      </w:pPr>
      <w:r w:rsidRPr="00F86032">
        <w:rPr>
          <w:rFonts w:eastAsia="Calibri"/>
          <w:lang w:eastAsia="en-US"/>
        </w:rPr>
        <w:t>thermostats and heat pump clothes dryers, sun setting incentives for refrigerators</w:t>
      </w:r>
    </w:p>
    <w:p w14:paraId="72C3E2D2" w14:textId="77777777" w:rsidR="00F86032" w:rsidRPr="00F86032" w:rsidRDefault="00F86032" w:rsidP="00F86032">
      <w:pPr>
        <w:rPr>
          <w:rFonts w:eastAsia="Calibri"/>
          <w:lang w:eastAsia="en-US"/>
        </w:rPr>
      </w:pPr>
      <w:r w:rsidRPr="00F86032">
        <w:rPr>
          <w:rFonts w:eastAsia="Calibri"/>
          <w:lang w:eastAsia="en-US"/>
        </w:rPr>
        <w:t>and freezers based on updated federal standards and modifying incentive delivery</w:t>
      </w:r>
    </w:p>
    <w:p w14:paraId="5B941E77" w14:textId="5FE17EEF" w:rsidR="00F86032" w:rsidRDefault="00F86032" w:rsidP="00F86032">
      <w:pPr>
        <w:rPr>
          <w:rFonts w:eastAsia="Calibri"/>
          <w:lang w:eastAsia="en-US"/>
        </w:rPr>
      </w:pPr>
      <w:r w:rsidRPr="00F86032">
        <w:rPr>
          <w:rFonts w:eastAsia="Calibri"/>
          <w:lang w:eastAsia="en-US"/>
        </w:rPr>
        <w:t>channels for new high performance manufactured homes.</w:t>
      </w:r>
    </w:p>
    <w:p w14:paraId="68CF7F32" w14:textId="77777777" w:rsidR="00F86032" w:rsidRDefault="00F86032" w:rsidP="00F86032">
      <w:pPr>
        <w:rPr>
          <w:rFonts w:eastAsia="Calibri"/>
          <w:lang w:eastAsia="en-US"/>
        </w:rPr>
      </w:pPr>
    </w:p>
    <w:p w14:paraId="516B91FA" w14:textId="77777777" w:rsidR="004C0947" w:rsidRDefault="004C0947" w:rsidP="00F86032">
      <w:pPr>
        <w:rPr>
          <w:rFonts w:eastAsia="Calibri"/>
          <w:lang w:eastAsia="en-US"/>
        </w:rPr>
      </w:pPr>
    </w:p>
    <w:p w14:paraId="29A218DE" w14:textId="77777777" w:rsidR="00F86032" w:rsidRDefault="00F86032" w:rsidP="00F86032">
      <w:pPr>
        <w:autoSpaceDE w:val="0"/>
        <w:autoSpaceDN w:val="0"/>
        <w:adjustRightInd w:val="0"/>
        <w:rPr>
          <w:rFonts w:eastAsia="Calibri"/>
          <w:b/>
          <w:bCs/>
          <w:lang w:eastAsia="en-US"/>
        </w:rPr>
      </w:pPr>
      <w:r>
        <w:rPr>
          <w:rFonts w:eastAsia="Calibri"/>
          <w:b/>
          <w:bCs/>
          <w:lang w:eastAsia="en-US"/>
        </w:rPr>
        <w:t>Appliance Recycling</w:t>
      </w:r>
    </w:p>
    <w:p w14:paraId="0E2F8E1C" w14:textId="77777777" w:rsidR="004C0947" w:rsidRDefault="004C0947" w:rsidP="00F86032">
      <w:pPr>
        <w:autoSpaceDE w:val="0"/>
        <w:autoSpaceDN w:val="0"/>
        <w:adjustRightInd w:val="0"/>
        <w:rPr>
          <w:rFonts w:eastAsia="Calibri"/>
          <w:b/>
          <w:bCs/>
          <w:lang w:eastAsia="en-US"/>
        </w:rPr>
      </w:pPr>
    </w:p>
    <w:p w14:paraId="4AA0C9C0" w14:textId="77777777" w:rsidR="00F86032" w:rsidRDefault="00F86032" w:rsidP="00F86032">
      <w:pPr>
        <w:autoSpaceDE w:val="0"/>
        <w:autoSpaceDN w:val="0"/>
        <w:adjustRightInd w:val="0"/>
        <w:rPr>
          <w:rFonts w:eastAsia="Calibri"/>
          <w:lang w:eastAsia="en-US"/>
        </w:rPr>
      </w:pPr>
      <w:r>
        <w:rPr>
          <w:rFonts w:eastAsia="Calibri"/>
          <w:lang w:eastAsia="en-US"/>
        </w:rPr>
        <w:t>Pickup and recycling services available under the program were expanded to</w:t>
      </w:r>
    </w:p>
    <w:p w14:paraId="1568A112" w14:textId="77777777" w:rsidR="00F86032" w:rsidRDefault="00F86032" w:rsidP="00F86032">
      <w:pPr>
        <w:autoSpaceDE w:val="0"/>
        <w:autoSpaceDN w:val="0"/>
        <w:adjustRightInd w:val="0"/>
        <w:rPr>
          <w:rFonts w:eastAsia="Calibri"/>
          <w:lang w:eastAsia="en-US"/>
        </w:rPr>
      </w:pPr>
      <w:r>
        <w:rPr>
          <w:rFonts w:eastAsia="Calibri"/>
          <w:lang w:eastAsia="en-US"/>
        </w:rPr>
        <w:t>include all customer classes in April 2014. In late 2015, as part of the planning</w:t>
      </w:r>
    </w:p>
    <w:p w14:paraId="69F7EC9A" w14:textId="77777777" w:rsidR="00F86032" w:rsidRDefault="00F86032" w:rsidP="00F86032">
      <w:pPr>
        <w:autoSpaceDE w:val="0"/>
        <w:autoSpaceDN w:val="0"/>
        <w:adjustRightInd w:val="0"/>
        <w:rPr>
          <w:rFonts w:eastAsia="Calibri"/>
          <w:lang w:eastAsia="en-US"/>
        </w:rPr>
      </w:pPr>
      <w:r>
        <w:rPr>
          <w:rFonts w:eastAsia="Calibri"/>
          <w:lang w:eastAsia="en-US"/>
        </w:rPr>
        <w:lastRenderedPageBreak/>
        <w:t>process for the next biennial period, the company received updated program</w:t>
      </w:r>
    </w:p>
    <w:p w14:paraId="673CD192" w14:textId="77777777" w:rsidR="00F86032" w:rsidRDefault="00F86032" w:rsidP="00F86032">
      <w:pPr>
        <w:autoSpaceDE w:val="0"/>
        <w:autoSpaceDN w:val="0"/>
        <w:adjustRightInd w:val="0"/>
        <w:rPr>
          <w:rFonts w:eastAsia="Calibri"/>
          <w:lang w:eastAsia="en-US"/>
        </w:rPr>
      </w:pPr>
      <w:r>
        <w:rPr>
          <w:rFonts w:eastAsia="Calibri"/>
          <w:lang w:eastAsia="en-US"/>
        </w:rPr>
        <w:t>evaluation information on new (and lower) unit energy savings (which was</w:t>
      </w:r>
    </w:p>
    <w:p w14:paraId="2340B105" w14:textId="77777777" w:rsidR="00F86032" w:rsidRDefault="00F86032" w:rsidP="00F86032">
      <w:pPr>
        <w:autoSpaceDE w:val="0"/>
        <w:autoSpaceDN w:val="0"/>
        <w:adjustRightInd w:val="0"/>
        <w:rPr>
          <w:rFonts w:eastAsia="Calibri"/>
          <w:lang w:eastAsia="en-US"/>
        </w:rPr>
      </w:pPr>
      <w:r>
        <w:rPr>
          <w:rFonts w:eastAsia="Calibri"/>
          <w:lang w:eastAsia="en-US"/>
        </w:rPr>
        <w:t>consistent with comparable RTF data) for recycled appliances. The forecasted</w:t>
      </w:r>
    </w:p>
    <w:p w14:paraId="03D3E4A3" w14:textId="77777777" w:rsidR="00F86032" w:rsidRDefault="00F86032" w:rsidP="00F86032">
      <w:pPr>
        <w:autoSpaceDE w:val="0"/>
        <w:autoSpaceDN w:val="0"/>
        <w:adjustRightInd w:val="0"/>
        <w:rPr>
          <w:rFonts w:eastAsia="Calibri"/>
          <w:lang w:eastAsia="en-US"/>
        </w:rPr>
      </w:pPr>
      <w:r>
        <w:rPr>
          <w:rFonts w:eastAsia="Calibri"/>
          <w:lang w:eastAsia="en-US"/>
        </w:rPr>
        <w:t>cost-effectiveness utilizing new unit energy savings from the Company’s program</w:t>
      </w:r>
    </w:p>
    <w:p w14:paraId="72F6F031" w14:textId="77777777" w:rsidR="00F86032" w:rsidRDefault="00F86032" w:rsidP="00F86032">
      <w:pPr>
        <w:autoSpaceDE w:val="0"/>
        <w:autoSpaceDN w:val="0"/>
        <w:adjustRightInd w:val="0"/>
        <w:rPr>
          <w:rFonts w:eastAsia="Calibri"/>
          <w:lang w:eastAsia="en-US"/>
        </w:rPr>
      </w:pPr>
      <w:r>
        <w:rPr>
          <w:rFonts w:eastAsia="Calibri"/>
          <w:lang w:eastAsia="en-US"/>
        </w:rPr>
        <w:t>evaluation was sub-optimal and the company received approval to cancel the</w:t>
      </w:r>
    </w:p>
    <w:p w14:paraId="066983BC" w14:textId="77777777" w:rsidR="00F86032" w:rsidRDefault="00F86032" w:rsidP="00F86032">
      <w:pPr>
        <w:autoSpaceDE w:val="0"/>
        <w:autoSpaceDN w:val="0"/>
        <w:adjustRightInd w:val="0"/>
        <w:rPr>
          <w:rFonts w:eastAsia="Calibri"/>
          <w:lang w:eastAsia="en-US"/>
        </w:rPr>
      </w:pPr>
      <w:r>
        <w:rPr>
          <w:rFonts w:eastAsia="Calibri"/>
          <w:lang w:eastAsia="en-US"/>
        </w:rPr>
        <w:t>program effective January 1, 2016.</w:t>
      </w:r>
    </w:p>
    <w:p w14:paraId="6560148E" w14:textId="77777777" w:rsidR="00F86032" w:rsidRDefault="00F86032" w:rsidP="00F86032">
      <w:pPr>
        <w:autoSpaceDE w:val="0"/>
        <w:autoSpaceDN w:val="0"/>
        <w:adjustRightInd w:val="0"/>
        <w:rPr>
          <w:rFonts w:eastAsia="Calibri"/>
          <w:lang w:eastAsia="en-US"/>
        </w:rPr>
      </w:pPr>
    </w:p>
    <w:p w14:paraId="18EF8769" w14:textId="77777777" w:rsidR="00F86032" w:rsidRDefault="00F86032" w:rsidP="00F86032">
      <w:pPr>
        <w:autoSpaceDE w:val="0"/>
        <w:autoSpaceDN w:val="0"/>
        <w:adjustRightInd w:val="0"/>
        <w:rPr>
          <w:rFonts w:eastAsia="Calibri"/>
          <w:lang w:eastAsia="en-US"/>
        </w:rPr>
      </w:pPr>
      <w:r>
        <w:rPr>
          <w:rFonts w:eastAsia="Calibri"/>
          <w:lang w:eastAsia="en-US"/>
        </w:rPr>
        <w:t>In late November 2015, the Company was notified that the program</w:t>
      </w:r>
    </w:p>
    <w:p w14:paraId="382A7EE4" w14:textId="77777777" w:rsidR="00F86032" w:rsidRDefault="00F86032" w:rsidP="00F86032">
      <w:pPr>
        <w:autoSpaceDE w:val="0"/>
        <w:autoSpaceDN w:val="0"/>
        <w:adjustRightInd w:val="0"/>
        <w:rPr>
          <w:rFonts w:eastAsia="Calibri"/>
          <w:lang w:eastAsia="en-US"/>
        </w:rPr>
      </w:pPr>
      <w:r>
        <w:rPr>
          <w:rFonts w:eastAsia="Calibri"/>
          <w:lang w:eastAsia="en-US"/>
        </w:rPr>
        <w:t>implementation contractor had entered into a voluntary receivership, that</w:t>
      </w:r>
    </w:p>
    <w:p w14:paraId="5152D010" w14:textId="77777777" w:rsidR="00F86032" w:rsidRDefault="00F86032" w:rsidP="00F86032">
      <w:pPr>
        <w:autoSpaceDE w:val="0"/>
        <w:autoSpaceDN w:val="0"/>
        <w:adjustRightInd w:val="0"/>
        <w:rPr>
          <w:rFonts w:eastAsia="Calibri"/>
          <w:lang w:eastAsia="en-US"/>
        </w:rPr>
      </w:pPr>
      <w:r>
        <w:rPr>
          <w:rFonts w:eastAsia="Calibri"/>
          <w:lang w:eastAsia="en-US"/>
        </w:rPr>
        <w:t>scheduled pickups had been cancelled, operations had ceased and recent customer</w:t>
      </w:r>
    </w:p>
    <w:p w14:paraId="7104CA7B" w14:textId="77777777" w:rsidR="00F86032" w:rsidRDefault="00F86032" w:rsidP="00F86032">
      <w:pPr>
        <w:autoSpaceDE w:val="0"/>
        <w:autoSpaceDN w:val="0"/>
        <w:adjustRightInd w:val="0"/>
        <w:rPr>
          <w:rFonts w:eastAsia="Calibri"/>
          <w:lang w:eastAsia="en-US"/>
        </w:rPr>
      </w:pPr>
      <w:r>
        <w:rPr>
          <w:rFonts w:eastAsia="Calibri"/>
          <w:lang w:eastAsia="en-US"/>
        </w:rPr>
        <w:t>incentive checks may not be honored by the bank. The Company immediately</w:t>
      </w:r>
    </w:p>
    <w:p w14:paraId="5FD8B443" w14:textId="77777777" w:rsidR="00F86032" w:rsidRDefault="00F86032" w:rsidP="00F86032">
      <w:pPr>
        <w:autoSpaceDE w:val="0"/>
        <w:autoSpaceDN w:val="0"/>
        <w:adjustRightInd w:val="0"/>
        <w:rPr>
          <w:rFonts w:eastAsia="Calibri"/>
          <w:lang w:eastAsia="en-US"/>
        </w:rPr>
      </w:pPr>
      <w:r>
        <w:rPr>
          <w:rFonts w:eastAsia="Calibri"/>
          <w:lang w:eastAsia="en-US"/>
        </w:rPr>
        <w:t>posted this information on the program website and utilized another vendor to</w:t>
      </w:r>
    </w:p>
    <w:p w14:paraId="1788579E" w14:textId="77777777" w:rsidR="00F86032" w:rsidRDefault="00F86032" w:rsidP="00F86032">
      <w:pPr>
        <w:autoSpaceDE w:val="0"/>
        <w:autoSpaceDN w:val="0"/>
        <w:adjustRightInd w:val="0"/>
        <w:rPr>
          <w:rFonts w:eastAsia="Calibri"/>
          <w:lang w:eastAsia="en-US"/>
        </w:rPr>
      </w:pPr>
      <w:r>
        <w:rPr>
          <w:rFonts w:eastAsia="Calibri"/>
          <w:lang w:eastAsia="en-US"/>
        </w:rPr>
        <w:t>contact the affected customers to inform them the pickup was cancelled. During</w:t>
      </w:r>
    </w:p>
    <w:p w14:paraId="649603BD" w14:textId="77777777" w:rsidR="00F86032" w:rsidRDefault="00F86032" w:rsidP="00F86032">
      <w:pPr>
        <w:autoSpaceDE w:val="0"/>
        <w:autoSpaceDN w:val="0"/>
        <w:adjustRightInd w:val="0"/>
        <w:rPr>
          <w:rFonts w:eastAsia="Calibri"/>
          <w:lang w:eastAsia="en-US"/>
        </w:rPr>
      </w:pPr>
      <w:r>
        <w:rPr>
          <w:rFonts w:eastAsia="Calibri"/>
          <w:lang w:eastAsia="en-US"/>
        </w:rPr>
        <w:t>December, the Company developed a process to pay outstanding incentives and</w:t>
      </w:r>
    </w:p>
    <w:p w14:paraId="6A1A6477" w14:textId="77777777" w:rsidR="00F86032" w:rsidRDefault="00F86032" w:rsidP="00F86032">
      <w:pPr>
        <w:autoSpaceDE w:val="0"/>
        <w:autoSpaceDN w:val="0"/>
        <w:adjustRightInd w:val="0"/>
        <w:rPr>
          <w:rFonts w:eastAsia="Calibri"/>
          <w:lang w:eastAsia="en-US"/>
        </w:rPr>
      </w:pPr>
      <w:r>
        <w:rPr>
          <w:rFonts w:eastAsia="Calibri"/>
          <w:lang w:eastAsia="en-US"/>
        </w:rPr>
        <w:t>any bank fees incurred by customers. Also in December, the Company began an</w:t>
      </w:r>
    </w:p>
    <w:p w14:paraId="118D1E46" w14:textId="77777777" w:rsidR="00F86032" w:rsidRDefault="00F86032" w:rsidP="00F86032">
      <w:pPr>
        <w:autoSpaceDE w:val="0"/>
        <w:autoSpaceDN w:val="0"/>
        <w:adjustRightInd w:val="0"/>
        <w:rPr>
          <w:rFonts w:eastAsia="Calibri"/>
          <w:lang w:eastAsia="en-US"/>
        </w:rPr>
      </w:pPr>
      <w:r>
        <w:rPr>
          <w:rFonts w:eastAsia="Calibri"/>
          <w:lang w:eastAsia="en-US"/>
        </w:rPr>
        <w:t>expedited sole source procurement process to contract for remedial or “clean-up”</w:t>
      </w:r>
    </w:p>
    <w:p w14:paraId="6DCF0C43" w14:textId="77777777" w:rsidR="00F86032" w:rsidRDefault="00F86032" w:rsidP="00F86032">
      <w:pPr>
        <w:autoSpaceDE w:val="0"/>
        <w:autoSpaceDN w:val="0"/>
        <w:adjustRightInd w:val="0"/>
        <w:rPr>
          <w:rFonts w:eastAsia="Calibri"/>
          <w:lang w:eastAsia="en-US"/>
        </w:rPr>
      </w:pPr>
      <w:r>
        <w:rPr>
          <w:rFonts w:eastAsia="Calibri"/>
          <w:lang w:eastAsia="en-US"/>
        </w:rPr>
        <w:t>appliance recycling services for customers who had pick-ups scheduled and</w:t>
      </w:r>
    </w:p>
    <w:p w14:paraId="7B4FA256" w14:textId="3B166651" w:rsidR="00F86032" w:rsidRDefault="00F86032" w:rsidP="00F86032">
      <w:pPr>
        <w:rPr>
          <w:rFonts w:eastAsia="Calibri"/>
          <w:lang w:eastAsia="en-US"/>
        </w:rPr>
      </w:pPr>
      <w:r>
        <w:rPr>
          <w:rFonts w:eastAsia="Calibri"/>
          <w:lang w:eastAsia="en-US"/>
        </w:rPr>
        <w:t>cancelled. A contract for these services was executed in late December.</w:t>
      </w:r>
    </w:p>
    <w:p w14:paraId="6BDD6D12" w14:textId="77777777" w:rsidR="00F86032" w:rsidRDefault="00F86032" w:rsidP="00F86032">
      <w:pPr>
        <w:rPr>
          <w:rFonts w:eastAsia="Calibri"/>
          <w:lang w:eastAsia="en-US"/>
        </w:rPr>
      </w:pPr>
    </w:p>
    <w:p w14:paraId="26CBFA70" w14:textId="77777777" w:rsidR="004C0947" w:rsidRDefault="004C0947" w:rsidP="00F86032">
      <w:pPr>
        <w:rPr>
          <w:rFonts w:eastAsia="Calibri"/>
          <w:lang w:eastAsia="en-US"/>
        </w:rPr>
      </w:pPr>
    </w:p>
    <w:p w14:paraId="664B642D" w14:textId="77777777" w:rsidR="00F86032" w:rsidRDefault="00F86032" w:rsidP="00F86032">
      <w:pPr>
        <w:autoSpaceDE w:val="0"/>
        <w:autoSpaceDN w:val="0"/>
        <w:adjustRightInd w:val="0"/>
        <w:rPr>
          <w:rFonts w:eastAsia="Calibri"/>
          <w:b/>
          <w:bCs/>
          <w:lang w:eastAsia="en-US"/>
        </w:rPr>
      </w:pPr>
      <w:r>
        <w:rPr>
          <w:rFonts w:eastAsia="Calibri"/>
          <w:b/>
          <w:bCs/>
          <w:lang w:eastAsia="en-US"/>
        </w:rPr>
        <w:t>Home Energy Reports</w:t>
      </w:r>
    </w:p>
    <w:p w14:paraId="7A5373A0" w14:textId="77777777" w:rsidR="004C0947" w:rsidRDefault="004C0947" w:rsidP="00F86032">
      <w:pPr>
        <w:autoSpaceDE w:val="0"/>
        <w:autoSpaceDN w:val="0"/>
        <w:adjustRightInd w:val="0"/>
        <w:rPr>
          <w:rFonts w:eastAsia="Calibri"/>
          <w:b/>
          <w:bCs/>
          <w:lang w:eastAsia="en-US"/>
        </w:rPr>
      </w:pPr>
    </w:p>
    <w:p w14:paraId="754F0CB4" w14:textId="77777777" w:rsidR="00F86032" w:rsidRDefault="00F86032" w:rsidP="00F86032">
      <w:pPr>
        <w:autoSpaceDE w:val="0"/>
        <w:autoSpaceDN w:val="0"/>
        <w:adjustRightInd w:val="0"/>
        <w:rPr>
          <w:rFonts w:eastAsia="Calibri"/>
          <w:lang w:eastAsia="en-US"/>
        </w:rPr>
      </w:pPr>
      <w:r>
        <w:rPr>
          <w:rFonts w:eastAsia="Calibri"/>
          <w:lang w:eastAsia="en-US"/>
        </w:rPr>
        <w:t>During the second and third quarters of 2014, the Company met with the DSM</w:t>
      </w:r>
    </w:p>
    <w:p w14:paraId="74A746FB" w14:textId="77777777" w:rsidR="00F86032" w:rsidRDefault="00F86032" w:rsidP="00F86032">
      <w:pPr>
        <w:autoSpaceDE w:val="0"/>
        <w:autoSpaceDN w:val="0"/>
        <w:adjustRightInd w:val="0"/>
        <w:rPr>
          <w:rFonts w:eastAsia="Calibri"/>
          <w:lang w:eastAsia="en-US"/>
        </w:rPr>
      </w:pPr>
      <w:r>
        <w:rPr>
          <w:rFonts w:eastAsia="Calibri"/>
          <w:lang w:eastAsia="en-US"/>
        </w:rPr>
        <w:t>Advisory group and outlined plans to expand the Home Energy Reports offer to a</w:t>
      </w:r>
    </w:p>
    <w:p w14:paraId="505AF31C" w14:textId="77777777" w:rsidR="00F86032" w:rsidRDefault="00F86032" w:rsidP="00F86032">
      <w:pPr>
        <w:autoSpaceDE w:val="0"/>
        <w:autoSpaceDN w:val="0"/>
        <w:adjustRightInd w:val="0"/>
        <w:rPr>
          <w:rFonts w:eastAsia="Calibri"/>
          <w:lang w:eastAsia="en-US"/>
        </w:rPr>
      </w:pPr>
      <w:r>
        <w:rPr>
          <w:rFonts w:eastAsia="Calibri"/>
          <w:lang w:eastAsia="en-US"/>
        </w:rPr>
        <w:t>larger group of customers. These plans included detailed discussions and</w:t>
      </w:r>
    </w:p>
    <w:p w14:paraId="4C2D509D" w14:textId="77777777" w:rsidR="00F86032" w:rsidRDefault="00F86032" w:rsidP="00F86032">
      <w:pPr>
        <w:autoSpaceDE w:val="0"/>
        <w:autoSpaceDN w:val="0"/>
        <w:adjustRightInd w:val="0"/>
        <w:rPr>
          <w:rFonts w:eastAsia="Calibri"/>
          <w:lang w:eastAsia="en-US"/>
        </w:rPr>
      </w:pPr>
      <w:r>
        <w:rPr>
          <w:rFonts w:eastAsia="Calibri"/>
          <w:lang w:eastAsia="en-US"/>
        </w:rPr>
        <w:t>exchange of information on a number of the key expansion assumptions,</w:t>
      </w:r>
    </w:p>
    <w:p w14:paraId="017A6FE7" w14:textId="77777777" w:rsidR="00F86032" w:rsidRDefault="00F86032" w:rsidP="00F86032">
      <w:pPr>
        <w:autoSpaceDE w:val="0"/>
        <w:autoSpaceDN w:val="0"/>
        <w:adjustRightInd w:val="0"/>
        <w:rPr>
          <w:rFonts w:eastAsia="Calibri"/>
          <w:lang w:eastAsia="en-US"/>
        </w:rPr>
      </w:pPr>
      <w:r>
        <w:rPr>
          <w:rFonts w:eastAsia="Calibri"/>
          <w:lang w:eastAsia="en-US"/>
        </w:rPr>
        <w:t>including one vs. two year measure life, persistence of the savings, impacts of</w:t>
      </w:r>
    </w:p>
    <w:p w14:paraId="5123B4BA" w14:textId="77777777" w:rsidR="00F86032" w:rsidRDefault="00F86032" w:rsidP="00F86032">
      <w:pPr>
        <w:autoSpaceDE w:val="0"/>
        <w:autoSpaceDN w:val="0"/>
        <w:adjustRightInd w:val="0"/>
        <w:rPr>
          <w:rFonts w:eastAsia="Calibri"/>
          <w:lang w:eastAsia="en-US"/>
        </w:rPr>
      </w:pPr>
      <w:r>
        <w:rPr>
          <w:rFonts w:eastAsia="Calibri"/>
          <w:lang w:eastAsia="en-US"/>
        </w:rPr>
        <w:t>allowing all customers access to web tools and the evaluation plans. The</w:t>
      </w:r>
    </w:p>
    <w:p w14:paraId="61D92C2B" w14:textId="77777777" w:rsidR="00F86032" w:rsidRDefault="00F86032" w:rsidP="00F86032">
      <w:pPr>
        <w:autoSpaceDE w:val="0"/>
        <w:autoSpaceDN w:val="0"/>
        <w:adjustRightInd w:val="0"/>
        <w:rPr>
          <w:rFonts w:eastAsia="Calibri"/>
          <w:lang w:eastAsia="en-US"/>
        </w:rPr>
      </w:pPr>
      <w:r>
        <w:rPr>
          <w:rFonts w:eastAsia="Calibri"/>
          <w:lang w:eastAsia="en-US"/>
        </w:rPr>
        <w:t>Company received approval to expand the program to an additional 38,500</w:t>
      </w:r>
    </w:p>
    <w:p w14:paraId="638068CD" w14:textId="77777777" w:rsidR="00F86032" w:rsidRDefault="00F86032" w:rsidP="00F86032">
      <w:pPr>
        <w:autoSpaceDE w:val="0"/>
        <w:autoSpaceDN w:val="0"/>
        <w:adjustRightInd w:val="0"/>
        <w:rPr>
          <w:rFonts w:eastAsia="Calibri"/>
          <w:lang w:eastAsia="en-US"/>
        </w:rPr>
      </w:pPr>
      <w:r>
        <w:rPr>
          <w:rFonts w:eastAsia="Calibri"/>
          <w:lang w:eastAsia="en-US"/>
        </w:rPr>
        <w:t>customers in September 2014. These customers received their initial reports in</w:t>
      </w:r>
    </w:p>
    <w:p w14:paraId="504171FD" w14:textId="77777777" w:rsidR="00F86032" w:rsidRDefault="00F86032" w:rsidP="00F86032">
      <w:pPr>
        <w:autoSpaceDE w:val="0"/>
        <w:autoSpaceDN w:val="0"/>
        <w:adjustRightInd w:val="0"/>
        <w:rPr>
          <w:rFonts w:eastAsia="Calibri"/>
          <w:lang w:eastAsia="en-US"/>
        </w:rPr>
      </w:pPr>
      <w:r>
        <w:rPr>
          <w:rFonts w:eastAsia="Calibri"/>
          <w:lang w:eastAsia="en-US"/>
        </w:rPr>
        <w:t>October 2014 and reports were mailed monthly for the initial three months in</w:t>
      </w:r>
    </w:p>
    <w:p w14:paraId="79BED7DD" w14:textId="77777777" w:rsidR="00F86032" w:rsidRDefault="00F86032" w:rsidP="00F86032">
      <w:pPr>
        <w:autoSpaceDE w:val="0"/>
        <w:autoSpaceDN w:val="0"/>
        <w:adjustRightInd w:val="0"/>
        <w:rPr>
          <w:rFonts w:eastAsia="Calibri"/>
          <w:lang w:eastAsia="en-US"/>
        </w:rPr>
      </w:pPr>
      <w:r>
        <w:rPr>
          <w:rFonts w:eastAsia="Calibri"/>
          <w:lang w:eastAsia="en-US"/>
        </w:rPr>
        <w:t>order to build program awareness. Following this initial three month period,</w:t>
      </w:r>
    </w:p>
    <w:p w14:paraId="296C3B23" w14:textId="77777777" w:rsidR="00F86032" w:rsidRDefault="00F86032" w:rsidP="00F86032">
      <w:pPr>
        <w:autoSpaceDE w:val="0"/>
        <w:autoSpaceDN w:val="0"/>
        <w:adjustRightInd w:val="0"/>
        <w:rPr>
          <w:rFonts w:eastAsia="Calibri"/>
          <w:lang w:eastAsia="en-US"/>
        </w:rPr>
      </w:pPr>
      <w:r>
        <w:rPr>
          <w:rFonts w:eastAsia="Calibri"/>
          <w:lang w:eastAsia="en-US"/>
        </w:rPr>
        <w:t>report frequency moved to bi-monthly for the remainder of the program.</w:t>
      </w:r>
    </w:p>
    <w:p w14:paraId="413B0611" w14:textId="77777777" w:rsidR="00F86032" w:rsidRDefault="00F86032" w:rsidP="00F86032">
      <w:pPr>
        <w:autoSpaceDE w:val="0"/>
        <w:autoSpaceDN w:val="0"/>
        <w:adjustRightInd w:val="0"/>
        <w:rPr>
          <w:rFonts w:eastAsia="Calibri"/>
          <w:lang w:eastAsia="en-US"/>
        </w:rPr>
      </w:pPr>
    </w:p>
    <w:p w14:paraId="38257F50" w14:textId="77777777" w:rsidR="00F86032" w:rsidRDefault="00F86032" w:rsidP="00F86032">
      <w:pPr>
        <w:autoSpaceDE w:val="0"/>
        <w:autoSpaceDN w:val="0"/>
        <w:adjustRightInd w:val="0"/>
        <w:rPr>
          <w:rFonts w:eastAsia="Calibri"/>
          <w:lang w:eastAsia="en-US"/>
        </w:rPr>
      </w:pPr>
      <w:r>
        <w:rPr>
          <w:rFonts w:eastAsia="Calibri"/>
          <w:lang w:eastAsia="en-US"/>
        </w:rPr>
        <w:t>In January 2015, an additional group of 6,626 customers began receiving reports</w:t>
      </w:r>
    </w:p>
    <w:p w14:paraId="4E1CD096" w14:textId="77777777" w:rsidR="00F86032" w:rsidRDefault="00F86032" w:rsidP="00F86032">
      <w:pPr>
        <w:autoSpaceDE w:val="0"/>
        <w:autoSpaceDN w:val="0"/>
        <w:adjustRightInd w:val="0"/>
        <w:rPr>
          <w:rFonts w:eastAsia="Calibri"/>
          <w:lang w:eastAsia="en-US"/>
        </w:rPr>
      </w:pPr>
      <w:r>
        <w:rPr>
          <w:rFonts w:eastAsia="Calibri"/>
          <w:lang w:eastAsia="en-US"/>
        </w:rPr>
        <w:t>to help offset attrition and lower energy savings than expected from the initial group. Savings delivered from the combined (legacy and expansion) group and</w:t>
      </w:r>
    </w:p>
    <w:p w14:paraId="427AF6D7" w14:textId="77777777" w:rsidR="00F86032" w:rsidRDefault="00F86032" w:rsidP="00F86032">
      <w:pPr>
        <w:autoSpaceDE w:val="0"/>
        <w:autoSpaceDN w:val="0"/>
        <w:adjustRightInd w:val="0"/>
        <w:rPr>
          <w:rFonts w:eastAsia="Calibri"/>
          <w:lang w:eastAsia="en-US"/>
        </w:rPr>
      </w:pPr>
      <w:r>
        <w:rPr>
          <w:rFonts w:eastAsia="Calibri"/>
          <w:lang w:eastAsia="en-US"/>
        </w:rPr>
        <w:t>the analysis of the two year measure life from the last biennial period was an</w:t>
      </w:r>
    </w:p>
    <w:p w14:paraId="025C629D" w14:textId="77777777" w:rsidR="00F86032" w:rsidRDefault="00F86032" w:rsidP="00F86032">
      <w:pPr>
        <w:autoSpaceDE w:val="0"/>
        <w:autoSpaceDN w:val="0"/>
        <w:adjustRightInd w:val="0"/>
        <w:rPr>
          <w:rFonts w:eastAsia="Calibri"/>
          <w:lang w:eastAsia="en-US"/>
        </w:rPr>
      </w:pPr>
      <w:r>
        <w:rPr>
          <w:rFonts w:eastAsia="Calibri"/>
          <w:lang w:eastAsia="en-US"/>
        </w:rPr>
        <w:t>integral part of developing the target and measure life assumptions for the current</w:t>
      </w:r>
    </w:p>
    <w:p w14:paraId="28AE2EF8" w14:textId="2D3FBF9B" w:rsidR="00F86032" w:rsidRDefault="00F86032" w:rsidP="00F86032">
      <w:pPr>
        <w:rPr>
          <w:rFonts w:eastAsia="Calibri"/>
          <w:lang w:eastAsia="en-US"/>
        </w:rPr>
      </w:pPr>
      <w:r>
        <w:rPr>
          <w:rFonts w:eastAsia="Calibri"/>
          <w:lang w:eastAsia="en-US"/>
        </w:rPr>
        <w:t>biennial period.</w:t>
      </w:r>
    </w:p>
    <w:p w14:paraId="01A67B5A" w14:textId="77777777" w:rsidR="00F86032" w:rsidRDefault="00F86032" w:rsidP="00F86032">
      <w:pPr>
        <w:rPr>
          <w:rFonts w:eastAsia="Calibri"/>
          <w:lang w:eastAsia="en-US"/>
        </w:rPr>
      </w:pPr>
    </w:p>
    <w:p w14:paraId="6E87B244" w14:textId="77777777" w:rsidR="004C0947" w:rsidRDefault="004C0947" w:rsidP="00F86032">
      <w:pPr>
        <w:rPr>
          <w:rFonts w:eastAsia="Calibri"/>
          <w:lang w:eastAsia="en-US"/>
        </w:rPr>
      </w:pPr>
    </w:p>
    <w:p w14:paraId="40CFF871" w14:textId="77777777" w:rsidR="00F86032" w:rsidRDefault="00F86032" w:rsidP="00F86032">
      <w:pPr>
        <w:autoSpaceDE w:val="0"/>
        <w:autoSpaceDN w:val="0"/>
        <w:adjustRightInd w:val="0"/>
        <w:rPr>
          <w:rFonts w:eastAsia="Calibri"/>
          <w:b/>
          <w:bCs/>
          <w:lang w:eastAsia="en-US"/>
        </w:rPr>
      </w:pPr>
      <w:r>
        <w:rPr>
          <w:rFonts w:eastAsia="Calibri"/>
          <w:b/>
          <w:bCs/>
          <w:lang w:eastAsia="en-US"/>
        </w:rPr>
        <w:t>Low Income Weatherization</w:t>
      </w:r>
    </w:p>
    <w:p w14:paraId="66CEBF2E" w14:textId="77777777" w:rsidR="004C0947" w:rsidRDefault="004C0947" w:rsidP="00F86032">
      <w:pPr>
        <w:autoSpaceDE w:val="0"/>
        <w:autoSpaceDN w:val="0"/>
        <w:adjustRightInd w:val="0"/>
        <w:rPr>
          <w:rFonts w:eastAsia="Calibri"/>
          <w:b/>
          <w:bCs/>
          <w:lang w:eastAsia="en-US"/>
        </w:rPr>
      </w:pPr>
    </w:p>
    <w:p w14:paraId="057AEE75" w14:textId="77777777" w:rsidR="00F86032" w:rsidRDefault="00F86032" w:rsidP="00F86032">
      <w:pPr>
        <w:autoSpaceDE w:val="0"/>
        <w:autoSpaceDN w:val="0"/>
        <w:adjustRightInd w:val="0"/>
        <w:rPr>
          <w:rFonts w:eastAsia="Calibri"/>
          <w:lang w:eastAsia="en-US"/>
        </w:rPr>
      </w:pPr>
      <w:r>
        <w:rPr>
          <w:rFonts w:eastAsia="Calibri"/>
          <w:lang w:eastAsia="en-US"/>
        </w:rPr>
        <w:t>The Company’s program manager is regularly engaged with the three local</w:t>
      </w:r>
    </w:p>
    <w:p w14:paraId="581AA517" w14:textId="77777777" w:rsidR="00F86032" w:rsidRDefault="00F86032" w:rsidP="00F86032">
      <w:pPr>
        <w:autoSpaceDE w:val="0"/>
        <w:autoSpaceDN w:val="0"/>
        <w:adjustRightInd w:val="0"/>
        <w:rPr>
          <w:rFonts w:eastAsia="Calibri"/>
          <w:lang w:eastAsia="en-US"/>
        </w:rPr>
      </w:pPr>
      <w:r>
        <w:rPr>
          <w:rFonts w:eastAsia="Calibri"/>
          <w:lang w:eastAsia="en-US"/>
        </w:rPr>
        <w:t>agencies that administer the Low Income Weatherization program in Pacific</w:t>
      </w:r>
    </w:p>
    <w:p w14:paraId="113C521A" w14:textId="77777777" w:rsidR="00F86032" w:rsidRDefault="00F86032" w:rsidP="00F86032">
      <w:pPr>
        <w:autoSpaceDE w:val="0"/>
        <w:autoSpaceDN w:val="0"/>
        <w:adjustRightInd w:val="0"/>
        <w:rPr>
          <w:rFonts w:eastAsia="Calibri"/>
          <w:lang w:eastAsia="en-US"/>
        </w:rPr>
      </w:pPr>
      <w:r>
        <w:rPr>
          <w:rFonts w:eastAsia="Calibri"/>
          <w:lang w:eastAsia="en-US"/>
        </w:rPr>
        <w:lastRenderedPageBreak/>
        <w:t>Power’s territory and the Washington State Department of Commerce on a range</w:t>
      </w:r>
    </w:p>
    <w:p w14:paraId="522674C1" w14:textId="77777777" w:rsidR="00F86032" w:rsidRDefault="00F86032" w:rsidP="00F86032">
      <w:pPr>
        <w:autoSpaceDE w:val="0"/>
        <w:autoSpaceDN w:val="0"/>
        <w:adjustRightInd w:val="0"/>
        <w:rPr>
          <w:rFonts w:eastAsia="Calibri"/>
          <w:lang w:eastAsia="en-US"/>
        </w:rPr>
      </w:pPr>
      <w:r>
        <w:rPr>
          <w:rFonts w:eastAsia="Calibri"/>
          <w:lang w:eastAsia="en-US"/>
        </w:rPr>
        <w:t>of issues including, but not limited to availability of Match Maker funding,</w:t>
      </w:r>
    </w:p>
    <w:p w14:paraId="2859EAA1" w14:textId="77777777" w:rsidR="00F86032" w:rsidRDefault="00F86032" w:rsidP="00F86032">
      <w:pPr>
        <w:autoSpaceDE w:val="0"/>
        <w:autoSpaceDN w:val="0"/>
        <w:adjustRightInd w:val="0"/>
        <w:rPr>
          <w:rFonts w:eastAsia="Calibri"/>
          <w:lang w:eastAsia="en-US"/>
        </w:rPr>
      </w:pPr>
      <w:r>
        <w:rPr>
          <w:rFonts w:eastAsia="Calibri"/>
          <w:lang w:eastAsia="en-US"/>
        </w:rPr>
        <w:t>measure list comparisons and installation prioritization. Based on the on-going</w:t>
      </w:r>
    </w:p>
    <w:p w14:paraId="1C8AE627" w14:textId="77777777" w:rsidR="00F86032" w:rsidRDefault="00F86032" w:rsidP="00F86032">
      <w:pPr>
        <w:autoSpaceDE w:val="0"/>
        <w:autoSpaceDN w:val="0"/>
        <w:adjustRightInd w:val="0"/>
        <w:rPr>
          <w:rFonts w:eastAsia="Calibri"/>
          <w:lang w:eastAsia="en-US"/>
        </w:rPr>
      </w:pPr>
      <w:r>
        <w:rPr>
          <w:rFonts w:eastAsia="Calibri"/>
          <w:lang w:eastAsia="en-US"/>
        </w:rPr>
        <w:t>engagement and partnering agency requests, program modifications were</w:t>
      </w:r>
    </w:p>
    <w:p w14:paraId="17AC1A79" w14:textId="77777777" w:rsidR="00F86032" w:rsidRDefault="00F86032" w:rsidP="00F86032">
      <w:pPr>
        <w:autoSpaceDE w:val="0"/>
        <w:autoSpaceDN w:val="0"/>
        <w:adjustRightInd w:val="0"/>
        <w:rPr>
          <w:rFonts w:eastAsia="Calibri"/>
          <w:lang w:eastAsia="en-US"/>
        </w:rPr>
      </w:pPr>
      <w:r>
        <w:rPr>
          <w:rFonts w:eastAsia="Calibri"/>
          <w:lang w:eastAsia="en-US"/>
        </w:rPr>
        <w:t>proposed in late 2015. Changes included an updated measure list, updated</w:t>
      </w:r>
    </w:p>
    <w:p w14:paraId="40803F31" w14:textId="77777777" w:rsidR="00F86032" w:rsidRDefault="00F86032" w:rsidP="00F86032">
      <w:pPr>
        <w:autoSpaceDE w:val="0"/>
        <w:autoSpaceDN w:val="0"/>
        <w:adjustRightInd w:val="0"/>
        <w:rPr>
          <w:rFonts w:eastAsia="Calibri"/>
          <w:lang w:eastAsia="en-US"/>
        </w:rPr>
      </w:pPr>
      <w:r>
        <w:rPr>
          <w:rFonts w:eastAsia="Calibri"/>
          <w:lang w:eastAsia="en-US"/>
        </w:rPr>
        <w:t>efficiency and eligibility requirements and updated measure life information used</w:t>
      </w:r>
    </w:p>
    <w:p w14:paraId="13050D3A" w14:textId="77777777" w:rsidR="00F86032" w:rsidRDefault="00F86032" w:rsidP="00F86032">
      <w:pPr>
        <w:autoSpaceDE w:val="0"/>
        <w:autoSpaceDN w:val="0"/>
        <w:adjustRightInd w:val="0"/>
        <w:rPr>
          <w:rFonts w:eastAsia="Calibri"/>
          <w:lang w:eastAsia="en-US"/>
        </w:rPr>
      </w:pPr>
      <w:r>
        <w:rPr>
          <w:rFonts w:eastAsia="Calibri"/>
          <w:lang w:eastAsia="en-US"/>
        </w:rPr>
        <w:t>to calculate savings-to-investment ratios. Modifications were approved and took</w:t>
      </w:r>
    </w:p>
    <w:p w14:paraId="6AD6CE3C" w14:textId="43D9160E" w:rsidR="00F86032" w:rsidRDefault="00F86032" w:rsidP="00F86032">
      <w:pPr>
        <w:rPr>
          <w:rFonts w:eastAsia="Calibri"/>
          <w:lang w:eastAsia="en-US"/>
        </w:rPr>
      </w:pPr>
      <w:r>
        <w:rPr>
          <w:rFonts w:eastAsia="Calibri"/>
          <w:lang w:eastAsia="en-US"/>
        </w:rPr>
        <w:t>effect in January 2016.</w:t>
      </w:r>
    </w:p>
    <w:p w14:paraId="7A2FE276" w14:textId="77777777" w:rsidR="00F86032" w:rsidRDefault="00F86032" w:rsidP="00F86032">
      <w:pPr>
        <w:rPr>
          <w:rFonts w:eastAsia="Calibri"/>
          <w:lang w:eastAsia="en-US"/>
        </w:rPr>
      </w:pPr>
    </w:p>
    <w:p w14:paraId="606FEF45" w14:textId="77777777" w:rsidR="00F86032" w:rsidRDefault="00F86032" w:rsidP="00F86032">
      <w:pPr>
        <w:autoSpaceDE w:val="0"/>
        <w:autoSpaceDN w:val="0"/>
        <w:adjustRightInd w:val="0"/>
        <w:rPr>
          <w:rFonts w:eastAsia="Calibri"/>
          <w:b/>
          <w:bCs/>
          <w:lang w:eastAsia="en-US"/>
        </w:rPr>
      </w:pPr>
    </w:p>
    <w:p w14:paraId="65941638" w14:textId="77777777" w:rsidR="00F86032" w:rsidRDefault="00F86032" w:rsidP="00F86032">
      <w:pPr>
        <w:autoSpaceDE w:val="0"/>
        <w:autoSpaceDN w:val="0"/>
        <w:adjustRightInd w:val="0"/>
        <w:rPr>
          <w:rFonts w:eastAsia="Calibri"/>
          <w:b/>
          <w:bCs/>
          <w:lang w:eastAsia="en-US"/>
        </w:rPr>
      </w:pPr>
      <w:r>
        <w:rPr>
          <w:rFonts w:eastAsia="Calibri"/>
          <w:b/>
          <w:bCs/>
          <w:lang w:eastAsia="en-US"/>
        </w:rPr>
        <w:t>wattsmart Business</w:t>
      </w:r>
    </w:p>
    <w:p w14:paraId="248937E1" w14:textId="77777777" w:rsidR="004C0947" w:rsidRDefault="004C0947" w:rsidP="00F86032">
      <w:pPr>
        <w:autoSpaceDE w:val="0"/>
        <w:autoSpaceDN w:val="0"/>
        <w:adjustRightInd w:val="0"/>
        <w:rPr>
          <w:rFonts w:eastAsia="Calibri"/>
          <w:b/>
          <w:bCs/>
          <w:lang w:eastAsia="en-US"/>
        </w:rPr>
      </w:pPr>
    </w:p>
    <w:p w14:paraId="7D254219" w14:textId="77777777" w:rsidR="00F86032" w:rsidRDefault="00F86032" w:rsidP="00F86032">
      <w:pPr>
        <w:autoSpaceDE w:val="0"/>
        <w:autoSpaceDN w:val="0"/>
        <w:adjustRightInd w:val="0"/>
        <w:rPr>
          <w:rFonts w:eastAsia="Calibri"/>
          <w:lang w:eastAsia="en-US"/>
        </w:rPr>
      </w:pPr>
      <w:r>
        <w:rPr>
          <w:rFonts w:eastAsia="Calibri"/>
          <w:lang w:eastAsia="en-US"/>
        </w:rPr>
        <w:t>The legacy FinAnswer Express and Energy FinAnswer programs for commercial</w:t>
      </w:r>
    </w:p>
    <w:p w14:paraId="1965BE88" w14:textId="77777777" w:rsidR="00F86032" w:rsidRDefault="00F86032" w:rsidP="00F86032">
      <w:pPr>
        <w:autoSpaceDE w:val="0"/>
        <w:autoSpaceDN w:val="0"/>
        <w:adjustRightInd w:val="0"/>
        <w:rPr>
          <w:rFonts w:eastAsia="Calibri"/>
          <w:lang w:eastAsia="en-US"/>
        </w:rPr>
      </w:pPr>
      <w:r>
        <w:rPr>
          <w:rFonts w:eastAsia="Calibri"/>
          <w:lang w:eastAsia="en-US"/>
        </w:rPr>
        <w:t>and industrial customers were consolidated into a single program, wattsmart</w:t>
      </w:r>
    </w:p>
    <w:p w14:paraId="6F4B2E36" w14:textId="77777777" w:rsidR="00F86032" w:rsidRDefault="00F86032" w:rsidP="00F86032">
      <w:pPr>
        <w:autoSpaceDE w:val="0"/>
        <w:autoSpaceDN w:val="0"/>
        <w:adjustRightInd w:val="0"/>
        <w:rPr>
          <w:rFonts w:eastAsia="Calibri"/>
          <w:lang w:eastAsia="en-US"/>
        </w:rPr>
      </w:pPr>
      <w:r>
        <w:rPr>
          <w:rFonts w:eastAsia="Calibri"/>
          <w:lang w:eastAsia="en-US"/>
        </w:rPr>
        <w:t>Business, effective January 1, 2014. Key changes included adding incentives for</w:t>
      </w:r>
    </w:p>
    <w:p w14:paraId="3238C069" w14:textId="77777777" w:rsidR="00F86032" w:rsidRDefault="00F86032" w:rsidP="00F86032">
      <w:pPr>
        <w:autoSpaceDE w:val="0"/>
        <w:autoSpaceDN w:val="0"/>
        <w:adjustRightInd w:val="0"/>
        <w:rPr>
          <w:rFonts w:eastAsia="Calibri"/>
          <w:lang w:eastAsia="en-US"/>
        </w:rPr>
      </w:pPr>
      <w:r>
        <w:rPr>
          <w:rFonts w:eastAsia="Calibri"/>
          <w:lang w:eastAsia="en-US"/>
        </w:rPr>
        <w:t>energy management activities, updating the commercial lighting baseline and</w:t>
      </w:r>
    </w:p>
    <w:p w14:paraId="463A3A1C" w14:textId="77777777" w:rsidR="00F86032" w:rsidRDefault="00F86032" w:rsidP="00F86032">
      <w:pPr>
        <w:autoSpaceDE w:val="0"/>
        <w:autoSpaceDN w:val="0"/>
        <w:adjustRightInd w:val="0"/>
        <w:rPr>
          <w:rFonts w:eastAsia="Calibri"/>
          <w:lang w:eastAsia="en-US"/>
        </w:rPr>
      </w:pPr>
      <w:r>
        <w:rPr>
          <w:rFonts w:eastAsia="Calibri"/>
          <w:lang w:eastAsia="en-US"/>
        </w:rPr>
        <w:t>updating incentives and measure availability to reflect market conditions and the</w:t>
      </w:r>
    </w:p>
    <w:p w14:paraId="42D42654" w14:textId="77777777" w:rsidR="00F86032" w:rsidRDefault="00F86032" w:rsidP="00F86032">
      <w:pPr>
        <w:autoSpaceDE w:val="0"/>
        <w:autoSpaceDN w:val="0"/>
        <w:adjustRightInd w:val="0"/>
        <w:rPr>
          <w:rFonts w:eastAsia="Calibri"/>
          <w:lang w:eastAsia="en-US"/>
        </w:rPr>
      </w:pPr>
      <w:r>
        <w:rPr>
          <w:rFonts w:eastAsia="Calibri"/>
          <w:lang w:eastAsia="en-US"/>
        </w:rPr>
        <w:t>latest regional information, as applicable.</w:t>
      </w:r>
    </w:p>
    <w:p w14:paraId="1702859B" w14:textId="77777777" w:rsidR="00F86032" w:rsidRDefault="00F86032" w:rsidP="00F86032">
      <w:pPr>
        <w:autoSpaceDE w:val="0"/>
        <w:autoSpaceDN w:val="0"/>
        <w:adjustRightInd w:val="0"/>
        <w:rPr>
          <w:rFonts w:eastAsia="Calibri"/>
          <w:lang w:eastAsia="en-US"/>
        </w:rPr>
      </w:pPr>
    </w:p>
    <w:p w14:paraId="5FCF3C68" w14:textId="77777777" w:rsidR="00F86032" w:rsidRDefault="00F86032" w:rsidP="00F86032">
      <w:pPr>
        <w:autoSpaceDE w:val="0"/>
        <w:autoSpaceDN w:val="0"/>
        <w:adjustRightInd w:val="0"/>
        <w:rPr>
          <w:rFonts w:eastAsia="Calibri"/>
          <w:lang w:eastAsia="en-US"/>
        </w:rPr>
      </w:pPr>
      <w:r>
        <w:rPr>
          <w:rFonts w:eastAsia="Calibri"/>
          <w:lang w:eastAsia="en-US"/>
        </w:rPr>
        <w:t>In October 2014, the program was modified to add an enhanced incentive offer of</w:t>
      </w:r>
    </w:p>
    <w:p w14:paraId="2C4D3E18" w14:textId="77777777" w:rsidR="00F86032" w:rsidRDefault="00F86032" w:rsidP="00F86032">
      <w:pPr>
        <w:autoSpaceDE w:val="0"/>
        <w:autoSpaceDN w:val="0"/>
        <w:adjustRightInd w:val="0"/>
        <w:rPr>
          <w:rFonts w:eastAsia="Calibri"/>
          <w:lang w:eastAsia="en-US"/>
        </w:rPr>
      </w:pPr>
      <w:r>
        <w:rPr>
          <w:rFonts w:eastAsia="Calibri"/>
          <w:lang w:eastAsia="en-US"/>
        </w:rPr>
        <w:t>up to 80 percent of the cost of lighting upgrades for small business customers on</w:t>
      </w:r>
    </w:p>
    <w:p w14:paraId="2A53F02B" w14:textId="77777777" w:rsidR="00F86032" w:rsidRDefault="00F86032" w:rsidP="00F86032">
      <w:pPr>
        <w:autoSpaceDE w:val="0"/>
        <w:autoSpaceDN w:val="0"/>
        <w:adjustRightInd w:val="0"/>
        <w:rPr>
          <w:rFonts w:eastAsia="Calibri"/>
          <w:lang w:eastAsia="en-US"/>
        </w:rPr>
      </w:pPr>
      <w:r>
        <w:rPr>
          <w:rFonts w:eastAsia="Calibri"/>
          <w:lang w:eastAsia="en-US"/>
        </w:rPr>
        <w:t>selected rate schedules. In addition, flexibility was added for the energy savings</w:t>
      </w:r>
    </w:p>
    <w:p w14:paraId="7131661A" w14:textId="77777777" w:rsidR="00F86032" w:rsidRDefault="00F86032" w:rsidP="00F86032">
      <w:pPr>
        <w:autoSpaceDE w:val="0"/>
        <w:autoSpaceDN w:val="0"/>
        <w:adjustRightInd w:val="0"/>
        <w:rPr>
          <w:rFonts w:eastAsia="Calibri"/>
          <w:lang w:eastAsia="en-US"/>
        </w:rPr>
      </w:pPr>
      <w:r>
        <w:rPr>
          <w:rFonts w:eastAsia="Calibri"/>
          <w:lang w:eastAsia="en-US"/>
        </w:rPr>
        <w:t>goal threshold for Energy Project Manager co-funding, lighting categories and</w:t>
      </w:r>
    </w:p>
    <w:p w14:paraId="0F26F466" w14:textId="77777777" w:rsidR="00F86032" w:rsidRDefault="00F86032" w:rsidP="00F86032">
      <w:pPr>
        <w:autoSpaceDE w:val="0"/>
        <w:autoSpaceDN w:val="0"/>
        <w:adjustRightInd w:val="0"/>
        <w:rPr>
          <w:rFonts w:eastAsia="Calibri"/>
          <w:lang w:eastAsia="en-US"/>
        </w:rPr>
      </w:pPr>
      <w:r>
        <w:rPr>
          <w:rFonts w:eastAsia="Calibri"/>
          <w:lang w:eastAsia="en-US"/>
        </w:rPr>
        <w:t>incentives were adjusted for technology and market conditions, incentives for</w:t>
      </w:r>
    </w:p>
    <w:p w14:paraId="647AB7C2" w14:textId="77777777" w:rsidR="00F86032" w:rsidRDefault="00F86032" w:rsidP="00F86032">
      <w:pPr>
        <w:autoSpaceDE w:val="0"/>
        <w:autoSpaceDN w:val="0"/>
        <w:adjustRightInd w:val="0"/>
        <w:rPr>
          <w:rFonts w:eastAsia="Calibri"/>
          <w:lang w:eastAsia="en-US"/>
        </w:rPr>
      </w:pPr>
      <w:r>
        <w:rPr>
          <w:rFonts w:eastAsia="Calibri"/>
          <w:lang w:eastAsia="en-US"/>
        </w:rPr>
        <w:t>Network Power PC Management were adjusted and measure definition and</w:t>
      </w:r>
    </w:p>
    <w:p w14:paraId="52E86AFC" w14:textId="77777777" w:rsidR="00F86032" w:rsidRDefault="00F86032" w:rsidP="00F86032">
      <w:pPr>
        <w:autoSpaceDE w:val="0"/>
        <w:autoSpaceDN w:val="0"/>
        <w:adjustRightInd w:val="0"/>
        <w:rPr>
          <w:rFonts w:eastAsia="Calibri"/>
          <w:lang w:eastAsia="en-US"/>
        </w:rPr>
      </w:pPr>
      <w:r>
        <w:rPr>
          <w:rFonts w:eastAsia="Calibri"/>
          <w:lang w:eastAsia="en-US"/>
        </w:rPr>
        <w:t>incentive availability for some irrigated agriculture sprinkler equipment were</w:t>
      </w:r>
    </w:p>
    <w:p w14:paraId="395D39C3" w14:textId="77777777" w:rsidR="00F86032" w:rsidRDefault="00F86032" w:rsidP="00F86032">
      <w:pPr>
        <w:autoSpaceDE w:val="0"/>
        <w:autoSpaceDN w:val="0"/>
        <w:adjustRightInd w:val="0"/>
        <w:rPr>
          <w:rFonts w:eastAsia="Calibri"/>
          <w:lang w:eastAsia="en-US"/>
        </w:rPr>
      </w:pPr>
      <w:r>
        <w:rPr>
          <w:rFonts w:eastAsia="Calibri"/>
          <w:lang w:eastAsia="en-US"/>
        </w:rPr>
        <w:t>modified.</w:t>
      </w:r>
    </w:p>
    <w:p w14:paraId="56CC5556" w14:textId="77777777" w:rsidR="00F86032" w:rsidRDefault="00F86032" w:rsidP="00F86032">
      <w:pPr>
        <w:autoSpaceDE w:val="0"/>
        <w:autoSpaceDN w:val="0"/>
        <w:adjustRightInd w:val="0"/>
        <w:rPr>
          <w:rFonts w:eastAsia="Calibri"/>
          <w:lang w:eastAsia="en-US"/>
        </w:rPr>
      </w:pPr>
    </w:p>
    <w:p w14:paraId="487DBD1D" w14:textId="77777777" w:rsidR="00F86032" w:rsidRDefault="00F86032" w:rsidP="00F86032">
      <w:pPr>
        <w:autoSpaceDE w:val="0"/>
        <w:autoSpaceDN w:val="0"/>
        <w:adjustRightInd w:val="0"/>
        <w:rPr>
          <w:rFonts w:eastAsia="Calibri"/>
          <w:lang w:eastAsia="en-US"/>
        </w:rPr>
      </w:pPr>
      <w:r>
        <w:rPr>
          <w:rFonts w:eastAsia="Calibri"/>
          <w:lang w:eastAsia="en-US"/>
        </w:rPr>
        <w:t>In June 2015, a midstream incentive delivery channel for certain lighting</w:t>
      </w:r>
    </w:p>
    <w:p w14:paraId="1ACCE21F" w14:textId="77777777" w:rsidR="00F86032" w:rsidRDefault="00F86032" w:rsidP="00F86032">
      <w:pPr>
        <w:autoSpaceDE w:val="0"/>
        <w:autoSpaceDN w:val="0"/>
        <w:adjustRightInd w:val="0"/>
        <w:rPr>
          <w:rFonts w:eastAsia="Calibri"/>
          <w:lang w:eastAsia="en-US"/>
        </w:rPr>
      </w:pPr>
      <w:r>
        <w:rPr>
          <w:rFonts w:eastAsia="Calibri"/>
          <w:lang w:eastAsia="en-US"/>
        </w:rPr>
        <w:t>measures was added. This change provided an instant, point-of-purchase discount</w:t>
      </w:r>
    </w:p>
    <w:p w14:paraId="410B77E8" w14:textId="77777777" w:rsidR="00F86032" w:rsidRDefault="00F86032" w:rsidP="00F86032">
      <w:pPr>
        <w:autoSpaceDE w:val="0"/>
        <w:autoSpaceDN w:val="0"/>
        <w:adjustRightInd w:val="0"/>
        <w:rPr>
          <w:rFonts w:eastAsia="Calibri"/>
          <w:lang w:eastAsia="en-US"/>
        </w:rPr>
      </w:pPr>
      <w:r>
        <w:rPr>
          <w:rFonts w:eastAsia="Calibri"/>
          <w:lang w:eastAsia="en-US"/>
        </w:rPr>
        <w:t>for LEDs and retrofit kits sold through qualifying local distributors. Incentives for</w:t>
      </w:r>
    </w:p>
    <w:p w14:paraId="7003E568" w14:textId="77777777" w:rsidR="00F86032" w:rsidRDefault="00F86032" w:rsidP="00F86032">
      <w:pPr>
        <w:autoSpaceDE w:val="0"/>
        <w:autoSpaceDN w:val="0"/>
        <w:adjustRightInd w:val="0"/>
        <w:rPr>
          <w:rFonts w:eastAsia="Calibri"/>
          <w:lang w:eastAsia="en-US"/>
        </w:rPr>
      </w:pPr>
      <w:r>
        <w:rPr>
          <w:rFonts w:eastAsia="Calibri"/>
          <w:lang w:eastAsia="en-US"/>
        </w:rPr>
        <w:t>the same equipment offered through the lighting retrofit project channel were</w:t>
      </w:r>
    </w:p>
    <w:p w14:paraId="6084B6B9" w14:textId="77777777" w:rsidR="00F86032" w:rsidRDefault="00F86032" w:rsidP="00F86032">
      <w:pPr>
        <w:autoSpaceDE w:val="0"/>
        <w:autoSpaceDN w:val="0"/>
        <w:adjustRightInd w:val="0"/>
        <w:rPr>
          <w:rFonts w:eastAsia="Calibri"/>
          <w:lang w:eastAsia="en-US"/>
        </w:rPr>
      </w:pPr>
      <w:r>
        <w:rPr>
          <w:rFonts w:eastAsia="Calibri"/>
          <w:lang w:eastAsia="en-US"/>
        </w:rPr>
        <w:t>modified to accommodate the midstream lighting offer. In addition, all interior</w:t>
      </w:r>
    </w:p>
    <w:p w14:paraId="5E62BF48" w14:textId="77777777" w:rsidR="00F86032" w:rsidRDefault="00F86032" w:rsidP="00F86032">
      <w:pPr>
        <w:autoSpaceDE w:val="0"/>
        <w:autoSpaceDN w:val="0"/>
        <w:adjustRightInd w:val="0"/>
        <w:rPr>
          <w:rFonts w:eastAsia="Calibri"/>
          <w:lang w:eastAsia="en-US"/>
        </w:rPr>
      </w:pPr>
      <w:r>
        <w:rPr>
          <w:rFonts w:eastAsia="Calibri"/>
          <w:lang w:eastAsia="en-US"/>
        </w:rPr>
        <w:t>general illuminance retrofit LEDs were consolidated into one pay-for-savings</w:t>
      </w:r>
    </w:p>
    <w:p w14:paraId="0D511276" w14:textId="77777777" w:rsidR="00F86032" w:rsidRDefault="00F86032" w:rsidP="00F86032">
      <w:pPr>
        <w:autoSpaceDE w:val="0"/>
        <w:autoSpaceDN w:val="0"/>
        <w:adjustRightInd w:val="0"/>
        <w:rPr>
          <w:rFonts w:eastAsia="Calibri"/>
          <w:lang w:eastAsia="en-US"/>
        </w:rPr>
      </w:pPr>
      <w:r>
        <w:rPr>
          <w:rFonts w:eastAsia="Calibri"/>
          <w:lang w:eastAsia="en-US"/>
        </w:rPr>
        <w:t>category and incentive availability small air conditioner and heat pumps were</w:t>
      </w:r>
    </w:p>
    <w:p w14:paraId="1A0FBEBB" w14:textId="7A3E0285" w:rsidR="00F86032" w:rsidRDefault="00F86032" w:rsidP="00F86032">
      <w:pPr>
        <w:rPr>
          <w:rFonts w:eastAsia="Calibri"/>
          <w:lang w:eastAsia="en-US"/>
        </w:rPr>
      </w:pPr>
      <w:r>
        <w:rPr>
          <w:rFonts w:eastAsia="Calibri"/>
          <w:lang w:eastAsia="en-US"/>
        </w:rPr>
        <w:t>adjusted to align with updated federal standards.</w:t>
      </w:r>
    </w:p>
    <w:p w14:paraId="77F2AFC3" w14:textId="77777777" w:rsidR="00F86032" w:rsidRDefault="00F86032" w:rsidP="00F86032">
      <w:pPr>
        <w:rPr>
          <w:rFonts w:eastAsia="Calibri"/>
          <w:lang w:eastAsia="en-US"/>
        </w:rPr>
      </w:pPr>
    </w:p>
    <w:p w14:paraId="7FD77956" w14:textId="77777777" w:rsidR="00F86032" w:rsidRDefault="00F86032" w:rsidP="00F86032">
      <w:pPr>
        <w:autoSpaceDE w:val="0"/>
        <w:autoSpaceDN w:val="0"/>
        <w:adjustRightInd w:val="0"/>
        <w:rPr>
          <w:rFonts w:eastAsia="Calibri"/>
          <w:lang w:eastAsia="en-US"/>
        </w:rPr>
      </w:pPr>
      <w:r>
        <w:rPr>
          <w:rFonts w:eastAsia="Calibri"/>
          <w:lang w:eastAsia="en-US"/>
        </w:rPr>
        <w:t>During the last two quarters of 2015, the Company and its delivery contractor</w:t>
      </w:r>
    </w:p>
    <w:p w14:paraId="0856E530" w14:textId="77777777" w:rsidR="00F86032" w:rsidRDefault="00F86032" w:rsidP="00F86032">
      <w:pPr>
        <w:autoSpaceDE w:val="0"/>
        <w:autoSpaceDN w:val="0"/>
        <w:adjustRightInd w:val="0"/>
        <w:rPr>
          <w:rFonts w:eastAsia="Calibri"/>
          <w:lang w:eastAsia="en-US"/>
        </w:rPr>
      </w:pPr>
      <w:r>
        <w:rPr>
          <w:rFonts w:eastAsia="Calibri"/>
          <w:lang w:eastAsia="en-US"/>
        </w:rPr>
        <w:t>worked together to identify new measures and changes to existing measure and</w:t>
      </w:r>
    </w:p>
    <w:p w14:paraId="08A3092E" w14:textId="77777777" w:rsidR="00F86032" w:rsidRDefault="00F86032" w:rsidP="00F86032">
      <w:pPr>
        <w:autoSpaceDE w:val="0"/>
        <w:autoSpaceDN w:val="0"/>
        <w:adjustRightInd w:val="0"/>
        <w:rPr>
          <w:rFonts w:eastAsia="Calibri"/>
          <w:lang w:eastAsia="en-US"/>
        </w:rPr>
      </w:pPr>
      <w:r>
        <w:rPr>
          <w:rFonts w:eastAsia="Calibri"/>
          <w:lang w:eastAsia="en-US"/>
        </w:rPr>
        <w:t>delivery channels for the next biennial period. Key modifications include adding</w:t>
      </w:r>
    </w:p>
    <w:p w14:paraId="71A3D9AA" w14:textId="77777777" w:rsidR="00F86032" w:rsidRDefault="00F86032" w:rsidP="00F86032">
      <w:pPr>
        <w:autoSpaceDE w:val="0"/>
        <w:autoSpaceDN w:val="0"/>
        <w:adjustRightInd w:val="0"/>
        <w:rPr>
          <w:rFonts w:eastAsia="Calibri"/>
          <w:lang w:eastAsia="en-US"/>
        </w:rPr>
      </w:pPr>
      <w:r>
        <w:rPr>
          <w:rFonts w:eastAsia="Calibri"/>
          <w:lang w:eastAsia="en-US"/>
        </w:rPr>
        <w:t>incentives for waste heat to power and regenerative technologies to support the</w:t>
      </w:r>
    </w:p>
    <w:p w14:paraId="35E23230" w14:textId="77777777" w:rsidR="00F86032" w:rsidRDefault="00F86032" w:rsidP="00F86032">
      <w:pPr>
        <w:autoSpaceDE w:val="0"/>
        <w:autoSpaceDN w:val="0"/>
        <w:adjustRightInd w:val="0"/>
        <w:rPr>
          <w:rFonts w:eastAsia="Calibri"/>
          <w:lang w:eastAsia="en-US"/>
        </w:rPr>
      </w:pPr>
      <w:r>
        <w:rPr>
          <w:rFonts w:eastAsia="Calibri"/>
          <w:lang w:eastAsia="en-US"/>
        </w:rPr>
        <w:t>Company’s approach to pilots, modify the deemed baseline for linear fluorescent</w:t>
      </w:r>
    </w:p>
    <w:p w14:paraId="41AC36C6" w14:textId="77777777" w:rsidR="00F86032" w:rsidRDefault="00F86032" w:rsidP="00F86032">
      <w:pPr>
        <w:autoSpaceDE w:val="0"/>
        <w:autoSpaceDN w:val="0"/>
        <w:adjustRightInd w:val="0"/>
        <w:rPr>
          <w:rFonts w:eastAsia="Calibri"/>
          <w:lang w:eastAsia="en-US"/>
        </w:rPr>
      </w:pPr>
      <w:r>
        <w:rPr>
          <w:rFonts w:eastAsia="Calibri"/>
          <w:lang w:eastAsia="en-US"/>
        </w:rPr>
        <w:t>lighting retrofits in response to market data indicating electronic ballasts meeting</w:t>
      </w:r>
    </w:p>
    <w:p w14:paraId="06BE33E2" w14:textId="77777777" w:rsidR="00F86032" w:rsidRDefault="00F86032" w:rsidP="00F86032">
      <w:pPr>
        <w:autoSpaceDE w:val="0"/>
        <w:autoSpaceDN w:val="0"/>
        <w:adjustRightInd w:val="0"/>
        <w:rPr>
          <w:rFonts w:eastAsia="Calibri"/>
          <w:lang w:eastAsia="en-US"/>
        </w:rPr>
      </w:pPr>
      <w:r>
        <w:rPr>
          <w:rFonts w:eastAsia="Calibri"/>
          <w:lang w:eastAsia="en-US"/>
        </w:rPr>
        <w:t>the new standard now represent the industry standard baseline, sunset incentives</w:t>
      </w:r>
    </w:p>
    <w:p w14:paraId="49D9126F" w14:textId="77777777" w:rsidR="00F86032" w:rsidRDefault="00F86032" w:rsidP="00F86032">
      <w:pPr>
        <w:autoSpaceDE w:val="0"/>
        <w:autoSpaceDN w:val="0"/>
        <w:adjustRightInd w:val="0"/>
        <w:rPr>
          <w:rFonts w:eastAsia="Calibri"/>
          <w:lang w:eastAsia="en-US"/>
        </w:rPr>
      </w:pPr>
      <w:r>
        <w:rPr>
          <w:rFonts w:eastAsia="Calibri"/>
          <w:lang w:eastAsia="en-US"/>
        </w:rPr>
        <w:t>metal halide fixtures coincident with revised federal standards that will take effect</w:t>
      </w:r>
    </w:p>
    <w:p w14:paraId="27A5020B" w14:textId="77777777" w:rsidR="00F86032" w:rsidRDefault="00F86032" w:rsidP="00F86032">
      <w:pPr>
        <w:autoSpaceDE w:val="0"/>
        <w:autoSpaceDN w:val="0"/>
        <w:adjustRightInd w:val="0"/>
        <w:rPr>
          <w:rFonts w:eastAsia="Calibri"/>
          <w:lang w:eastAsia="en-US"/>
        </w:rPr>
      </w:pPr>
      <w:r>
        <w:rPr>
          <w:rFonts w:eastAsia="Calibri"/>
          <w:lang w:eastAsia="en-US"/>
        </w:rPr>
        <w:t>in early 2017, add incentives for exterior LED dimming controls and add a usage</w:t>
      </w:r>
    </w:p>
    <w:p w14:paraId="004C320C" w14:textId="77777777" w:rsidR="00F86032" w:rsidRDefault="00F86032" w:rsidP="00F86032">
      <w:pPr>
        <w:autoSpaceDE w:val="0"/>
        <w:autoSpaceDN w:val="0"/>
        <w:adjustRightInd w:val="0"/>
        <w:rPr>
          <w:rFonts w:eastAsia="Calibri"/>
          <w:lang w:eastAsia="en-US"/>
        </w:rPr>
      </w:pPr>
      <w:r>
        <w:rPr>
          <w:rFonts w:eastAsia="Calibri"/>
          <w:lang w:eastAsia="en-US"/>
        </w:rPr>
        <w:lastRenderedPageBreak/>
        <w:t>threshold and cost effectiveness reviews to eligibility criteria for the enhanced</w:t>
      </w:r>
    </w:p>
    <w:p w14:paraId="344DBEC8" w14:textId="0628A5DE" w:rsidR="00F86032" w:rsidRDefault="00F86032" w:rsidP="00F86032">
      <w:pPr>
        <w:rPr>
          <w:rFonts w:eastAsia="Calibri"/>
          <w:lang w:eastAsia="en-US"/>
        </w:rPr>
      </w:pPr>
      <w:r>
        <w:rPr>
          <w:rFonts w:eastAsia="Calibri"/>
          <w:lang w:eastAsia="en-US"/>
        </w:rPr>
        <w:t>small business lighting offer.</w:t>
      </w:r>
    </w:p>
    <w:p w14:paraId="3A4C585C" w14:textId="77777777" w:rsidR="00F86032" w:rsidRDefault="00F86032" w:rsidP="00F86032"/>
    <w:p w14:paraId="05E03878" w14:textId="77777777" w:rsidR="006014D5" w:rsidRPr="00B44B26" w:rsidRDefault="006E37F8" w:rsidP="006E37F8">
      <w:pPr>
        <w:pStyle w:val="Heading1"/>
        <w:spacing w:line="360" w:lineRule="auto"/>
        <w:contextualSpacing/>
        <w:rPr>
          <w:rFonts w:ascii="Times New Roman" w:hAnsi="Times New Roman" w:cs="Times New Roman"/>
          <w:sz w:val="28"/>
          <w:szCs w:val="28"/>
        </w:rPr>
      </w:pPr>
      <w:bookmarkStart w:id="16" w:name="_Toc457372003"/>
      <w:r w:rsidRPr="00CF451A">
        <w:rPr>
          <w:rFonts w:ascii="Times New Roman" w:hAnsi="Times New Roman" w:cs="Times New Roman"/>
          <w:sz w:val="28"/>
          <w:szCs w:val="28"/>
        </w:rPr>
        <w:t>Supporting Documents for Conservation</w:t>
      </w:r>
      <w:bookmarkEnd w:id="16"/>
    </w:p>
    <w:p w14:paraId="05E03879" w14:textId="77777777" w:rsidR="00FC0DA2" w:rsidRDefault="006E37F8" w:rsidP="006E37F8">
      <w:pPr>
        <w:jc w:val="both"/>
      </w:pPr>
      <w:r>
        <w:t>Provided below are links to supporting documents relied upon in support of the Company’s planning assumptions and associated reporting of actual savings results for the Biennial Conservation</w:t>
      </w:r>
      <w:r w:rsidR="007C47C8">
        <w:t xml:space="preserve"> Target for 201</w:t>
      </w:r>
      <w:r w:rsidR="00D3440A">
        <w:t>4</w:t>
      </w:r>
      <w:r w:rsidR="007C47C8">
        <w:t xml:space="preserve"> and 201</w:t>
      </w:r>
      <w:r w:rsidR="00D3440A">
        <w:t>5</w:t>
      </w:r>
      <w:r>
        <w:t>.</w:t>
      </w:r>
    </w:p>
    <w:p w14:paraId="05E0387A" w14:textId="77777777" w:rsidR="006E37F8" w:rsidRPr="006E37F8" w:rsidRDefault="006E37F8" w:rsidP="006E37F8">
      <w:pPr>
        <w:jc w:val="both"/>
      </w:pPr>
    </w:p>
    <w:p w14:paraId="05E0387B" w14:textId="77777777" w:rsidR="006E37F8" w:rsidRPr="006E37F8" w:rsidRDefault="006E37F8" w:rsidP="002D70F8">
      <w:pPr>
        <w:pStyle w:val="ListParagraph"/>
        <w:numPr>
          <w:ilvl w:val="0"/>
          <w:numId w:val="41"/>
        </w:numPr>
        <w:contextualSpacing w:val="0"/>
        <w:jc w:val="both"/>
      </w:pPr>
      <w:r w:rsidRPr="006E37F8">
        <w:t xml:space="preserve">Assessment of Long-Term, System-Wide Potential for Demand-Side and Other Supplemental Resources, Volume </w:t>
      </w:r>
      <w:r w:rsidR="00D3440A">
        <w:t>1</w:t>
      </w:r>
      <w:r w:rsidRPr="006E37F8">
        <w:t xml:space="preserve"> </w:t>
      </w:r>
      <w:r w:rsidR="00D3440A">
        <w:t>through Volume 5</w:t>
      </w:r>
      <w:r w:rsidR="00C737E9">
        <w:t xml:space="preserve"> </w:t>
      </w:r>
      <w:r w:rsidRPr="006E37F8">
        <w:t xml:space="preserve">– </w:t>
      </w:r>
      <w:r>
        <w:t xml:space="preserve">Conservation </w:t>
      </w:r>
      <w:r w:rsidRPr="006E37F8">
        <w:t xml:space="preserve">Potential </w:t>
      </w:r>
      <w:r>
        <w:t>Assessment</w:t>
      </w:r>
    </w:p>
    <w:p w14:paraId="05E0387C" w14:textId="77777777" w:rsidR="006E37F8" w:rsidRPr="006E37F8" w:rsidRDefault="006E37F8" w:rsidP="006E37F8"/>
    <w:p w14:paraId="05E0387D" w14:textId="77777777" w:rsidR="006E37F8" w:rsidRPr="006E37F8" w:rsidRDefault="006E37F8" w:rsidP="006E37F8">
      <w:r w:rsidRPr="006E37F8">
        <w:t>          </w:t>
      </w:r>
      <w:hyperlink r:id="rId22" w:history="1">
        <w:r w:rsidRPr="006E37F8">
          <w:rPr>
            <w:rStyle w:val="Hyperlink"/>
          </w:rPr>
          <w:t>http://www.pacificorp.com/es/dsm.html</w:t>
        </w:r>
      </w:hyperlink>
    </w:p>
    <w:p w14:paraId="05E0387E" w14:textId="77777777" w:rsidR="006E37F8" w:rsidRPr="006E37F8" w:rsidRDefault="006E37F8" w:rsidP="006E37F8"/>
    <w:p w14:paraId="05E0387F" w14:textId="77777777" w:rsidR="006E37F8" w:rsidRPr="006E37F8" w:rsidRDefault="006E37F8" w:rsidP="006E37F8">
      <w:pPr>
        <w:pStyle w:val="ListParagraph"/>
        <w:numPr>
          <w:ilvl w:val="0"/>
          <w:numId w:val="41"/>
        </w:numPr>
        <w:contextualSpacing w:val="0"/>
      </w:pPr>
      <w:r w:rsidRPr="006E37F8">
        <w:t>201</w:t>
      </w:r>
      <w:r w:rsidR="00D3440A">
        <w:t>4</w:t>
      </w:r>
      <w:r w:rsidRPr="006E37F8">
        <w:t xml:space="preserve"> and 201</w:t>
      </w:r>
      <w:r w:rsidR="00D3440A">
        <w:t>5</w:t>
      </w:r>
      <w:r w:rsidRPr="006E37F8">
        <w:t xml:space="preserve"> Annual Report(s) on Conservation Acquisition</w:t>
      </w:r>
    </w:p>
    <w:p w14:paraId="05E03880" w14:textId="77777777" w:rsidR="006E37F8" w:rsidRPr="006E37F8" w:rsidRDefault="006E37F8" w:rsidP="006E37F8"/>
    <w:p w14:paraId="05E03881" w14:textId="77777777" w:rsidR="006E37F8" w:rsidRPr="006E37F8" w:rsidRDefault="006E37F8" w:rsidP="006E37F8">
      <w:r w:rsidRPr="006E37F8">
        <w:t>          </w:t>
      </w:r>
      <w:hyperlink r:id="rId23" w:history="1">
        <w:r w:rsidRPr="006E37F8">
          <w:rPr>
            <w:rStyle w:val="Hyperlink"/>
          </w:rPr>
          <w:t>http://www.pacificorp.com/es/dsm/washington.html</w:t>
        </w:r>
      </w:hyperlink>
    </w:p>
    <w:p w14:paraId="05E03882" w14:textId="77777777" w:rsidR="006E37F8" w:rsidRPr="006E37F8" w:rsidRDefault="006E37F8" w:rsidP="006E37F8"/>
    <w:p w14:paraId="05E03883" w14:textId="77777777" w:rsidR="006E37F8" w:rsidRPr="00BF746B" w:rsidRDefault="006E37F8" w:rsidP="002D70F8">
      <w:pPr>
        <w:pStyle w:val="ListParagraph"/>
        <w:numPr>
          <w:ilvl w:val="0"/>
          <w:numId w:val="41"/>
        </w:numPr>
        <w:contextualSpacing w:val="0"/>
        <w:jc w:val="both"/>
      </w:pPr>
      <w:r w:rsidRPr="00BF746B">
        <w:t>Report on its Ten-year Achievable Conservation Potential and its Biennial Conservation Target for 201</w:t>
      </w:r>
      <w:r w:rsidR="00B5789A" w:rsidRPr="00BF746B">
        <w:t>4</w:t>
      </w:r>
      <w:r w:rsidRPr="00BF746B">
        <w:t xml:space="preserve"> and 201</w:t>
      </w:r>
      <w:r w:rsidR="00B5789A" w:rsidRPr="00BF746B">
        <w:t>5</w:t>
      </w:r>
      <w:r w:rsidRPr="00BF746B">
        <w:t>, filed in Docket UE-</w:t>
      </w:r>
      <w:r w:rsidR="00BF746B" w:rsidRPr="00BF746B">
        <w:t>132047</w:t>
      </w:r>
      <w:r w:rsidRPr="00BF746B">
        <w:t xml:space="preserve"> on </w:t>
      </w:r>
      <w:r w:rsidR="00344ECA">
        <w:t xml:space="preserve">November 1, 2013. </w:t>
      </w:r>
    </w:p>
    <w:p w14:paraId="05E03884" w14:textId="77777777" w:rsidR="00BF746B" w:rsidRDefault="00BF746B" w:rsidP="00C95240">
      <w:pPr>
        <w:ind w:firstLine="720"/>
      </w:pPr>
    </w:p>
    <w:p w14:paraId="05E03885" w14:textId="77777777" w:rsidR="00B5789A" w:rsidRDefault="00EA3F35" w:rsidP="00C95240">
      <w:pPr>
        <w:ind w:firstLine="720"/>
      </w:pPr>
      <w:hyperlink r:id="rId24" w:history="1">
        <w:r w:rsidR="00B5789A" w:rsidRPr="00965D05">
          <w:rPr>
            <w:rStyle w:val="Hyperlink"/>
          </w:rPr>
          <w:t>http://www.utc.wa.gov/docs/Pages/DocketLookup.aspx?FilingID=132047</w:t>
        </w:r>
      </w:hyperlink>
    </w:p>
    <w:p w14:paraId="05E03886" w14:textId="77777777" w:rsidR="00B5789A" w:rsidRDefault="00B5789A" w:rsidP="00C95240">
      <w:pPr>
        <w:ind w:firstLine="720"/>
      </w:pPr>
    </w:p>
    <w:p w14:paraId="05E03887" w14:textId="77777777" w:rsidR="006E37F8" w:rsidRPr="006E37F8" w:rsidRDefault="006E37F8" w:rsidP="006E37F8">
      <w:pPr>
        <w:pStyle w:val="ListParagraph"/>
      </w:pPr>
    </w:p>
    <w:p w14:paraId="05E03888" w14:textId="77777777" w:rsidR="006E37F8" w:rsidRPr="00BF746B" w:rsidRDefault="006E37F8" w:rsidP="006E37F8">
      <w:pPr>
        <w:pStyle w:val="ListParagraph"/>
        <w:numPr>
          <w:ilvl w:val="0"/>
          <w:numId w:val="41"/>
        </w:numPr>
        <w:contextualSpacing w:val="0"/>
      </w:pPr>
      <w:r w:rsidRPr="00BF746B">
        <w:t>Demand-side Management Business Plan</w:t>
      </w:r>
      <w:r w:rsidR="00031A88" w:rsidRPr="00BF746B">
        <w:t xml:space="preserve">(s) including </w:t>
      </w:r>
      <w:r w:rsidRPr="00BF746B">
        <w:t>November 201</w:t>
      </w:r>
      <w:r w:rsidR="00BF746B" w:rsidRPr="00BF746B">
        <w:t>4</w:t>
      </w:r>
      <w:r w:rsidRPr="00BF746B">
        <w:t xml:space="preserve"> Update filed in Docket UE-1</w:t>
      </w:r>
      <w:r w:rsidR="00344ECA">
        <w:t xml:space="preserve">32047. </w:t>
      </w:r>
    </w:p>
    <w:p w14:paraId="05E03889" w14:textId="77777777" w:rsidR="006E37F8" w:rsidRDefault="006E37F8" w:rsidP="006E37F8">
      <w:pPr>
        <w:pStyle w:val="ListParagraph"/>
      </w:pPr>
    </w:p>
    <w:p w14:paraId="05E0388A" w14:textId="77777777" w:rsidR="00BF746B" w:rsidRDefault="00EA3F35" w:rsidP="00BF746B">
      <w:pPr>
        <w:ind w:firstLine="720"/>
      </w:pPr>
      <w:hyperlink r:id="rId25" w:history="1">
        <w:r w:rsidR="00BF746B" w:rsidRPr="00965D05">
          <w:rPr>
            <w:rStyle w:val="Hyperlink"/>
          </w:rPr>
          <w:t>http://www.utc.wa.gov/docs/Pages/DocketLookup.aspx?FilingID=132047</w:t>
        </w:r>
      </w:hyperlink>
    </w:p>
    <w:p w14:paraId="05E0388B" w14:textId="77777777" w:rsidR="00BF746B" w:rsidRPr="006E37F8" w:rsidRDefault="00BF746B" w:rsidP="006E37F8">
      <w:pPr>
        <w:pStyle w:val="ListParagraph"/>
      </w:pPr>
    </w:p>
    <w:p w14:paraId="05E0388C" w14:textId="77777777" w:rsidR="006E37F8" w:rsidRPr="006E37F8" w:rsidRDefault="006E37F8" w:rsidP="006E37F8"/>
    <w:p w14:paraId="05E0388D" w14:textId="77777777" w:rsidR="006E37F8" w:rsidRDefault="006E37F8" w:rsidP="006E37F8">
      <w:pPr>
        <w:pStyle w:val="ListParagraph"/>
        <w:numPr>
          <w:ilvl w:val="0"/>
          <w:numId w:val="41"/>
        </w:numPr>
        <w:contextualSpacing w:val="0"/>
        <w:jc w:val="both"/>
      </w:pPr>
      <w:r w:rsidRPr="006E37F8">
        <w:t xml:space="preserve">Independent third-party </w:t>
      </w:r>
      <w:r>
        <w:t xml:space="preserve">process and impact </w:t>
      </w:r>
      <w:r w:rsidRPr="006E37F8">
        <w:t>evaluations completed during the 201</w:t>
      </w:r>
      <w:r w:rsidR="00CF451A">
        <w:t>4</w:t>
      </w:r>
      <w:r w:rsidRPr="006E37F8">
        <w:t>-201</w:t>
      </w:r>
      <w:r w:rsidR="00CF451A">
        <w:t>5</w:t>
      </w:r>
      <w:r w:rsidRPr="006E37F8">
        <w:t xml:space="preserve"> biennium</w:t>
      </w:r>
      <w:r>
        <w:t xml:space="preserve">, </w:t>
      </w:r>
      <w:r w:rsidR="002D70F8">
        <w:t>validating</w:t>
      </w:r>
      <w:r w:rsidR="002D70F8" w:rsidRPr="006E37F8">
        <w:t xml:space="preserve"> </w:t>
      </w:r>
      <w:r w:rsidRPr="006E37F8">
        <w:t xml:space="preserve">program </w:t>
      </w:r>
      <w:r w:rsidR="002D70F8">
        <w:t>results, assessing ex-post program savings</w:t>
      </w:r>
      <w:r w:rsidR="002D70F8" w:rsidRPr="006E37F8">
        <w:t xml:space="preserve"> </w:t>
      </w:r>
      <w:r w:rsidRPr="006E37F8">
        <w:t>and providing information used to inform future conservation potential assessments</w:t>
      </w:r>
      <w:r w:rsidR="002D70F8">
        <w:t xml:space="preserve">, conservation </w:t>
      </w:r>
      <w:r w:rsidRPr="006E37F8">
        <w:t>forecasts</w:t>
      </w:r>
      <w:r w:rsidR="002D70F8">
        <w:t xml:space="preserve"> and the establishment of targets</w:t>
      </w:r>
      <w:r w:rsidRPr="006E37F8">
        <w:t>.</w:t>
      </w:r>
      <w:r w:rsidR="002D70F8">
        <w:t xml:space="preserve"> </w:t>
      </w:r>
    </w:p>
    <w:p w14:paraId="05E0388E" w14:textId="77777777" w:rsidR="00DD6E23" w:rsidRPr="006E37F8" w:rsidRDefault="00DD6E23" w:rsidP="00DD6E23">
      <w:pPr>
        <w:pStyle w:val="ListParagraph"/>
        <w:contextualSpacing w:val="0"/>
        <w:jc w:val="both"/>
      </w:pPr>
    </w:p>
    <w:p w14:paraId="05E0388F" w14:textId="77777777" w:rsidR="006E37F8" w:rsidRPr="006E37F8" w:rsidRDefault="006E37F8" w:rsidP="006E37F8">
      <w:r w:rsidRPr="006E37F8">
        <w:t xml:space="preserve">          </w:t>
      </w:r>
      <w:r w:rsidR="00DD6E23">
        <w:t xml:space="preserve">  </w:t>
      </w:r>
      <w:hyperlink r:id="rId26" w:history="1">
        <w:r w:rsidRPr="006E37F8">
          <w:rPr>
            <w:rStyle w:val="Hyperlink"/>
          </w:rPr>
          <w:t>http://www.pacificorp.com/es/dsm/washington.html</w:t>
        </w:r>
      </w:hyperlink>
    </w:p>
    <w:p w14:paraId="05E03890" w14:textId="77777777" w:rsidR="006E37F8" w:rsidRDefault="006E37F8" w:rsidP="006E37F8"/>
    <w:p w14:paraId="05E03891" w14:textId="77777777" w:rsidR="006E37F8" w:rsidRPr="006E37F8" w:rsidRDefault="006E37F8" w:rsidP="002D70F8">
      <w:pPr>
        <w:ind w:left="720"/>
      </w:pPr>
    </w:p>
    <w:p w14:paraId="05E03892" w14:textId="77777777" w:rsidR="006E37F8" w:rsidRPr="001C1674" w:rsidRDefault="006E37F8" w:rsidP="002D70F8">
      <w:pPr>
        <w:pStyle w:val="ListParagraph"/>
        <w:numPr>
          <w:ilvl w:val="0"/>
          <w:numId w:val="41"/>
        </w:numPr>
        <w:contextualSpacing w:val="0"/>
        <w:jc w:val="both"/>
      </w:pPr>
      <w:r w:rsidRPr="001C1674">
        <w:t xml:space="preserve">Collaborative group documents completed </w:t>
      </w:r>
      <w:r w:rsidR="007329E4" w:rsidRPr="001C1674">
        <w:t xml:space="preserve">that are used to </w:t>
      </w:r>
      <w:r w:rsidRPr="001C1674">
        <w:t>demonstrat</w:t>
      </w:r>
      <w:r w:rsidR="007329E4" w:rsidRPr="001C1674">
        <w:t>e</w:t>
      </w:r>
      <w:r w:rsidRPr="001C1674">
        <w:t xml:space="preserve"> Company’s and other utilities</w:t>
      </w:r>
      <w:r w:rsidR="00F015F2" w:rsidRPr="001C1674">
        <w:t>’</w:t>
      </w:r>
      <w:r w:rsidRPr="001C1674">
        <w:t xml:space="preserve"> alignment with planning methodologies used by the Northwest Power and Conservation Council</w:t>
      </w:r>
      <w:r w:rsidR="007329E4" w:rsidRPr="001C1674">
        <w:t xml:space="preserve">. This document with </w:t>
      </w:r>
      <w:r w:rsidR="00031A88" w:rsidRPr="001C1674">
        <w:t xml:space="preserve">Company specific information is provided as </w:t>
      </w:r>
      <w:r w:rsidRPr="001C1674">
        <w:t xml:space="preserve">Appendix 3 Comparison of Regional Methodologies of the Company’s Ten-year Achievable Conservation Potential </w:t>
      </w:r>
      <w:r w:rsidRPr="001C1674">
        <w:lastRenderedPageBreak/>
        <w:t>and its Biennial Conservation Target for 2012 and 2013, filed in Docket UE-111880 on January 31, 2012.</w:t>
      </w:r>
    </w:p>
    <w:p w14:paraId="05E03893" w14:textId="77777777" w:rsidR="006E37F8" w:rsidRPr="006E37F8" w:rsidRDefault="006E37F8" w:rsidP="006E37F8">
      <w:pPr>
        <w:pStyle w:val="ListParagraph"/>
      </w:pPr>
    </w:p>
    <w:p w14:paraId="05E03894" w14:textId="77777777" w:rsidR="0053352A" w:rsidRDefault="00EA3F35" w:rsidP="0053352A">
      <w:pPr>
        <w:ind w:firstLine="720"/>
      </w:pPr>
      <w:hyperlink r:id="rId27" w:history="1">
        <w:r w:rsidR="0053352A" w:rsidRPr="00AC3CAD">
          <w:rPr>
            <w:rStyle w:val="Hyperlink"/>
          </w:rPr>
          <w:t>http://www.utc.wa.gov/docs/Pages/DocketLookup.aspx?FilingID=111880</w:t>
        </w:r>
      </w:hyperlink>
    </w:p>
    <w:p w14:paraId="05E03895" w14:textId="77777777" w:rsidR="007E2539" w:rsidRDefault="006E37F8">
      <w:r w:rsidRPr="006E37F8">
        <w:t>     </w:t>
      </w:r>
    </w:p>
    <w:p w14:paraId="05E03896" w14:textId="77777777" w:rsidR="003402DC" w:rsidRPr="00B34E9C" w:rsidRDefault="003402DC" w:rsidP="003402DC">
      <w:r w:rsidRPr="00B34E9C">
        <w:t>________________________________________________________________</w:t>
      </w:r>
    </w:p>
    <w:p w14:paraId="05E03897" w14:textId="77777777" w:rsidR="0004620C" w:rsidRPr="00E40049" w:rsidRDefault="0004620C" w:rsidP="002D4FB2">
      <w:pPr>
        <w:pStyle w:val="Heading1"/>
        <w:rPr>
          <w:rFonts w:ascii="Times New Roman" w:hAnsi="Times New Roman" w:cs="Times New Roman"/>
        </w:rPr>
      </w:pPr>
      <w:bookmarkStart w:id="17" w:name="_Toc257793524"/>
      <w:bookmarkStart w:id="18" w:name="_Toc289064249"/>
      <w:bookmarkStart w:id="19" w:name="_Toc457372004"/>
      <w:r w:rsidRPr="00E40049">
        <w:rPr>
          <w:rFonts w:ascii="Times New Roman" w:hAnsi="Times New Roman" w:cs="Times New Roman"/>
        </w:rPr>
        <w:t>Appendices</w:t>
      </w:r>
      <w:bookmarkEnd w:id="17"/>
      <w:bookmarkEnd w:id="18"/>
      <w:bookmarkEnd w:id="19"/>
    </w:p>
    <w:p w14:paraId="05E03898" w14:textId="77777777" w:rsidR="0004620C" w:rsidRPr="00B34E9C" w:rsidRDefault="0004620C" w:rsidP="0004620C">
      <w:pPr>
        <w:ind w:left="720"/>
      </w:pPr>
    </w:p>
    <w:p w14:paraId="05E03899" w14:textId="77777777" w:rsidR="0004620C" w:rsidRPr="007E2539" w:rsidRDefault="0004620C" w:rsidP="007E2539">
      <w:pPr>
        <w:pStyle w:val="Heading2"/>
        <w:ind w:left="720"/>
        <w:rPr>
          <w:rFonts w:ascii="Times New Roman" w:hAnsi="Times New Roman" w:cs="Times New Roman"/>
          <w:b w:val="0"/>
          <w:color w:val="auto"/>
          <w:sz w:val="24"/>
          <w:szCs w:val="24"/>
        </w:rPr>
      </w:pPr>
      <w:bookmarkStart w:id="20" w:name="_Toc457372005"/>
      <w:r w:rsidRPr="007E2539">
        <w:rPr>
          <w:rFonts w:ascii="Times New Roman" w:hAnsi="Times New Roman" w:cs="Times New Roman"/>
          <w:b w:val="0"/>
          <w:color w:val="auto"/>
          <w:sz w:val="24"/>
          <w:szCs w:val="24"/>
        </w:rPr>
        <w:t xml:space="preserve">Appendix 1 – </w:t>
      </w:r>
      <w:r w:rsidR="00DD6E23" w:rsidRPr="007E2539">
        <w:rPr>
          <w:rFonts w:ascii="Times New Roman" w:hAnsi="Times New Roman" w:cs="Times New Roman"/>
          <w:b w:val="0"/>
          <w:color w:val="auto"/>
          <w:sz w:val="24"/>
          <w:szCs w:val="24"/>
        </w:rPr>
        <w:t>201</w:t>
      </w:r>
      <w:r w:rsidR="00D3440A">
        <w:rPr>
          <w:rFonts w:ascii="Times New Roman" w:hAnsi="Times New Roman" w:cs="Times New Roman"/>
          <w:b w:val="0"/>
          <w:color w:val="auto"/>
          <w:sz w:val="24"/>
          <w:szCs w:val="24"/>
        </w:rPr>
        <w:t>4</w:t>
      </w:r>
      <w:r w:rsidR="00DD6E23" w:rsidRPr="007E2539">
        <w:rPr>
          <w:rFonts w:ascii="Times New Roman" w:hAnsi="Times New Roman" w:cs="Times New Roman"/>
          <w:b w:val="0"/>
          <w:color w:val="auto"/>
          <w:sz w:val="24"/>
          <w:szCs w:val="24"/>
        </w:rPr>
        <w:t>-201</w:t>
      </w:r>
      <w:r w:rsidR="00D3440A">
        <w:rPr>
          <w:rFonts w:ascii="Times New Roman" w:hAnsi="Times New Roman" w:cs="Times New Roman"/>
          <w:b w:val="0"/>
          <w:color w:val="auto"/>
          <w:sz w:val="24"/>
          <w:szCs w:val="24"/>
        </w:rPr>
        <w:t>5</w:t>
      </w:r>
      <w:r w:rsidR="00DD6E23" w:rsidRPr="007E2539">
        <w:rPr>
          <w:rFonts w:ascii="Times New Roman" w:hAnsi="Times New Roman" w:cs="Times New Roman"/>
          <w:b w:val="0"/>
          <w:color w:val="auto"/>
          <w:sz w:val="24"/>
          <w:szCs w:val="24"/>
        </w:rPr>
        <w:t xml:space="preserve"> Plan Condition Requirements and Compliance</w:t>
      </w:r>
      <w:bookmarkEnd w:id="20"/>
    </w:p>
    <w:p w14:paraId="05E0389A" w14:textId="77777777" w:rsidR="007E2539" w:rsidRDefault="007E2539" w:rsidP="007E2539">
      <w:pPr>
        <w:pStyle w:val="Heading2"/>
        <w:ind w:left="720"/>
        <w:rPr>
          <w:rFonts w:ascii="Times New Roman" w:hAnsi="Times New Roman" w:cs="Times New Roman"/>
          <w:b w:val="0"/>
          <w:color w:val="auto"/>
          <w:sz w:val="24"/>
          <w:szCs w:val="24"/>
        </w:rPr>
      </w:pPr>
      <w:bookmarkStart w:id="21" w:name="_Toc457372006"/>
      <w:r w:rsidRPr="007E2539">
        <w:rPr>
          <w:rFonts w:ascii="Times New Roman" w:hAnsi="Times New Roman" w:cs="Times New Roman"/>
          <w:b w:val="0"/>
          <w:color w:val="auto"/>
          <w:sz w:val="24"/>
          <w:szCs w:val="24"/>
        </w:rPr>
        <w:t xml:space="preserve">Appendix 2 – </w:t>
      </w:r>
      <w:r w:rsidR="00DD6E23" w:rsidRPr="00F523CC">
        <w:rPr>
          <w:rFonts w:ascii="Times New Roman" w:hAnsi="Times New Roman" w:cs="Times New Roman"/>
          <w:b w:val="0"/>
          <w:color w:val="auto"/>
          <w:sz w:val="24"/>
          <w:szCs w:val="24"/>
        </w:rPr>
        <w:t>Washington Verification of Savings Review</w:t>
      </w:r>
      <w:bookmarkEnd w:id="21"/>
    </w:p>
    <w:p w14:paraId="05E0389B" w14:textId="77777777" w:rsidR="002D70F8" w:rsidRDefault="002D70F8" w:rsidP="002D70F8">
      <w:pPr>
        <w:pStyle w:val="Heading2"/>
        <w:ind w:left="720"/>
        <w:rPr>
          <w:rFonts w:ascii="Times New Roman" w:hAnsi="Times New Roman" w:cs="Times New Roman"/>
          <w:b w:val="0"/>
          <w:color w:val="auto"/>
          <w:sz w:val="24"/>
          <w:szCs w:val="24"/>
        </w:rPr>
      </w:pPr>
      <w:bookmarkStart w:id="22" w:name="_Toc457372007"/>
      <w:r w:rsidRPr="002D70F8">
        <w:rPr>
          <w:rFonts w:ascii="Times New Roman" w:hAnsi="Times New Roman" w:cs="Times New Roman"/>
          <w:b w:val="0"/>
          <w:color w:val="auto"/>
          <w:sz w:val="24"/>
          <w:szCs w:val="24"/>
        </w:rPr>
        <w:t xml:space="preserve">Appendix 3 – </w:t>
      </w:r>
      <w:r w:rsidR="00DD6E23">
        <w:rPr>
          <w:rFonts w:ascii="Times New Roman" w:hAnsi="Times New Roman" w:cs="Times New Roman"/>
          <w:b w:val="0"/>
          <w:color w:val="auto"/>
          <w:sz w:val="24"/>
          <w:szCs w:val="24"/>
        </w:rPr>
        <w:t>NEEA Memorandum of 201</w:t>
      </w:r>
      <w:r w:rsidR="00D3440A">
        <w:rPr>
          <w:rFonts w:ascii="Times New Roman" w:hAnsi="Times New Roman" w:cs="Times New Roman"/>
          <w:b w:val="0"/>
          <w:color w:val="auto"/>
          <w:sz w:val="24"/>
          <w:szCs w:val="24"/>
        </w:rPr>
        <w:t>4</w:t>
      </w:r>
      <w:r w:rsidR="00DD6E23">
        <w:rPr>
          <w:rFonts w:ascii="Times New Roman" w:hAnsi="Times New Roman" w:cs="Times New Roman"/>
          <w:b w:val="0"/>
          <w:color w:val="auto"/>
          <w:sz w:val="24"/>
          <w:szCs w:val="24"/>
        </w:rPr>
        <w:t>-201</w:t>
      </w:r>
      <w:r w:rsidR="00D3440A">
        <w:rPr>
          <w:rFonts w:ascii="Times New Roman" w:hAnsi="Times New Roman" w:cs="Times New Roman"/>
          <w:b w:val="0"/>
          <w:color w:val="auto"/>
          <w:sz w:val="24"/>
          <w:szCs w:val="24"/>
        </w:rPr>
        <w:t>5</w:t>
      </w:r>
      <w:r w:rsidR="00DD6E23">
        <w:rPr>
          <w:rFonts w:ascii="Times New Roman" w:hAnsi="Times New Roman" w:cs="Times New Roman"/>
          <w:b w:val="0"/>
          <w:color w:val="auto"/>
          <w:sz w:val="24"/>
          <w:szCs w:val="24"/>
        </w:rPr>
        <w:t xml:space="preserve"> Final Savings</w:t>
      </w:r>
      <w:bookmarkEnd w:id="22"/>
    </w:p>
    <w:p w14:paraId="05E038A1" w14:textId="77777777" w:rsidR="0004620C" w:rsidRPr="00B34E9C" w:rsidRDefault="0004620C" w:rsidP="00D02848">
      <w:pPr>
        <w:pStyle w:val="memoaddress"/>
        <w:rPr>
          <w:rFonts w:ascii="Times New Roman" w:hAnsi="Times New Roman"/>
        </w:rPr>
      </w:pPr>
    </w:p>
    <w:p w14:paraId="05E038A2" w14:textId="77777777" w:rsidR="0004620C" w:rsidRPr="00B34E9C" w:rsidRDefault="0004620C" w:rsidP="00D02848">
      <w:pPr>
        <w:pStyle w:val="memoaddress"/>
        <w:rPr>
          <w:rFonts w:ascii="Times New Roman" w:hAnsi="Times New Roman"/>
        </w:rPr>
      </w:pPr>
    </w:p>
    <w:p w14:paraId="05E038A3" w14:textId="77777777" w:rsidR="0004620C" w:rsidRPr="00B34E9C" w:rsidRDefault="0004620C" w:rsidP="00D02848">
      <w:pPr>
        <w:pStyle w:val="memoaddress"/>
        <w:rPr>
          <w:rFonts w:ascii="Times New Roman" w:hAnsi="Times New Roman"/>
        </w:rPr>
      </w:pPr>
    </w:p>
    <w:p w14:paraId="05E038A4" w14:textId="77777777" w:rsidR="0004620C" w:rsidRPr="00B34E9C" w:rsidRDefault="0004620C" w:rsidP="00D02848">
      <w:pPr>
        <w:pStyle w:val="memoaddress"/>
        <w:rPr>
          <w:rFonts w:ascii="Times New Roman" w:hAnsi="Times New Roman"/>
        </w:rPr>
      </w:pPr>
    </w:p>
    <w:p w14:paraId="05E038A5" w14:textId="77777777" w:rsidR="0004620C" w:rsidRPr="00B34E9C" w:rsidRDefault="0004620C" w:rsidP="00D02848">
      <w:pPr>
        <w:pStyle w:val="memoaddress"/>
        <w:rPr>
          <w:rFonts w:ascii="Times New Roman" w:hAnsi="Times New Roman"/>
        </w:rPr>
      </w:pPr>
    </w:p>
    <w:p w14:paraId="05E038A6" w14:textId="77777777" w:rsidR="0004620C" w:rsidRPr="00B34E9C" w:rsidRDefault="0004620C" w:rsidP="00D02848">
      <w:pPr>
        <w:pStyle w:val="memoaddress"/>
        <w:rPr>
          <w:rFonts w:ascii="Times New Roman" w:hAnsi="Times New Roman"/>
        </w:rPr>
      </w:pPr>
    </w:p>
    <w:p w14:paraId="05E038A7" w14:textId="77777777" w:rsidR="0004620C" w:rsidRPr="00B34E9C" w:rsidRDefault="0004620C" w:rsidP="00D02848">
      <w:pPr>
        <w:pStyle w:val="memoaddress"/>
        <w:rPr>
          <w:rFonts w:ascii="Times New Roman" w:hAnsi="Times New Roman"/>
        </w:rPr>
      </w:pPr>
    </w:p>
    <w:p w14:paraId="05E038A8" w14:textId="77777777" w:rsidR="0004620C" w:rsidRPr="00B34E9C" w:rsidRDefault="0004620C" w:rsidP="00D02848">
      <w:pPr>
        <w:pStyle w:val="memoaddress"/>
        <w:rPr>
          <w:rFonts w:ascii="Times New Roman" w:hAnsi="Times New Roman"/>
        </w:rPr>
      </w:pPr>
    </w:p>
    <w:p w14:paraId="05E038A9" w14:textId="77777777" w:rsidR="0004620C" w:rsidRPr="00B34E9C" w:rsidRDefault="0004620C" w:rsidP="00D02848">
      <w:pPr>
        <w:pStyle w:val="memoaddress"/>
        <w:rPr>
          <w:rFonts w:ascii="Times New Roman" w:hAnsi="Times New Roman"/>
        </w:rPr>
      </w:pPr>
    </w:p>
    <w:p w14:paraId="05E038AA" w14:textId="77777777" w:rsidR="0004620C" w:rsidRDefault="0004620C" w:rsidP="00D02848">
      <w:pPr>
        <w:pStyle w:val="memoaddress"/>
      </w:pPr>
    </w:p>
    <w:p w14:paraId="05E038AB" w14:textId="77777777" w:rsidR="0004620C" w:rsidRDefault="0004620C" w:rsidP="00D02848">
      <w:pPr>
        <w:pStyle w:val="memoaddress"/>
      </w:pPr>
    </w:p>
    <w:p w14:paraId="05E038AC" w14:textId="77777777" w:rsidR="0004620C" w:rsidRDefault="0004620C" w:rsidP="00D02848">
      <w:pPr>
        <w:pStyle w:val="memoaddress"/>
      </w:pPr>
    </w:p>
    <w:p w14:paraId="05E038AD" w14:textId="77777777" w:rsidR="0004620C" w:rsidRDefault="0004620C" w:rsidP="00D02848">
      <w:pPr>
        <w:pStyle w:val="memoaddress"/>
      </w:pPr>
    </w:p>
    <w:p w14:paraId="05E038AE" w14:textId="77777777" w:rsidR="0004620C" w:rsidRDefault="0004620C" w:rsidP="00D02848">
      <w:pPr>
        <w:pStyle w:val="memoaddress"/>
      </w:pPr>
    </w:p>
    <w:p w14:paraId="05E038AF" w14:textId="77777777" w:rsidR="0004620C" w:rsidRDefault="0004620C" w:rsidP="00D02848">
      <w:pPr>
        <w:pStyle w:val="memoaddress"/>
      </w:pPr>
    </w:p>
    <w:p w14:paraId="05E038B0" w14:textId="77777777" w:rsidR="0004620C" w:rsidRDefault="0004620C" w:rsidP="00D02848">
      <w:pPr>
        <w:pStyle w:val="memoaddress"/>
      </w:pPr>
    </w:p>
    <w:p w14:paraId="05E038B1" w14:textId="77777777" w:rsidR="0004620C" w:rsidRDefault="0004620C" w:rsidP="00D02848">
      <w:pPr>
        <w:pStyle w:val="memoaddress"/>
      </w:pPr>
    </w:p>
    <w:p w14:paraId="05E038B2" w14:textId="77777777" w:rsidR="0004620C" w:rsidRDefault="0004620C" w:rsidP="00D02848">
      <w:pPr>
        <w:pStyle w:val="memoaddress"/>
      </w:pPr>
    </w:p>
    <w:p w14:paraId="05E038B3" w14:textId="77777777" w:rsidR="0004620C" w:rsidRDefault="0004620C" w:rsidP="00D02848">
      <w:pPr>
        <w:pStyle w:val="memoaddress"/>
      </w:pPr>
    </w:p>
    <w:p w14:paraId="05E038B4" w14:textId="77777777" w:rsidR="0004620C" w:rsidRDefault="0004620C" w:rsidP="00D02848">
      <w:pPr>
        <w:pStyle w:val="memoaddress"/>
      </w:pPr>
    </w:p>
    <w:sectPr w:rsidR="0004620C" w:rsidSect="00DD6F8A">
      <w:headerReference w:type="even" r:id="rId28"/>
      <w:headerReference w:type="default" r:id="rId29"/>
      <w:footerReference w:type="even" r:id="rId30"/>
      <w:footerReference w:type="default" r:id="rId31"/>
      <w:headerReference w:type="first" r:id="rId32"/>
      <w:footerReference w:type="first" r:id="rId3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038CF" w14:textId="77777777" w:rsidR="00203B8E" w:rsidRDefault="00203B8E" w:rsidP="00972D86">
      <w:r>
        <w:separator/>
      </w:r>
    </w:p>
  </w:endnote>
  <w:endnote w:type="continuationSeparator" w:id="0">
    <w:p w14:paraId="05E038D0" w14:textId="77777777" w:rsidR="00203B8E" w:rsidRDefault="00203B8E" w:rsidP="0097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38D3" w14:textId="77777777" w:rsidR="00F15EF3" w:rsidRDefault="00F15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651304"/>
      <w:docPartObj>
        <w:docPartGallery w:val="Page Numbers (Bottom of Page)"/>
        <w:docPartUnique/>
      </w:docPartObj>
    </w:sdtPr>
    <w:sdtEndPr/>
    <w:sdtContent>
      <w:sdt>
        <w:sdtPr>
          <w:id w:val="860082579"/>
          <w:docPartObj>
            <w:docPartGallery w:val="Page Numbers (Top of Page)"/>
            <w:docPartUnique/>
          </w:docPartObj>
        </w:sdtPr>
        <w:sdtEndPr/>
        <w:sdtContent>
          <w:p w14:paraId="05E038D4" w14:textId="77777777" w:rsidR="00203B8E" w:rsidRDefault="00203B8E">
            <w:pPr>
              <w:pStyle w:val="Footer"/>
              <w:jc w:val="right"/>
            </w:pPr>
            <w:r>
              <w:t xml:space="preserve">Page </w:t>
            </w:r>
            <w:r>
              <w:rPr>
                <w:b/>
                <w:bCs/>
              </w:rPr>
              <w:fldChar w:fldCharType="begin"/>
            </w:r>
            <w:r>
              <w:rPr>
                <w:b/>
                <w:bCs/>
              </w:rPr>
              <w:instrText xml:space="preserve"> PAGE </w:instrText>
            </w:r>
            <w:r>
              <w:rPr>
                <w:b/>
                <w:bCs/>
              </w:rPr>
              <w:fldChar w:fldCharType="separate"/>
            </w:r>
            <w:r w:rsidR="00EA3F3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A3F35">
              <w:rPr>
                <w:b/>
                <w:bCs/>
                <w:noProof/>
              </w:rPr>
              <w:t>22</w:t>
            </w:r>
            <w:r>
              <w:rPr>
                <w:b/>
                <w:bCs/>
              </w:rPr>
              <w:fldChar w:fldCharType="end"/>
            </w:r>
          </w:p>
        </w:sdtContent>
      </w:sdt>
    </w:sdtContent>
  </w:sdt>
  <w:p w14:paraId="05E038D5" w14:textId="77777777" w:rsidR="00203B8E" w:rsidRDefault="00203B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38D7" w14:textId="77777777" w:rsidR="00F15EF3" w:rsidRDefault="00F15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038CD" w14:textId="77777777" w:rsidR="00203B8E" w:rsidRDefault="00203B8E" w:rsidP="00972D86">
      <w:r>
        <w:separator/>
      </w:r>
    </w:p>
  </w:footnote>
  <w:footnote w:type="continuationSeparator" w:id="0">
    <w:p w14:paraId="05E038CE" w14:textId="77777777" w:rsidR="00203B8E" w:rsidRDefault="00203B8E" w:rsidP="00972D86">
      <w:r>
        <w:continuationSeparator/>
      </w:r>
    </w:p>
  </w:footnote>
  <w:footnote w:id="1">
    <w:p w14:paraId="05E038D8" w14:textId="77777777" w:rsidR="00203B8E" w:rsidRDefault="00203B8E" w:rsidP="001F70CF">
      <w:pPr>
        <w:pStyle w:val="FootnoteText"/>
        <w:jc w:val="both"/>
      </w:pPr>
      <w:r>
        <w:rPr>
          <w:rStyle w:val="FootnoteReference"/>
        </w:rPr>
        <w:footnoteRef/>
      </w:r>
      <w:r>
        <w:t xml:space="preserve">The cost effectiveness result includes non-energy benefits for the Company Achieved Conservation savings. The Total Achieved Conservation savings, including NEEA, </w:t>
      </w:r>
      <w:r w:rsidRPr="001D7139">
        <w:t>is 1.75.</w:t>
      </w:r>
    </w:p>
  </w:footnote>
  <w:footnote w:id="2">
    <w:p w14:paraId="05E038D9" w14:textId="77777777" w:rsidR="00203B8E" w:rsidRDefault="00203B8E">
      <w:pPr>
        <w:pStyle w:val="FootnoteText"/>
      </w:pPr>
      <w:r>
        <w:rPr>
          <w:rStyle w:val="FootnoteReference"/>
        </w:rPr>
        <w:footnoteRef/>
      </w:r>
      <w:r>
        <w:t xml:space="preserve"> Low Income Weatherization program is not included in the portfolio cost effectiveness analysis per WAC 480-109-100(10)(b).</w:t>
      </w:r>
    </w:p>
  </w:footnote>
  <w:footnote w:id="3">
    <w:p w14:paraId="05E038DA" w14:textId="77777777" w:rsidR="00203B8E" w:rsidRPr="00A45503" w:rsidRDefault="00203B8E" w:rsidP="007A002D">
      <w:pPr>
        <w:pStyle w:val="FootnoteText"/>
      </w:pPr>
      <w:r>
        <w:rPr>
          <w:rStyle w:val="FootnoteReference"/>
        </w:rPr>
        <w:footnoteRef/>
      </w:r>
      <w:r>
        <w:t xml:space="preserve"> Washington Conservati</w:t>
      </w:r>
      <w:r w:rsidRPr="00A45503">
        <w:t xml:space="preserve">on Working Group Consensus Document as of June 30, 2011. </w:t>
      </w:r>
    </w:p>
  </w:footnote>
  <w:footnote w:id="4">
    <w:p w14:paraId="05E038DB" w14:textId="77777777" w:rsidR="00203B8E" w:rsidRDefault="00203B8E" w:rsidP="00CC5FDB">
      <w:pPr>
        <w:pStyle w:val="FootnoteText"/>
      </w:pPr>
      <w:r w:rsidRPr="00A45503">
        <w:rPr>
          <w:rStyle w:val="FootnoteReference"/>
        </w:rPr>
        <w:footnoteRef/>
      </w:r>
      <w:r w:rsidRPr="00A45503">
        <w:t xml:space="preserve"> See Appendix 2 </w:t>
      </w:r>
      <w:r>
        <w:t xml:space="preserve">of this report </w:t>
      </w:r>
      <w:r w:rsidRPr="00A45503">
        <w:t>for</w:t>
      </w:r>
      <w:r>
        <w:t xml:space="preserve"> the</w:t>
      </w:r>
      <w:r w:rsidRPr="00A45503">
        <w:t xml:space="preserve"> Savings</w:t>
      </w:r>
      <w:r>
        <w:t xml:space="preserve"> Verification Report in support of Docket UE-132047 Order 01 section (6)(f).</w:t>
      </w:r>
    </w:p>
  </w:footnote>
  <w:footnote w:id="5">
    <w:p w14:paraId="05E038DC" w14:textId="77777777" w:rsidR="00203B8E" w:rsidRDefault="00203B8E">
      <w:pPr>
        <w:pStyle w:val="FootnoteText"/>
      </w:pPr>
      <w:r>
        <w:rPr>
          <w:rStyle w:val="FootnoteReference"/>
        </w:rPr>
        <w:footnoteRef/>
      </w:r>
      <w:r>
        <w:t xml:space="preserve"> See memo from NEEA, </w:t>
      </w:r>
      <w:r w:rsidRPr="00A45503">
        <w:t>Appendix 3 of this</w:t>
      </w:r>
      <w:r>
        <w:t xml:space="preserve"> report.</w:t>
      </w:r>
    </w:p>
  </w:footnote>
  <w:footnote w:id="6">
    <w:p w14:paraId="05E038DD" w14:textId="77777777" w:rsidR="00203B8E" w:rsidRDefault="00203B8E">
      <w:pPr>
        <w:pStyle w:val="FootnoteText"/>
      </w:pPr>
      <w:r>
        <w:rPr>
          <w:rStyle w:val="FootnoteReference"/>
        </w:rPr>
        <w:footnoteRef/>
      </w:r>
      <w:r>
        <w:t xml:space="preserve"> The original target included a range (in MWh) which reflected uncertainty in the production efficiency forecast. The Commission approved the Company’s proposed target as a single number equal to the lower end of the range. The lower end of the range reflected a 0 MWh contribution from Production Efficiency. The Commission approval did not explicitly remove Production Efficiency from the target and the Company is reporting these savings and costs to fully reflect Company initiatives undertaken in compliance with I-937.   </w:t>
      </w:r>
    </w:p>
  </w:footnote>
  <w:footnote w:id="7">
    <w:p w14:paraId="05E038DE" w14:textId="77777777" w:rsidR="00203B8E" w:rsidRDefault="00203B8E">
      <w:pPr>
        <w:pStyle w:val="FootnoteText"/>
      </w:pPr>
      <w:r>
        <w:rPr>
          <w:rStyle w:val="FootnoteReference"/>
        </w:rPr>
        <w:footnoteRef/>
      </w:r>
      <w:r>
        <w:t xml:space="preserve"> Exceptions to frozen assumptions include using ex-post evaluation results for Home Energy Reports and updating savings for measures impacted by new minimum building code or efficiency standard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38D1" w14:textId="77777777" w:rsidR="00F15EF3" w:rsidRDefault="00F15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38D2" w14:textId="77777777" w:rsidR="00F15EF3" w:rsidRDefault="00F15E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38D6" w14:textId="77777777" w:rsidR="00F15EF3" w:rsidRDefault="00F15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15:restartNumberingAfterBreak="0">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15:restartNumberingAfterBreak="0">
    <w:nsid w:val="1AA74145"/>
    <w:multiLevelType w:val="hybridMultilevel"/>
    <w:tmpl w:val="7700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A60DC0"/>
    <w:multiLevelType w:val="hybridMultilevel"/>
    <w:tmpl w:val="FD8435F6"/>
    <w:lvl w:ilvl="0" w:tplc="204E98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E4BDD"/>
    <w:multiLevelType w:val="hybridMultilevel"/>
    <w:tmpl w:val="1D7EF4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4" w15:restartNumberingAfterBreak="0">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1B9764C"/>
    <w:multiLevelType w:val="hybridMultilevel"/>
    <w:tmpl w:val="5EF66B4C"/>
    <w:lvl w:ilvl="0" w:tplc="F19A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A981D87"/>
    <w:multiLevelType w:val="hybridMultilevel"/>
    <w:tmpl w:val="7700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1"/>
  </w:num>
  <w:num w:numId="2">
    <w:abstractNumId w:val="25"/>
  </w:num>
  <w:num w:numId="3">
    <w:abstractNumId w:val="35"/>
  </w:num>
  <w:num w:numId="4">
    <w:abstractNumId w:val="1"/>
  </w:num>
  <w:num w:numId="5">
    <w:abstractNumId w:val="8"/>
  </w:num>
  <w:num w:numId="6">
    <w:abstractNumId w:val="39"/>
  </w:num>
  <w:num w:numId="7">
    <w:abstractNumId w:val="2"/>
  </w:num>
  <w:num w:numId="8">
    <w:abstractNumId w:val="3"/>
  </w:num>
  <w:num w:numId="9">
    <w:abstractNumId w:val="22"/>
  </w:num>
  <w:num w:numId="10">
    <w:abstractNumId w:val="18"/>
  </w:num>
  <w:num w:numId="11">
    <w:abstractNumId w:val="7"/>
  </w:num>
  <w:num w:numId="12">
    <w:abstractNumId w:val="30"/>
  </w:num>
  <w:num w:numId="13">
    <w:abstractNumId w:val="38"/>
  </w:num>
  <w:num w:numId="14">
    <w:abstractNumId w:val="26"/>
  </w:num>
  <w:num w:numId="15">
    <w:abstractNumId w:val="4"/>
  </w:num>
  <w:num w:numId="16">
    <w:abstractNumId w:val="37"/>
  </w:num>
  <w:num w:numId="17">
    <w:abstractNumId w:val="16"/>
  </w:num>
  <w:num w:numId="18">
    <w:abstractNumId w:val="15"/>
  </w:num>
  <w:num w:numId="19">
    <w:abstractNumId w:val="6"/>
  </w:num>
  <w:num w:numId="20">
    <w:abstractNumId w:val="20"/>
  </w:num>
  <w:num w:numId="21">
    <w:abstractNumId w:val="36"/>
  </w:num>
  <w:num w:numId="22">
    <w:abstractNumId w:val="31"/>
  </w:num>
  <w:num w:numId="23">
    <w:abstractNumId w:val="33"/>
  </w:num>
  <w:num w:numId="24">
    <w:abstractNumId w:val="41"/>
  </w:num>
  <w:num w:numId="25">
    <w:abstractNumId w:val="40"/>
  </w:num>
  <w:num w:numId="26">
    <w:abstractNumId w:val="5"/>
  </w:num>
  <w:num w:numId="27">
    <w:abstractNumId w:val="29"/>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3"/>
  </w:num>
  <w:num w:numId="33">
    <w:abstractNumId w:val="42"/>
  </w:num>
  <w:num w:numId="34">
    <w:abstractNumId w:val="9"/>
  </w:num>
  <w:num w:numId="35">
    <w:abstractNumId w:val="28"/>
  </w:num>
  <w:num w:numId="36">
    <w:abstractNumId w:val="12"/>
  </w:num>
  <w:num w:numId="37">
    <w:abstractNumId w:val="19"/>
  </w:num>
  <w:num w:numId="38">
    <w:abstractNumId w:val="0"/>
  </w:num>
  <w:num w:numId="39">
    <w:abstractNumId w:val="27"/>
  </w:num>
  <w:num w:numId="40">
    <w:abstractNumId w:val="13"/>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defaultTabStop w:val="720"/>
  <w:drawingGridHorizontalSpacing w:val="120"/>
  <w:displayHorizontalDrawingGridEvery w:val="2"/>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86"/>
    <w:rsid w:val="00000765"/>
    <w:rsid w:val="00003D96"/>
    <w:rsid w:val="00004B3F"/>
    <w:rsid w:val="000051BB"/>
    <w:rsid w:val="000065BB"/>
    <w:rsid w:val="00007047"/>
    <w:rsid w:val="000079AF"/>
    <w:rsid w:val="00011AFB"/>
    <w:rsid w:val="0001500C"/>
    <w:rsid w:val="00015BC5"/>
    <w:rsid w:val="00015D20"/>
    <w:rsid w:val="000177BC"/>
    <w:rsid w:val="00020FFF"/>
    <w:rsid w:val="0002107B"/>
    <w:rsid w:val="00021E03"/>
    <w:rsid w:val="00023F63"/>
    <w:rsid w:val="000244A9"/>
    <w:rsid w:val="000247CE"/>
    <w:rsid w:val="00024B54"/>
    <w:rsid w:val="00027800"/>
    <w:rsid w:val="00030370"/>
    <w:rsid w:val="00030628"/>
    <w:rsid w:val="00031A88"/>
    <w:rsid w:val="00031E0D"/>
    <w:rsid w:val="00032623"/>
    <w:rsid w:val="0003273F"/>
    <w:rsid w:val="00034029"/>
    <w:rsid w:val="0003426C"/>
    <w:rsid w:val="00043A16"/>
    <w:rsid w:val="0004620C"/>
    <w:rsid w:val="000467FE"/>
    <w:rsid w:val="00052592"/>
    <w:rsid w:val="000546B4"/>
    <w:rsid w:val="00054F60"/>
    <w:rsid w:val="000554E0"/>
    <w:rsid w:val="00061D82"/>
    <w:rsid w:val="00064106"/>
    <w:rsid w:val="00065C99"/>
    <w:rsid w:val="00071762"/>
    <w:rsid w:val="00071EFA"/>
    <w:rsid w:val="00075178"/>
    <w:rsid w:val="00076AB2"/>
    <w:rsid w:val="00077366"/>
    <w:rsid w:val="00077EB4"/>
    <w:rsid w:val="000825A1"/>
    <w:rsid w:val="00083A77"/>
    <w:rsid w:val="00084249"/>
    <w:rsid w:val="00085A44"/>
    <w:rsid w:val="000877A3"/>
    <w:rsid w:val="000877CE"/>
    <w:rsid w:val="00091278"/>
    <w:rsid w:val="00093187"/>
    <w:rsid w:val="00095336"/>
    <w:rsid w:val="000A204B"/>
    <w:rsid w:val="000A7AFB"/>
    <w:rsid w:val="000B166C"/>
    <w:rsid w:val="000B4E14"/>
    <w:rsid w:val="000C241C"/>
    <w:rsid w:val="000C317B"/>
    <w:rsid w:val="000C3D6F"/>
    <w:rsid w:val="000C4259"/>
    <w:rsid w:val="000D290A"/>
    <w:rsid w:val="000D3281"/>
    <w:rsid w:val="000D3857"/>
    <w:rsid w:val="000D51E3"/>
    <w:rsid w:val="000E05BE"/>
    <w:rsid w:val="000E1AD6"/>
    <w:rsid w:val="000E3A57"/>
    <w:rsid w:val="000E5172"/>
    <w:rsid w:val="000E66D2"/>
    <w:rsid w:val="000F0807"/>
    <w:rsid w:val="000F136B"/>
    <w:rsid w:val="000F2E88"/>
    <w:rsid w:val="000F316C"/>
    <w:rsid w:val="000F50EE"/>
    <w:rsid w:val="000F542D"/>
    <w:rsid w:val="00101957"/>
    <w:rsid w:val="00101F00"/>
    <w:rsid w:val="00102531"/>
    <w:rsid w:val="00104615"/>
    <w:rsid w:val="00104BF2"/>
    <w:rsid w:val="0011091F"/>
    <w:rsid w:val="00111899"/>
    <w:rsid w:val="00113953"/>
    <w:rsid w:val="00114A65"/>
    <w:rsid w:val="0011671F"/>
    <w:rsid w:val="00122D86"/>
    <w:rsid w:val="00123418"/>
    <w:rsid w:val="00124324"/>
    <w:rsid w:val="001247E0"/>
    <w:rsid w:val="00131321"/>
    <w:rsid w:val="00134374"/>
    <w:rsid w:val="001356E3"/>
    <w:rsid w:val="001357FB"/>
    <w:rsid w:val="001368CB"/>
    <w:rsid w:val="00137599"/>
    <w:rsid w:val="00140D48"/>
    <w:rsid w:val="0014395B"/>
    <w:rsid w:val="001453DC"/>
    <w:rsid w:val="00145A9F"/>
    <w:rsid w:val="00146AE9"/>
    <w:rsid w:val="00150EFE"/>
    <w:rsid w:val="00151F84"/>
    <w:rsid w:val="00153C08"/>
    <w:rsid w:val="001540B6"/>
    <w:rsid w:val="00160CE2"/>
    <w:rsid w:val="00160CEE"/>
    <w:rsid w:val="00163050"/>
    <w:rsid w:val="00163304"/>
    <w:rsid w:val="00163F80"/>
    <w:rsid w:val="00164E1E"/>
    <w:rsid w:val="00165284"/>
    <w:rsid w:val="001663D7"/>
    <w:rsid w:val="00167F79"/>
    <w:rsid w:val="00170CF5"/>
    <w:rsid w:val="0017244A"/>
    <w:rsid w:val="00176128"/>
    <w:rsid w:val="00180A77"/>
    <w:rsid w:val="00182223"/>
    <w:rsid w:val="001850F6"/>
    <w:rsid w:val="00185161"/>
    <w:rsid w:val="00192761"/>
    <w:rsid w:val="00193A2D"/>
    <w:rsid w:val="001948CA"/>
    <w:rsid w:val="0019716C"/>
    <w:rsid w:val="001976A6"/>
    <w:rsid w:val="00197E7A"/>
    <w:rsid w:val="001A0D41"/>
    <w:rsid w:val="001A0E93"/>
    <w:rsid w:val="001A3026"/>
    <w:rsid w:val="001A592D"/>
    <w:rsid w:val="001A62AA"/>
    <w:rsid w:val="001A715A"/>
    <w:rsid w:val="001A7162"/>
    <w:rsid w:val="001A71F5"/>
    <w:rsid w:val="001A7ABE"/>
    <w:rsid w:val="001B2C79"/>
    <w:rsid w:val="001B692B"/>
    <w:rsid w:val="001B6B2F"/>
    <w:rsid w:val="001C0823"/>
    <w:rsid w:val="001C1674"/>
    <w:rsid w:val="001C1FFD"/>
    <w:rsid w:val="001C63EA"/>
    <w:rsid w:val="001D1A43"/>
    <w:rsid w:val="001D2707"/>
    <w:rsid w:val="001D355F"/>
    <w:rsid w:val="001D4C2F"/>
    <w:rsid w:val="001D55D5"/>
    <w:rsid w:val="001D6671"/>
    <w:rsid w:val="001D7139"/>
    <w:rsid w:val="001D7359"/>
    <w:rsid w:val="001D78A2"/>
    <w:rsid w:val="001E05FF"/>
    <w:rsid w:val="001E1072"/>
    <w:rsid w:val="001E5693"/>
    <w:rsid w:val="001E57C7"/>
    <w:rsid w:val="001F0042"/>
    <w:rsid w:val="001F054D"/>
    <w:rsid w:val="001F1CE0"/>
    <w:rsid w:val="001F215E"/>
    <w:rsid w:val="001F32F5"/>
    <w:rsid w:val="001F3BDA"/>
    <w:rsid w:val="001F5FCC"/>
    <w:rsid w:val="001F70CF"/>
    <w:rsid w:val="001F7164"/>
    <w:rsid w:val="002020A8"/>
    <w:rsid w:val="00202DB7"/>
    <w:rsid w:val="00202DD4"/>
    <w:rsid w:val="00203B8E"/>
    <w:rsid w:val="00210EFA"/>
    <w:rsid w:val="0021128B"/>
    <w:rsid w:val="00215976"/>
    <w:rsid w:val="002170E0"/>
    <w:rsid w:val="00217934"/>
    <w:rsid w:val="00221893"/>
    <w:rsid w:val="0022553A"/>
    <w:rsid w:val="002267BC"/>
    <w:rsid w:val="00226ED4"/>
    <w:rsid w:val="00230A66"/>
    <w:rsid w:val="00230B50"/>
    <w:rsid w:val="0023306D"/>
    <w:rsid w:val="00234EE4"/>
    <w:rsid w:val="00240150"/>
    <w:rsid w:val="00242158"/>
    <w:rsid w:val="00242D36"/>
    <w:rsid w:val="0024317F"/>
    <w:rsid w:val="0024323A"/>
    <w:rsid w:val="00245255"/>
    <w:rsid w:val="0025011F"/>
    <w:rsid w:val="002507DB"/>
    <w:rsid w:val="00250FFB"/>
    <w:rsid w:val="00257487"/>
    <w:rsid w:val="002624C1"/>
    <w:rsid w:val="00262FDA"/>
    <w:rsid w:val="00264E3A"/>
    <w:rsid w:val="0026513F"/>
    <w:rsid w:val="00274012"/>
    <w:rsid w:val="00275474"/>
    <w:rsid w:val="00276AA7"/>
    <w:rsid w:val="00277E13"/>
    <w:rsid w:val="002810D1"/>
    <w:rsid w:val="00282D61"/>
    <w:rsid w:val="00285815"/>
    <w:rsid w:val="0028681B"/>
    <w:rsid w:val="002925E5"/>
    <w:rsid w:val="00292CD8"/>
    <w:rsid w:val="002940D7"/>
    <w:rsid w:val="002A3770"/>
    <w:rsid w:val="002B49A1"/>
    <w:rsid w:val="002B6EFB"/>
    <w:rsid w:val="002B7003"/>
    <w:rsid w:val="002B77B9"/>
    <w:rsid w:val="002B7C25"/>
    <w:rsid w:val="002C0E28"/>
    <w:rsid w:val="002C316F"/>
    <w:rsid w:val="002C5163"/>
    <w:rsid w:val="002D1060"/>
    <w:rsid w:val="002D4186"/>
    <w:rsid w:val="002D4FB2"/>
    <w:rsid w:val="002D66DD"/>
    <w:rsid w:val="002D70F8"/>
    <w:rsid w:val="002E208B"/>
    <w:rsid w:val="002E38C1"/>
    <w:rsid w:val="002E407F"/>
    <w:rsid w:val="002E6923"/>
    <w:rsid w:val="002F06E4"/>
    <w:rsid w:val="002F37D2"/>
    <w:rsid w:val="002F738C"/>
    <w:rsid w:val="00302C12"/>
    <w:rsid w:val="0030355D"/>
    <w:rsid w:val="003040BB"/>
    <w:rsid w:val="00304CFD"/>
    <w:rsid w:val="00311FAD"/>
    <w:rsid w:val="00314AB0"/>
    <w:rsid w:val="0031598B"/>
    <w:rsid w:val="0032034C"/>
    <w:rsid w:val="00320BF6"/>
    <w:rsid w:val="003253C4"/>
    <w:rsid w:val="00327081"/>
    <w:rsid w:val="00327671"/>
    <w:rsid w:val="00332026"/>
    <w:rsid w:val="00332CC0"/>
    <w:rsid w:val="0033371C"/>
    <w:rsid w:val="00335772"/>
    <w:rsid w:val="003368C0"/>
    <w:rsid w:val="003402DC"/>
    <w:rsid w:val="00340DC8"/>
    <w:rsid w:val="00344CD3"/>
    <w:rsid w:val="00344ECA"/>
    <w:rsid w:val="003453B7"/>
    <w:rsid w:val="00346990"/>
    <w:rsid w:val="00346D89"/>
    <w:rsid w:val="00347579"/>
    <w:rsid w:val="0035306A"/>
    <w:rsid w:val="003543A7"/>
    <w:rsid w:val="00354B2F"/>
    <w:rsid w:val="0035642A"/>
    <w:rsid w:val="00357902"/>
    <w:rsid w:val="00357DF8"/>
    <w:rsid w:val="00366B62"/>
    <w:rsid w:val="003675DD"/>
    <w:rsid w:val="00367BFA"/>
    <w:rsid w:val="00367ECF"/>
    <w:rsid w:val="003720D8"/>
    <w:rsid w:val="00373D0B"/>
    <w:rsid w:val="003809F2"/>
    <w:rsid w:val="003831A4"/>
    <w:rsid w:val="00385E43"/>
    <w:rsid w:val="00394E76"/>
    <w:rsid w:val="003A03B2"/>
    <w:rsid w:val="003A348C"/>
    <w:rsid w:val="003A3F34"/>
    <w:rsid w:val="003B1F7F"/>
    <w:rsid w:val="003B3CC8"/>
    <w:rsid w:val="003C073E"/>
    <w:rsid w:val="003C6802"/>
    <w:rsid w:val="003C76DB"/>
    <w:rsid w:val="003C7CBF"/>
    <w:rsid w:val="003D087A"/>
    <w:rsid w:val="003D1F24"/>
    <w:rsid w:val="003D22AD"/>
    <w:rsid w:val="003D60AE"/>
    <w:rsid w:val="003D62EE"/>
    <w:rsid w:val="003E1EBE"/>
    <w:rsid w:val="003E5DCB"/>
    <w:rsid w:val="003E7946"/>
    <w:rsid w:val="003F2D35"/>
    <w:rsid w:val="003F2EEB"/>
    <w:rsid w:val="004003DF"/>
    <w:rsid w:val="004015D6"/>
    <w:rsid w:val="0040561A"/>
    <w:rsid w:val="004109B1"/>
    <w:rsid w:val="00413179"/>
    <w:rsid w:val="004159DA"/>
    <w:rsid w:val="00415E86"/>
    <w:rsid w:val="00417E52"/>
    <w:rsid w:val="00421052"/>
    <w:rsid w:val="00421179"/>
    <w:rsid w:val="0042432E"/>
    <w:rsid w:val="0042795A"/>
    <w:rsid w:val="00430B10"/>
    <w:rsid w:val="00431422"/>
    <w:rsid w:val="0043243D"/>
    <w:rsid w:val="00433192"/>
    <w:rsid w:val="0043447D"/>
    <w:rsid w:val="00436BC7"/>
    <w:rsid w:val="004373D7"/>
    <w:rsid w:val="004403B9"/>
    <w:rsid w:val="004502C9"/>
    <w:rsid w:val="0045036B"/>
    <w:rsid w:val="0045100F"/>
    <w:rsid w:val="004542DD"/>
    <w:rsid w:val="00456C8F"/>
    <w:rsid w:val="004575FF"/>
    <w:rsid w:val="00461965"/>
    <w:rsid w:val="004619EB"/>
    <w:rsid w:val="00461EDB"/>
    <w:rsid w:val="00463EE3"/>
    <w:rsid w:val="00464416"/>
    <w:rsid w:val="0046528F"/>
    <w:rsid w:val="00470A58"/>
    <w:rsid w:val="00470B16"/>
    <w:rsid w:val="004713FF"/>
    <w:rsid w:val="004717D7"/>
    <w:rsid w:val="00472F55"/>
    <w:rsid w:val="00473159"/>
    <w:rsid w:val="004747F2"/>
    <w:rsid w:val="00481C50"/>
    <w:rsid w:val="00481D24"/>
    <w:rsid w:val="00484352"/>
    <w:rsid w:val="00491BF1"/>
    <w:rsid w:val="00493079"/>
    <w:rsid w:val="00495ABF"/>
    <w:rsid w:val="00497729"/>
    <w:rsid w:val="004A35C0"/>
    <w:rsid w:val="004A44E9"/>
    <w:rsid w:val="004A4BA9"/>
    <w:rsid w:val="004A6A35"/>
    <w:rsid w:val="004B0235"/>
    <w:rsid w:val="004B28C7"/>
    <w:rsid w:val="004B4C95"/>
    <w:rsid w:val="004B662D"/>
    <w:rsid w:val="004B7283"/>
    <w:rsid w:val="004B75D8"/>
    <w:rsid w:val="004B7C60"/>
    <w:rsid w:val="004C018C"/>
    <w:rsid w:val="004C0947"/>
    <w:rsid w:val="004C0C50"/>
    <w:rsid w:val="004C3518"/>
    <w:rsid w:val="004C5071"/>
    <w:rsid w:val="004C5A53"/>
    <w:rsid w:val="004C5D4E"/>
    <w:rsid w:val="004D094E"/>
    <w:rsid w:val="004D1AAB"/>
    <w:rsid w:val="004D4F2F"/>
    <w:rsid w:val="004D5E43"/>
    <w:rsid w:val="004D6826"/>
    <w:rsid w:val="004D781B"/>
    <w:rsid w:val="004E024B"/>
    <w:rsid w:val="004E1994"/>
    <w:rsid w:val="004E7695"/>
    <w:rsid w:val="004F0137"/>
    <w:rsid w:val="004F0984"/>
    <w:rsid w:val="004F0990"/>
    <w:rsid w:val="004F23CC"/>
    <w:rsid w:val="004F2A95"/>
    <w:rsid w:val="004F4B69"/>
    <w:rsid w:val="004F6900"/>
    <w:rsid w:val="004F693A"/>
    <w:rsid w:val="00500329"/>
    <w:rsid w:val="005003A0"/>
    <w:rsid w:val="005004CE"/>
    <w:rsid w:val="005009D4"/>
    <w:rsid w:val="0050223F"/>
    <w:rsid w:val="005039AB"/>
    <w:rsid w:val="00505492"/>
    <w:rsid w:val="00511EF2"/>
    <w:rsid w:val="0051530C"/>
    <w:rsid w:val="00515802"/>
    <w:rsid w:val="005178C7"/>
    <w:rsid w:val="00521757"/>
    <w:rsid w:val="00526AF5"/>
    <w:rsid w:val="00527C1A"/>
    <w:rsid w:val="0053352A"/>
    <w:rsid w:val="005435F3"/>
    <w:rsid w:val="00544CDF"/>
    <w:rsid w:val="00552DE2"/>
    <w:rsid w:val="00553AE0"/>
    <w:rsid w:val="00554B86"/>
    <w:rsid w:val="00555241"/>
    <w:rsid w:val="00556E90"/>
    <w:rsid w:val="005608EF"/>
    <w:rsid w:val="00561FFB"/>
    <w:rsid w:val="00563EC2"/>
    <w:rsid w:val="005650B3"/>
    <w:rsid w:val="00566A0D"/>
    <w:rsid w:val="005670BA"/>
    <w:rsid w:val="005675FF"/>
    <w:rsid w:val="00567933"/>
    <w:rsid w:val="005705B7"/>
    <w:rsid w:val="0057214B"/>
    <w:rsid w:val="00576995"/>
    <w:rsid w:val="00577E28"/>
    <w:rsid w:val="005818A9"/>
    <w:rsid w:val="005837C8"/>
    <w:rsid w:val="005875A2"/>
    <w:rsid w:val="00587C0A"/>
    <w:rsid w:val="00591A05"/>
    <w:rsid w:val="00592F3F"/>
    <w:rsid w:val="0059332B"/>
    <w:rsid w:val="00594CCE"/>
    <w:rsid w:val="00594EE9"/>
    <w:rsid w:val="00595016"/>
    <w:rsid w:val="005A1110"/>
    <w:rsid w:val="005A6CF9"/>
    <w:rsid w:val="005A730D"/>
    <w:rsid w:val="005B34F0"/>
    <w:rsid w:val="005B62D5"/>
    <w:rsid w:val="005B62E5"/>
    <w:rsid w:val="005B64C9"/>
    <w:rsid w:val="005B65BA"/>
    <w:rsid w:val="005B7123"/>
    <w:rsid w:val="005C185A"/>
    <w:rsid w:val="005C43FC"/>
    <w:rsid w:val="005C5105"/>
    <w:rsid w:val="005C575E"/>
    <w:rsid w:val="005C5BE2"/>
    <w:rsid w:val="005D0562"/>
    <w:rsid w:val="005D3D8A"/>
    <w:rsid w:val="005D7594"/>
    <w:rsid w:val="005E0A13"/>
    <w:rsid w:val="005E20A4"/>
    <w:rsid w:val="005E2476"/>
    <w:rsid w:val="005E4629"/>
    <w:rsid w:val="005E683C"/>
    <w:rsid w:val="005F418C"/>
    <w:rsid w:val="005F525B"/>
    <w:rsid w:val="005F5F48"/>
    <w:rsid w:val="005F6583"/>
    <w:rsid w:val="006014D5"/>
    <w:rsid w:val="006032C0"/>
    <w:rsid w:val="0060530F"/>
    <w:rsid w:val="00606B5C"/>
    <w:rsid w:val="0060730B"/>
    <w:rsid w:val="00612D14"/>
    <w:rsid w:val="00615ABA"/>
    <w:rsid w:val="0062137B"/>
    <w:rsid w:val="00623BA0"/>
    <w:rsid w:val="00627563"/>
    <w:rsid w:val="006312DD"/>
    <w:rsid w:val="0063196E"/>
    <w:rsid w:val="00633AF4"/>
    <w:rsid w:val="00641762"/>
    <w:rsid w:val="00641C59"/>
    <w:rsid w:val="00641E04"/>
    <w:rsid w:val="00641F79"/>
    <w:rsid w:val="006426EC"/>
    <w:rsid w:val="006432D2"/>
    <w:rsid w:val="00643AB1"/>
    <w:rsid w:val="00643C50"/>
    <w:rsid w:val="006449B4"/>
    <w:rsid w:val="0064683B"/>
    <w:rsid w:val="00647C85"/>
    <w:rsid w:val="0065125E"/>
    <w:rsid w:val="00652CB1"/>
    <w:rsid w:val="00653A8A"/>
    <w:rsid w:val="00654E1C"/>
    <w:rsid w:val="00655D1A"/>
    <w:rsid w:val="0065692B"/>
    <w:rsid w:val="00660C45"/>
    <w:rsid w:val="006630EE"/>
    <w:rsid w:val="00664519"/>
    <w:rsid w:val="006645C5"/>
    <w:rsid w:val="00666A20"/>
    <w:rsid w:val="0066765E"/>
    <w:rsid w:val="00670568"/>
    <w:rsid w:val="0067080E"/>
    <w:rsid w:val="00672D72"/>
    <w:rsid w:val="00674601"/>
    <w:rsid w:val="006775A9"/>
    <w:rsid w:val="00682923"/>
    <w:rsid w:val="00684B39"/>
    <w:rsid w:val="00685B34"/>
    <w:rsid w:val="00690641"/>
    <w:rsid w:val="00691528"/>
    <w:rsid w:val="00692167"/>
    <w:rsid w:val="00692304"/>
    <w:rsid w:val="00692C79"/>
    <w:rsid w:val="006960B6"/>
    <w:rsid w:val="006A1B37"/>
    <w:rsid w:val="006A3786"/>
    <w:rsid w:val="006A448E"/>
    <w:rsid w:val="006A4B44"/>
    <w:rsid w:val="006A5BB4"/>
    <w:rsid w:val="006A6C39"/>
    <w:rsid w:val="006B1048"/>
    <w:rsid w:val="006B147E"/>
    <w:rsid w:val="006B4284"/>
    <w:rsid w:val="006B451D"/>
    <w:rsid w:val="006B5D7B"/>
    <w:rsid w:val="006C70B0"/>
    <w:rsid w:val="006D01BB"/>
    <w:rsid w:val="006D46B5"/>
    <w:rsid w:val="006D54B5"/>
    <w:rsid w:val="006D604D"/>
    <w:rsid w:val="006D6562"/>
    <w:rsid w:val="006E0554"/>
    <w:rsid w:val="006E1A3E"/>
    <w:rsid w:val="006E37F8"/>
    <w:rsid w:val="006E3BEF"/>
    <w:rsid w:val="006F6D50"/>
    <w:rsid w:val="006F74A5"/>
    <w:rsid w:val="00700962"/>
    <w:rsid w:val="007013AC"/>
    <w:rsid w:val="00707472"/>
    <w:rsid w:val="00707FE5"/>
    <w:rsid w:val="00715914"/>
    <w:rsid w:val="00716268"/>
    <w:rsid w:val="00720B68"/>
    <w:rsid w:val="00724576"/>
    <w:rsid w:val="0072661D"/>
    <w:rsid w:val="00726DFB"/>
    <w:rsid w:val="007329E4"/>
    <w:rsid w:val="00732FDB"/>
    <w:rsid w:val="0073315D"/>
    <w:rsid w:val="00734E52"/>
    <w:rsid w:val="007430D9"/>
    <w:rsid w:val="00743E0C"/>
    <w:rsid w:val="007468A3"/>
    <w:rsid w:val="00746F9D"/>
    <w:rsid w:val="00747139"/>
    <w:rsid w:val="00747998"/>
    <w:rsid w:val="007513BE"/>
    <w:rsid w:val="00754D00"/>
    <w:rsid w:val="00755B14"/>
    <w:rsid w:val="007569FB"/>
    <w:rsid w:val="00756E25"/>
    <w:rsid w:val="00757C1B"/>
    <w:rsid w:val="0076088A"/>
    <w:rsid w:val="00762699"/>
    <w:rsid w:val="00764444"/>
    <w:rsid w:val="00764BC6"/>
    <w:rsid w:val="0076500F"/>
    <w:rsid w:val="00766CF7"/>
    <w:rsid w:val="00766D70"/>
    <w:rsid w:val="007707C4"/>
    <w:rsid w:val="00773830"/>
    <w:rsid w:val="00773F2F"/>
    <w:rsid w:val="007765CC"/>
    <w:rsid w:val="00776EBC"/>
    <w:rsid w:val="0078204A"/>
    <w:rsid w:val="0078254A"/>
    <w:rsid w:val="00782745"/>
    <w:rsid w:val="007A002D"/>
    <w:rsid w:val="007A33CC"/>
    <w:rsid w:val="007A5B33"/>
    <w:rsid w:val="007A5C8F"/>
    <w:rsid w:val="007A612D"/>
    <w:rsid w:val="007A65CF"/>
    <w:rsid w:val="007A672C"/>
    <w:rsid w:val="007A7004"/>
    <w:rsid w:val="007A758B"/>
    <w:rsid w:val="007B1485"/>
    <w:rsid w:val="007B14DF"/>
    <w:rsid w:val="007B2CCE"/>
    <w:rsid w:val="007B35F2"/>
    <w:rsid w:val="007B4B6E"/>
    <w:rsid w:val="007B5472"/>
    <w:rsid w:val="007B656B"/>
    <w:rsid w:val="007B6579"/>
    <w:rsid w:val="007B76B3"/>
    <w:rsid w:val="007C43B6"/>
    <w:rsid w:val="007C47C8"/>
    <w:rsid w:val="007C4933"/>
    <w:rsid w:val="007C4F6A"/>
    <w:rsid w:val="007C7B2E"/>
    <w:rsid w:val="007D25E3"/>
    <w:rsid w:val="007D4061"/>
    <w:rsid w:val="007D5B1A"/>
    <w:rsid w:val="007D6F56"/>
    <w:rsid w:val="007E0C8A"/>
    <w:rsid w:val="007E0FB1"/>
    <w:rsid w:val="007E170E"/>
    <w:rsid w:val="007E2539"/>
    <w:rsid w:val="007E2FBC"/>
    <w:rsid w:val="007E5C07"/>
    <w:rsid w:val="007E5D02"/>
    <w:rsid w:val="007E604E"/>
    <w:rsid w:val="007E669D"/>
    <w:rsid w:val="007F1E3D"/>
    <w:rsid w:val="007F26DB"/>
    <w:rsid w:val="008001B7"/>
    <w:rsid w:val="00800811"/>
    <w:rsid w:val="00800FE3"/>
    <w:rsid w:val="00804A45"/>
    <w:rsid w:val="0080658E"/>
    <w:rsid w:val="00806BC2"/>
    <w:rsid w:val="00810E06"/>
    <w:rsid w:val="0081268D"/>
    <w:rsid w:val="0081391C"/>
    <w:rsid w:val="008148B1"/>
    <w:rsid w:val="00821049"/>
    <w:rsid w:val="00824375"/>
    <w:rsid w:val="00825EB0"/>
    <w:rsid w:val="00833A95"/>
    <w:rsid w:val="00833DBD"/>
    <w:rsid w:val="008343A1"/>
    <w:rsid w:val="00834B4C"/>
    <w:rsid w:val="00841448"/>
    <w:rsid w:val="00842013"/>
    <w:rsid w:val="008422F3"/>
    <w:rsid w:val="0084541D"/>
    <w:rsid w:val="00847514"/>
    <w:rsid w:val="00847734"/>
    <w:rsid w:val="008509CA"/>
    <w:rsid w:val="00851FD7"/>
    <w:rsid w:val="00852CDB"/>
    <w:rsid w:val="00853A7A"/>
    <w:rsid w:val="00853AE9"/>
    <w:rsid w:val="00854F5D"/>
    <w:rsid w:val="0085608E"/>
    <w:rsid w:val="008569A0"/>
    <w:rsid w:val="00862460"/>
    <w:rsid w:val="0086342D"/>
    <w:rsid w:val="00863E03"/>
    <w:rsid w:val="00864DCF"/>
    <w:rsid w:val="0086634F"/>
    <w:rsid w:val="00866511"/>
    <w:rsid w:val="0087015C"/>
    <w:rsid w:val="008736E1"/>
    <w:rsid w:val="00874C67"/>
    <w:rsid w:val="00882026"/>
    <w:rsid w:val="00882294"/>
    <w:rsid w:val="00885C95"/>
    <w:rsid w:val="0088610D"/>
    <w:rsid w:val="00892C55"/>
    <w:rsid w:val="008936C6"/>
    <w:rsid w:val="0089558A"/>
    <w:rsid w:val="00896E16"/>
    <w:rsid w:val="008A03EF"/>
    <w:rsid w:val="008A07A7"/>
    <w:rsid w:val="008A0905"/>
    <w:rsid w:val="008A0C42"/>
    <w:rsid w:val="008A0C79"/>
    <w:rsid w:val="008A6C42"/>
    <w:rsid w:val="008B3498"/>
    <w:rsid w:val="008B3658"/>
    <w:rsid w:val="008B43EF"/>
    <w:rsid w:val="008B487D"/>
    <w:rsid w:val="008B7400"/>
    <w:rsid w:val="008C4BFD"/>
    <w:rsid w:val="008C6BDB"/>
    <w:rsid w:val="008C74EC"/>
    <w:rsid w:val="008D0B87"/>
    <w:rsid w:val="008D0C9B"/>
    <w:rsid w:val="008D2217"/>
    <w:rsid w:val="008D5034"/>
    <w:rsid w:val="008D5EBD"/>
    <w:rsid w:val="008E0B0E"/>
    <w:rsid w:val="008E1453"/>
    <w:rsid w:val="008E2970"/>
    <w:rsid w:val="008E2F78"/>
    <w:rsid w:val="008E573F"/>
    <w:rsid w:val="008F2726"/>
    <w:rsid w:val="008F302F"/>
    <w:rsid w:val="008F45D7"/>
    <w:rsid w:val="008F72BD"/>
    <w:rsid w:val="00900399"/>
    <w:rsid w:val="00900B67"/>
    <w:rsid w:val="00902CA7"/>
    <w:rsid w:val="00903DF7"/>
    <w:rsid w:val="0090469A"/>
    <w:rsid w:val="00905F3C"/>
    <w:rsid w:val="009108C5"/>
    <w:rsid w:val="00912468"/>
    <w:rsid w:val="009129FF"/>
    <w:rsid w:val="00915479"/>
    <w:rsid w:val="00922932"/>
    <w:rsid w:val="00924003"/>
    <w:rsid w:val="009248A0"/>
    <w:rsid w:val="00930C5A"/>
    <w:rsid w:val="0093128F"/>
    <w:rsid w:val="0093517A"/>
    <w:rsid w:val="00935803"/>
    <w:rsid w:val="00943F5E"/>
    <w:rsid w:val="00945517"/>
    <w:rsid w:val="00952A36"/>
    <w:rsid w:val="00952A6B"/>
    <w:rsid w:val="00954E03"/>
    <w:rsid w:val="009553A6"/>
    <w:rsid w:val="00960712"/>
    <w:rsid w:val="00970A4B"/>
    <w:rsid w:val="00970B99"/>
    <w:rsid w:val="0097267D"/>
    <w:rsid w:val="00972D86"/>
    <w:rsid w:val="009739AF"/>
    <w:rsid w:val="009764E7"/>
    <w:rsid w:val="00976ECA"/>
    <w:rsid w:val="00982521"/>
    <w:rsid w:val="00982846"/>
    <w:rsid w:val="00986C19"/>
    <w:rsid w:val="00987A20"/>
    <w:rsid w:val="00990D6C"/>
    <w:rsid w:val="009946EF"/>
    <w:rsid w:val="00994969"/>
    <w:rsid w:val="0099695C"/>
    <w:rsid w:val="00997125"/>
    <w:rsid w:val="009A125E"/>
    <w:rsid w:val="009A1467"/>
    <w:rsid w:val="009A17A4"/>
    <w:rsid w:val="009A18D4"/>
    <w:rsid w:val="009A5332"/>
    <w:rsid w:val="009A63CD"/>
    <w:rsid w:val="009B138E"/>
    <w:rsid w:val="009B3182"/>
    <w:rsid w:val="009B456B"/>
    <w:rsid w:val="009B4A16"/>
    <w:rsid w:val="009B6E2F"/>
    <w:rsid w:val="009B7936"/>
    <w:rsid w:val="009B7AC9"/>
    <w:rsid w:val="009C086C"/>
    <w:rsid w:val="009C271A"/>
    <w:rsid w:val="009C2D23"/>
    <w:rsid w:val="009C3896"/>
    <w:rsid w:val="009C3FB6"/>
    <w:rsid w:val="009C4369"/>
    <w:rsid w:val="009C4A21"/>
    <w:rsid w:val="009C6A55"/>
    <w:rsid w:val="009D3919"/>
    <w:rsid w:val="009D3CB8"/>
    <w:rsid w:val="009D445B"/>
    <w:rsid w:val="009D552D"/>
    <w:rsid w:val="009D61B5"/>
    <w:rsid w:val="009D7516"/>
    <w:rsid w:val="009E4B63"/>
    <w:rsid w:val="009E6A45"/>
    <w:rsid w:val="009F0E86"/>
    <w:rsid w:val="009F2C5E"/>
    <w:rsid w:val="009F3B5E"/>
    <w:rsid w:val="009F79A2"/>
    <w:rsid w:val="009F7E13"/>
    <w:rsid w:val="009F7E14"/>
    <w:rsid w:val="00A00B9B"/>
    <w:rsid w:val="00A01434"/>
    <w:rsid w:val="00A02D50"/>
    <w:rsid w:val="00A0422D"/>
    <w:rsid w:val="00A056C6"/>
    <w:rsid w:val="00A05DFB"/>
    <w:rsid w:val="00A07A1B"/>
    <w:rsid w:val="00A12548"/>
    <w:rsid w:val="00A2546B"/>
    <w:rsid w:val="00A27114"/>
    <w:rsid w:val="00A31667"/>
    <w:rsid w:val="00A32AFB"/>
    <w:rsid w:val="00A33573"/>
    <w:rsid w:val="00A34C36"/>
    <w:rsid w:val="00A40B31"/>
    <w:rsid w:val="00A434A2"/>
    <w:rsid w:val="00A44632"/>
    <w:rsid w:val="00A45503"/>
    <w:rsid w:val="00A473F5"/>
    <w:rsid w:val="00A508B9"/>
    <w:rsid w:val="00A52294"/>
    <w:rsid w:val="00A52AF6"/>
    <w:rsid w:val="00A54217"/>
    <w:rsid w:val="00A54468"/>
    <w:rsid w:val="00A559BF"/>
    <w:rsid w:val="00A57B52"/>
    <w:rsid w:val="00A63615"/>
    <w:rsid w:val="00A6368B"/>
    <w:rsid w:val="00A646B0"/>
    <w:rsid w:val="00A6483F"/>
    <w:rsid w:val="00A72455"/>
    <w:rsid w:val="00A76688"/>
    <w:rsid w:val="00A819BB"/>
    <w:rsid w:val="00A834F3"/>
    <w:rsid w:val="00A86F10"/>
    <w:rsid w:val="00A91B57"/>
    <w:rsid w:val="00A92942"/>
    <w:rsid w:val="00A97154"/>
    <w:rsid w:val="00A97BD6"/>
    <w:rsid w:val="00AA1F0F"/>
    <w:rsid w:val="00AA3573"/>
    <w:rsid w:val="00AA6AC1"/>
    <w:rsid w:val="00AA7192"/>
    <w:rsid w:val="00AB04B0"/>
    <w:rsid w:val="00AB162B"/>
    <w:rsid w:val="00AB2236"/>
    <w:rsid w:val="00AB5965"/>
    <w:rsid w:val="00AB75EF"/>
    <w:rsid w:val="00AC092C"/>
    <w:rsid w:val="00AC1AC2"/>
    <w:rsid w:val="00AD1DD7"/>
    <w:rsid w:val="00AD3E11"/>
    <w:rsid w:val="00AD5971"/>
    <w:rsid w:val="00AD5A46"/>
    <w:rsid w:val="00AE06AF"/>
    <w:rsid w:val="00AE1AA7"/>
    <w:rsid w:val="00AE1D65"/>
    <w:rsid w:val="00AE2010"/>
    <w:rsid w:val="00AE339A"/>
    <w:rsid w:val="00AE4412"/>
    <w:rsid w:val="00AE4904"/>
    <w:rsid w:val="00AE652C"/>
    <w:rsid w:val="00AF1679"/>
    <w:rsid w:val="00AF4078"/>
    <w:rsid w:val="00AF4536"/>
    <w:rsid w:val="00AF5014"/>
    <w:rsid w:val="00B0040E"/>
    <w:rsid w:val="00B006F4"/>
    <w:rsid w:val="00B035E6"/>
    <w:rsid w:val="00B06329"/>
    <w:rsid w:val="00B06D35"/>
    <w:rsid w:val="00B1088A"/>
    <w:rsid w:val="00B15B2E"/>
    <w:rsid w:val="00B17D4D"/>
    <w:rsid w:val="00B17F48"/>
    <w:rsid w:val="00B20127"/>
    <w:rsid w:val="00B2067E"/>
    <w:rsid w:val="00B213E4"/>
    <w:rsid w:val="00B23FD1"/>
    <w:rsid w:val="00B24748"/>
    <w:rsid w:val="00B251D0"/>
    <w:rsid w:val="00B345F4"/>
    <w:rsid w:val="00B34E9C"/>
    <w:rsid w:val="00B35FD0"/>
    <w:rsid w:val="00B36AA5"/>
    <w:rsid w:val="00B36E01"/>
    <w:rsid w:val="00B40784"/>
    <w:rsid w:val="00B41C9A"/>
    <w:rsid w:val="00B432A1"/>
    <w:rsid w:val="00B43B5B"/>
    <w:rsid w:val="00B44B26"/>
    <w:rsid w:val="00B46366"/>
    <w:rsid w:val="00B4732E"/>
    <w:rsid w:val="00B47496"/>
    <w:rsid w:val="00B509F7"/>
    <w:rsid w:val="00B563D2"/>
    <w:rsid w:val="00B5789A"/>
    <w:rsid w:val="00B65D53"/>
    <w:rsid w:val="00B70ACD"/>
    <w:rsid w:val="00B70E5A"/>
    <w:rsid w:val="00B71C4B"/>
    <w:rsid w:val="00B761CF"/>
    <w:rsid w:val="00B77427"/>
    <w:rsid w:val="00B81F6D"/>
    <w:rsid w:val="00B8407B"/>
    <w:rsid w:val="00B84188"/>
    <w:rsid w:val="00B8639A"/>
    <w:rsid w:val="00B865F5"/>
    <w:rsid w:val="00B91174"/>
    <w:rsid w:val="00B91DC5"/>
    <w:rsid w:val="00B93000"/>
    <w:rsid w:val="00B9578B"/>
    <w:rsid w:val="00B9754B"/>
    <w:rsid w:val="00B97FC7"/>
    <w:rsid w:val="00BA2D26"/>
    <w:rsid w:val="00BA35C8"/>
    <w:rsid w:val="00BA3FA2"/>
    <w:rsid w:val="00BA6008"/>
    <w:rsid w:val="00BA76F8"/>
    <w:rsid w:val="00BA7AAC"/>
    <w:rsid w:val="00BB06DB"/>
    <w:rsid w:val="00BB51DE"/>
    <w:rsid w:val="00BB5973"/>
    <w:rsid w:val="00BD00ED"/>
    <w:rsid w:val="00BD0346"/>
    <w:rsid w:val="00BD0FCF"/>
    <w:rsid w:val="00BD1930"/>
    <w:rsid w:val="00BD218C"/>
    <w:rsid w:val="00BD3FD7"/>
    <w:rsid w:val="00BE0A84"/>
    <w:rsid w:val="00BE2FBD"/>
    <w:rsid w:val="00BE3047"/>
    <w:rsid w:val="00BE4427"/>
    <w:rsid w:val="00BE5441"/>
    <w:rsid w:val="00BF44F2"/>
    <w:rsid w:val="00BF6872"/>
    <w:rsid w:val="00BF746B"/>
    <w:rsid w:val="00C03A82"/>
    <w:rsid w:val="00C06FAB"/>
    <w:rsid w:val="00C11B05"/>
    <w:rsid w:val="00C12DAB"/>
    <w:rsid w:val="00C1321D"/>
    <w:rsid w:val="00C13E86"/>
    <w:rsid w:val="00C14C45"/>
    <w:rsid w:val="00C16511"/>
    <w:rsid w:val="00C246A9"/>
    <w:rsid w:val="00C24C11"/>
    <w:rsid w:val="00C25DE3"/>
    <w:rsid w:val="00C27914"/>
    <w:rsid w:val="00C3009B"/>
    <w:rsid w:val="00C30219"/>
    <w:rsid w:val="00C32C33"/>
    <w:rsid w:val="00C32CD9"/>
    <w:rsid w:val="00C34E22"/>
    <w:rsid w:val="00C409BE"/>
    <w:rsid w:val="00C42C62"/>
    <w:rsid w:val="00C42C65"/>
    <w:rsid w:val="00C43C88"/>
    <w:rsid w:val="00C43FD6"/>
    <w:rsid w:val="00C46EC1"/>
    <w:rsid w:val="00C47E0D"/>
    <w:rsid w:val="00C5087B"/>
    <w:rsid w:val="00C516E9"/>
    <w:rsid w:val="00C553E3"/>
    <w:rsid w:val="00C6122E"/>
    <w:rsid w:val="00C62E2C"/>
    <w:rsid w:val="00C660DD"/>
    <w:rsid w:val="00C666E2"/>
    <w:rsid w:val="00C737E9"/>
    <w:rsid w:val="00C74860"/>
    <w:rsid w:val="00C76E47"/>
    <w:rsid w:val="00C77F83"/>
    <w:rsid w:val="00C808B0"/>
    <w:rsid w:val="00C81A94"/>
    <w:rsid w:val="00C81E4D"/>
    <w:rsid w:val="00C83C30"/>
    <w:rsid w:val="00C849EF"/>
    <w:rsid w:val="00C85868"/>
    <w:rsid w:val="00C916C9"/>
    <w:rsid w:val="00C91BB3"/>
    <w:rsid w:val="00C920FB"/>
    <w:rsid w:val="00C92F44"/>
    <w:rsid w:val="00C92F8B"/>
    <w:rsid w:val="00C94516"/>
    <w:rsid w:val="00C95240"/>
    <w:rsid w:val="00C95843"/>
    <w:rsid w:val="00C97BDB"/>
    <w:rsid w:val="00CA2359"/>
    <w:rsid w:val="00CA52F0"/>
    <w:rsid w:val="00CA52FF"/>
    <w:rsid w:val="00CA5814"/>
    <w:rsid w:val="00CA7B76"/>
    <w:rsid w:val="00CB28B8"/>
    <w:rsid w:val="00CB2C6D"/>
    <w:rsid w:val="00CB3116"/>
    <w:rsid w:val="00CB3356"/>
    <w:rsid w:val="00CB4CD1"/>
    <w:rsid w:val="00CC14F1"/>
    <w:rsid w:val="00CC27C7"/>
    <w:rsid w:val="00CC3FE4"/>
    <w:rsid w:val="00CC5FDB"/>
    <w:rsid w:val="00CC6FA8"/>
    <w:rsid w:val="00CC7138"/>
    <w:rsid w:val="00CC7995"/>
    <w:rsid w:val="00CD00CD"/>
    <w:rsid w:val="00CD1A4B"/>
    <w:rsid w:val="00CD3103"/>
    <w:rsid w:val="00CD612B"/>
    <w:rsid w:val="00CD7823"/>
    <w:rsid w:val="00CE2B16"/>
    <w:rsid w:val="00CE3F03"/>
    <w:rsid w:val="00CE42BC"/>
    <w:rsid w:val="00CE76C1"/>
    <w:rsid w:val="00CF05F7"/>
    <w:rsid w:val="00CF0F5E"/>
    <w:rsid w:val="00CF174D"/>
    <w:rsid w:val="00CF26C3"/>
    <w:rsid w:val="00CF2F29"/>
    <w:rsid w:val="00CF3E98"/>
    <w:rsid w:val="00CF451A"/>
    <w:rsid w:val="00CF574F"/>
    <w:rsid w:val="00CF5C11"/>
    <w:rsid w:val="00D02848"/>
    <w:rsid w:val="00D0336A"/>
    <w:rsid w:val="00D0508C"/>
    <w:rsid w:val="00D07D2B"/>
    <w:rsid w:val="00D1077E"/>
    <w:rsid w:val="00D10841"/>
    <w:rsid w:val="00D10F79"/>
    <w:rsid w:val="00D111DD"/>
    <w:rsid w:val="00D2145C"/>
    <w:rsid w:val="00D26BC7"/>
    <w:rsid w:val="00D27154"/>
    <w:rsid w:val="00D302C8"/>
    <w:rsid w:val="00D3372D"/>
    <w:rsid w:val="00D34088"/>
    <w:rsid w:val="00D3440A"/>
    <w:rsid w:val="00D34AF2"/>
    <w:rsid w:val="00D352B9"/>
    <w:rsid w:val="00D35A5F"/>
    <w:rsid w:val="00D36DBC"/>
    <w:rsid w:val="00D45ACF"/>
    <w:rsid w:val="00D464BB"/>
    <w:rsid w:val="00D46A1F"/>
    <w:rsid w:val="00D47764"/>
    <w:rsid w:val="00D47CDE"/>
    <w:rsid w:val="00D506E0"/>
    <w:rsid w:val="00D52B1B"/>
    <w:rsid w:val="00D534EE"/>
    <w:rsid w:val="00D535DD"/>
    <w:rsid w:val="00D57414"/>
    <w:rsid w:val="00D57476"/>
    <w:rsid w:val="00D57BF7"/>
    <w:rsid w:val="00D61F34"/>
    <w:rsid w:val="00D634A2"/>
    <w:rsid w:val="00D636FE"/>
    <w:rsid w:val="00D641B6"/>
    <w:rsid w:val="00D649F1"/>
    <w:rsid w:val="00D664AC"/>
    <w:rsid w:val="00D70312"/>
    <w:rsid w:val="00D70A6F"/>
    <w:rsid w:val="00D714A9"/>
    <w:rsid w:val="00D737F5"/>
    <w:rsid w:val="00D74261"/>
    <w:rsid w:val="00D74DCF"/>
    <w:rsid w:val="00D750F4"/>
    <w:rsid w:val="00D7527F"/>
    <w:rsid w:val="00D774F4"/>
    <w:rsid w:val="00D7772A"/>
    <w:rsid w:val="00D82991"/>
    <w:rsid w:val="00D836AA"/>
    <w:rsid w:val="00D836F0"/>
    <w:rsid w:val="00D9196A"/>
    <w:rsid w:val="00D931E2"/>
    <w:rsid w:val="00D95CF7"/>
    <w:rsid w:val="00D96BA5"/>
    <w:rsid w:val="00D979B5"/>
    <w:rsid w:val="00DA079E"/>
    <w:rsid w:val="00DA168A"/>
    <w:rsid w:val="00DA34F5"/>
    <w:rsid w:val="00DA4465"/>
    <w:rsid w:val="00DA605D"/>
    <w:rsid w:val="00DA63F4"/>
    <w:rsid w:val="00DA6986"/>
    <w:rsid w:val="00DA7447"/>
    <w:rsid w:val="00DB0459"/>
    <w:rsid w:val="00DB211C"/>
    <w:rsid w:val="00DB369D"/>
    <w:rsid w:val="00DB37A3"/>
    <w:rsid w:val="00DB4080"/>
    <w:rsid w:val="00DB597D"/>
    <w:rsid w:val="00DB5F5D"/>
    <w:rsid w:val="00DB6F35"/>
    <w:rsid w:val="00DB73EE"/>
    <w:rsid w:val="00DC08B0"/>
    <w:rsid w:val="00DC0D0A"/>
    <w:rsid w:val="00DC1278"/>
    <w:rsid w:val="00DC2045"/>
    <w:rsid w:val="00DC3EE6"/>
    <w:rsid w:val="00DC4781"/>
    <w:rsid w:val="00DC5B6C"/>
    <w:rsid w:val="00DD04C7"/>
    <w:rsid w:val="00DD126D"/>
    <w:rsid w:val="00DD3AC5"/>
    <w:rsid w:val="00DD6058"/>
    <w:rsid w:val="00DD6AF1"/>
    <w:rsid w:val="00DD6BFB"/>
    <w:rsid w:val="00DD6E23"/>
    <w:rsid w:val="00DD6F8A"/>
    <w:rsid w:val="00DD7048"/>
    <w:rsid w:val="00DE1B81"/>
    <w:rsid w:val="00DE3352"/>
    <w:rsid w:val="00DE3C1B"/>
    <w:rsid w:val="00DE49EF"/>
    <w:rsid w:val="00DE5C48"/>
    <w:rsid w:val="00DF07DD"/>
    <w:rsid w:val="00DF184B"/>
    <w:rsid w:val="00DF2A62"/>
    <w:rsid w:val="00DF456D"/>
    <w:rsid w:val="00E0147F"/>
    <w:rsid w:val="00E016BC"/>
    <w:rsid w:val="00E02DC0"/>
    <w:rsid w:val="00E061F9"/>
    <w:rsid w:val="00E07D79"/>
    <w:rsid w:val="00E07DDB"/>
    <w:rsid w:val="00E12D4B"/>
    <w:rsid w:val="00E12F71"/>
    <w:rsid w:val="00E14DFB"/>
    <w:rsid w:val="00E14EB9"/>
    <w:rsid w:val="00E20C07"/>
    <w:rsid w:val="00E21D30"/>
    <w:rsid w:val="00E21DEA"/>
    <w:rsid w:val="00E24391"/>
    <w:rsid w:val="00E2660D"/>
    <w:rsid w:val="00E33F13"/>
    <w:rsid w:val="00E3458D"/>
    <w:rsid w:val="00E347DB"/>
    <w:rsid w:val="00E3599A"/>
    <w:rsid w:val="00E359A7"/>
    <w:rsid w:val="00E35F88"/>
    <w:rsid w:val="00E3641B"/>
    <w:rsid w:val="00E40049"/>
    <w:rsid w:val="00E407FF"/>
    <w:rsid w:val="00E4125E"/>
    <w:rsid w:val="00E44119"/>
    <w:rsid w:val="00E448F5"/>
    <w:rsid w:val="00E44A52"/>
    <w:rsid w:val="00E46729"/>
    <w:rsid w:val="00E46D67"/>
    <w:rsid w:val="00E46F3D"/>
    <w:rsid w:val="00E5240C"/>
    <w:rsid w:val="00E5428B"/>
    <w:rsid w:val="00E54C76"/>
    <w:rsid w:val="00E611B4"/>
    <w:rsid w:val="00E638E7"/>
    <w:rsid w:val="00E64223"/>
    <w:rsid w:val="00E643C7"/>
    <w:rsid w:val="00E65306"/>
    <w:rsid w:val="00E72AC8"/>
    <w:rsid w:val="00E75343"/>
    <w:rsid w:val="00E768B3"/>
    <w:rsid w:val="00E81BB2"/>
    <w:rsid w:val="00E825B7"/>
    <w:rsid w:val="00E8287F"/>
    <w:rsid w:val="00E832E1"/>
    <w:rsid w:val="00E8462C"/>
    <w:rsid w:val="00E84ADF"/>
    <w:rsid w:val="00E86160"/>
    <w:rsid w:val="00E86ACE"/>
    <w:rsid w:val="00E87BD1"/>
    <w:rsid w:val="00E87CC2"/>
    <w:rsid w:val="00E95B74"/>
    <w:rsid w:val="00E96884"/>
    <w:rsid w:val="00E978BE"/>
    <w:rsid w:val="00E97EF8"/>
    <w:rsid w:val="00EA3F35"/>
    <w:rsid w:val="00EA4068"/>
    <w:rsid w:val="00EA4261"/>
    <w:rsid w:val="00EA4B09"/>
    <w:rsid w:val="00EA5215"/>
    <w:rsid w:val="00EA5893"/>
    <w:rsid w:val="00EA5A40"/>
    <w:rsid w:val="00EA6CB8"/>
    <w:rsid w:val="00EB1DC9"/>
    <w:rsid w:val="00EB29D0"/>
    <w:rsid w:val="00EB3633"/>
    <w:rsid w:val="00EB3C7C"/>
    <w:rsid w:val="00EB4322"/>
    <w:rsid w:val="00EC1594"/>
    <w:rsid w:val="00EC3546"/>
    <w:rsid w:val="00EC3625"/>
    <w:rsid w:val="00EC4D30"/>
    <w:rsid w:val="00ED060D"/>
    <w:rsid w:val="00ED22E0"/>
    <w:rsid w:val="00ED2B67"/>
    <w:rsid w:val="00ED4024"/>
    <w:rsid w:val="00ED4D6B"/>
    <w:rsid w:val="00ED5B98"/>
    <w:rsid w:val="00EE1205"/>
    <w:rsid w:val="00EE459B"/>
    <w:rsid w:val="00EE53F9"/>
    <w:rsid w:val="00EE7787"/>
    <w:rsid w:val="00EF047D"/>
    <w:rsid w:val="00EF0682"/>
    <w:rsid w:val="00EF0980"/>
    <w:rsid w:val="00EF1EA5"/>
    <w:rsid w:val="00EF5CAF"/>
    <w:rsid w:val="00F015F2"/>
    <w:rsid w:val="00F021F5"/>
    <w:rsid w:val="00F02C3E"/>
    <w:rsid w:val="00F04415"/>
    <w:rsid w:val="00F1423E"/>
    <w:rsid w:val="00F142EE"/>
    <w:rsid w:val="00F15EF3"/>
    <w:rsid w:val="00F16792"/>
    <w:rsid w:val="00F2428B"/>
    <w:rsid w:val="00F2709C"/>
    <w:rsid w:val="00F34CCC"/>
    <w:rsid w:val="00F35C7F"/>
    <w:rsid w:val="00F37E37"/>
    <w:rsid w:val="00F427B5"/>
    <w:rsid w:val="00F46735"/>
    <w:rsid w:val="00F46CFB"/>
    <w:rsid w:val="00F46F8E"/>
    <w:rsid w:val="00F47A6E"/>
    <w:rsid w:val="00F50C69"/>
    <w:rsid w:val="00F521F1"/>
    <w:rsid w:val="00F523CC"/>
    <w:rsid w:val="00F5405D"/>
    <w:rsid w:val="00F569C3"/>
    <w:rsid w:val="00F56A05"/>
    <w:rsid w:val="00F6065C"/>
    <w:rsid w:val="00F60719"/>
    <w:rsid w:val="00F6447B"/>
    <w:rsid w:val="00F64A1F"/>
    <w:rsid w:val="00F71B19"/>
    <w:rsid w:val="00F74519"/>
    <w:rsid w:val="00F74639"/>
    <w:rsid w:val="00F7701E"/>
    <w:rsid w:val="00F800B5"/>
    <w:rsid w:val="00F86024"/>
    <w:rsid w:val="00F86032"/>
    <w:rsid w:val="00F871EC"/>
    <w:rsid w:val="00F9242C"/>
    <w:rsid w:val="00F9455D"/>
    <w:rsid w:val="00FA0CF0"/>
    <w:rsid w:val="00FA1FFA"/>
    <w:rsid w:val="00FA3438"/>
    <w:rsid w:val="00FA3CE2"/>
    <w:rsid w:val="00FA6262"/>
    <w:rsid w:val="00FA62E7"/>
    <w:rsid w:val="00FA7ED6"/>
    <w:rsid w:val="00FB026D"/>
    <w:rsid w:val="00FB22DA"/>
    <w:rsid w:val="00FB2D71"/>
    <w:rsid w:val="00FB587C"/>
    <w:rsid w:val="00FB6786"/>
    <w:rsid w:val="00FB68FC"/>
    <w:rsid w:val="00FC0069"/>
    <w:rsid w:val="00FC0DA2"/>
    <w:rsid w:val="00FC1A1E"/>
    <w:rsid w:val="00FC43DB"/>
    <w:rsid w:val="00FC5E06"/>
    <w:rsid w:val="00FC6956"/>
    <w:rsid w:val="00FD121C"/>
    <w:rsid w:val="00FD1BBA"/>
    <w:rsid w:val="00FD259A"/>
    <w:rsid w:val="00FD3639"/>
    <w:rsid w:val="00FD3AC1"/>
    <w:rsid w:val="00FD49FC"/>
    <w:rsid w:val="00FD500B"/>
    <w:rsid w:val="00FE0FF7"/>
    <w:rsid w:val="00FE46B6"/>
    <w:rsid w:val="00FF0B7A"/>
    <w:rsid w:val="00FF142A"/>
    <w:rsid w:val="00FF1ACA"/>
    <w:rsid w:val="00FF2E2B"/>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5E0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86"/>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basedOn w:val="Normal"/>
    <w:link w:val="FootnoteTextChar"/>
    <w:semiHidden/>
    <w:rsid w:val="00972D86"/>
    <w:rPr>
      <w:sz w:val="20"/>
      <w:szCs w:val="20"/>
    </w:rPr>
  </w:style>
  <w:style w:type="character" w:customStyle="1" w:styleId="FootnoteTextChar">
    <w:name w:val="Footnote Text Char"/>
    <w:basedOn w:val="DefaultParagraphFont"/>
    <w:link w:val="FootnoteText"/>
    <w:semiHidden/>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972D86"/>
    <w:rPr>
      <w:vertAlign w:val="superscript"/>
    </w:rPr>
  </w:style>
  <w:style w:type="table" w:styleId="TableGrid">
    <w:name w:val="Table Grid"/>
    <w:basedOn w:val="TableNormal"/>
    <w:uiPriority w:val="59"/>
    <w:rsid w:val="00972D86"/>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uiPriority w:val="99"/>
    <w:rsid w:val="00A91B57"/>
    <w:rPr>
      <w:sz w:val="20"/>
      <w:szCs w:val="20"/>
    </w:rPr>
  </w:style>
  <w:style w:type="character" w:customStyle="1" w:styleId="CommentTextChar">
    <w:name w:val="Comment Text Char"/>
    <w:basedOn w:val="DefaultParagraphFont"/>
    <w:link w:val="CommentText"/>
    <w:uiPriority w:val="99"/>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100154849">
      <w:bodyDiv w:val="1"/>
      <w:marLeft w:val="0"/>
      <w:marRight w:val="0"/>
      <w:marTop w:val="0"/>
      <w:marBottom w:val="0"/>
      <w:divBdr>
        <w:top w:val="none" w:sz="0" w:space="0" w:color="auto"/>
        <w:left w:val="none" w:sz="0" w:space="0" w:color="auto"/>
        <w:bottom w:val="none" w:sz="0" w:space="0" w:color="auto"/>
        <w:right w:val="none" w:sz="0" w:space="0" w:color="auto"/>
      </w:divBdr>
    </w:div>
    <w:div w:id="122163065">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191573346">
      <w:bodyDiv w:val="1"/>
      <w:marLeft w:val="0"/>
      <w:marRight w:val="0"/>
      <w:marTop w:val="0"/>
      <w:marBottom w:val="0"/>
      <w:divBdr>
        <w:top w:val="none" w:sz="0" w:space="0" w:color="auto"/>
        <w:left w:val="none" w:sz="0" w:space="0" w:color="auto"/>
        <w:bottom w:val="none" w:sz="0" w:space="0" w:color="auto"/>
        <w:right w:val="none" w:sz="0" w:space="0" w:color="auto"/>
      </w:divBdr>
    </w:div>
    <w:div w:id="341056132">
      <w:bodyDiv w:val="1"/>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459609522">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583493693">
      <w:bodyDiv w:val="1"/>
      <w:marLeft w:val="0"/>
      <w:marRight w:val="0"/>
      <w:marTop w:val="0"/>
      <w:marBottom w:val="0"/>
      <w:divBdr>
        <w:top w:val="none" w:sz="0" w:space="0" w:color="auto"/>
        <w:left w:val="none" w:sz="0" w:space="0" w:color="auto"/>
        <w:bottom w:val="none" w:sz="0" w:space="0" w:color="auto"/>
        <w:right w:val="none" w:sz="0" w:space="0" w:color="auto"/>
      </w:divBdr>
    </w:div>
    <w:div w:id="644552950">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794911987">
      <w:bodyDiv w:val="1"/>
      <w:marLeft w:val="0"/>
      <w:marRight w:val="0"/>
      <w:marTop w:val="0"/>
      <w:marBottom w:val="0"/>
      <w:divBdr>
        <w:top w:val="none" w:sz="0" w:space="0" w:color="auto"/>
        <w:left w:val="none" w:sz="0" w:space="0" w:color="auto"/>
        <w:bottom w:val="none" w:sz="0" w:space="0" w:color="auto"/>
        <w:right w:val="none" w:sz="0" w:space="0" w:color="auto"/>
      </w:divBdr>
    </w:div>
    <w:div w:id="865290205">
      <w:bodyDiv w:val="1"/>
      <w:marLeft w:val="0"/>
      <w:marRight w:val="0"/>
      <w:marTop w:val="0"/>
      <w:marBottom w:val="0"/>
      <w:divBdr>
        <w:top w:val="none" w:sz="0" w:space="0" w:color="auto"/>
        <w:left w:val="none" w:sz="0" w:space="0" w:color="auto"/>
        <w:bottom w:val="none" w:sz="0" w:space="0" w:color="auto"/>
        <w:right w:val="none" w:sz="0" w:space="0" w:color="auto"/>
      </w:divBdr>
    </w:div>
    <w:div w:id="868445313">
      <w:bodyDiv w:val="1"/>
      <w:marLeft w:val="0"/>
      <w:marRight w:val="0"/>
      <w:marTop w:val="0"/>
      <w:marBottom w:val="0"/>
      <w:divBdr>
        <w:top w:val="none" w:sz="0" w:space="0" w:color="auto"/>
        <w:left w:val="none" w:sz="0" w:space="0" w:color="auto"/>
        <w:bottom w:val="none" w:sz="0" w:space="0" w:color="auto"/>
        <w:right w:val="none" w:sz="0" w:space="0" w:color="auto"/>
      </w:divBdr>
    </w:div>
    <w:div w:id="918252781">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174297996">
      <w:bodyDiv w:val="1"/>
      <w:marLeft w:val="0"/>
      <w:marRight w:val="0"/>
      <w:marTop w:val="0"/>
      <w:marBottom w:val="0"/>
      <w:divBdr>
        <w:top w:val="none" w:sz="0" w:space="0" w:color="auto"/>
        <w:left w:val="none" w:sz="0" w:space="0" w:color="auto"/>
        <w:bottom w:val="none" w:sz="0" w:space="0" w:color="auto"/>
        <w:right w:val="none" w:sz="0" w:space="0" w:color="auto"/>
      </w:divBdr>
    </w:div>
    <w:div w:id="1303851876">
      <w:bodyDiv w:val="1"/>
      <w:marLeft w:val="0"/>
      <w:marRight w:val="0"/>
      <w:marTop w:val="0"/>
      <w:marBottom w:val="0"/>
      <w:divBdr>
        <w:top w:val="none" w:sz="0" w:space="0" w:color="auto"/>
        <w:left w:val="none" w:sz="0" w:space="0" w:color="auto"/>
        <w:bottom w:val="none" w:sz="0" w:space="0" w:color="auto"/>
        <w:right w:val="none" w:sz="0" w:space="0" w:color="auto"/>
      </w:divBdr>
    </w:div>
    <w:div w:id="1366365302">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542747569">
      <w:bodyDiv w:val="1"/>
      <w:marLeft w:val="0"/>
      <w:marRight w:val="0"/>
      <w:marTop w:val="0"/>
      <w:marBottom w:val="0"/>
      <w:divBdr>
        <w:top w:val="none" w:sz="0" w:space="0" w:color="auto"/>
        <w:left w:val="none" w:sz="0" w:space="0" w:color="auto"/>
        <w:bottom w:val="none" w:sz="0" w:space="0" w:color="auto"/>
        <w:right w:val="none" w:sz="0" w:space="0" w:color="auto"/>
      </w:divBdr>
    </w:div>
    <w:div w:id="1549798724">
      <w:bodyDiv w:val="1"/>
      <w:marLeft w:val="0"/>
      <w:marRight w:val="0"/>
      <w:marTop w:val="0"/>
      <w:marBottom w:val="0"/>
      <w:divBdr>
        <w:top w:val="none" w:sz="0" w:space="0" w:color="auto"/>
        <w:left w:val="none" w:sz="0" w:space="0" w:color="auto"/>
        <w:bottom w:val="none" w:sz="0" w:space="0" w:color="auto"/>
        <w:right w:val="none" w:sz="0" w:space="0" w:color="auto"/>
      </w:divBdr>
    </w:div>
    <w:div w:id="1559899156">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1906720708">
      <w:bodyDiv w:val="1"/>
      <w:marLeft w:val="0"/>
      <w:marRight w:val="0"/>
      <w:marTop w:val="0"/>
      <w:marBottom w:val="0"/>
      <w:divBdr>
        <w:top w:val="none" w:sz="0" w:space="0" w:color="auto"/>
        <w:left w:val="none" w:sz="0" w:space="0" w:color="auto"/>
        <w:bottom w:val="none" w:sz="0" w:space="0" w:color="auto"/>
        <w:right w:val="none" w:sz="0" w:space="0" w:color="auto"/>
      </w:divBdr>
    </w:div>
    <w:div w:id="1947077236">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www.pacificorp.com/es/dsm/washington.html" TargetMode="External"/><Relationship Id="rId3" Type="http://schemas.openxmlformats.org/officeDocument/2006/relationships/customXml" Target="../customXml/item3.xml"/><Relationship Id="rId21" Type="http://schemas.openxmlformats.org/officeDocument/2006/relationships/image" Target="media/image12.e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www.utc.wa.gov/docs/Pages/DocketLookup.aspx?FilingID=132047"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utc.wa.gov/docs/Pages/DocketLookup.aspx?FilingID=132047"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hyperlink" Target="http://www.pacificorp.com/es/dsm/washington.html" TargetMode="External"/><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image" Target="media/image10.emf"/><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hyperlink" Target="http://www.pacificorp.com/es/dsm.html" TargetMode="External"/><Relationship Id="rId27" Type="http://schemas.openxmlformats.org/officeDocument/2006/relationships/hyperlink" Target="http://www.utc.wa.gov/docs/Pages/DocketLookup.aspx?FilingID=111880"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2016-07-27T07:00:00+00:00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6494DC-B91F-49F8-8A74-4C6D806529B0}"/>
</file>

<file path=customXml/itemProps2.xml><?xml version="1.0" encoding="utf-8"?>
<ds:datastoreItem xmlns:ds="http://schemas.openxmlformats.org/officeDocument/2006/customXml" ds:itemID="{5B82CF3B-5E62-4EDE-8E9F-468D9CE3A79F}"/>
</file>

<file path=customXml/itemProps3.xml><?xml version="1.0" encoding="utf-8"?>
<ds:datastoreItem xmlns:ds="http://schemas.openxmlformats.org/officeDocument/2006/customXml" ds:itemID="{28ABD1A9-03D4-43F3-8DF9-4587224C1839}"/>
</file>

<file path=customXml/itemProps4.xml><?xml version="1.0" encoding="utf-8"?>
<ds:datastoreItem xmlns:ds="http://schemas.openxmlformats.org/officeDocument/2006/customXml" ds:itemID="{539C6606-856E-40CB-ACAC-F068B0404442}"/>
</file>

<file path=docProps/app.xml><?xml version="1.0" encoding="utf-8"?>
<Properties xmlns="http://schemas.openxmlformats.org/officeDocument/2006/extended-properties" xmlns:vt="http://schemas.openxmlformats.org/officeDocument/2006/docPropsVTypes">
  <Template>Normal</Template>
  <TotalTime>0</TotalTime>
  <Pages>22</Pages>
  <Words>4383</Words>
  <Characters>24988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2016-07-27T23:22:00Z</dcterms:created>
  <dcterms:modified xsi:type="dcterms:W3CDTF">2016-07-27T23:22:00Z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