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Default="00C3471C" w:rsidP="00C3471C">
      <w:pPr>
        <w:tabs>
          <w:tab w:val="center" w:pos="4680"/>
        </w:tabs>
        <w:ind w:right="-252" w:hanging="360"/>
        <w:jc w:val="both"/>
        <w:rPr>
          <w:b/>
          <w:bCs/>
        </w:rPr>
      </w:pPr>
      <w:bookmarkStart w:id="0" w:name="_GoBack"/>
      <w:bookmarkEnd w:id="0"/>
      <w:r>
        <w:rPr>
          <w:b/>
          <w:bCs/>
        </w:rPr>
        <w:tab/>
      </w:r>
      <w:r>
        <w:rPr>
          <w:b/>
          <w:bCs/>
        </w:rPr>
        <w:tab/>
      </w:r>
      <w:r>
        <w:rPr>
          <w:b/>
          <w:bCs/>
        </w:rPr>
        <w:tab/>
      </w:r>
      <w:r>
        <w:rPr>
          <w:b/>
          <w:bCs/>
        </w:rPr>
        <w:tab/>
        <w:t xml:space="preserve">Exhibit </w:t>
      </w:r>
      <w:r w:rsidR="00EA5286">
        <w:rPr>
          <w:b/>
          <w:bCs/>
        </w:rPr>
        <w:t xml:space="preserve">No. </w:t>
      </w:r>
      <w:r>
        <w:rPr>
          <w:b/>
          <w:bCs/>
        </w:rPr>
        <w:t>___</w:t>
      </w:r>
      <w:r w:rsidR="009A0878">
        <w:rPr>
          <w:b/>
          <w:bCs/>
        </w:rPr>
        <w:t xml:space="preserve"> AW</w:t>
      </w:r>
      <w:r w:rsidR="002E5A0D">
        <w:rPr>
          <w:b/>
          <w:bCs/>
        </w:rPr>
        <w:t>-1</w:t>
      </w:r>
      <w:r>
        <w:rPr>
          <w:b/>
          <w:bCs/>
        </w:rPr>
        <w:t xml:space="preserve">T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w:t>
      </w:r>
      <w:r w:rsidR="006C59CF">
        <w:rPr>
          <w:b/>
          <w:bCs/>
        </w:rPr>
        <w:t xml:space="preserve"> </w:t>
      </w:r>
      <w:r w:rsidR="00FC5CD8">
        <w:rPr>
          <w:b/>
          <w:bCs/>
        </w:rPr>
        <w:t>UW-1</w:t>
      </w:r>
      <w:r w:rsidR="002400D3">
        <w:rPr>
          <w:b/>
          <w:bCs/>
        </w:rPr>
        <w:t>10054</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FC5CD8">
        <w:rPr>
          <w:b/>
          <w:bCs/>
        </w:rPr>
        <w:t>Amy White</w:t>
      </w: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00"/>
        <w:gridCol w:w="4680"/>
      </w:tblGrid>
      <w:tr w:rsidR="00FB2A42" w:rsidRPr="00FB2A42" w:rsidTr="002E5A0D">
        <w:tc>
          <w:tcPr>
            <w:tcW w:w="4500" w:type="dxa"/>
            <w:tcBorders>
              <w:top w:val="single" w:sz="6" w:space="0" w:color="FFFFFF"/>
              <w:left w:val="single" w:sz="6" w:space="0" w:color="FFFFFF"/>
              <w:bottom w:val="single" w:sz="7" w:space="0" w:color="000000"/>
              <w:right w:val="single" w:sz="6" w:space="0" w:color="FFFFFF"/>
            </w:tcBorders>
          </w:tcPr>
          <w:p w:rsidR="00FB2A42" w:rsidRPr="00FC5CD8" w:rsidRDefault="00FB2A42" w:rsidP="00045A65">
            <w:pPr>
              <w:rPr>
                <w:b/>
              </w:rPr>
            </w:pPr>
          </w:p>
          <w:p w:rsidR="00FC5CD8" w:rsidRPr="00FC5CD8" w:rsidRDefault="00FC5CD8" w:rsidP="00FC5CD8">
            <w:pPr>
              <w:spacing w:after="57"/>
              <w:rPr>
                <w:b/>
              </w:rPr>
            </w:pPr>
            <w:r w:rsidRPr="00FC5CD8">
              <w:rPr>
                <w:b/>
              </w:rPr>
              <w:t>WASHINGTON UTILITIES AND TRANSPORTATION COMMISSION,</w:t>
            </w:r>
          </w:p>
          <w:p w:rsidR="00FC5CD8" w:rsidRPr="00FC5CD8" w:rsidRDefault="00FC5CD8" w:rsidP="00FC5CD8">
            <w:pPr>
              <w:spacing w:after="57"/>
              <w:rPr>
                <w:b/>
              </w:rPr>
            </w:pPr>
          </w:p>
          <w:p w:rsidR="00FC5CD8" w:rsidRPr="00FC5CD8" w:rsidRDefault="009E2FB3" w:rsidP="00FC5CD8">
            <w:pPr>
              <w:spacing w:after="57"/>
              <w:rPr>
                <w:b/>
              </w:rPr>
            </w:pPr>
            <w:r>
              <w:rPr>
                <w:b/>
              </w:rPr>
              <w:tab/>
            </w:r>
            <w:r w:rsidR="00FC5CD8" w:rsidRPr="00FC5CD8">
              <w:rPr>
                <w:b/>
              </w:rPr>
              <w:t>Complainant,</w:t>
            </w:r>
          </w:p>
          <w:p w:rsidR="00FC5CD8" w:rsidRPr="00FC5CD8" w:rsidRDefault="00FC5CD8" w:rsidP="00FC5CD8">
            <w:pPr>
              <w:spacing w:after="57"/>
              <w:rPr>
                <w:b/>
              </w:rPr>
            </w:pPr>
            <w:proofErr w:type="gramStart"/>
            <w:r w:rsidRPr="00FC5CD8">
              <w:rPr>
                <w:b/>
              </w:rPr>
              <w:t>v</w:t>
            </w:r>
            <w:proofErr w:type="gramEnd"/>
            <w:r w:rsidRPr="00FC5CD8">
              <w:rPr>
                <w:b/>
              </w:rPr>
              <w:t>.</w:t>
            </w:r>
          </w:p>
          <w:p w:rsidR="00FC5CD8" w:rsidRPr="00FC5CD8" w:rsidRDefault="00FC5CD8" w:rsidP="00FC5CD8">
            <w:pPr>
              <w:spacing w:after="57"/>
              <w:rPr>
                <w:b/>
              </w:rPr>
            </w:pPr>
          </w:p>
          <w:p w:rsidR="00FC5CD8" w:rsidRPr="00FC5CD8" w:rsidRDefault="002400D3" w:rsidP="00FC5CD8">
            <w:pPr>
              <w:spacing w:after="57"/>
              <w:rPr>
                <w:b/>
              </w:rPr>
            </w:pPr>
            <w:r w:rsidRPr="002400D3">
              <w:rPr>
                <w:b/>
              </w:rPr>
              <w:t>RAINIER VIEW WATER CO., INC.</w:t>
            </w:r>
            <w:r w:rsidR="00FC5CD8" w:rsidRPr="00FC5CD8">
              <w:rPr>
                <w:b/>
              </w:rPr>
              <w:t>,</w:t>
            </w:r>
          </w:p>
          <w:p w:rsidR="00FC5CD8" w:rsidRPr="00FC5CD8" w:rsidRDefault="00FC5CD8" w:rsidP="00FC5CD8">
            <w:pPr>
              <w:spacing w:after="57"/>
              <w:rPr>
                <w:b/>
              </w:rPr>
            </w:pPr>
          </w:p>
          <w:p w:rsidR="00FB2A42" w:rsidRPr="00FC5CD8" w:rsidRDefault="009E2FB3" w:rsidP="00FC5CD8">
            <w:pPr>
              <w:spacing w:after="19"/>
              <w:rPr>
                <w:b/>
              </w:rPr>
            </w:pPr>
            <w:r>
              <w:rPr>
                <w:b/>
              </w:rPr>
              <w:tab/>
            </w:r>
            <w:r w:rsidR="00FC5CD8" w:rsidRPr="00FC5CD8">
              <w:rPr>
                <w:b/>
              </w:rPr>
              <w:t>Respondent.</w:t>
            </w:r>
          </w:p>
          <w:p w:rsidR="00FC5CD8" w:rsidRPr="00FB2A42" w:rsidRDefault="00FC5CD8" w:rsidP="00FC5CD8">
            <w:pPr>
              <w:spacing w:after="19"/>
              <w:rPr>
                <w:b/>
              </w:rPr>
            </w:pPr>
          </w:p>
        </w:tc>
        <w:tc>
          <w:tcPr>
            <w:tcW w:w="4680" w:type="dxa"/>
            <w:tcBorders>
              <w:top w:val="single" w:sz="6" w:space="0" w:color="FFFFFF"/>
              <w:left w:val="single" w:sz="7" w:space="0" w:color="000000"/>
              <w:bottom w:val="single" w:sz="6" w:space="0" w:color="FFFFFF"/>
              <w:right w:val="single" w:sz="6" w:space="0" w:color="FFFFFF"/>
            </w:tcBorders>
          </w:tcPr>
          <w:p w:rsidR="002E5A0D" w:rsidRDefault="002E5A0D" w:rsidP="00045A65">
            <w:pPr>
              <w:ind w:firstLine="720"/>
              <w:rPr>
                <w:b/>
              </w:rPr>
            </w:pPr>
          </w:p>
          <w:p w:rsidR="00FB2A42" w:rsidRPr="00FB2A42" w:rsidRDefault="00FB2A42" w:rsidP="006C59CF">
            <w:pPr>
              <w:ind w:firstLine="720"/>
              <w:rPr>
                <w:b/>
              </w:rPr>
            </w:pPr>
            <w:r w:rsidRPr="00FB2A42">
              <w:rPr>
                <w:b/>
              </w:rPr>
              <w:t>DOCKET</w:t>
            </w:r>
            <w:r w:rsidR="006C59CF">
              <w:rPr>
                <w:b/>
              </w:rPr>
              <w:t xml:space="preserve"> </w:t>
            </w:r>
            <w:r w:rsidR="00FC5CD8">
              <w:rPr>
                <w:b/>
              </w:rPr>
              <w:t>UW-1</w:t>
            </w:r>
            <w:r w:rsidR="002400D3">
              <w:rPr>
                <w:b/>
              </w:rPr>
              <w:t>10054</w:t>
            </w:r>
            <w:r w:rsidRPr="00FB2A42">
              <w:rPr>
                <w:b/>
              </w:rPr>
              <w:t xml:space="preserve">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89693E" w:rsidRDefault="00C3471C" w:rsidP="00C3471C">
      <w:pPr>
        <w:tabs>
          <w:tab w:val="center" w:pos="4680"/>
        </w:tabs>
        <w:jc w:val="center"/>
        <w:rPr>
          <w:b/>
          <w:bCs/>
        </w:rPr>
      </w:pPr>
      <w:proofErr w:type="gramStart"/>
      <w:r>
        <w:rPr>
          <w:b/>
          <w:bCs/>
        </w:rPr>
        <w:t>TESTIMONY</w:t>
      </w:r>
      <w:r w:rsidR="0089693E">
        <w:rPr>
          <w:b/>
          <w:bCs/>
        </w:rPr>
        <w:t xml:space="preserve"> </w:t>
      </w:r>
      <w:r w:rsidR="001C7D79">
        <w:rPr>
          <w:b/>
          <w:bCs/>
        </w:rPr>
        <w:t xml:space="preserve">RESPONSIVE TO </w:t>
      </w:r>
      <w:r w:rsidR="0089693E">
        <w:rPr>
          <w:b/>
          <w:bCs/>
        </w:rPr>
        <w:t>BENCH REQUEST 5.C</w:t>
      </w:r>
      <w:r w:rsidR="001C7D79">
        <w:rPr>
          <w:b/>
          <w:bCs/>
        </w:rPr>
        <w:t>.</w:t>
      </w:r>
      <w:proofErr w:type="gramEnd"/>
    </w:p>
    <w:p w:rsidR="0089693E" w:rsidRDefault="0089693E" w:rsidP="00C3471C">
      <w:pPr>
        <w:tabs>
          <w:tab w:val="center" w:pos="4680"/>
        </w:tabs>
        <w:jc w:val="center"/>
        <w:rPr>
          <w:b/>
          <w:bCs/>
        </w:rPr>
      </w:pPr>
    </w:p>
    <w:p w:rsidR="00C3471C" w:rsidRDefault="00C3471C" w:rsidP="00C3471C">
      <w:pPr>
        <w:tabs>
          <w:tab w:val="center" w:pos="4680"/>
        </w:tabs>
        <w:jc w:val="center"/>
        <w:rPr>
          <w:b/>
          <w:bCs/>
        </w:rPr>
      </w:pPr>
      <w:r>
        <w:rPr>
          <w:b/>
          <w:bCs/>
        </w:rPr>
        <w:t xml:space="preserve"> OF</w:t>
      </w:r>
    </w:p>
    <w:p w:rsidR="00C3471C" w:rsidRDefault="00C3471C" w:rsidP="00C3471C">
      <w:pPr>
        <w:jc w:val="center"/>
        <w:rPr>
          <w:b/>
          <w:bCs/>
        </w:rPr>
      </w:pPr>
    </w:p>
    <w:p w:rsidR="00C3471C" w:rsidRDefault="00FC5CD8" w:rsidP="00C3471C">
      <w:pPr>
        <w:tabs>
          <w:tab w:val="center" w:pos="4680"/>
        </w:tabs>
        <w:jc w:val="center"/>
        <w:rPr>
          <w:b/>
          <w:bCs/>
        </w:rPr>
      </w:pPr>
      <w:r>
        <w:rPr>
          <w:b/>
          <w:bCs/>
        </w:rPr>
        <w:t>AMY WHITE</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Default="00C3471C" w:rsidP="00C3471C">
      <w:pPr>
        <w:rPr>
          <w:b/>
          <w:bCs/>
        </w:rPr>
      </w:pPr>
    </w:p>
    <w:p w:rsidR="00C3471C" w:rsidRDefault="00C3471C" w:rsidP="00C3471C">
      <w:pPr>
        <w:rPr>
          <w:b/>
          <w:bCs/>
        </w:rPr>
      </w:pPr>
    </w:p>
    <w:p w:rsidR="002E5A0D" w:rsidRDefault="002E5A0D" w:rsidP="00C3471C">
      <w:pPr>
        <w:rPr>
          <w:b/>
          <w:bCs/>
        </w:rPr>
      </w:pPr>
    </w:p>
    <w:p w:rsidR="002E5A0D" w:rsidRDefault="002E5A0D" w:rsidP="00C3471C">
      <w:pPr>
        <w:rPr>
          <w:b/>
          <w:bCs/>
        </w:rPr>
      </w:pPr>
    </w:p>
    <w:p w:rsidR="002E5A0D" w:rsidRDefault="002E5A0D" w:rsidP="00C3471C">
      <w:pPr>
        <w:rPr>
          <w:b/>
          <w:bCs/>
        </w:rPr>
      </w:pPr>
    </w:p>
    <w:p w:rsidR="00C3471C" w:rsidRDefault="00C3471C" w:rsidP="00C3471C">
      <w:pPr>
        <w:rPr>
          <w:b/>
          <w:bCs/>
        </w:rPr>
      </w:pPr>
    </w:p>
    <w:p w:rsidR="00C3471C" w:rsidRDefault="00C3471C" w:rsidP="00C3471C">
      <w:pPr>
        <w:rPr>
          <w:b/>
          <w:bCs/>
        </w:rPr>
      </w:pPr>
    </w:p>
    <w:p w:rsidR="00C3471C" w:rsidRDefault="0089693E" w:rsidP="00C3471C">
      <w:pPr>
        <w:tabs>
          <w:tab w:val="center" w:pos="4680"/>
        </w:tabs>
        <w:jc w:val="center"/>
        <w:rPr>
          <w:b/>
          <w:bCs/>
        </w:rPr>
      </w:pPr>
      <w:r>
        <w:rPr>
          <w:b/>
          <w:bCs/>
        </w:rPr>
        <w:t>June 25, 2012</w:t>
      </w:r>
    </w:p>
    <w:p w:rsidR="00C3471C" w:rsidRDefault="00C3471C" w:rsidP="00C3471C">
      <w:pPr>
        <w:tabs>
          <w:tab w:val="center" w:pos="4680"/>
        </w:tabs>
        <w:jc w:val="center"/>
        <w:rPr>
          <w:b/>
          <w:bCs/>
        </w:rPr>
      </w:pPr>
    </w:p>
    <w:p w:rsidR="00C3471C" w:rsidRDefault="00C3471C" w:rsidP="00C3471C">
      <w:pPr>
        <w:tabs>
          <w:tab w:val="center" w:pos="4680"/>
        </w:tabs>
        <w:rPr>
          <w:b/>
          <w:bCs/>
        </w:rPr>
      </w:pPr>
    </w:p>
    <w:p w:rsidR="00C3471C" w:rsidRDefault="00C3471C" w:rsidP="00C3471C">
      <w:pPr>
        <w:tabs>
          <w:tab w:val="center" w:pos="4680"/>
        </w:tabs>
        <w:sectPr w:rsidR="00C3471C" w:rsidSect="00D51DA2">
          <w:footerReference w:type="default" r:id="rId12"/>
          <w:pgSz w:w="12240" w:h="15840" w:code="1"/>
          <w:pgMar w:top="1440" w:right="1440" w:bottom="1440" w:left="1872" w:header="720" w:footer="720" w:gutter="0"/>
          <w:paperSrc w:first="15" w:other="15"/>
          <w:cols w:space="720"/>
          <w:titlePg/>
          <w:docGrid w:linePitch="360"/>
        </w:sectPr>
      </w:pPr>
    </w:p>
    <w:p w:rsidR="00FB6F77" w:rsidRDefault="00FB6F77" w:rsidP="00FB6F77">
      <w:pPr>
        <w:pStyle w:val="Heading3"/>
        <w:keepNext w:val="0"/>
        <w:widowControl w:val="0"/>
      </w:pPr>
      <w:r>
        <w:lastRenderedPageBreak/>
        <w:t>TABLE OF CONTENTS</w:t>
      </w:r>
    </w:p>
    <w:p w:rsidR="00FB6F77" w:rsidRDefault="00FB6F77" w:rsidP="00FB6F77"/>
    <w:p w:rsidR="00FB6F77" w:rsidRDefault="00FB6F77" w:rsidP="00FB6F77">
      <w:pPr>
        <w:tabs>
          <w:tab w:val="left" w:pos="720"/>
          <w:tab w:val="left" w:pos="1440"/>
          <w:tab w:val="left" w:pos="2160"/>
          <w:tab w:val="right" w:leader="dot" w:pos="9000"/>
        </w:tabs>
      </w:pPr>
      <w:r>
        <w:t>I.</w:t>
      </w:r>
      <w:r>
        <w:tab/>
        <w:t xml:space="preserve">INTRODUCTION </w:t>
      </w:r>
      <w:r>
        <w:tab/>
        <w:t>1</w:t>
      </w:r>
    </w:p>
    <w:p w:rsidR="00FB6F77" w:rsidRDefault="00FB6F77" w:rsidP="00FB6F77">
      <w:pPr>
        <w:tabs>
          <w:tab w:val="left" w:pos="720"/>
          <w:tab w:val="left" w:pos="1440"/>
          <w:tab w:val="left" w:pos="2160"/>
          <w:tab w:val="right" w:leader="dot" w:pos="9000"/>
        </w:tabs>
      </w:pPr>
    </w:p>
    <w:p w:rsidR="00FB6F77" w:rsidRDefault="00FB6F77" w:rsidP="00FB6F77">
      <w:pPr>
        <w:tabs>
          <w:tab w:val="left" w:pos="720"/>
          <w:tab w:val="left" w:pos="1440"/>
          <w:tab w:val="left" w:pos="2160"/>
          <w:tab w:val="right" w:leader="dot" w:pos="9000"/>
        </w:tabs>
      </w:pPr>
      <w:r>
        <w:t>II.</w:t>
      </w:r>
      <w:r>
        <w:tab/>
        <w:t xml:space="preserve">TESTIMONY </w:t>
      </w:r>
      <w:r>
        <w:tab/>
      </w:r>
      <w:r w:rsidR="00E11A9B">
        <w:t>3</w:t>
      </w:r>
    </w:p>
    <w:p w:rsidR="00FB6F77" w:rsidRDefault="00FB6F77" w:rsidP="00FB6F77"/>
    <w:p w:rsidR="00FB6F77" w:rsidRDefault="00FB6F77" w:rsidP="00A84E64">
      <w:pPr>
        <w:pStyle w:val="Heading3"/>
        <w:ind w:left="0" w:firstLine="0"/>
        <w:jc w:val="left"/>
        <w:rPr>
          <w:b w:val="0"/>
          <w:bCs w:val="0"/>
        </w:rPr>
      </w:pPr>
    </w:p>
    <w:p w:rsidR="00A84E64" w:rsidRPr="00A84E64" w:rsidRDefault="00A84E64" w:rsidP="00A84E64">
      <w:pPr>
        <w:sectPr w:rsidR="00A84E64" w:rsidRPr="00A84E64" w:rsidSect="00A16BA3">
          <w:footerReference w:type="default" r:id="rId13"/>
          <w:pgSz w:w="12240" w:h="15840" w:code="1"/>
          <w:pgMar w:top="1440" w:right="1440" w:bottom="1440" w:left="1872" w:header="720" w:footer="720" w:gutter="0"/>
          <w:pgNumType w:fmt="lowerRoman" w:start="1"/>
          <w:cols w:space="720"/>
          <w:docGrid w:linePitch="360"/>
        </w:sectPr>
      </w:pPr>
    </w:p>
    <w:p w:rsidR="00FB6F77" w:rsidRDefault="00A937CA" w:rsidP="00A937CA">
      <w:pPr>
        <w:pStyle w:val="Heading3"/>
        <w:ind w:left="0" w:firstLine="0"/>
      </w:pPr>
      <w:r>
        <w:lastRenderedPageBreak/>
        <w:t>I.</w:t>
      </w:r>
      <w:r>
        <w:tab/>
      </w:r>
      <w:r w:rsidR="00FB6F77">
        <w:t>INTRODUCTION</w:t>
      </w:r>
    </w:p>
    <w:p w:rsidR="00FB6F77" w:rsidRDefault="00FB6F77" w:rsidP="00C3471C">
      <w:pPr>
        <w:pStyle w:val="Heading3"/>
        <w:jc w:val="left"/>
      </w:pPr>
    </w:p>
    <w:p w:rsidR="00C3471C" w:rsidRDefault="00C3471C" w:rsidP="00C3471C">
      <w:pPr>
        <w:pStyle w:val="Heading3"/>
        <w:jc w:val="left"/>
        <w:rPr>
          <w:b w:val="0"/>
          <w:bCs w:val="0"/>
        </w:rPr>
      </w:pPr>
      <w:r>
        <w:t>Q.</w:t>
      </w:r>
      <w:r>
        <w:tab/>
        <w:t>Please state your name and business address.</w:t>
      </w:r>
      <w:r>
        <w:rPr>
          <w:b w:val="0"/>
          <w:bCs w:val="0"/>
        </w:rPr>
        <w:t xml:space="preserve">  </w:t>
      </w:r>
    </w:p>
    <w:p w:rsidR="00C3471C" w:rsidRDefault="00C3471C" w:rsidP="00C3471C">
      <w:pPr>
        <w:pStyle w:val="BodyTextIndent"/>
      </w:pPr>
      <w:r>
        <w:t>A.</w:t>
      </w:r>
      <w:r>
        <w:tab/>
        <w:t xml:space="preserve">I am </w:t>
      </w:r>
      <w:r w:rsidR="00FC5CD8">
        <w:t>Amy White</w:t>
      </w:r>
      <w:r>
        <w:t xml:space="preserve">.  My business address is </w:t>
      </w:r>
      <w:smartTag w:uri="urn:schemas-microsoft-com:office:smarttags" w:element="address">
        <w:smartTag w:uri="urn:schemas-microsoft-com:office:smarttags" w:element="Street">
          <w:r>
            <w:t>1300 S. Evergreen Park Drive S.W., P.O. Box 47250</w:t>
          </w:r>
        </w:smartTag>
        <w:r>
          <w:t xml:space="preserve">, </w:t>
        </w:r>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r>
        <w:t xml:space="preserve">.  </w:t>
      </w:r>
    </w:p>
    <w:p w:rsidR="00C3471C" w:rsidRDefault="00C3471C" w:rsidP="00C3471C">
      <w:pPr>
        <w:spacing w:line="480" w:lineRule="auto"/>
        <w:ind w:left="720" w:hanging="720"/>
      </w:pPr>
    </w:p>
    <w:p w:rsidR="00C3471C" w:rsidRDefault="00C3471C" w:rsidP="00C3471C">
      <w:pPr>
        <w:pStyle w:val="Heading1"/>
      </w:pPr>
      <w:r>
        <w:t>Q.</w:t>
      </w:r>
      <w:r>
        <w:tab/>
        <w:t xml:space="preserve">By whom are you employed and in what capacity?  </w:t>
      </w:r>
    </w:p>
    <w:p w:rsidR="00E20113" w:rsidRDefault="00C3471C" w:rsidP="00E20113">
      <w:pPr>
        <w:spacing w:line="480" w:lineRule="auto"/>
        <w:ind w:left="720" w:hanging="720"/>
      </w:pPr>
      <w:r>
        <w:t>A.</w:t>
      </w:r>
      <w:r>
        <w:tab/>
      </w:r>
      <w:r w:rsidR="00E20113">
        <w:t xml:space="preserve">I am employed by the Washington Utilities and Transportation Commission (Commission) as a Regulatory Analyst 3 working for Regulatory Services.    </w:t>
      </w:r>
    </w:p>
    <w:p w:rsidR="00C3471C" w:rsidRDefault="00C3471C" w:rsidP="00C3471C">
      <w:pPr>
        <w:spacing w:line="480" w:lineRule="auto"/>
        <w:ind w:left="720" w:hanging="720"/>
      </w:pPr>
    </w:p>
    <w:p w:rsidR="00C3471C" w:rsidRPr="00E20113" w:rsidRDefault="00C3471C" w:rsidP="00C3471C">
      <w:pPr>
        <w:tabs>
          <w:tab w:val="left" w:pos="-1440"/>
        </w:tabs>
        <w:spacing w:line="480" w:lineRule="auto"/>
        <w:ind w:left="720" w:hanging="720"/>
      </w:pPr>
      <w:r w:rsidRPr="00E20113">
        <w:rPr>
          <w:b/>
          <w:bCs/>
        </w:rPr>
        <w:t>Q.</w:t>
      </w:r>
      <w:r w:rsidRPr="00E20113">
        <w:rPr>
          <w:b/>
          <w:bCs/>
        </w:rPr>
        <w:tab/>
        <w:t>How long have you been employed by the Commission?</w:t>
      </w:r>
    </w:p>
    <w:p w:rsidR="00C3471C" w:rsidRPr="00E20113" w:rsidRDefault="004828CF" w:rsidP="00C3471C">
      <w:pPr>
        <w:tabs>
          <w:tab w:val="left" w:pos="-1440"/>
        </w:tabs>
        <w:spacing w:line="480" w:lineRule="auto"/>
      </w:pPr>
      <w:r w:rsidRPr="00E20113">
        <w:t>A.</w:t>
      </w:r>
      <w:r w:rsidRPr="00E20113">
        <w:tab/>
      </w:r>
      <w:r w:rsidR="00E20113">
        <w:t>I have worked for the Commission for five years, since June 2007.</w:t>
      </w:r>
    </w:p>
    <w:p w:rsidR="00C3471C" w:rsidRPr="00E20113" w:rsidRDefault="00C3471C" w:rsidP="00C3471C">
      <w:pPr>
        <w:tabs>
          <w:tab w:val="left" w:pos="-1440"/>
        </w:tabs>
        <w:spacing w:line="480" w:lineRule="auto"/>
      </w:pPr>
    </w:p>
    <w:p w:rsidR="00C3471C" w:rsidRPr="00E20113" w:rsidRDefault="00C3471C" w:rsidP="00C3471C">
      <w:pPr>
        <w:tabs>
          <w:tab w:val="left" w:pos="-1440"/>
        </w:tabs>
        <w:spacing w:line="480" w:lineRule="auto"/>
        <w:ind w:left="720" w:hanging="720"/>
        <w:rPr>
          <w:b/>
          <w:bCs/>
        </w:rPr>
      </w:pPr>
      <w:r w:rsidRPr="00E20113">
        <w:rPr>
          <w:b/>
          <w:bCs/>
        </w:rPr>
        <w:t>Q.</w:t>
      </w:r>
      <w:r w:rsidRPr="00E20113">
        <w:rPr>
          <w:b/>
          <w:bCs/>
        </w:rPr>
        <w:tab/>
        <w:t>Would you please state your educational and professional background?</w:t>
      </w:r>
    </w:p>
    <w:p w:rsidR="00E20113" w:rsidRDefault="00C3471C" w:rsidP="00E20113">
      <w:pPr>
        <w:pStyle w:val="BodyTextIndent"/>
      </w:pPr>
      <w:r w:rsidRPr="00E20113">
        <w:t>A.</w:t>
      </w:r>
      <w:r>
        <w:tab/>
      </w:r>
      <w:r w:rsidR="00E20113">
        <w:t xml:space="preserve">I graduated in 1982 from the University of Washington with a Bachelor of Business Administration with an emphasis in Accounting.  I earned a Master of Business Administration (1988) and a Master of Public Administration (1989) from City University of Seattle.  I hold a Certified Government Audit Professional credential from the Institute of Internal Auditors.  </w:t>
      </w:r>
    </w:p>
    <w:p w:rsidR="00E20113" w:rsidRDefault="00E20113" w:rsidP="00E20113">
      <w:pPr>
        <w:pStyle w:val="BodyTextIndent"/>
        <w:ind w:firstLine="720"/>
      </w:pPr>
      <w:r>
        <w:t xml:space="preserve">Before my employment began at the Commission, I was an Internal Auditor for the Department of Social and Health Services (DSHS) for five years.  I also worked for DSHS as a Medicaid Fraud Auditor for five years, as a Hospital Auditor for three years, and as the manager of the Surveillance and Utilization Review unit, </w:t>
      </w:r>
      <w:r>
        <w:lastRenderedPageBreak/>
        <w:t>which performed pre-audit analysis of suspected fraudulent providers, for three years.  In addition, I worked for DSHS as a rate analyst developing hospital rates in the Medicaid program for seven years.  I also developed rates for hospitals for one year in the workers’ compensation program at the Department of Labor and Industries.</w:t>
      </w:r>
    </w:p>
    <w:p w:rsidR="00E20113" w:rsidRDefault="00E20113" w:rsidP="00E20113">
      <w:pPr>
        <w:pStyle w:val="BodyTextIndent"/>
        <w:ind w:firstLine="720"/>
      </w:pPr>
      <w:r>
        <w:t xml:space="preserve">As a Regulatory Analyst 3, I review the tariff filings of regulated water companies either as the lead analyst or as a member of a Staff team.  I have presented Staff recommendations to the Commission at numerous Open Public Meetings. </w:t>
      </w:r>
    </w:p>
    <w:p w:rsidR="00E20113" w:rsidRDefault="00E20113" w:rsidP="00E20113">
      <w:pPr>
        <w:pStyle w:val="BodyTextIndent"/>
        <w:rPr>
          <w:sz w:val="20"/>
        </w:rPr>
      </w:pPr>
      <w:r>
        <w:tab/>
      </w:r>
      <w:r>
        <w:tab/>
        <w:t xml:space="preserve">I am also lead analyst in Docket UW-110054, a pending case filed by Rainier View Water Company, Inc. (“Rainier View” or “Company”) regarding a surcharge and facility charge for financing construction of </w:t>
      </w:r>
      <w:proofErr w:type="gramStart"/>
      <w:r>
        <w:t xml:space="preserve">a </w:t>
      </w:r>
      <w:r w:rsidR="00076A40">
        <w:t xml:space="preserve"> pipeline</w:t>
      </w:r>
      <w:proofErr w:type="gramEnd"/>
      <w:r w:rsidR="00076A40">
        <w:t xml:space="preserve"> between Rainier View and the Lakewood Water District. </w:t>
      </w:r>
    </w:p>
    <w:p w:rsidR="00DC40BC" w:rsidRDefault="00DC40BC" w:rsidP="00DF23E4">
      <w:pPr>
        <w:pStyle w:val="BodyTextIndent"/>
        <w:ind w:left="0" w:firstLine="0"/>
      </w:pPr>
    </w:p>
    <w:p w:rsidR="00DF23E4" w:rsidRDefault="00DF23E4" w:rsidP="00DF23E4">
      <w:pPr>
        <w:tabs>
          <w:tab w:val="left" w:pos="-1440"/>
        </w:tabs>
        <w:spacing w:line="480" w:lineRule="auto"/>
        <w:ind w:left="720" w:hanging="720"/>
        <w:rPr>
          <w:b/>
          <w:bCs/>
        </w:rPr>
      </w:pPr>
      <w:r>
        <w:rPr>
          <w:b/>
          <w:bCs/>
        </w:rPr>
        <w:t>Q.</w:t>
      </w:r>
      <w:r>
        <w:rPr>
          <w:b/>
          <w:bCs/>
        </w:rPr>
        <w:tab/>
        <w:t>What is the purpose of your testimony?</w:t>
      </w:r>
    </w:p>
    <w:p w:rsidR="00DF23E4" w:rsidRDefault="00DF23E4" w:rsidP="00DF23E4">
      <w:pPr>
        <w:pStyle w:val="BodyTextIndent"/>
      </w:pPr>
      <w:r>
        <w:t>A.</w:t>
      </w:r>
      <w:r>
        <w:tab/>
        <w:t>I am responding to Bench Request 5.c</w:t>
      </w:r>
      <w:r w:rsidR="00B67669">
        <w:t>.</w:t>
      </w:r>
      <w:r w:rsidR="001C7D79">
        <w:t xml:space="preserve"> in Docket UW-110054</w:t>
      </w:r>
      <w:r>
        <w:t xml:space="preserve">, which asks that we provide written testimony describing the comparative analysis cited in the Settlement Agreement </w:t>
      </w:r>
      <w:r w:rsidR="00B67669">
        <w:t xml:space="preserve">and Narrative Supporting Settlement Agreement </w:t>
      </w:r>
      <w:r>
        <w:t>and provided in response to Bench Request 5.a (</w:t>
      </w:r>
      <w:r w:rsidR="001C7D79">
        <w:t xml:space="preserve">Attachment </w:t>
      </w:r>
      <w:r>
        <w:t>3.a</w:t>
      </w:r>
      <w:r w:rsidR="001C7D79">
        <w:t>.-1</w:t>
      </w:r>
      <w:r>
        <w:t xml:space="preserve">), and supporting certain conclusions drawn from the study </w:t>
      </w:r>
      <w:r w:rsidR="00B67669">
        <w:t>included in the Settlement Agreement</w:t>
      </w:r>
      <w:r>
        <w:t xml:space="preserve">.  </w:t>
      </w:r>
    </w:p>
    <w:p w:rsidR="00E20113" w:rsidRDefault="00E20113" w:rsidP="00E20113">
      <w:pPr>
        <w:pStyle w:val="BodyTextIndent"/>
        <w:ind w:left="0" w:firstLine="0"/>
      </w:pPr>
      <w:r>
        <w:br w:type="page"/>
      </w:r>
    </w:p>
    <w:p w:rsidR="0089693E" w:rsidRDefault="0089693E" w:rsidP="0089693E">
      <w:pPr>
        <w:pStyle w:val="Heading3"/>
        <w:ind w:left="0" w:firstLine="0"/>
      </w:pPr>
      <w:r>
        <w:lastRenderedPageBreak/>
        <w:t>II.</w:t>
      </w:r>
      <w:r>
        <w:tab/>
        <w:t>TESTIMONY</w:t>
      </w:r>
    </w:p>
    <w:p w:rsidR="00FB6F77" w:rsidRDefault="00FB6F77" w:rsidP="00FB6F77">
      <w:pPr>
        <w:pStyle w:val="BodyTextIndent"/>
      </w:pPr>
    </w:p>
    <w:p w:rsidR="00DF23E4" w:rsidRDefault="00DF23E4" w:rsidP="00DF23E4">
      <w:pPr>
        <w:tabs>
          <w:tab w:val="left" w:pos="-1440"/>
        </w:tabs>
        <w:spacing w:line="480" w:lineRule="auto"/>
        <w:ind w:left="720" w:hanging="720"/>
        <w:rPr>
          <w:b/>
          <w:bCs/>
        </w:rPr>
      </w:pPr>
      <w:r>
        <w:rPr>
          <w:b/>
          <w:bCs/>
        </w:rPr>
        <w:t>Q.</w:t>
      </w:r>
      <w:r>
        <w:rPr>
          <w:b/>
          <w:bCs/>
        </w:rPr>
        <w:tab/>
        <w:t xml:space="preserve">Please describe the comparative analysis </w:t>
      </w:r>
      <w:r w:rsidR="00B67669">
        <w:rPr>
          <w:b/>
          <w:bCs/>
        </w:rPr>
        <w:t>performed by Staff, provided in response to Bench Request 3.a., in</w:t>
      </w:r>
      <w:r>
        <w:rPr>
          <w:b/>
          <w:bCs/>
        </w:rPr>
        <w:t xml:space="preserve"> </w:t>
      </w:r>
      <w:r w:rsidR="001C7D79">
        <w:rPr>
          <w:b/>
          <w:bCs/>
        </w:rPr>
        <w:t>Attachment 3.a-1</w:t>
      </w:r>
      <w:r>
        <w:rPr>
          <w:b/>
          <w:bCs/>
        </w:rPr>
        <w:t>.</w:t>
      </w:r>
    </w:p>
    <w:p w:rsidR="00DF23E4" w:rsidRPr="00DF23E4" w:rsidRDefault="00DF23E4" w:rsidP="00DF23E4">
      <w:pPr>
        <w:pStyle w:val="BodyTextIndent"/>
        <w:rPr>
          <w:b/>
        </w:rPr>
      </w:pPr>
      <w:r>
        <w:t>A.</w:t>
      </w:r>
      <w:r>
        <w:tab/>
      </w:r>
      <w:r w:rsidRPr="00913E9A">
        <w:t xml:space="preserve">The analysis calculates water cost for the years 2010 through </w:t>
      </w:r>
      <w:r>
        <w:t>2100.  The City of Tacoma (COT)</w:t>
      </w:r>
      <w:r w:rsidRPr="00913E9A">
        <w:t xml:space="preserve"> has, per an annually-updated ordinance, different rates for wholesale customers such as Rainier View based on whether their summer usage is less than or greater than 2.5 times (250%) of their winter usage.  </w:t>
      </w:r>
      <w:r w:rsidR="001A6A8F">
        <w:t xml:space="preserve">See </w:t>
      </w:r>
      <w:r w:rsidR="001C7D79">
        <w:t xml:space="preserve">Attachment </w:t>
      </w:r>
      <w:r w:rsidR="001A6A8F">
        <w:t>3.b.1-2</w:t>
      </w:r>
      <w:r w:rsidR="00E11A9B">
        <w:t>, attached in response to Bench Request 3</w:t>
      </w:r>
      <w:r w:rsidR="001A6A8F">
        <w:t xml:space="preserve">.  </w:t>
      </w:r>
      <w:r w:rsidRPr="00913E9A">
        <w:t>In the past, Tacoma has given Rainier View the more favorable “more than 2</w:t>
      </w:r>
      <w:r w:rsidR="00B67669">
        <w:t>.5 times” rate even though the C</w:t>
      </w:r>
      <w:r w:rsidRPr="00913E9A">
        <w:t xml:space="preserve">ompany’s wholesale water use has not been sustained at that consumption level.  </w:t>
      </w:r>
      <w:r w:rsidR="004A40A2">
        <w:t>C</w:t>
      </w:r>
      <w:r w:rsidRPr="00913E9A">
        <w:t xml:space="preserve">orrespondence between COT and Rainier View indicates </w:t>
      </w:r>
      <w:r w:rsidR="004A40A2">
        <w:t xml:space="preserve">that </w:t>
      </w:r>
      <w:r w:rsidRPr="00913E9A">
        <w:t>COT will</w:t>
      </w:r>
      <w:r w:rsidR="004A40A2">
        <w:t>,</w:t>
      </w:r>
      <w:r w:rsidRPr="00913E9A">
        <w:t xml:space="preserve"> </w:t>
      </w:r>
      <w:r w:rsidR="004A40A2">
        <w:t>i</w:t>
      </w:r>
      <w:r w:rsidR="004A40A2" w:rsidRPr="00913E9A">
        <w:t xml:space="preserve">n the future, </w:t>
      </w:r>
      <w:r w:rsidRPr="00913E9A">
        <w:t>charge Rainier View the hi</w:t>
      </w:r>
      <w:r w:rsidR="001C740B">
        <w:t xml:space="preserve">gher </w:t>
      </w:r>
      <w:r w:rsidR="00B67669">
        <w:t xml:space="preserve">“less than 2.5 times” rate.  See </w:t>
      </w:r>
      <w:r w:rsidR="001C7D79">
        <w:t xml:space="preserve">Attachment </w:t>
      </w:r>
      <w:r w:rsidR="00B67669">
        <w:t xml:space="preserve">3.b.1-1, </w:t>
      </w:r>
      <w:r w:rsidR="001C7D79">
        <w:t>provided in</w:t>
      </w:r>
      <w:r w:rsidR="00B67669">
        <w:t xml:space="preserve"> response to Bench Request 3. </w:t>
      </w:r>
    </w:p>
    <w:p w:rsidR="00DF23E4" w:rsidRDefault="00DF23E4" w:rsidP="00DF23E4">
      <w:pPr>
        <w:spacing w:line="480" w:lineRule="auto"/>
        <w:ind w:left="720" w:firstLine="720"/>
      </w:pPr>
      <w:r>
        <w:t xml:space="preserve">Staff has analyzed potential City of Tacoma water costs using </w:t>
      </w:r>
      <w:r w:rsidR="004A40A2">
        <w:t xml:space="preserve">(1) </w:t>
      </w:r>
      <w:r>
        <w:t xml:space="preserve">rates projected into the future using an inflation factor developed from looking at COT ordinances and </w:t>
      </w:r>
      <w:r w:rsidR="004A40A2">
        <w:t xml:space="preserve">(2) </w:t>
      </w:r>
      <w:r>
        <w:t xml:space="preserve">calculating the inflation factor based on actual changes in COT’s rates.  These costs were also compared to the projected purchase of the same amount of water using the contracted cost of water from the Lakewood Water District (LWD) using an annual inflation factor as estimated by LWD.  Please see </w:t>
      </w:r>
      <w:r w:rsidR="001C7D79">
        <w:t xml:space="preserve">Attachment </w:t>
      </w:r>
      <w:r w:rsidR="00E11A9B">
        <w:t xml:space="preserve">3.b.2-1, </w:t>
      </w:r>
      <w:r w:rsidR="001C7D79">
        <w:t>provided in</w:t>
      </w:r>
      <w:r w:rsidR="00E11A9B">
        <w:t xml:space="preserve"> response to Bench Request 3, which contains correspondence between </w:t>
      </w:r>
      <w:r w:rsidR="004A40A2">
        <w:t xml:space="preserve">the </w:t>
      </w:r>
      <w:r w:rsidR="00E11A9B">
        <w:t xml:space="preserve">Lakewood Water District and Rainier View.  </w:t>
      </w:r>
    </w:p>
    <w:p w:rsidR="00DF23E4" w:rsidRDefault="00DF23E4" w:rsidP="001C740B">
      <w:pPr>
        <w:tabs>
          <w:tab w:val="left" w:pos="6498"/>
        </w:tabs>
        <w:spacing w:line="480" w:lineRule="auto"/>
        <w:ind w:left="720" w:firstLine="720"/>
      </w:pPr>
      <w:r>
        <w:lastRenderedPageBreak/>
        <w:t xml:space="preserve">Finally, Staff has calculated the savings generated from buying LWD water compared to buying COT water at both the “less than 2.5 times” rate and the “more than 2.5 times” rate.  This analysis assumes that the pipeline goes into use in the year 2018.  Two cells in this analysis </w:t>
      </w:r>
      <w:r w:rsidR="001C740B">
        <w:t xml:space="preserve">(Q32 and S28) </w:t>
      </w:r>
      <w:r>
        <w:t>have solid borders around the value inside.  These two cells highlight the point in time at which cumulative savings from LWD water rather than COT water pays for the entire cost of the pipeline.  For the “more than 2.5 times” rate, the savings approximate the entire capital cost of the pipeline in the year 2032, or in the 15</w:t>
      </w:r>
      <w:r w:rsidRPr="009C0B0A">
        <w:rPr>
          <w:vertAlign w:val="superscript"/>
        </w:rPr>
        <w:t>th</w:t>
      </w:r>
      <w:r>
        <w:t xml:space="preserve"> year of operation.  At the “less than 2.5 times” rate, cost savings match the pipeline cost in 2028, or in the eleventh year of operation.</w:t>
      </w:r>
      <w:r w:rsidR="00FE126A">
        <w:t xml:space="preserve">  Including the financing cost, the entire cost is recovered under </w:t>
      </w:r>
      <w:r w:rsidR="00FC3310">
        <w:t>the “more</w:t>
      </w:r>
      <w:r w:rsidR="00FE126A">
        <w:t xml:space="preserve"> than 2.5 times” rate in the year 2035, or the 18</w:t>
      </w:r>
      <w:r w:rsidR="00FE126A" w:rsidRPr="00FC3310">
        <w:rPr>
          <w:vertAlign w:val="superscript"/>
        </w:rPr>
        <w:t>th</w:t>
      </w:r>
      <w:r w:rsidR="00FE126A">
        <w:t xml:space="preserve"> year of operation.  At the “less than 2.5 times” rate, cost savings match the pipeline cost plus the financing cost in 2031, or in the fourteenth year of operation. </w:t>
      </w:r>
    </w:p>
    <w:p w:rsidR="00DF23E4" w:rsidRDefault="00DF23E4" w:rsidP="00DF23E4">
      <w:pPr>
        <w:pStyle w:val="BodyTextIndent"/>
        <w:ind w:left="0" w:firstLine="0"/>
      </w:pPr>
    </w:p>
    <w:p w:rsidR="00DF23E4" w:rsidRDefault="00DF23E4" w:rsidP="00DF23E4">
      <w:pPr>
        <w:tabs>
          <w:tab w:val="left" w:pos="-1440"/>
        </w:tabs>
        <w:spacing w:line="480" w:lineRule="auto"/>
        <w:ind w:left="720" w:hanging="720"/>
        <w:rPr>
          <w:b/>
          <w:bCs/>
        </w:rPr>
      </w:pPr>
      <w:r>
        <w:rPr>
          <w:b/>
          <w:bCs/>
        </w:rPr>
        <w:t>Q.</w:t>
      </w:r>
      <w:r>
        <w:rPr>
          <w:b/>
          <w:bCs/>
        </w:rPr>
        <w:tab/>
        <w:t xml:space="preserve">Please explain the </w:t>
      </w:r>
      <w:r w:rsidR="001A6A8F">
        <w:rPr>
          <w:b/>
          <w:bCs/>
        </w:rPr>
        <w:t>statement</w:t>
      </w:r>
      <w:r>
        <w:rPr>
          <w:b/>
          <w:bCs/>
        </w:rPr>
        <w:t xml:space="preserve"> in paragraph 15 of the Narrative Supporting Settlement Agreement that “…significant annual cost savings would result from purchasing water from LWD using the Lakewood Pipeline Project.”</w:t>
      </w:r>
    </w:p>
    <w:p w:rsidR="00DF23E4" w:rsidRDefault="00DF23E4" w:rsidP="00DF23E4">
      <w:pPr>
        <w:pStyle w:val="BodyTextIndent"/>
      </w:pPr>
      <w:r>
        <w:t>A.</w:t>
      </w:r>
      <w:r>
        <w:tab/>
        <w:t xml:space="preserve">Depending on the rates charged by COT, annual savings from purchasing LWD water rather than COT water begin at $205,295 for the first year of pipeline operations using the “less than 2.5 times” rate and $587,211 at the “greater than 2.5 times” rate.  Cumulative savings at each rate are calculated as well.  </w:t>
      </w:r>
    </w:p>
    <w:p w:rsidR="001A6A8F" w:rsidRDefault="001A6A8F" w:rsidP="00DF23E4">
      <w:pPr>
        <w:pStyle w:val="BodyTextIndent"/>
      </w:pPr>
    </w:p>
    <w:p w:rsidR="00DF23E4" w:rsidRDefault="00DF23E4" w:rsidP="00DF23E4">
      <w:pPr>
        <w:tabs>
          <w:tab w:val="left" w:pos="-1440"/>
        </w:tabs>
        <w:spacing w:line="480" w:lineRule="auto"/>
        <w:ind w:left="720" w:hanging="720"/>
        <w:rPr>
          <w:b/>
          <w:bCs/>
        </w:rPr>
      </w:pPr>
      <w:r>
        <w:rPr>
          <w:b/>
          <w:bCs/>
        </w:rPr>
        <w:lastRenderedPageBreak/>
        <w:t>Q.</w:t>
      </w:r>
      <w:r w:rsidR="001A6A8F">
        <w:rPr>
          <w:b/>
          <w:bCs/>
        </w:rPr>
        <w:tab/>
        <w:t>Please explain the statement in paragraph 15 of the Narrative Supporting Settlement Agreement that “</w:t>
      </w:r>
      <w:proofErr w:type="gramStart"/>
      <w:r w:rsidR="001A6A8F">
        <w:rPr>
          <w:b/>
          <w:bCs/>
        </w:rPr>
        <w:t>...[</w:t>
      </w:r>
      <w:proofErr w:type="gramEnd"/>
      <w:r w:rsidR="001A6A8F">
        <w:rPr>
          <w:b/>
          <w:bCs/>
        </w:rPr>
        <w:t>the] project will benefit all of Rainier View’s customers because of the significantly lower-cost water.”</w:t>
      </w:r>
    </w:p>
    <w:p w:rsidR="00DF23E4" w:rsidRDefault="00DF23E4" w:rsidP="00DF23E4">
      <w:pPr>
        <w:pStyle w:val="BodyTextIndent"/>
      </w:pPr>
      <w:r>
        <w:t>A.</w:t>
      </w:r>
      <w:r>
        <w:tab/>
      </w:r>
      <w:r w:rsidR="001A6A8F">
        <w:t xml:space="preserve">The cost of water purchased under wholesale water agreements is an allowable business cost which </w:t>
      </w:r>
      <w:r w:rsidR="004A40A2">
        <w:t xml:space="preserve">the Company </w:t>
      </w:r>
      <w:r w:rsidR="001A6A8F">
        <w:t>recover</w:t>
      </w:r>
      <w:r w:rsidR="004A40A2">
        <w:t>s</w:t>
      </w:r>
      <w:r w:rsidR="001A6A8F">
        <w:t xml:space="preserve"> in rates </w:t>
      </w:r>
      <w:r w:rsidR="004A40A2">
        <w:t xml:space="preserve">charged to </w:t>
      </w:r>
      <w:r w:rsidR="001A6A8F">
        <w:t>all customers of the water company.  Since all customers bear that cost, lowering the cost benefits all customers through lower rates.</w:t>
      </w:r>
    </w:p>
    <w:p w:rsidR="001A6A8F" w:rsidRDefault="001A6A8F" w:rsidP="00DF23E4">
      <w:pPr>
        <w:pStyle w:val="BodyTextIndent"/>
      </w:pPr>
    </w:p>
    <w:p w:rsidR="00DF23E4" w:rsidRDefault="00DF23E4" w:rsidP="00DF23E4">
      <w:pPr>
        <w:tabs>
          <w:tab w:val="left" w:pos="-1440"/>
        </w:tabs>
        <w:spacing w:line="480" w:lineRule="auto"/>
        <w:ind w:left="720" w:hanging="720"/>
        <w:rPr>
          <w:b/>
          <w:bCs/>
        </w:rPr>
      </w:pPr>
      <w:r>
        <w:rPr>
          <w:b/>
          <w:bCs/>
        </w:rPr>
        <w:t>Q.</w:t>
      </w:r>
      <w:r>
        <w:rPr>
          <w:b/>
          <w:bCs/>
        </w:rPr>
        <w:tab/>
      </w:r>
      <w:r w:rsidR="001A6A8F">
        <w:rPr>
          <w:b/>
          <w:bCs/>
        </w:rPr>
        <w:t>Please explain any other conclusions drawn from the analysis if relevant to the decision to fund the Lakewood Pipeline Project.</w:t>
      </w:r>
    </w:p>
    <w:p w:rsidR="00FB6F77" w:rsidRDefault="00DF23E4" w:rsidP="001C740B">
      <w:pPr>
        <w:widowControl w:val="0"/>
        <w:autoSpaceDE w:val="0"/>
        <w:autoSpaceDN w:val="0"/>
        <w:adjustRightInd w:val="0"/>
        <w:spacing w:line="480" w:lineRule="auto"/>
        <w:ind w:left="720" w:hanging="720"/>
      </w:pPr>
      <w:r>
        <w:t>A.</w:t>
      </w:r>
      <w:r>
        <w:tab/>
      </w:r>
      <w:r w:rsidR="001A6A8F">
        <w:t xml:space="preserve">The primary conclusion Staff drew from the analysis relevant to the decision to fund the Lakewood Pipeline Project is that wholesale water purchases are significantly more expensive from the City of Tacoma than from the Lakewood Water District.  </w:t>
      </w:r>
    </w:p>
    <w:p w:rsidR="00FB6F77" w:rsidRDefault="00FB6F77" w:rsidP="00C3471C">
      <w:pPr>
        <w:pStyle w:val="BodyTextIndent"/>
      </w:pPr>
    </w:p>
    <w:p w:rsidR="00C3471C" w:rsidRDefault="00C3471C" w:rsidP="00C3471C">
      <w:pPr>
        <w:pStyle w:val="BodyTextIndent"/>
        <w:numPr>
          <w:ilvl w:val="0"/>
          <w:numId w:val="1"/>
        </w:numPr>
        <w:ind w:hanging="720"/>
        <w:rPr>
          <w:b/>
          <w:bCs/>
        </w:rPr>
      </w:pPr>
      <w:r>
        <w:rPr>
          <w:b/>
          <w:bCs/>
        </w:rPr>
        <w:t>Does this conclude your testimony?</w:t>
      </w:r>
    </w:p>
    <w:p w:rsidR="00C3471C" w:rsidRDefault="00C3471C" w:rsidP="00C3471C">
      <w:pPr>
        <w:pStyle w:val="BodyTextIndent"/>
      </w:pPr>
      <w:r>
        <w:t>A.</w:t>
      </w:r>
      <w:r>
        <w:tab/>
        <w:t xml:space="preserve">Yes.  </w:t>
      </w:r>
    </w:p>
    <w:p w:rsidR="0089150B" w:rsidRDefault="0089150B"/>
    <w:sectPr w:rsidR="0089150B"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FB" w:rsidRDefault="00235BFB" w:rsidP="00C3471C">
      <w:r>
        <w:separator/>
      </w:r>
    </w:p>
  </w:endnote>
  <w:endnote w:type="continuationSeparator" w:id="0">
    <w:p w:rsidR="00235BFB" w:rsidRDefault="00235BFB" w:rsidP="00C3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75" w:rsidRPr="00DC40BC" w:rsidRDefault="00687675">
    <w:pPr>
      <w:pStyle w:val="Footer"/>
      <w:rPr>
        <w:sz w:val="20"/>
        <w:szCs w:val="20"/>
      </w:rPr>
    </w:pPr>
  </w:p>
  <w:p w:rsidR="00687675" w:rsidRPr="00DC40BC" w:rsidRDefault="00687675">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687675" w:rsidRPr="00DC40BC" w:rsidRDefault="00687675"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75" w:rsidRPr="00DC40BC" w:rsidRDefault="00687675">
    <w:pPr>
      <w:pStyle w:val="Footer"/>
      <w:rPr>
        <w:sz w:val="20"/>
        <w:szCs w:val="20"/>
      </w:rPr>
    </w:pPr>
  </w:p>
  <w:p w:rsidR="00687675" w:rsidRPr="00DC40BC" w:rsidRDefault="00687675">
    <w:pPr>
      <w:pStyle w:val="Footer"/>
      <w:rPr>
        <w:sz w:val="20"/>
        <w:szCs w:val="20"/>
      </w:rPr>
    </w:pPr>
    <w:r w:rsidRPr="00DC40BC">
      <w:rPr>
        <w:sz w:val="20"/>
        <w:szCs w:val="20"/>
      </w:rPr>
      <w:t>TESTIMONY O</w:t>
    </w:r>
    <w:r>
      <w:rPr>
        <w:sz w:val="20"/>
        <w:szCs w:val="20"/>
      </w:rPr>
      <w:t xml:space="preserve">F AMY WHITE </w:t>
    </w:r>
    <w:r>
      <w:rPr>
        <w:sz w:val="20"/>
        <w:szCs w:val="20"/>
      </w:rPr>
      <w:tab/>
    </w:r>
    <w:r>
      <w:rPr>
        <w:sz w:val="20"/>
        <w:szCs w:val="20"/>
      </w:rPr>
      <w:tab/>
      <w:t>Exhibit No. ___ (AW-1T)</w:t>
    </w:r>
  </w:p>
  <w:p w:rsidR="00687675" w:rsidRPr="00DC40BC" w:rsidRDefault="00687675" w:rsidP="00153ECA">
    <w:pPr>
      <w:pStyle w:val="Footer"/>
      <w:rPr>
        <w:sz w:val="20"/>
        <w:szCs w:val="20"/>
        <w:lang w:val="fr-FR"/>
      </w:rPr>
    </w:pPr>
    <w:r w:rsidRPr="00DC40BC">
      <w:rPr>
        <w:sz w:val="20"/>
        <w:szCs w:val="20"/>
      </w:rPr>
      <w:t>Docket</w:t>
    </w:r>
    <w:r>
      <w:rPr>
        <w:sz w:val="20"/>
        <w:szCs w:val="20"/>
      </w:rPr>
      <w:t xml:space="preserve"> UW-110054</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D44772">
      <w:rPr>
        <w:rStyle w:val="PageNumber"/>
        <w:noProof/>
        <w:sz w:val="20"/>
        <w:szCs w:val="20"/>
        <w:lang w:val="fr-FR"/>
      </w:rPr>
      <w:t>i</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FB" w:rsidRDefault="00235BFB" w:rsidP="00C3471C">
      <w:r>
        <w:separator/>
      </w:r>
    </w:p>
  </w:footnote>
  <w:footnote w:type="continuationSeparator" w:id="0">
    <w:p w:rsidR="00235BFB" w:rsidRDefault="00235BFB" w:rsidP="00C34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84C"/>
    <w:multiLevelType w:val="hybridMultilevel"/>
    <w:tmpl w:val="B09A815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45A65"/>
    <w:rsid w:val="00052407"/>
    <w:rsid w:val="00076A40"/>
    <w:rsid w:val="000A6154"/>
    <w:rsid w:val="000D50DF"/>
    <w:rsid w:val="000D7DE9"/>
    <w:rsid w:val="00153ECA"/>
    <w:rsid w:val="001A6A8F"/>
    <w:rsid w:val="001C5ABF"/>
    <w:rsid w:val="001C740B"/>
    <w:rsid w:val="001C7D79"/>
    <w:rsid w:val="00235BFB"/>
    <w:rsid w:val="002400D3"/>
    <w:rsid w:val="00250D4D"/>
    <w:rsid w:val="002C48D4"/>
    <w:rsid w:val="002E5A0D"/>
    <w:rsid w:val="002F4529"/>
    <w:rsid w:val="00357EE3"/>
    <w:rsid w:val="003C449C"/>
    <w:rsid w:val="003C75B1"/>
    <w:rsid w:val="00443AF2"/>
    <w:rsid w:val="004828CF"/>
    <w:rsid w:val="004A40A2"/>
    <w:rsid w:val="005F1E49"/>
    <w:rsid w:val="00687675"/>
    <w:rsid w:val="006C59CF"/>
    <w:rsid w:val="006E6D9A"/>
    <w:rsid w:val="00712B10"/>
    <w:rsid w:val="007E539D"/>
    <w:rsid w:val="007F3333"/>
    <w:rsid w:val="00865436"/>
    <w:rsid w:val="0089150B"/>
    <w:rsid w:val="0089693E"/>
    <w:rsid w:val="008F0211"/>
    <w:rsid w:val="009A0878"/>
    <w:rsid w:val="009E2FB3"/>
    <w:rsid w:val="00A15DBB"/>
    <w:rsid w:val="00A16BA3"/>
    <w:rsid w:val="00A84E64"/>
    <w:rsid w:val="00A937CA"/>
    <w:rsid w:val="00B257D0"/>
    <w:rsid w:val="00B67669"/>
    <w:rsid w:val="00B85D0A"/>
    <w:rsid w:val="00BD7368"/>
    <w:rsid w:val="00BD7B7D"/>
    <w:rsid w:val="00C3471C"/>
    <w:rsid w:val="00C87BE6"/>
    <w:rsid w:val="00CB3175"/>
    <w:rsid w:val="00D12BEE"/>
    <w:rsid w:val="00D44772"/>
    <w:rsid w:val="00D51DA2"/>
    <w:rsid w:val="00D5543B"/>
    <w:rsid w:val="00DC40BC"/>
    <w:rsid w:val="00DE3DA3"/>
    <w:rsid w:val="00DF23E4"/>
    <w:rsid w:val="00E11A9B"/>
    <w:rsid w:val="00E20113"/>
    <w:rsid w:val="00EA5286"/>
    <w:rsid w:val="00F002CC"/>
    <w:rsid w:val="00F43FD5"/>
    <w:rsid w:val="00FB2A42"/>
    <w:rsid w:val="00FB6F77"/>
    <w:rsid w:val="00FC3310"/>
    <w:rsid w:val="00FC5CD8"/>
    <w:rsid w:val="00FE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paragraph" w:styleId="BalloonText">
    <w:name w:val="Balloon Text"/>
    <w:basedOn w:val="Normal"/>
    <w:link w:val="BalloonTextChar"/>
    <w:uiPriority w:val="99"/>
    <w:semiHidden/>
    <w:unhideWhenUsed/>
    <w:rsid w:val="00D51DA2"/>
    <w:rPr>
      <w:rFonts w:ascii="Tahoma" w:hAnsi="Tahoma" w:cs="Tahoma"/>
      <w:sz w:val="16"/>
      <w:szCs w:val="16"/>
    </w:rPr>
  </w:style>
  <w:style w:type="character" w:customStyle="1" w:styleId="BalloonTextChar">
    <w:name w:val="Balloon Text Char"/>
    <w:basedOn w:val="DefaultParagraphFont"/>
    <w:link w:val="BalloonText"/>
    <w:uiPriority w:val="99"/>
    <w:semiHidden/>
    <w:rsid w:val="00D51D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40A2"/>
    <w:rPr>
      <w:sz w:val="16"/>
      <w:szCs w:val="16"/>
    </w:rPr>
  </w:style>
  <w:style w:type="paragraph" w:styleId="CommentText">
    <w:name w:val="annotation text"/>
    <w:basedOn w:val="Normal"/>
    <w:link w:val="CommentTextChar"/>
    <w:uiPriority w:val="99"/>
    <w:semiHidden/>
    <w:unhideWhenUsed/>
    <w:rsid w:val="004A40A2"/>
    <w:rPr>
      <w:sz w:val="20"/>
      <w:szCs w:val="20"/>
    </w:rPr>
  </w:style>
  <w:style w:type="character" w:customStyle="1" w:styleId="CommentTextChar">
    <w:name w:val="Comment Text Char"/>
    <w:basedOn w:val="DefaultParagraphFont"/>
    <w:link w:val="CommentText"/>
    <w:uiPriority w:val="99"/>
    <w:semiHidden/>
    <w:rsid w:val="004A40A2"/>
    <w:rPr>
      <w:rFonts w:eastAsia="Times New Roman"/>
    </w:rPr>
  </w:style>
  <w:style w:type="paragraph" w:styleId="CommentSubject">
    <w:name w:val="annotation subject"/>
    <w:basedOn w:val="CommentText"/>
    <w:next w:val="CommentText"/>
    <w:link w:val="CommentSubjectChar"/>
    <w:uiPriority w:val="99"/>
    <w:semiHidden/>
    <w:unhideWhenUsed/>
    <w:rsid w:val="004A40A2"/>
    <w:rPr>
      <w:b/>
      <w:bCs/>
    </w:rPr>
  </w:style>
  <w:style w:type="character" w:customStyle="1" w:styleId="CommentSubjectChar">
    <w:name w:val="Comment Subject Char"/>
    <w:basedOn w:val="CommentTextChar"/>
    <w:link w:val="CommentSubject"/>
    <w:uiPriority w:val="99"/>
    <w:semiHidden/>
    <w:rsid w:val="004A40A2"/>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paragraph" w:styleId="BalloonText">
    <w:name w:val="Balloon Text"/>
    <w:basedOn w:val="Normal"/>
    <w:link w:val="BalloonTextChar"/>
    <w:uiPriority w:val="99"/>
    <w:semiHidden/>
    <w:unhideWhenUsed/>
    <w:rsid w:val="00D51DA2"/>
    <w:rPr>
      <w:rFonts w:ascii="Tahoma" w:hAnsi="Tahoma" w:cs="Tahoma"/>
      <w:sz w:val="16"/>
      <w:szCs w:val="16"/>
    </w:rPr>
  </w:style>
  <w:style w:type="character" w:customStyle="1" w:styleId="BalloonTextChar">
    <w:name w:val="Balloon Text Char"/>
    <w:basedOn w:val="DefaultParagraphFont"/>
    <w:link w:val="BalloonText"/>
    <w:uiPriority w:val="99"/>
    <w:semiHidden/>
    <w:rsid w:val="00D51D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40A2"/>
    <w:rPr>
      <w:sz w:val="16"/>
      <w:szCs w:val="16"/>
    </w:rPr>
  </w:style>
  <w:style w:type="paragraph" w:styleId="CommentText">
    <w:name w:val="annotation text"/>
    <w:basedOn w:val="Normal"/>
    <w:link w:val="CommentTextChar"/>
    <w:uiPriority w:val="99"/>
    <w:semiHidden/>
    <w:unhideWhenUsed/>
    <w:rsid w:val="004A40A2"/>
    <w:rPr>
      <w:sz w:val="20"/>
      <w:szCs w:val="20"/>
    </w:rPr>
  </w:style>
  <w:style w:type="character" w:customStyle="1" w:styleId="CommentTextChar">
    <w:name w:val="Comment Text Char"/>
    <w:basedOn w:val="DefaultParagraphFont"/>
    <w:link w:val="CommentText"/>
    <w:uiPriority w:val="99"/>
    <w:semiHidden/>
    <w:rsid w:val="004A40A2"/>
    <w:rPr>
      <w:rFonts w:eastAsia="Times New Roman"/>
    </w:rPr>
  </w:style>
  <w:style w:type="paragraph" w:styleId="CommentSubject">
    <w:name w:val="annotation subject"/>
    <w:basedOn w:val="CommentText"/>
    <w:next w:val="CommentText"/>
    <w:link w:val="CommentSubjectChar"/>
    <w:uiPriority w:val="99"/>
    <w:semiHidden/>
    <w:unhideWhenUsed/>
    <w:rsid w:val="004A40A2"/>
    <w:rPr>
      <w:b/>
      <w:bCs/>
    </w:rPr>
  </w:style>
  <w:style w:type="character" w:customStyle="1" w:styleId="CommentSubjectChar">
    <w:name w:val="Comment Subject Char"/>
    <w:basedOn w:val="CommentTextChar"/>
    <w:link w:val="CommentSubject"/>
    <w:uiPriority w:val="99"/>
    <w:semiHidden/>
    <w:rsid w:val="004A40A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05638">
      <w:bodyDiv w:val="1"/>
      <w:marLeft w:val="0"/>
      <w:marRight w:val="0"/>
      <w:marTop w:val="0"/>
      <w:marBottom w:val="0"/>
      <w:divBdr>
        <w:top w:val="none" w:sz="0" w:space="0" w:color="auto"/>
        <w:left w:val="none" w:sz="0" w:space="0" w:color="auto"/>
        <w:bottom w:val="none" w:sz="0" w:space="0" w:color="auto"/>
        <w:right w:val="none" w:sz="0" w:space="0" w:color="auto"/>
      </w:divBdr>
    </w:div>
    <w:div w:id="14389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2012-06-25T07:00:00+00:00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BB1E-6805-486B-B5F4-A92670FE5947}"/>
</file>

<file path=customXml/itemProps2.xml><?xml version="1.0" encoding="utf-8"?>
<ds:datastoreItem xmlns:ds="http://schemas.openxmlformats.org/officeDocument/2006/customXml" ds:itemID="{DCB1FFF5-EFEB-47C6-9C64-4EA16E0E7004}"/>
</file>

<file path=customXml/itemProps3.xml><?xml version="1.0" encoding="utf-8"?>
<ds:datastoreItem xmlns:ds="http://schemas.openxmlformats.org/officeDocument/2006/customXml" ds:itemID="{0C4FC609-7557-4666-9F75-882BBF0A8DB1}"/>
</file>

<file path=customXml/itemProps4.xml><?xml version="1.0" encoding="utf-8"?>
<ds:datastoreItem xmlns:ds="http://schemas.openxmlformats.org/officeDocument/2006/customXml" ds:itemID="{03E86521-C894-4F25-B957-725F83091315}"/>
</file>

<file path=customXml/itemProps5.xml><?xml version="1.0" encoding="utf-8"?>
<ds:datastoreItem xmlns:ds="http://schemas.openxmlformats.org/officeDocument/2006/customXml" ds:itemID="{0880D422-7ADF-426A-96C9-77970F555FC5}"/>
</file>

<file path=docProps/app.xml><?xml version="1.0" encoding="utf-8"?>
<Properties xmlns="http://schemas.openxmlformats.org/officeDocument/2006/extended-properties" xmlns:vt="http://schemas.openxmlformats.org/officeDocument/2006/docPropsVTypes">
  <Template>Normal</Template>
  <TotalTime>1</TotalTime>
  <Pages>7</Pages>
  <Words>1053</Words>
  <Characters>6007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Attachment 5.c Amy White Testimony</vt:lpstr>
    </vt:vector>
  </TitlesOfParts>
  <Company>Washington Utilities and Transportation Commission</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5.c Amy White Testimony</dc:title>
  <dc:creator>Krista Gross</dc:creator>
  <cp:lastModifiedBy>Fassio, Michael (UTC)</cp:lastModifiedBy>
  <cp:revision>2</cp:revision>
  <cp:lastPrinted>2012-06-20T18:29:00Z</cp:lastPrinted>
  <dcterms:created xsi:type="dcterms:W3CDTF">2012-06-22T18:44:00Z</dcterms:created>
  <dcterms:modified xsi:type="dcterms:W3CDTF">2012-06-22T18:44:00Z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0x0101006E56B4D1795A2E4DB2F0B01679ED314A001B6AF541BA1A154CB1BD3E6CD891F4F4</vt:lpwstr>
  </property>
  <property fmtid="{D5CDD505-2E9C-101B-9397-08002B2CF9AE}" pid="3" name="_docset_NoMedatataSyncRequired">
    <vt:lpwstr>False</vt:lpwstr>
  </property>
</Properties>
</file>