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F7" w:rsidRPr="001923C1" w:rsidRDefault="00367CF7" w:rsidP="00BD3264">
      <w:pPr>
        <w:spacing w:after="0" w:line="240" w:lineRule="auto"/>
        <w:jc w:val="center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smartTag w:uri="urn:schemas-microsoft-com:office:smarttags" w:element="State">
        <w:smartTag w:uri="urn:schemas-microsoft-com:office:smarttags" w:element="place">
          <w:r w:rsidRPr="001D610C">
            <w:rPr>
              <w:rFonts w:ascii="Comic Sans MS" w:hAnsi="Comic Sans MS" w:cs="Times New Roman"/>
              <w:b/>
              <w:bCs/>
              <w:sz w:val="20"/>
              <w:szCs w:val="20"/>
              <w:u w:val="single"/>
            </w:rPr>
            <w:t>WAS</w:t>
          </w:r>
          <w:r w:rsidRPr="001923C1">
            <w:rPr>
              <w:rFonts w:ascii="Comic Sans MS" w:hAnsi="Comic Sans MS" w:cs="Times New Roman"/>
              <w:b/>
              <w:bCs/>
              <w:sz w:val="20"/>
              <w:szCs w:val="20"/>
              <w:u w:val="single"/>
            </w:rPr>
            <w:t>HINGTON</w:t>
          </w:r>
        </w:smartTag>
      </w:smartTag>
      <w:r w:rsidRPr="001923C1">
        <w:rPr>
          <w:rFonts w:ascii="Comic Sans MS" w:hAnsi="Comic Sans MS" w:cs="Times New Roman"/>
          <w:b/>
          <w:bCs/>
          <w:sz w:val="20"/>
          <w:szCs w:val="20"/>
          <w:u w:val="single"/>
        </w:rPr>
        <w:t xml:space="preserve"> UNIVERSAL SERVICE/ACCESS REFORM PACKAGE</w:t>
      </w:r>
    </w:p>
    <w:p w:rsidR="00367CF7" w:rsidRPr="001923C1" w:rsidRDefault="00367CF7" w:rsidP="004A1352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:rsidR="00367CF7" w:rsidRPr="001923C1" w:rsidRDefault="00367CF7" w:rsidP="004A1352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923C1">
        <w:rPr>
          <w:rFonts w:ascii="Comic Sans MS" w:hAnsi="Comic Sans MS" w:cs="Times New Roman"/>
          <w:sz w:val="20"/>
          <w:szCs w:val="20"/>
        </w:rPr>
        <w:tab/>
        <w:t xml:space="preserve">The public </w:t>
      </w:r>
      <w:r>
        <w:rPr>
          <w:rFonts w:ascii="Comic Sans MS" w:hAnsi="Comic Sans MS" w:cs="Times New Roman"/>
          <w:sz w:val="20"/>
          <w:szCs w:val="20"/>
        </w:rPr>
        <w:t>communications</w:t>
      </w:r>
      <w:r w:rsidRPr="001923C1">
        <w:rPr>
          <w:rFonts w:ascii="Comic Sans MS" w:hAnsi="Comic Sans MS" w:cs="Times New Roman"/>
          <w:sz w:val="20"/>
          <w:szCs w:val="20"/>
        </w:rPr>
        <w:t xml:space="preserve"> network is the communication link that supports economic development, broadband access and modern communications in rural </w:t>
      </w:r>
      <w:smartTag w:uri="urn:schemas-microsoft-com:office:smarttags" w:element="State">
        <w:smartTag w:uri="urn:schemas-microsoft-com:office:smarttags" w:element="place">
          <w:r w:rsidRPr="001923C1">
            <w:rPr>
              <w:rFonts w:ascii="Comic Sans MS" w:hAnsi="Comic Sans MS" w:cs="Times New Roman"/>
              <w:sz w:val="20"/>
              <w:szCs w:val="20"/>
            </w:rPr>
            <w:t>Washington</w:t>
          </w:r>
        </w:smartTag>
      </w:smartTag>
      <w:r w:rsidRPr="001923C1">
        <w:rPr>
          <w:rFonts w:ascii="Comic Sans MS" w:hAnsi="Comic Sans MS" w:cs="Times New Roman"/>
          <w:sz w:val="20"/>
          <w:szCs w:val="20"/>
        </w:rPr>
        <w:t xml:space="preserve">.  The goal of universal service legislation is to promote and preserve a network which brings vitality into rural </w:t>
      </w:r>
      <w:smartTag w:uri="urn:schemas-microsoft-com:office:smarttags" w:element="State">
        <w:smartTag w:uri="urn:schemas-microsoft-com:office:smarttags" w:element="place">
          <w:r w:rsidRPr="001923C1">
            <w:rPr>
              <w:rFonts w:ascii="Comic Sans MS" w:hAnsi="Comic Sans MS" w:cs="Times New Roman"/>
              <w:sz w:val="20"/>
              <w:szCs w:val="20"/>
            </w:rPr>
            <w:t>Washington</w:t>
          </w:r>
        </w:smartTag>
      </w:smartTag>
      <w:r w:rsidRPr="001923C1">
        <w:rPr>
          <w:rFonts w:ascii="Comic Sans MS" w:hAnsi="Comic Sans MS" w:cs="Times New Roman"/>
          <w:sz w:val="20"/>
          <w:szCs w:val="20"/>
        </w:rPr>
        <w:t xml:space="preserve">.  The concept is to create a fund that meets the economic and communication needs of rural </w:t>
      </w:r>
      <w:smartTag w:uri="urn:schemas-microsoft-com:office:smarttags" w:element="State">
        <w:smartTag w:uri="urn:schemas-microsoft-com:office:smarttags" w:element="place">
          <w:r w:rsidRPr="001923C1">
            <w:rPr>
              <w:rFonts w:ascii="Comic Sans MS" w:hAnsi="Comic Sans MS" w:cs="Times New Roman"/>
              <w:sz w:val="20"/>
              <w:szCs w:val="20"/>
            </w:rPr>
            <w:t>Washington</w:t>
          </w:r>
        </w:smartTag>
      </w:smartTag>
      <w:r w:rsidRPr="001923C1">
        <w:rPr>
          <w:rFonts w:ascii="Comic Sans MS" w:hAnsi="Comic Sans MS" w:cs="Times New Roman"/>
          <w:sz w:val="20"/>
          <w:szCs w:val="20"/>
        </w:rPr>
        <w:t>, will transition over time to a broadband fund and accomplishes access reform goals.</w:t>
      </w:r>
    </w:p>
    <w:p w:rsidR="00367CF7" w:rsidRPr="001923C1" w:rsidRDefault="00367CF7" w:rsidP="00800FDA">
      <w:pPr>
        <w:pStyle w:val="ListParagraph"/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:rsidR="00367CF7" w:rsidRPr="001923C1" w:rsidRDefault="00367CF7" w:rsidP="00800FD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1923C1">
            <w:rPr>
              <w:rFonts w:ascii="Comic Sans MS" w:hAnsi="Comic Sans MS" w:cs="Times New Roman"/>
              <w:sz w:val="20"/>
              <w:szCs w:val="20"/>
            </w:rPr>
            <w:t>Washington</w:t>
          </w:r>
        </w:smartTag>
      </w:smartTag>
      <w:r w:rsidRPr="001923C1">
        <w:rPr>
          <w:rFonts w:ascii="Comic Sans MS" w:hAnsi="Comic Sans MS" w:cs="Times New Roman"/>
          <w:sz w:val="20"/>
          <w:szCs w:val="20"/>
        </w:rPr>
        <w:t xml:space="preserve"> Universal Service Reform - Contributions</w:t>
      </w:r>
    </w:p>
    <w:p w:rsidR="00367CF7" w:rsidRPr="001923C1" w:rsidRDefault="00367CF7" w:rsidP="00800FDA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All carriers, defined broadly,</w:t>
      </w:r>
      <w:r w:rsidRPr="001923C1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 xml:space="preserve">who use the network </w:t>
      </w:r>
      <w:r w:rsidRPr="001923C1">
        <w:rPr>
          <w:rFonts w:ascii="Comic Sans MS" w:hAnsi="Comic Sans MS" w:cs="Times New Roman"/>
          <w:sz w:val="20"/>
          <w:szCs w:val="20"/>
        </w:rPr>
        <w:t xml:space="preserve">pay to support the public </w:t>
      </w:r>
      <w:r>
        <w:rPr>
          <w:rFonts w:ascii="Comic Sans MS" w:hAnsi="Comic Sans MS" w:cs="Times New Roman"/>
          <w:sz w:val="20"/>
          <w:szCs w:val="20"/>
        </w:rPr>
        <w:t>communications</w:t>
      </w:r>
      <w:r w:rsidRPr="001923C1">
        <w:rPr>
          <w:rFonts w:ascii="Comic Sans MS" w:hAnsi="Comic Sans MS" w:cs="Times New Roman"/>
          <w:sz w:val="20"/>
          <w:szCs w:val="20"/>
        </w:rPr>
        <w:t xml:space="preserve"> network</w:t>
      </w:r>
    </w:p>
    <w:p w:rsidR="00367CF7" w:rsidRPr="001923C1" w:rsidRDefault="00367CF7" w:rsidP="00800FDA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Contribution mechanism developed by Commission</w:t>
      </w:r>
      <w:r w:rsidRPr="001923C1">
        <w:rPr>
          <w:rFonts w:ascii="Comic Sans MS" w:hAnsi="Comic Sans MS" w:cs="Times New Roman"/>
          <w:sz w:val="20"/>
          <w:szCs w:val="20"/>
        </w:rPr>
        <w:t xml:space="preserve"> </w:t>
      </w:r>
    </w:p>
    <w:p w:rsidR="00367CF7" w:rsidRPr="001923C1" w:rsidRDefault="00367CF7" w:rsidP="00800FDA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923C1">
        <w:rPr>
          <w:rFonts w:ascii="Comic Sans MS" w:hAnsi="Comic Sans MS" w:cs="Times New Roman"/>
          <w:sz w:val="20"/>
          <w:szCs w:val="20"/>
        </w:rPr>
        <w:t xml:space="preserve">Universal Service Fund administered by the </w:t>
      </w:r>
      <w:r>
        <w:rPr>
          <w:rFonts w:ascii="Comic Sans MS" w:hAnsi="Comic Sans MS" w:cs="Times New Roman"/>
          <w:sz w:val="20"/>
          <w:szCs w:val="20"/>
        </w:rPr>
        <w:t>Commission</w:t>
      </w:r>
      <w:r w:rsidRPr="001923C1">
        <w:rPr>
          <w:rFonts w:ascii="Comic Sans MS" w:hAnsi="Comic Sans MS" w:cs="Times New Roman"/>
          <w:sz w:val="20"/>
          <w:szCs w:val="20"/>
        </w:rPr>
        <w:t xml:space="preserve"> through WECA or such other administrator as the Commission may designate</w:t>
      </w:r>
    </w:p>
    <w:p w:rsidR="00367CF7" w:rsidRPr="001923C1" w:rsidRDefault="00367CF7" w:rsidP="00800FDA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923C1">
        <w:rPr>
          <w:rFonts w:ascii="Comic Sans MS" w:hAnsi="Comic Sans MS" w:cs="Times New Roman"/>
          <w:sz w:val="20"/>
          <w:szCs w:val="20"/>
        </w:rPr>
        <w:t>Commission sets definitions and contribution amount.  Commission has enforcement powers.</w:t>
      </w:r>
    </w:p>
    <w:p w:rsidR="00367CF7" w:rsidRPr="001923C1" w:rsidRDefault="00367CF7" w:rsidP="00E2404F">
      <w:pPr>
        <w:pStyle w:val="ListParagraph"/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:rsidR="00367CF7" w:rsidRPr="001923C1" w:rsidRDefault="00367CF7" w:rsidP="007513E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Access Reform Track</w:t>
      </w:r>
    </w:p>
    <w:p w:rsidR="00367CF7" w:rsidRPr="001923C1" w:rsidRDefault="00367CF7" w:rsidP="007513E7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923C1">
        <w:rPr>
          <w:rFonts w:ascii="Comic Sans MS" w:hAnsi="Comic Sans MS" w:cs="Times New Roman"/>
          <w:sz w:val="20"/>
          <w:szCs w:val="20"/>
        </w:rPr>
        <w:t>Eligible providers – ILECs with less than 2% of state access lines.</w:t>
      </w:r>
    </w:p>
    <w:p w:rsidR="00367CF7" w:rsidRPr="001923C1" w:rsidRDefault="00367CF7" w:rsidP="007513E7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923C1">
        <w:rPr>
          <w:rFonts w:ascii="Comic Sans MS" w:hAnsi="Comic Sans MS" w:cs="Times New Roman"/>
          <w:sz w:val="20"/>
          <w:szCs w:val="20"/>
        </w:rPr>
        <w:t xml:space="preserve">Support based on switched access revenue reduction, adjusted for </w:t>
      </w:r>
      <w:r>
        <w:rPr>
          <w:rFonts w:ascii="Comic Sans MS" w:hAnsi="Comic Sans MS" w:cs="Times New Roman"/>
          <w:sz w:val="20"/>
          <w:szCs w:val="20"/>
        </w:rPr>
        <w:t xml:space="preserve">local service </w:t>
      </w:r>
      <w:r w:rsidRPr="001923C1">
        <w:rPr>
          <w:rFonts w:ascii="Comic Sans MS" w:hAnsi="Comic Sans MS" w:cs="Times New Roman"/>
          <w:sz w:val="20"/>
          <w:szCs w:val="20"/>
        </w:rPr>
        <w:t>benchmark rate</w:t>
      </w:r>
      <w:r>
        <w:rPr>
          <w:rFonts w:ascii="Comic Sans MS" w:hAnsi="Comic Sans MS" w:cs="Times New Roman"/>
          <w:sz w:val="20"/>
          <w:szCs w:val="20"/>
        </w:rPr>
        <w:t xml:space="preserve"> which includes EAS</w:t>
      </w:r>
    </w:p>
    <w:p w:rsidR="00367CF7" w:rsidRPr="001923C1" w:rsidRDefault="00367CF7" w:rsidP="007513E7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923C1">
        <w:rPr>
          <w:rFonts w:ascii="Comic Sans MS" w:hAnsi="Comic Sans MS" w:cs="Times New Roman"/>
          <w:sz w:val="20"/>
          <w:szCs w:val="20"/>
        </w:rPr>
        <w:t>One time calculation</w:t>
      </w:r>
    </w:p>
    <w:p w:rsidR="00367CF7" w:rsidRPr="001923C1" w:rsidRDefault="00367CF7" w:rsidP="007513E7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923C1">
        <w:rPr>
          <w:rFonts w:ascii="Comic Sans MS" w:hAnsi="Comic Sans MS" w:cs="Times New Roman"/>
          <w:sz w:val="20"/>
          <w:szCs w:val="20"/>
        </w:rPr>
        <w:t>Simplified earnings review as threshold</w:t>
      </w:r>
      <w:r>
        <w:rPr>
          <w:rFonts w:ascii="Comic Sans MS" w:hAnsi="Comic Sans MS" w:cs="Times New Roman"/>
          <w:sz w:val="20"/>
          <w:szCs w:val="20"/>
        </w:rPr>
        <w:t>--uses total company regulated revenues and expenses with Part 64 adjustments explained</w:t>
      </w:r>
    </w:p>
    <w:p w:rsidR="00367CF7" w:rsidRPr="001923C1" w:rsidRDefault="00367CF7" w:rsidP="007513E7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ILEC</w:t>
      </w:r>
      <w:r w:rsidRPr="001923C1">
        <w:rPr>
          <w:rFonts w:ascii="Comic Sans MS" w:hAnsi="Comic Sans MS" w:cs="Times New Roman"/>
          <w:sz w:val="20"/>
          <w:szCs w:val="20"/>
        </w:rPr>
        <w:t xml:space="preserve"> may propose transition plan for reaching benchmark</w:t>
      </w:r>
    </w:p>
    <w:p w:rsidR="00367CF7" w:rsidRDefault="00367CF7" w:rsidP="008E2AC0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923C1">
        <w:rPr>
          <w:rFonts w:ascii="Comic Sans MS" w:hAnsi="Comic Sans MS" w:cs="Times New Roman"/>
          <w:sz w:val="20"/>
          <w:szCs w:val="20"/>
        </w:rPr>
        <w:t xml:space="preserve">May elect to </w:t>
      </w:r>
      <w:r>
        <w:rPr>
          <w:rFonts w:ascii="Comic Sans MS" w:hAnsi="Comic Sans MS" w:cs="Times New Roman"/>
          <w:sz w:val="20"/>
          <w:szCs w:val="20"/>
        </w:rPr>
        <w:t>seek</w:t>
      </w:r>
      <w:r w:rsidRPr="001923C1">
        <w:rPr>
          <w:rFonts w:ascii="Comic Sans MS" w:hAnsi="Comic Sans MS" w:cs="Times New Roman"/>
          <w:sz w:val="20"/>
          <w:szCs w:val="20"/>
        </w:rPr>
        <w:t xml:space="preserve">  </w:t>
      </w:r>
      <w:r>
        <w:rPr>
          <w:rFonts w:ascii="Comic Sans MS" w:hAnsi="Comic Sans MS" w:cs="Times New Roman"/>
          <w:sz w:val="20"/>
          <w:szCs w:val="20"/>
        </w:rPr>
        <w:t>h</w:t>
      </w:r>
      <w:r w:rsidRPr="001923C1">
        <w:rPr>
          <w:rFonts w:ascii="Comic Sans MS" w:hAnsi="Comic Sans MS" w:cs="Times New Roman"/>
          <w:sz w:val="20"/>
          <w:szCs w:val="20"/>
        </w:rPr>
        <w:t xml:space="preserve">igh </w:t>
      </w:r>
      <w:r>
        <w:rPr>
          <w:rFonts w:ascii="Comic Sans MS" w:hAnsi="Comic Sans MS" w:cs="Times New Roman"/>
          <w:sz w:val="20"/>
          <w:szCs w:val="20"/>
        </w:rPr>
        <w:t>c</w:t>
      </w:r>
      <w:r w:rsidRPr="001923C1">
        <w:rPr>
          <w:rFonts w:ascii="Comic Sans MS" w:hAnsi="Comic Sans MS" w:cs="Times New Roman"/>
          <w:sz w:val="20"/>
          <w:szCs w:val="20"/>
        </w:rPr>
        <w:t xml:space="preserve">ost </w:t>
      </w:r>
      <w:r>
        <w:rPr>
          <w:rFonts w:ascii="Comic Sans MS" w:hAnsi="Comic Sans MS" w:cs="Times New Roman"/>
          <w:sz w:val="20"/>
          <w:szCs w:val="20"/>
        </w:rPr>
        <w:t>support</w:t>
      </w:r>
      <w:r w:rsidRPr="001923C1">
        <w:rPr>
          <w:rFonts w:ascii="Comic Sans MS" w:hAnsi="Comic Sans MS" w:cs="Times New Roman"/>
          <w:sz w:val="20"/>
          <w:szCs w:val="20"/>
        </w:rPr>
        <w:t xml:space="preserve"> </w:t>
      </w:r>
    </w:p>
    <w:p w:rsidR="00367CF7" w:rsidRDefault="00367CF7" w:rsidP="00330B12">
      <w:pPr>
        <w:pStyle w:val="ListParagraph"/>
        <w:spacing w:after="0" w:line="240" w:lineRule="auto"/>
        <w:ind w:left="108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ab/>
        <w:t>High cost support elements:</w:t>
      </w:r>
    </w:p>
    <w:p w:rsidR="00367CF7" w:rsidRDefault="00367CF7" w:rsidP="00EE77C0">
      <w:pPr>
        <w:pStyle w:val="ListParagraph"/>
        <w:numPr>
          <w:ilvl w:val="2"/>
          <w:numId w:val="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DD3F48">
        <w:rPr>
          <w:rFonts w:ascii="Comic Sans MS" w:hAnsi="Comic Sans MS" w:cs="Times New Roman"/>
          <w:sz w:val="20"/>
          <w:szCs w:val="20"/>
        </w:rPr>
        <w:t>High cost measured on wire center basis</w:t>
      </w:r>
      <w:r w:rsidRPr="00330B12">
        <w:rPr>
          <w:rFonts w:ascii="Comic Sans MS" w:hAnsi="Comic Sans MS" w:cs="Times New Roman"/>
          <w:sz w:val="20"/>
          <w:szCs w:val="20"/>
        </w:rPr>
        <w:t xml:space="preserve"> under cost standard set by Commission</w:t>
      </w:r>
    </w:p>
    <w:p w:rsidR="00367CF7" w:rsidRDefault="00367CF7" w:rsidP="0022567B">
      <w:pPr>
        <w:pStyle w:val="ListParagraph"/>
        <w:spacing w:after="0" w:line="240" w:lineRule="auto"/>
        <w:ind w:left="180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ii.</w:t>
      </w:r>
      <w:r>
        <w:rPr>
          <w:rFonts w:ascii="Comic Sans MS" w:hAnsi="Comic Sans MS" w:cs="Times New Roman"/>
          <w:sz w:val="20"/>
          <w:szCs w:val="20"/>
        </w:rPr>
        <w:tab/>
        <w:t>COLR obligations established by Commission</w:t>
      </w:r>
    </w:p>
    <w:p w:rsidR="00367CF7" w:rsidRPr="00DD3F48" w:rsidRDefault="00367CF7" w:rsidP="0022567B">
      <w:pPr>
        <w:pStyle w:val="ListParagraph"/>
        <w:spacing w:after="0" w:line="240" w:lineRule="auto"/>
        <w:ind w:left="180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iii.</w:t>
      </w:r>
      <w:r>
        <w:rPr>
          <w:rFonts w:ascii="Comic Sans MS" w:hAnsi="Comic Sans MS" w:cs="Times New Roman"/>
          <w:sz w:val="20"/>
          <w:szCs w:val="20"/>
        </w:rPr>
        <w:tab/>
        <w:t>One supported carrier per area for high cost purposes</w:t>
      </w:r>
    </w:p>
    <w:p w:rsidR="00367CF7" w:rsidRDefault="00367CF7" w:rsidP="0022567B">
      <w:pPr>
        <w:pStyle w:val="ListParagraph"/>
        <w:spacing w:after="0" w:line="240" w:lineRule="auto"/>
        <w:ind w:left="180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iv</w:t>
      </w:r>
      <w:r w:rsidRPr="00DD3F48">
        <w:rPr>
          <w:rFonts w:ascii="Comic Sans MS" w:hAnsi="Comic Sans MS" w:cs="Times New Roman"/>
          <w:sz w:val="20"/>
          <w:szCs w:val="20"/>
        </w:rPr>
        <w:t xml:space="preserve">. 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Pr="00DD3F48">
        <w:rPr>
          <w:rFonts w:ascii="Comic Sans MS" w:hAnsi="Comic Sans MS" w:cs="Times New Roman"/>
          <w:sz w:val="20"/>
          <w:szCs w:val="20"/>
        </w:rPr>
        <w:t xml:space="preserve">All other service providers operating in the designated area are </w:t>
      </w:r>
      <w:r>
        <w:rPr>
          <w:rFonts w:ascii="Comic Sans MS" w:hAnsi="Comic Sans MS" w:cs="Times New Roman"/>
          <w:sz w:val="20"/>
          <w:szCs w:val="20"/>
        </w:rPr>
        <w:tab/>
      </w:r>
      <w:r w:rsidRPr="00DD3F48">
        <w:rPr>
          <w:rFonts w:ascii="Comic Sans MS" w:hAnsi="Comic Sans MS" w:cs="Times New Roman"/>
          <w:sz w:val="20"/>
          <w:szCs w:val="20"/>
        </w:rPr>
        <w:t xml:space="preserve">automatically relieved of COLR responsibilities, except to the extent of </w:t>
      </w:r>
      <w:r>
        <w:rPr>
          <w:rFonts w:ascii="Comic Sans MS" w:hAnsi="Comic Sans MS" w:cs="Times New Roman"/>
          <w:sz w:val="20"/>
          <w:szCs w:val="20"/>
        </w:rPr>
        <w:tab/>
      </w:r>
      <w:r w:rsidRPr="00DD3F48">
        <w:rPr>
          <w:rFonts w:ascii="Comic Sans MS" w:hAnsi="Comic Sans MS" w:cs="Times New Roman"/>
          <w:sz w:val="20"/>
          <w:szCs w:val="20"/>
        </w:rPr>
        <w:t>commitments for federal ETC status</w:t>
      </w:r>
    </w:p>
    <w:p w:rsidR="00367CF7" w:rsidRPr="00330B12" w:rsidRDefault="00367CF7" w:rsidP="0022567B">
      <w:pPr>
        <w:pStyle w:val="ListParagraph"/>
        <w:spacing w:after="0" w:line="240" w:lineRule="auto"/>
        <w:ind w:left="180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v.</w:t>
      </w:r>
      <w:r>
        <w:rPr>
          <w:rFonts w:ascii="Comic Sans MS" w:hAnsi="Comic Sans MS" w:cs="Times New Roman"/>
          <w:sz w:val="20"/>
          <w:szCs w:val="20"/>
        </w:rPr>
        <w:tab/>
      </w:r>
      <w:r w:rsidRPr="00DD3F48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ILEC may opt for competitive status if no longer COLR</w:t>
      </w:r>
    </w:p>
    <w:p w:rsidR="00367CF7" w:rsidRPr="001D610C" w:rsidRDefault="00367CF7" w:rsidP="002E4193">
      <w:pPr>
        <w:pStyle w:val="ListParagraph"/>
        <w:spacing w:after="0" w:line="240" w:lineRule="auto"/>
        <w:ind w:left="1980"/>
        <w:rPr>
          <w:rFonts w:ascii="Comic Sans MS" w:hAnsi="Comic Sans MS" w:cs="Times New Roman"/>
          <w:sz w:val="20"/>
          <w:szCs w:val="20"/>
          <w:highlight w:val="cyan"/>
        </w:rPr>
      </w:pPr>
    </w:p>
    <w:p w:rsidR="00367CF7" w:rsidRPr="00CB4CCD" w:rsidRDefault="00367CF7" w:rsidP="002E4193">
      <w:pPr>
        <w:pStyle w:val="ListParagraph"/>
        <w:spacing w:after="0" w:line="240" w:lineRule="auto"/>
        <w:ind w:left="1080"/>
        <w:rPr>
          <w:rFonts w:ascii="Comic Sans MS" w:hAnsi="Comic Sans MS" w:cs="Times New Roman"/>
          <w:sz w:val="20"/>
          <w:szCs w:val="20"/>
        </w:rPr>
      </w:pPr>
      <w:r w:rsidRPr="00CB4CCD">
        <w:rPr>
          <w:rFonts w:ascii="Comic Sans MS" w:hAnsi="Comic Sans MS" w:cs="Times New Roman"/>
          <w:sz w:val="20"/>
          <w:szCs w:val="20"/>
        </w:rPr>
        <w:t xml:space="preserve">g. Transition to Broadband </w:t>
      </w:r>
    </w:p>
    <w:p w:rsidR="00367CF7" w:rsidRPr="00CB4CCD" w:rsidRDefault="00367CF7" w:rsidP="002E4193">
      <w:pPr>
        <w:pStyle w:val="ListParagraph"/>
        <w:numPr>
          <w:ilvl w:val="1"/>
          <w:numId w:val="8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CB4CCD">
        <w:rPr>
          <w:rFonts w:ascii="Comic Sans MS" w:hAnsi="Comic Sans MS" w:cs="Times New Roman"/>
          <w:sz w:val="20"/>
          <w:szCs w:val="20"/>
        </w:rPr>
        <w:t>Commission defines broadband goal</w:t>
      </w:r>
    </w:p>
    <w:p w:rsidR="00367CF7" w:rsidRPr="00CB4CCD" w:rsidRDefault="00367CF7" w:rsidP="002E4193">
      <w:pPr>
        <w:pStyle w:val="ListParagraph"/>
        <w:numPr>
          <w:ilvl w:val="1"/>
          <w:numId w:val="8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CB4CCD">
        <w:rPr>
          <w:rFonts w:ascii="Comic Sans MS" w:hAnsi="Comic Sans MS" w:cs="Times New Roman"/>
          <w:sz w:val="20"/>
          <w:szCs w:val="20"/>
        </w:rPr>
        <w:t xml:space="preserve">High cost areas for broadband </w:t>
      </w:r>
      <w:r>
        <w:rPr>
          <w:rFonts w:ascii="Comic Sans MS" w:hAnsi="Comic Sans MS" w:cs="Times New Roman"/>
          <w:sz w:val="20"/>
          <w:szCs w:val="20"/>
        </w:rPr>
        <w:t xml:space="preserve">operation, maintenance and </w:t>
      </w:r>
      <w:r w:rsidRPr="00CB4CCD">
        <w:rPr>
          <w:rFonts w:ascii="Comic Sans MS" w:hAnsi="Comic Sans MS" w:cs="Times New Roman"/>
          <w:sz w:val="20"/>
          <w:szCs w:val="20"/>
        </w:rPr>
        <w:t>deployment determined by Commission</w:t>
      </w:r>
    </w:p>
    <w:p w:rsidR="00367CF7" w:rsidRPr="00CB4CCD" w:rsidRDefault="00367CF7" w:rsidP="002E4193">
      <w:pPr>
        <w:pStyle w:val="ListParagraph"/>
        <w:numPr>
          <w:ilvl w:val="1"/>
          <w:numId w:val="8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CB4CCD">
        <w:rPr>
          <w:rFonts w:ascii="Comic Sans MS" w:hAnsi="Comic Sans MS" w:cs="Times New Roman"/>
          <w:sz w:val="20"/>
          <w:szCs w:val="20"/>
        </w:rPr>
        <w:t>Support for high cost areas is provided if needed to reach or maintain goal</w:t>
      </w:r>
    </w:p>
    <w:p w:rsidR="00367CF7" w:rsidRDefault="00367CF7" w:rsidP="002E4193">
      <w:pPr>
        <w:pStyle w:val="ListParagraph"/>
        <w:numPr>
          <w:ilvl w:val="1"/>
          <w:numId w:val="8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CB4CCD">
        <w:rPr>
          <w:rFonts w:ascii="Comic Sans MS" w:hAnsi="Comic Sans MS" w:cs="Times New Roman"/>
          <w:sz w:val="20"/>
          <w:szCs w:val="20"/>
        </w:rPr>
        <w:t>Transitions old fund to new fund over ten years - begins after access reform goal is met</w:t>
      </w:r>
    </w:p>
    <w:p w:rsidR="00367CF7" w:rsidRPr="00CB4CCD" w:rsidRDefault="00367CF7" w:rsidP="002E4193">
      <w:pPr>
        <w:pStyle w:val="ListParagraph"/>
        <w:numPr>
          <w:ilvl w:val="1"/>
          <w:numId w:val="8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Standards established by Commission - not the same as High Cost Track, Phase 2</w:t>
      </w:r>
    </w:p>
    <w:p w:rsidR="00367CF7" w:rsidRPr="001D610C" w:rsidRDefault="00367CF7" w:rsidP="0022567B">
      <w:pPr>
        <w:pStyle w:val="ListParagraph"/>
        <w:spacing w:after="0" w:line="240" w:lineRule="auto"/>
        <w:ind w:left="1800"/>
        <w:rPr>
          <w:rFonts w:ascii="Comic Sans MS" w:hAnsi="Comic Sans MS" w:cs="Times New Roman"/>
          <w:sz w:val="20"/>
          <w:szCs w:val="20"/>
        </w:rPr>
      </w:pPr>
    </w:p>
    <w:p w:rsidR="00367CF7" w:rsidRPr="001D610C" w:rsidRDefault="00367CF7" w:rsidP="0012636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 xml:space="preserve">High Cost </w:t>
      </w:r>
      <w:r>
        <w:rPr>
          <w:rFonts w:ascii="Comic Sans MS" w:hAnsi="Comic Sans MS" w:cs="Times New Roman"/>
          <w:sz w:val="20"/>
          <w:szCs w:val="20"/>
        </w:rPr>
        <w:t>Track</w:t>
      </w:r>
      <w:r w:rsidRPr="001D610C">
        <w:rPr>
          <w:rFonts w:ascii="Comic Sans MS" w:hAnsi="Comic Sans MS" w:cs="Times New Roman"/>
          <w:sz w:val="20"/>
          <w:szCs w:val="20"/>
        </w:rPr>
        <w:t xml:space="preserve"> – applicable to areas traditionally served by ILECs with 2% or more of the state’s access lines</w:t>
      </w:r>
    </w:p>
    <w:p w:rsidR="00367CF7" w:rsidRPr="001D610C" w:rsidRDefault="00367CF7" w:rsidP="000A7EB9">
      <w:pPr>
        <w:pStyle w:val="ListParagraph"/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:rsidR="00367CF7" w:rsidRPr="001D610C" w:rsidRDefault="00367CF7" w:rsidP="00151174">
      <w:pPr>
        <w:pStyle w:val="ListParagraph"/>
        <w:spacing w:after="0" w:line="240" w:lineRule="auto"/>
        <w:ind w:left="1080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 xml:space="preserve">Definitions: </w:t>
      </w:r>
    </w:p>
    <w:p w:rsidR="00367CF7" w:rsidRPr="001D610C" w:rsidRDefault="00367CF7" w:rsidP="0086104B">
      <w:pPr>
        <w:pStyle w:val="ListParagraph"/>
        <w:spacing w:after="0" w:line="240" w:lineRule="auto"/>
        <w:ind w:left="1980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b/>
          <w:sz w:val="20"/>
          <w:szCs w:val="20"/>
        </w:rPr>
        <w:t xml:space="preserve">Low cost areas </w:t>
      </w:r>
      <w:r w:rsidRPr="001D610C">
        <w:rPr>
          <w:rFonts w:ascii="Comic Sans MS" w:hAnsi="Comic Sans MS" w:cs="Times New Roman"/>
          <w:sz w:val="20"/>
          <w:szCs w:val="20"/>
        </w:rPr>
        <w:t xml:space="preserve">– areas within the wire centers where the forward-looking cost per line is less than the high cost threshold.  </w:t>
      </w:r>
    </w:p>
    <w:p w:rsidR="00367CF7" w:rsidRPr="001D610C" w:rsidRDefault="00367CF7" w:rsidP="0086104B">
      <w:pPr>
        <w:pStyle w:val="ListParagraph"/>
        <w:spacing w:after="0" w:line="240" w:lineRule="auto"/>
        <w:ind w:left="1980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b/>
          <w:sz w:val="20"/>
          <w:szCs w:val="20"/>
        </w:rPr>
        <w:t>High Cost areas</w:t>
      </w:r>
      <w:r w:rsidRPr="001D610C">
        <w:rPr>
          <w:rFonts w:ascii="Comic Sans MS" w:hAnsi="Comic Sans MS" w:cs="Times New Roman"/>
          <w:sz w:val="20"/>
          <w:szCs w:val="20"/>
        </w:rPr>
        <w:t xml:space="preserve"> – service areas where forward-looking cost per line is greater than $45 </w:t>
      </w:r>
      <w:r>
        <w:rPr>
          <w:rFonts w:ascii="Comic Sans MS" w:hAnsi="Comic Sans MS" w:cs="Times New Roman"/>
          <w:sz w:val="20"/>
          <w:szCs w:val="20"/>
        </w:rPr>
        <w:t xml:space="preserve">per month </w:t>
      </w:r>
      <w:r w:rsidRPr="001D610C">
        <w:rPr>
          <w:rFonts w:ascii="Comic Sans MS" w:hAnsi="Comic Sans MS" w:cs="Times New Roman"/>
          <w:sz w:val="20"/>
          <w:szCs w:val="20"/>
        </w:rPr>
        <w:t xml:space="preserve">or in the alternative exceeds any national benchmark established through a federal USF/national broadband proceeding. </w:t>
      </w:r>
    </w:p>
    <w:p w:rsidR="00367CF7" w:rsidRPr="001D610C" w:rsidRDefault="00367CF7" w:rsidP="0086104B">
      <w:pPr>
        <w:pStyle w:val="ListParagraph"/>
        <w:spacing w:after="0" w:line="240" w:lineRule="auto"/>
        <w:ind w:left="1980"/>
        <w:rPr>
          <w:rFonts w:ascii="Comic Sans MS" w:hAnsi="Comic Sans MS" w:cs="Times New Roman"/>
          <w:sz w:val="20"/>
          <w:szCs w:val="20"/>
          <w:u w:val="single"/>
        </w:rPr>
      </w:pPr>
    </w:p>
    <w:p w:rsidR="00367CF7" w:rsidRPr="001D610C" w:rsidRDefault="00367CF7" w:rsidP="00151174">
      <w:pPr>
        <w:pStyle w:val="ListParagraph"/>
        <w:spacing w:after="0" w:line="240" w:lineRule="auto"/>
        <w:ind w:left="1980" w:hanging="900"/>
        <w:rPr>
          <w:rFonts w:ascii="Comic Sans MS" w:hAnsi="Comic Sans MS" w:cs="Times New Roman"/>
          <w:b/>
          <w:sz w:val="20"/>
          <w:szCs w:val="20"/>
          <w:u w:val="single"/>
        </w:rPr>
      </w:pPr>
      <w:r w:rsidRPr="001D610C">
        <w:rPr>
          <w:rFonts w:ascii="Comic Sans MS" w:hAnsi="Comic Sans MS" w:cs="Times New Roman"/>
          <w:b/>
          <w:sz w:val="20"/>
          <w:szCs w:val="20"/>
          <w:u w:val="single"/>
        </w:rPr>
        <w:t>Phase 1 – support of existing multi-use networks</w:t>
      </w:r>
    </w:p>
    <w:p w:rsidR="00367CF7" w:rsidRPr="001D610C" w:rsidRDefault="00367CF7" w:rsidP="0000220F">
      <w:pPr>
        <w:pStyle w:val="ListParagraph"/>
        <w:numPr>
          <w:ilvl w:val="0"/>
          <w:numId w:val="13"/>
        </w:numPr>
        <w:spacing w:after="0" w:line="240" w:lineRule="auto"/>
        <w:ind w:hanging="720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 xml:space="preserve">Eligible providers - </w:t>
      </w:r>
    </w:p>
    <w:p w:rsidR="00367CF7" w:rsidRPr="001D610C" w:rsidRDefault="00367CF7" w:rsidP="007D2E9B">
      <w:pPr>
        <w:pStyle w:val="ListParagraph"/>
        <w:numPr>
          <w:ilvl w:val="2"/>
          <w:numId w:val="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 xml:space="preserve">Incumbent local exchange companies with 2% or more of state access lines.  </w:t>
      </w:r>
    </w:p>
    <w:p w:rsidR="00367CF7" w:rsidRPr="001D610C" w:rsidRDefault="00367CF7" w:rsidP="007D2E9B">
      <w:pPr>
        <w:pStyle w:val="ListParagraph"/>
        <w:numPr>
          <w:ilvl w:val="2"/>
          <w:numId w:val="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 xml:space="preserve">Competitive local exchange companies </w:t>
      </w:r>
    </w:p>
    <w:p w:rsidR="00367CF7" w:rsidRPr="001D610C" w:rsidRDefault="00367CF7" w:rsidP="0007230A">
      <w:pPr>
        <w:pStyle w:val="ListParagraph"/>
        <w:spacing w:after="0" w:line="240" w:lineRule="auto"/>
        <w:ind w:left="1980"/>
        <w:rPr>
          <w:rFonts w:ascii="Comic Sans MS" w:hAnsi="Comic Sans MS" w:cs="Times New Roman"/>
          <w:sz w:val="20"/>
          <w:szCs w:val="20"/>
        </w:rPr>
      </w:pPr>
    </w:p>
    <w:p w:rsidR="00367CF7" w:rsidRPr="001D610C" w:rsidRDefault="00367CF7" w:rsidP="00FD62C1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 xml:space="preserve">Funding of high cost </w:t>
      </w:r>
      <w:r>
        <w:rPr>
          <w:rFonts w:ascii="Comic Sans MS" w:hAnsi="Comic Sans MS" w:cs="Times New Roman"/>
          <w:sz w:val="20"/>
          <w:szCs w:val="20"/>
        </w:rPr>
        <w:t xml:space="preserve">(HC) </w:t>
      </w:r>
      <w:r w:rsidRPr="001D610C">
        <w:rPr>
          <w:rFonts w:ascii="Comic Sans MS" w:hAnsi="Comic Sans MS" w:cs="Times New Roman"/>
          <w:sz w:val="20"/>
          <w:szCs w:val="20"/>
        </w:rPr>
        <w:t xml:space="preserve">areas - draws will be determined </w:t>
      </w:r>
      <w:r>
        <w:rPr>
          <w:rFonts w:ascii="Comic Sans MS" w:hAnsi="Comic Sans MS" w:cs="Times New Roman"/>
          <w:sz w:val="20"/>
          <w:szCs w:val="20"/>
        </w:rPr>
        <w:t>from</w:t>
      </w:r>
      <w:r w:rsidRPr="001D610C">
        <w:rPr>
          <w:rFonts w:ascii="Comic Sans MS" w:hAnsi="Comic Sans MS" w:cs="Times New Roman"/>
          <w:sz w:val="20"/>
          <w:szCs w:val="20"/>
        </w:rPr>
        <w:t xml:space="preserve"> forward looking cost model using the following criteria:</w:t>
      </w:r>
    </w:p>
    <w:p w:rsidR="00367CF7" w:rsidRPr="001D610C" w:rsidRDefault="00367CF7" w:rsidP="000A3029">
      <w:pPr>
        <w:pStyle w:val="ListParagraph"/>
        <w:numPr>
          <w:ilvl w:val="2"/>
          <w:numId w:val="10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 xml:space="preserve">Sub-wire center level granularity </w:t>
      </w:r>
    </w:p>
    <w:p w:rsidR="00367CF7" w:rsidRPr="001D610C" w:rsidRDefault="00367CF7" w:rsidP="00D57DCD">
      <w:pPr>
        <w:pStyle w:val="ListParagraph"/>
        <w:numPr>
          <w:ilvl w:val="2"/>
          <w:numId w:val="10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HC</w:t>
      </w:r>
      <w:r w:rsidRPr="001D610C">
        <w:rPr>
          <w:rFonts w:ascii="Comic Sans MS" w:hAnsi="Comic Sans MS" w:cs="Times New Roman"/>
          <w:sz w:val="20"/>
          <w:szCs w:val="20"/>
        </w:rPr>
        <w:t xml:space="preserve"> sub-wire center level costs only</w:t>
      </w:r>
    </w:p>
    <w:p w:rsidR="00367CF7" w:rsidRPr="001D610C" w:rsidRDefault="00367CF7" w:rsidP="00D57DCD">
      <w:pPr>
        <w:pStyle w:val="ListParagraph"/>
        <w:numPr>
          <w:ilvl w:val="2"/>
          <w:numId w:val="10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 xml:space="preserve">Offset draw using revenues from supported services within </w:t>
      </w:r>
      <w:r>
        <w:rPr>
          <w:rFonts w:ascii="Comic Sans MS" w:hAnsi="Comic Sans MS" w:cs="Times New Roman"/>
          <w:sz w:val="20"/>
          <w:szCs w:val="20"/>
        </w:rPr>
        <w:t>HC</w:t>
      </w:r>
      <w:r w:rsidRPr="001D610C">
        <w:rPr>
          <w:rFonts w:ascii="Comic Sans MS" w:hAnsi="Comic Sans MS" w:cs="Times New Roman"/>
          <w:sz w:val="20"/>
          <w:szCs w:val="20"/>
        </w:rPr>
        <w:t xml:space="preserve"> areas. </w:t>
      </w:r>
    </w:p>
    <w:p w:rsidR="00367CF7" w:rsidRPr="001D610C" w:rsidRDefault="00367CF7" w:rsidP="00D57DCD">
      <w:pPr>
        <w:pStyle w:val="ListParagraph"/>
        <w:numPr>
          <w:ilvl w:val="2"/>
          <w:numId w:val="10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 xml:space="preserve">Each </w:t>
      </w:r>
      <w:r w:rsidRPr="001D610C">
        <w:rPr>
          <w:rFonts w:ascii="Comic Sans MS" w:hAnsi="Comic Sans MS" w:cs="Times New Roman"/>
          <w:sz w:val="20"/>
          <w:szCs w:val="20"/>
        </w:rPr>
        <w:t>Carrier</w:t>
      </w:r>
      <w:r>
        <w:rPr>
          <w:rFonts w:ascii="Comic Sans MS" w:hAnsi="Comic Sans MS" w:cs="Times New Roman"/>
          <w:sz w:val="20"/>
          <w:szCs w:val="20"/>
        </w:rPr>
        <w:t>’s</w:t>
      </w:r>
      <w:r w:rsidRPr="001D610C">
        <w:rPr>
          <w:rFonts w:ascii="Comic Sans MS" w:hAnsi="Comic Sans MS" w:cs="Times New Roman"/>
          <w:sz w:val="20"/>
          <w:szCs w:val="20"/>
        </w:rPr>
        <w:t xml:space="preserve"> support </w:t>
      </w:r>
      <w:r>
        <w:rPr>
          <w:rFonts w:ascii="Comic Sans MS" w:hAnsi="Comic Sans MS" w:cs="Times New Roman"/>
          <w:sz w:val="20"/>
          <w:szCs w:val="20"/>
        </w:rPr>
        <w:t xml:space="preserve">is </w:t>
      </w:r>
      <w:r w:rsidRPr="001D610C">
        <w:rPr>
          <w:rFonts w:ascii="Comic Sans MS" w:hAnsi="Comic Sans MS" w:cs="Times New Roman"/>
          <w:sz w:val="20"/>
          <w:szCs w:val="20"/>
        </w:rPr>
        <w:t xml:space="preserve">capped at </w:t>
      </w:r>
      <w:r>
        <w:rPr>
          <w:rFonts w:ascii="Comic Sans MS" w:hAnsi="Comic Sans MS" w:cs="Times New Roman"/>
          <w:sz w:val="20"/>
          <w:szCs w:val="20"/>
        </w:rPr>
        <w:t xml:space="preserve">no more than it’s </w:t>
      </w:r>
      <w:r w:rsidRPr="001D610C">
        <w:rPr>
          <w:rFonts w:ascii="Comic Sans MS" w:hAnsi="Comic Sans MS" w:cs="Times New Roman"/>
          <w:sz w:val="20"/>
          <w:szCs w:val="20"/>
        </w:rPr>
        <w:t xml:space="preserve">existing support levels </w:t>
      </w:r>
      <w:r>
        <w:rPr>
          <w:rFonts w:ascii="Comic Sans MS" w:hAnsi="Comic Sans MS" w:cs="Times New Roman"/>
          <w:sz w:val="20"/>
          <w:szCs w:val="20"/>
        </w:rPr>
        <w:t>regardless of actual cost to serve it’s existing HC footprint</w:t>
      </w:r>
      <w:r w:rsidRPr="001D610C">
        <w:rPr>
          <w:rFonts w:ascii="Comic Sans MS" w:hAnsi="Comic Sans MS" w:cs="Times New Roman"/>
          <w:sz w:val="20"/>
          <w:szCs w:val="20"/>
        </w:rPr>
        <w:t>(</w:t>
      </w:r>
      <w:r w:rsidRPr="001D610C">
        <w:rPr>
          <w:rFonts w:ascii="Comic Sans MS" w:hAnsi="Comic Sans MS"/>
          <w:sz w:val="20"/>
          <w:szCs w:val="20"/>
        </w:rPr>
        <w:t xml:space="preserve">shift from intrastate to interstate access rates, less additional </w:t>
      </w:r>
      <w:r w:rsidRPr="001D610C">
        <w:rPr>
          <w:rFonts w:ascii="Comic Sans MS" w:hAnsi="Comic Sans MS" w:cs="Arial"/>
          <w:sz w:val="20"/>
          <w:szCs w:val="20"/>
        </w:rPr>
        <w:t>revenues resulting from increases to local rate benchmark level</w:t>
      </w:r>
      <w:r w:rsidRPr="001D610C">
        <w:rPr>
          <w:rFonts w:ascii="Comic Sans MS" w:hAnsi="Comic Sans MS" w:cs="Times New Roman"/>
          <w:sz w:val="20"/>
          <w:szCs w:val="20"/>
        </w:rPr>
        <w:t>).</w:t>
      </w:r>
    </w:p>
    <w:p w:rsidR="00367CF7" w:rsidRDefault="00367CF7" w:rsidP="00D57DCD">
      <w:pPr>
        <w:pStyle w:val="ListParagraph"/>
        <w:numPr>
          <w:ilvl w:val="2"/>
          <w:numId w:val="10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Each </w:t>
      </w:r>
      <w:r w:rsidRPr="001D610C">
        <w:rPr>
          <w:rFonts w:ascii="Comic Sans MS" w:hAnsi="Comic Sans MS" w:cs="Times New Roman"/>
          <w:sz w:val="20"/>
          <w:szCs w:val="20"/>
        </w:rPr>
        <w:t xml:space="preserve">Carrier must, at a minimum, maintain existing broadband </w:t>
      </w:r>
      <w:r>
        <w:rPr>
          <w:rFonts w:ascii="Comic Sans MS" w:hAnsi="Comic Sans MS" w:cs="Times New Roman"/>
          <w:sz w:val="20"/>
          <w:szCs w:val="20"/>
        </w:rPr>
        <w:t xml:space="preserve">and voice </w:t>
      </w:r>
      <w:r w:rsidRPr="001D610C">
        <w:rPr>
          <w:rFonts w:ascii="Comic Sans MS" w:hAnsi="Comic Sans MS" w:cs="Times New Roman"/>
          <w:sz w:val="20"/>
          <w:szCs w:val="20"/>
        </w:rPr>
        <w:t xml:space="preserve">deployment levels throughout its footprint, whether the entire </w:t>
      </w:r>
      <w:r>
        <w:rPr>
          <w:rFonts w:ascii="Comic Sans MS" w:hAnsi="Comic Sans MS" w:cs="Times New Roman"/>
          <w:sz w:val="20"/>
          <w:szCs w:val="20"/>
        </w:rPr>
        <w:t>HC</w:t>
      </w:r>
      <w:r w:rsidRPr="001D610C">
        <w:rPr>
          <w:rFonts w:ascii="Comic Sans MS" w:hAnsi="Comic Sans MS" w:cs="Times New Roman"/>
          <w:sz w:val="20"/>
          <w:szCs w:val="20"/>
        </w:rPr>
        <w:t xml:space="preserve"> area is funded (i.e. costs associated with serving </w:t>
      </w:r>
      <w:r>
        <w:rPr>
          <w:rFonts w:ascii="Comic Sans MS" w:hAnsi="Comic Sans MS" w:cs="Times New Roman"/>
          <w:sz w:val="20"/>
          <w:szCs w:val="20"/>
        </w:rPr>
        <w:t>HC</w:t>
      </w:r>
      <w:r w:rsidRPr="001D610C">
        <w:rPr>
          <w:rFonts w:ascii="Comic Sans MS" w:hAnsi="Comic Sans MS" w:cs="Times New Roman"/>
          <w:sz w:val="20"/>
          <w:szCs w:val="20"/>
        </w:rPr>
        <w:t xml:space="preserve"> areas exceed amount of phase 1 funding)</w:t>
      </w:r>
    </w:p>
    <w:p w:rsidR="00367CF7" w:rsidRPr="001D610C" w:rsidRDefault="00367CF7" w:rsidP="00D57DCD">
      <w:pPr>
        <w:pStyle w:val="ListParagraph"/>
        <w:numPr>
          <w:ilvl w:val="2"/>
          <w:numId w:val="10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Carrier receiving support has COLR obligation</w:t>
      </w:r>
    </w:p>
    <w:p w:rsidR="00367CF7" w:rsidRDefault="00367CF7" w:rsidP="00DD3F48">
      <w:pPr>
        <w:pStyle w:val="ListParagraph"/>
        <w:spacing w:after="0" w:line="240" w:lineRule="auto"/>
        <w:ind w:left="2700" w:firstLine="720"/>
        <w:rPr>
          <w:rFonts w:ascii="Comic Sans MS" w:hAnsi="Comic Sans MS" w:cs="Times New Roman"/>
          <w:sz w:val="20"/>
          <w:szCs w:val="20"/>
        </w:rPr>
      </w:pPr>
    </w:p>
    <w:p w:rsidR="00367CF7" w:rsidRPr="001D610C" w:rsidRDefault="00367CF7" w:rsidP="00636DCD">
      <w:pPr>
        <w:pStyle w:val="ListParagraph"/>
        <w:spacing w:after="0" w:line="240" w:lineRule="auto"/>
        <w:ind w:left="1080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 xml:space="preserve">Regulatory treatment under </w:t>
      </w:r>
      <w:r>
        <w:rPr>
          <w:rFonts w:ascii="Comic Sans MS" w:hAnsi="Comic Sans MS" w:cs="Times New Roman"/>
          <w:sz w:val="20"/>
          <w:szCs w:val="20"/>
        </w:rPr>
        <w:t>Phase 1</w:t>
      </w:r>
      <w:r w:rsidRPr="001D610C">
        <w:rPr>
          <w:rFonts w:ascii="Comic Sans MS" w:hAnsi="Comic Sans MS" w:cs="Times New Roman"/>
          <w:sz w:val="20"/>
          <w:szCs w:val="20"/>
        </w:rPr>
        <w:t>:</w:t>
      </w:r>
    </w:p>
    <w:p w:rsidR="00367CF7" w:rsidRPr="001D610C" w:rsidRDefault="00367CF7" w:rsidP="00636DCD">
      <w:pPr>
        <w:pStyle w:val="ListParagraph"/>
        <w:spacing w:after="0" w:line="240" w:lineRule="auto"/>
        <w:ind w:left="1980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>Low-cost areas with alternative providers with functionally equivalent services will be</w:t>
      </w:r>
      <w:r>
        <w:rPr>
          <w:rFonts w:ascii="Comic Sans MS" w:hAnsi="Comic Sans MS" w:cs="Times New Roman"/>
          <w:sz w:val="20"/>
          <w:szCs w:val="20"/>
        </w:rPr>
        <w:t xml:space="preserve"> automatically</w:t>
      </w:r>
      <w:r w:rsidRPr="001D610C">
        <w:rPr>
          <w:rFonts w:ascii="Comic Sans MS" w:hAnsi="Comic Sans MS" w:cs="Times New Roman"/>
          <w:sz w:val="20"/>
          <w:szCs w:val="20"/>
        </w:rPr>
        <w:t xml:space="preserve"> classified</w:t>
      </w:r>
      <w:r>
        <w:rPr>
          <w:rFonts w:ascii="Comic Sans MS" w:hAnsi="Comic Sans MS" w:cs="Times New Roman"/>
          <w:sz w:val="20"/>
          <w:szCs w:val="20"/>
        </w:rPr>
        <w:t xml:space="preserve"> as competitive.</w:t>
      </w:r>
      <w:r w:rsidRPr="001D610C">
        <w:rPr>
          <w:rFonts w:ascii="Comic Sans MS" w:hAnsi="Comic Sans MS" w:cs="Times New Roman"/>
          <w:sz w:val="20"/>
          <w:szCs w:val="20"/>
        </w:rPr>
        <w:t xml:space="preserve">  A facilities based provider or a designated CETC qualifies as a functionally equivalent service provider. </w:t>
      </w:r>
    </w:p>
    <w:p w:rsidR="00367CF7" w:rsidRPr="001D610C" w:rsidRDefault="00367CF7" w:rsidP="00636DCD">
      <w:pPr>
        <w:pStyle w:val="ListParagraph"/>
        <w:spacing w:after="0" w:line="240" w:lineRule="auto"/>
        <w:ind w:left="2700" w:hanging="1620"/>
        <w:rPr>
          <w:rFonts w:ascii="Comic Sans MS" w:hAnsi="Comic Sans MS" w:cs="Times New Roman"/>
          <w:sz w:val="20"/>
          <w:szCs w:val="20"/>
        </w:rPr>
      </w:pPr>
    </w:p>
    <w:p w:rsidR="00367CF7" w:rsidRPr="001D610C" w:rsidRDefault="00367CF7" w:rsidP="00636DCD">
      <w:pPr>
        <w:pStyle w:val="ListParagraph"/>
        <w:spacing w:after="0" w:line="240" w:lineRule="auto"/>
        <w:ind w:left="2700" w:hanging="1620"/>
        <w:rPr>
          <w:rFonts w:ascii="Comic Sans MS" w:hAnsi="Comic Sans MS" w:cs="Times New Roman"/>
          <w:sz w:val="20"/>
          <w:szCs w:val="20"/>
        </w:rPr>
      </w:pPr>
    </w:p>
    <w:p w:rsidR="00367CF7" w:rsidRPr="001D610C" w:rsidRDefault="00367CF7" w:rsidP="001E0D07">
      <w:pPr>
        <w:pStyle w:val="ListParagraph"/>
        <w:spacing w:after="0" w:line="240" w:lineRule="auto"/>
        <w:ind w:left="1080"/>
        <w:rPr>
          <w:rFonts w:ascii="Comic Sans MS" w:hAnsi="Comic Sans MS" w:cs="Times New Roman"/>
          <w:b/>
          <w:sz w:val="20"/>
          <w:szCs w:val="20"/>
          <w:u w:val="single"/>
        </w:rPr>
      </w:pPr>
      <w:r w:rsidRPr="001D610C">
        <w:rPr>
          <w:rFonts w:ascii="Comic Sans MS" w:hAnsi="Comic Sans MS" w:cs="Times New Roman"/>
          <w:b/>
          <w:sz w:val="20"/>
          <w:szCs w:val="20"/>
          <w:u w:val="single"/>
        </w:rPr>
        <w:t xml:space="preserve">Phase 2 – State broadband plan – </w:t>
      </w:r>
      <w:r w:rsidRPr="001D610C">
        <w:rPr>
          <w:rFonts w:ascii="Comic Sans MS" w:hAnsi="Comic Sans MS" w:cs="Times New Roman"/>
          <w:sz w:val="20"/>
          <w:szCs w:val="20"/>
        </w:rPr>
        <w:t xml:space="preserve">Triggered when “universal service” is redefined to include </w:t>
      </w:r>
      <w:r>
        <w:rPr>
          <w:rFonts w:ascii="Comic Sans MS" w:hAnsi="Comic Sans MS" w:cs="Times New Roman"/>
          <w:sz w:val="20"/>
          <w:szCs w:val="20"/>
        </w:rPr>
        <w:t xml:space="preserve">both </w:t>
      </w:r>
      <w:r w:rsidRPr="00884583">
        <w:rPr>
          <w:rFonts w:ascii="Comic Sans MS" w:hAnsi="Comic Sans MS" w:cs="Times New Roman"/>
          <w:sz w:val="20"/>
          <w:szCs w:val="20"/>
        </w:rPr>
        <w:t>voice</w:t>
      </w:r>
      <w:r>
        <w:rPr>
          <w:rFonts w:ascii="Comic Sans MS" w:hAnsi="Comic Sans MS" w:cs="Times New Roman"/>
          <w:sz w:val="20"/>
          <w:szCs w:val="20"/>
        </w:rPr>
        <w:t xml:space="preserve"> and </w:t>
      </w:r>
      <w:r w:rsidRPr="001D610C">
        <w:rPr>
          <w:rFonts w:ascii="Comic Sans MS" w:hAnsi="Comic Sans MS" w:cs="Times New Roman"/>
          <w:sz w:val="20"/>
          <w:szCs w:val="20"/>
        </w:rPr>
        <w:t xml:space="preserve">broadband </w:t>
      </w:r>
      <w:r>
        <w:rPr>
          <w:rFonts w:ascii="Comic Sans MS" w:hAnsi="Comic Sans MS" w:cs="Times New Roman"/>
          <w:sz w:val="20"/>
          <w:szCs w:val="20"/>
        </w:rPr>
        <w:t xml:space="preserve">services </w:t>
      </w:r>
      <w:r w:rsidRPr="001D610C">
        <w:rPr>
          <w:rFonts w:ascii="Comic Sans MS" w:hAnsi="Comic Sans MS" w:cs="Times New Roman"/>
          <w:sz w:val="20"/>
          <w:szCs w:val="20"/>
        </w:rPr>
        <w:t>or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Pr="00884583">
        <w:rPr>
          <w:rFonts w:ascii="Comic Sans MS" w:hAnsi="Comic Sans MS" w:cs="Times New Roman"/>
          <w:sz w:val="20"/>
          <w:szCs w:val="20"/>
        </w:rPr>
        <w:t>if broadband speeds</w:t>
      </w:r>
      <w:r>
        <w:rPr>
          <w:rFonts w:ascii="Comic Sans MS" w:hAnsi="Comic Sans MS" w:cs="Times New Roman"/>
          <w:sz w:val="20"/>
          <w:szCs w:val="20"/>
        </w:rPr>
        <w:t xml:space="preserve"> mandated</w:t>
      </w:r>
      <w:r w:rsidRPr="001D610C">
        <w:rPr>
          <w:rStyle w:val="FootnoteReference"/>
          <w:rFonts w:ascii="Comic Sans MS" w:hAnsi="Comic Sans MS"/>
          <w:b/>
          <w:sz w:val="20"/>
          <w:szCs w:val="20"/>
          <w:u w:val="single"/>
        </w:rPr>
        <w:footnoteReference w:id="1"/>
      </w:r>
    </w:p>
    <w:p w:rsidR="00367CF7" w:rsidRPr="001D610C" w:rsidRDefault="00367CF7" w:rsidP="001E0D07">
      <w:pPr>
        <w:pStyle w:val="ListParagraph"/>
        <w:spacing w:after="0" w:line="240" w:lineRule="auto"/>
        <w:ind w:left="1080"/>
        <w:rPr>
          <w:rFonts w:ascii="Comic Sans MS" w:hAnsi="Comic Sans MS" w:cs="Times New Roman"/>
          <w:sz w:val="20"/>
          <w:szCs w:val="20"/>
        </w:rPr>
      </w:pPr>
    </w:p>
    <w:p w:rsidR="00367CF7" w:rsidRPr="001D610C" w:rsidRDefault="00367CF7" w:rsidP="001E0D07">
      <w:pPr>
        <w:pStyle w:val="ListParagraph"/>
        <w:spacing w:after="0" w:line="240" w:lineRule="auto"/>
        <w:ind w:left="1080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 xml:space="preserve">Eligible providers - </w:t>
      </w:r>
    </w:p>
    <w:p w:rsidR="00367CF7" w:rsidRPr="001D610C" w:rsidRDefault="00367CF7" w:rsidP="001E0D07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Times New Roman"/>
          <w:b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 xml:space="preserve">Incumbent local exchange companies with 2% or more of state access lines. </w:t>
      </w:r>
    </w:p>
    <w:p w:rsidR="00367CF7" w:rsidRPr="001D610C" w:rsidRDefault="00367CF7" w:rsidP="001E0D07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Times New Roman"/>
          <w:b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>Competitive local exchange companies</w:t>
      </w:r>
    </w:p>
    <w:p w:rsidR="00367CF7" w:rsidRPr="001D610C" w:rsidRDefault="00367CF7" w:rsidP="001E0D07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Times New Roman"/>
          <w:b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>All other facilities based service providers</w:t>
      </w:r>
      <w:r>
        <w:rPr>
          <w:rFonts w:ascii="Comic Sans MS" w:hAnsi="Comic Sans MS" w:cs="Times New Roman"/>
          <w:sz w:val="20"/>
          <w:szCs w:val="20"/>
        </w:rPr>
        <w:t xml:space="preserve"> operating in High Cost Track areas</w:t>
      </w:r>
    </w:p>
    <w:p w:rsidR="00367CF7" w:rsidRPr="001D610C" w:rsidRDefault="00367CF7" w:rsidP="001E0D07">
      <w:pPr>
        <w:pStyle w:val="ListParagraph"/>
        <w:spacing w:after="0" w:line="240" w:lineRule="auto"/>
        <w:ind w:left="1080"/>
        <w:rPr>
          <w:rFonts w:ascii="Comic Sans MS" w:hAnsi="Comic Sans MS" w:cs="Times New Roman"/>
          <w:b/>
          <w:sz w:val="20"/>
          <w:szCs w:val="20"/>
        </w:rPr>
      </w:pPr>
    </w:p>
    <w:p w:rsidR="00367CF7" w:rsidRPr="001D610C" w:rsidRDefault="00367CF7" w:rsidP="00685FF9">
      <w:pPr>
        <w:pStyle w:val="ListParagraph"/>
        <w:spacing w:after="0" w:line="240" w:lineRule="auto"/>
        <w:ind w:left="1440" w:hanging="360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>State plan must include the following:</w:t>
      </w:r>
    </w:p>
    <w:p w:rsidR="00367CF7" w:rsidRDefault="00367CF7" w:rsidP="003648FF">
      <w:pPr>
        <w:pStyle w:val="ListParagraph"/>
        <w:numPr>
          <w:ilvl w:val="1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>State sets out minimum deployment levels and targets required to be met to continue to receive funding.</w:t>
      </w:r>
    </w:p>
    <w:p w:rsidR="00367CF7" w:rsidRPr="001D610C" w:rsidRDefault="00367CF7" w:rsidP="003648FF">
      <w:pPr>
        <w:pStyle w:val="ListParagraph"/>
        <w:numPr>
          <w:ilvl w:val="1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>Competitively</w:t>
      </w:r>
      <w:r>
        <w:rPr>
          <w:rFonts w:ascii="Comic Sans MS" w:hAnsi="Comic Sans MS" w:cs="Times New Roman"/>
          <w:sz w:val="20"/>
          <w:szCs w:val="20"/>
        </w:rPr>
        <w:t>/technology</w:t>
      </w:r>
      <w:r w:rsidRPr="001D610C">
        <w:rPr>
          <w:rFonts w:ascii="Comic Sans MS" w:hAnsi="Comic Sans MS" w:cs="Times New Roman"/>
          <w:sz w:val="20"/>
          <w:szCs w:val="20"/>
        </w:rPr>
        <w:t xml:space="preserve"> neutral process</w:t>
      </w:r>
    </w:p>
    <w:p w:rsidR="00367CF7" w:rsidRPr="001D610C" w:rsidRDefault="00367CF7" w:rsidP="003648FF">
      <w:pPr>
        <w:pStyle w:val="ListParagraph"/>
        <w:numPr>
          <w:ilvl w:val="1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 xml:space="preserve">A single “forward looking cost model” used by all applicants </w:t>
      </w:r>
    </w:p>
    <w:p w:rsidR="00367CF7" w:rsidRPr="00CB4CCD" w:rsidRDefault="00367CF7" w:rsidP="003648FF">
      <w:pPr>
        <w:pStyle w:val="ListParagraph"/>
        <w:numPr>
          <w:ilvl w:val="1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 xml:space="preserve">A process to designate a single COLR provider (either awarded or designated) per each high cost </w:t>
      </w:r>
      <w:r w:rsidRPr="00CB4CCD">
        <w:rPr>
          <w:rFonts w:ascii="Comic Sans MS" w:hAnsi="Comic Sans MS" w:cs="Times New Roman"/>
          <w:sz w:val="20"/>
          <w:szCs w:val="20"/>
        </w:rPr>
        <w:t>area</w:t>
      </w:r>
    </w:p>
    <w:p w:rsidR="00367CF7" w:rsidRPr="00CB4CCD" w:rsidRDefault="00367CF7" w:rsidP="00CB4CCD">
      <w:pPr>
        <w:pStyle w:val="ListParagraph"/>
        <w:numPr>
          <w:ilvl w:val="1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CB4CCD">
        <w:rPr>
          <w:rFonts w:ascii="Comic Sans MS" w:hAnsi="Comic Sans MS" w:cs="Times New Roman"/>
          <w:sz w:val="20"/>
          <w:szCs w:val="20"/>
        </w:rPr>
        <w:t>Periodic reviews (five years minimum)</w:t>
      </w:r>
    </w:p>
    <w:p w:rsidR="00367CF7" w:rsidRDefault="00367CF7" w:rsidP="00CB4CCD">
      <w:pPr>
        <w:pStyle w:val="ListParagraph"/>
        <w:numPr>
          <w:ilvl w:val="1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CB4CCD">
        <w:rPr>
          <w:rFonts w:ascii="Comic Sans MS" w:hAnsi="Comic Sans MS" w:cs="Times New Roman"/>
          <w:sz w:val="20"/>
          <w:szCs w:val="20"/>
        </w:rPr>
        <w:t xml:space="preserve">Acknowledgement that awardees accept </w:t>
      </w:r>
      <w:r>
        <w:rPr>
          <w:rFonts w:ascii="Comic Sans MS" w:hAnsi="Comic Sans MS" w:cs="Times New Roman"/>
          <w:sz w:val="20"/>
          <w:szCs w:val="20"/>
        </w:rPr>
        <w:t>COLR</w:t>
      </w:r>
      <w:r w:rsidRPr="00CB4CCD">
        <w:rPr>
          <w:rFonts w:ascii="Comic Sans MS" w:hAnsi="Comic Sans MS" w:cs="Times New Roman"/>
          <w:sz w:val="20"/>
          <w:szCs w:val="20"/>
        </w:rPr>
        <w:t xml:space="preserve"> obligations/responsibilities currently applied to ILECs </w:t>
      </w:r>
      <w:r>
        <w:rPr>
          <w:rFonts w:ascii="Comic Sans MS" w:hAnsi="Comic Sans MS" w:cs="Times New Roman"/>
          <w:sz w:val="20"/>
          <w:szCs w:val="20"/>
        </w:rPr>
        <w:t xml:space="preserve">for designated areas </w:t>
      </w:r>
      <w:r w:rsidRPr="00CB4CCD">
        <w:rPr>
          <w:rFonts w:ascii="Comic Sans MS" w:hAnsi="Comic Sans MS" w:cs="Times New Roman"/>
          <w:sz w:val="20"/>
          <w:szCs w:val="20"/>
        </w:rPr>
        <w:t>(not quasi-regulation as provided for in CETC model</w:t>
      </w:r>
      <w:r>
        <w:rPr>
          <w:rFonts w:ascii="Comic Sans MS" w:hAnsi="Comic Sans MS" w:cs="Times New Roman"/>
          <w:sz w:val="20"/>
          <w:szCs w:val="20"/>
        </w:rPr>
        <w:t xml:space="preserve">).  All other </w:t>
      </w:r>
      <w:r w:rsidRPr="00CB4CCD">
        <w:rPr>
          <w:rFonts w:ascii="Comic Sans MS" w:hAnsi="Comic Sans MS" w:cs="Times New Roman"/>
          <w:sz w:val="20"/>
          <w:szCs w:val="20"/>
        </w:rPr>
        <w:t>applicants and</w:t>
      </w:r>
      <w:r>
        <w:rPr>
          <w:rFonts w:ascii="Comic Sans MS" w:hAnsi="Comic Sans MS" w:cs="Times New Roman"/>
          <w:sz w:val="20"/>
          <w:szCs w:val="20"/>
        </w:rPr>
        <w:t>/or</w:t>
      </w:r>
      <w:r w:rsidRPr="00CB4CCD">
        <w:rPr>
          <w:rFonts w:ascii="Comic Sans MS" w:hAnsi="Comic Sans MS" w:cs="Times New Roman"/>
          <w:sz w:val="20"/>
          <w:szCs w:val="20"/>
        </w:rPr>
        <w:t xml:space="preserve"> providers relieved of state level </w:t>
      </w:r>
      <w:r>
        <w:rPr>
          <w:rFonts w:ascii="Comic Sans MS" w:hAnsi="Comic Sans MS" w:cs="Times New Roman"/>
          <w:sz w:val="20"/>
          <w:szCs w:val="20"/>
        </w:rPr>
        <w:t xml:space="preserve">COLR </w:t>
      </w:r>
      <w:r w:rsidRPr="00CB4CCD">
        <w:rPr>
          <w:rFonts w:ascii="Comic Sans MS" w:hAnsi="Comic Sans MS" w:cs="Times New Roman"/>
          <w:sz w:val="20"/>
          <w:szCs w:val="20"/>
        </w:rPr>
        <w:t>obligation</w:t>
      </w:r>
      <w:r>
        <w:rPr>
          <w:rFonts w:ascii="Comic Sans MS" w:hAnsi="Comic Sans MS" w:cs="Times New Roman"/>
          <w:sz w:val="20"/>
          <w:szCs w:val="20"/>
        </w:rPr>
        <w:t>.</w:t>
      </w:r>
    </w:p>
    <w:p w:rsidR="00367CF7" w:rsidRPr="00CB4CCD" w:rsidRDefault="00367CF7" w:rsidP="00CB4CCD">
      <w:pPr>
        <w:pStyle w:val="ListParagraph"/>
        <w:numPr>
          <w:ilvl w:val="1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The same retail regulatory obligations will be applied to all awardee/designees without regard for technology type.  ROR regulation will be eliminated and stream lined regulatory protection rules will identified and implemented. </w:t>
      </w:r>
    </w:p>
    <w:p w:rsidR="00367CF7" w:rsidRPr="001D610C" w:rsidRDefault="00367CF7" w:rsidP="0086104D">
      <w:pPr>
        <w:pStyle w:val="ListParagraph"/>
        <w:spacing w:after="0" w:line="240" w:lineRule="auto"/>
        <w:rPr>
          <w:rFonts w:ascii="Comic Sans MS" w:hAnsi="Comic Sans MS"/>
          <w:sz w:val="20"/>
          <w:szCs w:val="20"/>
        </w:rPr>
      </w:pPr>
    </w:p>
    <w:p w:rsidR="00367CF7" w:rsidRPr="001D610C" w:rsidRDefault="00367CF7" w:rsidP="001B635A">
      <w:pPr>
        <w:pStyle w:val="ListParagraph"/>
        <w:spacing w:after="0" w:line="240" w:lineRule="auto"/>
        <w:ind w:left="1080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>Application process – Provider application must include the following:</w:t>
      </w:r>
    </w:p>
    <w:p w:rsidR="00367CF7" w:rsidRPr="001D610C" w:rsidRDefault="00367CF7" w:rsidP="00C110C3">
      <w:pPr>
        <w:pStyle w:val="ListParagraph"/>
        <w:numPr>
          <w:ilvl w:val="2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>Completed forward-looking cost data consistent with Commission approved high-cost model using its own costs.</w:t>
      </w:r>
    </w:p>
    <w:p w:rsidR="00367CF7" w:rsidRPr="001D610C" w:rsidRDefault="00367CF7" w:rsidP="00C110C3">
      <w:pPr>
        <w:pStyle w:val="ListParagraph"/>
        <w:numPr>
          <w:ilvl w:val="2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 xml:space="preserve">Confirmation that provider willing </w:t>
      </w:r>
      <w:r>
        <w:rPr>
          <w:rFonts w:ascii="Comic Sans MS" w:hAnsi="Comic Sans MS" w:cs="Times New Roman"/>
          <w:sz w:val="20"/>
          <w:szCs w:val="20"/>
        </w:rPr>
        <w:t xml:space="preserve">and able </w:t>
      </w:r>
      <w:r w:rsidRPr="001D610C">
        <w:rPr>
          <w:rFonts w:ascii="Comic Sans MS" w:hAnsi="Comic Sans MS" w:cs="Times New Roman"/>
          <w:sz w:val="20"/>
          <w:szCs w:val="20"/>
        </w:rPr>
        <w:t xml:space="preserve">to </w:t>
      </w:r>
      <w:r>
        <w:rPr>
          <w:rFonts w:ascii="Comic Sans MS" w:hAnsi="Comic Sans MS" w:cs="Times New Roman"/>
          <w:sz w:val="20"/>
          <w:szCs w:val="20"/>
        </w:rPr>
        <w:t xml:space="preserve">provide </w:t>
      </w:r>
      <w:r w:rsidRPr="001D610C">
        <w:rPr>
          <w:rFonts w:ascii="Comic Sans MS" w:hAnsi="Comic Sans MS" w:cs="Times New Roman"/>
          <w:sz w:val="20"/>
          <w:szCs w:val="20"/>
        </w:rPr>
        <w:t xml:space="preserve">COLR responsibilities if awarded the HC area. </w:t>
      </w:r>
    </w:p>
    <w:p w:rsidR="00367CF7" w:rsidRPr="001D610C" w:rsidRDefault="00367CF7" w:rsidP="00C110C3">
      <w:pPr>
        <w:pStyle w:val="ListParagraph"/>
        <w:numPr>
          <w:ilvl w:val="2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>Broadband - Each applicant must submit a broadband plan consistent with the objectives and goals set out by the state</w:t>
      </w:r>
      <w:r>
        <w:rPr>
          <w:rFonts w:ascii="Comic Sans MS" w:hAnsi="Comic Sans MS" w:cs="Times New Roman"/>
          <w:sz w:val="20"/>
          <w:szCs w:val="20"/>
        </w:rPr>
        <w:t xml:space="preserve">, </w:t>
      </w:r>
      <w:r w:rsidRPr="00884583">
        <w:rPr>
          <w:rFonts w:ascii="Comic Sans MS" w:hAnsi="Comic Sans MS" w:cs="Times New Roman"/>
          <w:sz w:val="20"/>
          <w:szCs w:val="20"/>
        </w:rPr>
        <w:t>including a construction plan if needed to fulfill obligations under the plan.</w:t>
      </w:r>
    </w:p>
    <w:p w:rsidR="00367CF7" w:rsidRPr="001D610C" w:rsidRDefault="00367CF7" w:rsidP="00071F0E">
      <w:pPr>
        <w:pStyle w:val="ListParagraph"/>
        <w:numPr>
          <w:ilvl w:val="2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>Non-ILEC awardees acknowledge that within the awarded area the provider must submit to and comply with all current Commission rules and regulations application to competitively classified companies.</w:t>
      </w:r>
    </w:p>
    <w:p w:rsidR="00367CF7" w:rsidRPr="001D610C" w:rsidRDefault="00367CF7" w:rsidP="00071F0E">
      <w:pPr>
        <w:pStyle w:val="ListParagraph"/>
        <w:numPr>
          <w:ilvl w:val="2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>Must agree to implement the Commission’s prescribed local service benchmark (or impute to the benchmark).</w:t>
      </w:r>
    </w:p>
    <w:p w:rsidR="00367CF7" w:rsidRPr="001D610C" w:rsidRDefault="00367CF7" w:rsidP="00071F0E">
      <w:pPr>
        <w:pStyle w:val="ListParagraph"/>
        <w:numPr>
          <w:ilvl w:val="2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>Must file as part of its application file service extension plan consistent with WAC 480-120-071.  Each plan will provide the following:</w:t>
      </w:r>
    </w:p>
    <w:p w:rsidR="00367CF7" w:rsidRPr="001D610C" w:rsidRDefault="00367CF7" w:rsidP="00C30406">
      <w:pPr>
        <w:pStyle w:val="ListParagraph"/>
        <w:numPr>
          <w:ilvl w:val="3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>Facilities based providers must apply distance based allowance consistent with ILEC treatment under the rule.</w:t>
      </w:r>
    </w:p>
    <w:p w:rsidR="00367CF7" w:rsidRPr="001D610C" w:rsidRDefault="00367CF7" w:rsidP="0025012C">
      <w:pPr>
        <w:pStyle w:val="ListParagraph"/>
        <w:numPr>
          <w:ilvl w:val="3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 xml:space="preserve">Wireless/satellite providers must provide an auditable cost based allowance that replicates the distance sensitive allowance. </w:t>
      </w:r>
    </w:p>
    <w:p w:rsidR="00367CF7" w:rsidRDefault="00367CF7" w:rsidP="00722448">
      <w:pPr>
        <w:pStyle w:val="ListParagraph"/>
        <w:numPr>
          <w:ilvl w:val="3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>Providers must track each customer request that involves a service extension, including the quote and the final resolution.</w:t>
      </w:r>
    </w:p>
    <w:p w:rsidR="00367CF7" w:rsidRPr="00ED4BAD" w:rsidRDefault="00367CF7" w:rsidP="00ED4BAD">
      <w:pPr>
        <w:pStyle w:val="ListParagraph"/>
        <w:numPr>
          <w:ilvl w:val="2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An applicant that must construct facilities to provision required service must do so within 12 months of being awarded the HC area   Funding to begin once services are provided.</w:t>
      </w:r>
    </w:p>
    <w:p w:rsidR="00367CF7" w:rsidRPr="001D610C" w:rsidRDefault="00367CF7" w:rsidP="00B925E0">
      <w:pPr>
        <w:pStyle w:val="ListParagraph"/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:rsidR="00367CF7" w:rsidRPr="001D610C" w:rsidRDefault="00367CF7" w:rsidP="00685FF9">
      <w:pPr>
        <w:pStyle w:val="ListParagraph"/>
        <w:spacing w:after="0" w:line="240" w:lineRule="auto"/>
        <w:ind w:left="1080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>Evaluation and designation of COLR providers</w:t>
      </w:r>
    </w:p>
    <w:p w:rsidR="00367CF7" w:rsidRPr="001D610C" w:rsidRDefault="00367CF7" w:rsidP="00685FF9">
      <w:pPr>
        <w:pStyle w:val="ListParagraph"/>
        <w:numPr>
          <w:ilvl w:val="0"/>
          <w:numId w:val="12"/>
        </w:numPr>
        <w:tabs>
          <w:tab w:val="clear" w:pos="3420"/>
          <w:tab w:val="num" w:pos="2880"/>
        </w:tabs>
        <w:spacing w:after="0" w:line="240" w:lineRule="auto"/>
        <w:ind w:left="2880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>The State’s evaluation process must balance the need to control the size of the fund with the long term sustainability of the applica</w:t>
      </w:r>
      <w:r>
        <w:rPr>
          <w:rFonts w:ascii="Comic Sans MS" w:hAnsi="Comic Sans MS" w:cs="Times New Roman"/>
          <w:sz w:val="20"/>
          <w:szCs w:val="20"/>
        </w:rPr>
        <w:t>n</w:t>
      </w:r>
      <w:r w:rsidRPr="001D610C">
        <w:rPr>
          <w:rFonts w:ascii="Comic Sans MS" w:hAnsi="Comic Sans MS" w:cs="Times New Roman"/>
          <w:sz w:val="20"/>
          <w:szCs w:val="20"/>
        </w:rPr>
        <w:t>t</w:t>
      </w:r>
      <w:r>
        <w:rPr>
          <w:rFonts w:ascii="Comic Sans MS" w:hAnsi="Comic Sans MS" w:cs="Times New Roman"/>
          <w:sz w:val="20"/>
          <w:szCs w:val="20"/>
        </w:rPr>
        <w:t>s</w:t>
      </w:r>
      <w:r w:rsidRPr="001D610C">
        <w:rPr>
          <w:rFonts w:ascii="Comic Sans MS" w:hAnsi="Comic Sans MS" w:cs="Times New Roman"/>
          <w:sz w:val="20"/>
          <w:szCs w:val="20"/>
        </w:rPr>
        <w:t xml:space="preserve"> business plan and ability to provide quality services to high cost areas (i.e. Commission not bound to take lowest bidder).</w:t>
      </w:r>
    </w:p>
    <w:p w:rsidR="00367CF7" w:rsidRPr="001D610C" w:rsidRDefault="00367CF7" w:rsidP="00685FF9">
      <w:pPr>
        <w:pStyle w:val="ListParagraph"/>
        <w:numPr>
          <w:ilvl w:val="0"/>
          <w:numId w:val="12"/>
        </w:numPr>
        <w:tabs>
          <w:tab w:val="clear" w:pos="3420"/>
          <w:tab w:val="num" w:pos="2880"/>
        </w:tabs>
        <w:spacing w:after="0" w:line="240" w:lineRule="auto"/>
        <w:ind w:left="2880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 xml:space="preserve">Should no non-ILEC providers apply to serve a </w:t>
      </w:r>
      <w:r>
        <w:rPr>
          <w:rFonts w:ascii="Comic Sans MS" w:hAnsi="Comic Sans MS" w:cs="Times New Roman"/>
          <w:sz w:val="20"/>
          <w:szCs w:val="20"/>
        </w:rPr>
        <w:t>HC area</w:t>
      </w:r>
      <w:r w:rsidRPr="001D610C">
        <w:rPr>
          <w:rFonts w:ascii="Comic Sans MS" w:hAnsi="Comic Sans MS" w:cs="Times New Roman"/>
          <w:sz w:val="20"/>
          <w:szCs w:val="20"/>
        </w:rPr>
        <w:t xml:space="preserve">, the Commission may designation the ILEC as the COLR provider.  USF support would be determined using an updated forward-looking cost model. </w:t>
      </w:r>
    </w:p>
    <w:p w:rsidR="00367CF7" w:rsidRPr="001D610C" w:rsidRDefault="00367CF7" w:rsidP="000C5082">
      <w:pPr>
        <w:pStyle w:val="ListParagraph"/>
        <w:spacing w:after="0" w:line="240" w:lineRule="auto"/>
        <w:ind w:left="2520"/>
        <w:rPr>
          <w:rFonts w:ascii="Comic Sans MS" w:hAnsi="Comic Sans MS" w:cs="Times New Roman"/>
          <w:sz w:val="20"/>
          <w:szCs w:val="20"/>
        </w:rPr>
      </w:pPr>
    </w:p>
    <w:p w:rsidR="00367CF7" w:rsidRPr="001D610C" w:rsidRDefault="00367CF7" w:rsidP="000C5082">
      <w:pPr>
        <w:pStyle w:val="ListParagraph"/>
        <w:spacing w:after="0" w:line="240" w:lineRule="auto"/>
        <w:ind w:left="1080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>Regulatory treatment under this phase:</w:t>
      </w:r>
    </w:p>
    <w:p w:rsidR="00367CF7" w:rsidRPr="001D610C" w:rsidRDefault="00367CF7" w:rsidP="000C5082">
      <w:pPr>
        <w:pStyle w:val="ListParagraph"/>
        <w:spacing w:after="0" w:line="240" w:lineRule="auto"/>
        <w:ind w:left="1080"/>
        <w:rPr>
          <w:rFonts w:ascii="Comic Sans MS" w:hAnsi="Comic Sans MS" w:cs="Times New Roman"/>
          <w:sz w:val="20"/>
          <w:szCs w:val="20"/>
        </w:rPr>
      </w:pPr>
    </w:p>
    <w:p w:rsidR="00367CF7" w:rsidRPr="001D610C" w:rsidRDefault="00367CF7" w:rsidP="000C5082">
      <w:pPr>
        <w:pStyle w:val="ListParagraph"/>
        <w:spacing w:after="0" w:line="240" w:lineRule="auto"/>
        <w:ind w:left="1980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 xml:space="preserve">Low-cost areas with alternative providers with functionally equivalent services will be competitively classified.  A facilities based provider or a designated CETC qualifies as a functionally equivalent service provider. </w:t>
      </w:r>
    </w:p>
    <w:p w:rsidR="00367CF7" w:rsidRPr="001D610C" w:rsidRDefault="00367CF7" w:rsidP="000C5082">
      <w:pPr>
        <w:pStyle w:val="ListParagraph"/>
        <w:spacing w:after="0" w:line="240" w:lineRule="auto"/>
        <w:ind w:left="1980"/>
        <w:rPr>
          <w:rFonts w:ascii="Comic Sans MS" w:hAnsi="Comic Sans MS" w:cs="Times New Roman"/>
          <w:sz w:val="20"/>
          <w:szCs w:val="20"/>
        </w:rPr>
      </w:pPr>
    </w:p>
    <w:p w:rsidR="00367CF7" w:rsidRPr="001D610C" w:rsidRDefault="00367CF7" w:rsidP="000C5082">
      <w:pPr>
        <w:pStyle w:val="ListParagraph"/>
        <w:spacing w:after="0" w:line="240" w:lineRule="auto"/>
        <w:ind w:left="1980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>Unsupported service providers within a wire center are relieved of COLR responsibilities (except to the extent of commitments for federal ETC status) and are treated as competitively classified.</w:t>
      </w:r>
      <w:r w:rsidRPr="001D610C">
        <w:rPr>
          <w:rStyle w:val="FootnoteReference"/>
          <w:rFonts w:ascii="Comic Sans MS" w:hAnsi="Comic Sans MS"/>
          <w:sz w:val="20"/>
          <w:szCs w:val="20"/>
        </w:rPr>
        <w:footnoteReference w:id="2"/>
      </w:r>
    </w:p>
    <w:p w:rsidR="00367CF7" w:rsidRPr="001D610C" w:rsidRDefault="00367CF7" w:rsidP="00884583">
      <w:pPr>
        <w:spacing w:line="240" w:lineRule="auto"/>
        <w:rPr>
          <w:rFonts w:cs="Times New Roman"/>
        </w:rPr>
      </w:pPr>
      <w:r w:rsidRPr="001D610C">
        <w:t xml:space="preserve">   </w:t>
      </w:r>
    </w:p>
    <w:p w:rsidR="00367CF7" w:rsidRPr="001D610C" w:rsidRDefault="00367CF7" w:rsidP="00457041">
      <w:pPr>
        <w:pStyle w:val="ListParagraph"/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>4. Access reform all participating providers</w:t>
      </w:r>
    </w:p>
    <w:p w:rsidR="00367CF7" w:rsidRDefault="00367CF7" w:rsidP="00457041">
      <w:pPr>
        <w:pStyle w:val="ListParagraph"/>
        <w:numPr>
          <w:ilvl w:val="1"/>
          <w:numId w:val="12"/>
        </w:numPr>
        <w:tabs>
          <w:tab w:val="clear" w:pos="4140"/>
          <w:tab w:val="num" w:pos="1800"/>
        </w:tabs>
        <w:spacing w:after="0" w:line="240" w:lineRule="auto"/>
        <w:ind w:left="1800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 xml:space="preserve">Reduce intrastate switched </w:t>
      </w:r>
      <w:r>
        <w:rPr>
          <w:rFonts w:ascii="Comic Sans MS" w:hAnsi="Comic Sans MS" w:cs="Times New Roman"/>
          <w:sz w:val="20"/>
          <w:szCs w:val="20"/>
        </w:rPr>
        <w:t xml:space="preserve">minute of use </w:t>
      </w:r>
      <w:r w:rsidRPr="001D610C">
        <w:rPr>
          <w:rFonts w:ascii="Comic Sans MS" w:hAnsi="Comic Sans MS" w:cs="Times New Roman"/>
          <w:sz w:val="20"/>
          <w:szCs w:val="20"/>
        </w:rPr>
        <w:t xml:space="preserve">access charge rates to </w:t>
      </w:r>
      <w:r>
        <w:rPr>
          <w:rFonts w:ascii="Comic Sans MS" w:hAnsi="Comic Sans MS" w:cs="Times New Roman"/>
          <w:sz w:val="20"/>
          <w:szCs w:val="20"/>
        </w:rPr>
        <w:t xml:space="preserve">at least </w:t>
      </w:r>
      <w:r w:rsidRPr="001D610C">
        <w:rPr>
          <w:rFonts w:ascii="Comic Sans MS" w:hAnsi="Comic Sans MS" w:cs="Times New Roman"/>
          <w:sz w:val="20"/>
          <w:szCs w:val="20"/>
        </w:rPr>
        <w:t xml:space="preserve">that company's composite interstate switched </w:t>
      </w:r>
      <w:r>
        <w:rPr>
          <w:rFonts w:ascii="Comic Sans MS" w:hAnsi="Comic Sans MS" w:cs="Times New Roman"/>
          <w:sz w:val="20"/>
          <w:szCs w:val="20"/>
        </w:rPr>
        <w:t xml:space="preserve">minute of use </w:t>
      </w:r>
      <w:r w:rsidRPr="001D610C">
        <w:rPr>
          <w:rFonts w:ascii="Comic Sans MS" w:hAnsi="Comic Sans MS" w:cs="Times New Roman"/>
          <w:sz w:val="20"/>
          <w:szCs w:val="20"/>
        </w:rPr>
        <w:t xml:space="preserve">access rate levels </w:t>
      </w:r>
      <w:r>
        <w:rPr>
          <w:rFonts w:ascii="Comic Sans MS" w:hAnsi="Comic Sans MS" w:cs="Times New Roman"/>
          <w:sz w:val="20"/>
          <w:szCs w:val="20"/>
        </w:rPr>
        <w:t xml:space="preserve">or lower Commission prescribed level, </w:t>
      </w:r>
      <w:r w:rsidRPr="001D610C">
        <w:rPr>
          <w:rFonts w:ascii="Comic Sans MS" w:hAnsi="Comic Sans MS" w:cs="Times New Roman"/>
          <w:sz w:val="20"/>
          <w:szCs w:val="20"/>
        </w:rPr>
        <w:t xml:space="preserve">maximum of over four years </w:t>
      </w:r>
    </w:p>
    <w:p w:rsidR="00367CF7" w:rsidRPr="001D610C" w:rsidRDefault="00367CF7" w:rsidP="00457041">
      <w:pPr>
        <w:pStyle w:val="ListParagraph"/>
        <w:numPr>
          <w:ilvl w:val="1"/>
          <w:numId w:val="12"/>
        </w:numPr>
        <w:tabs>
          <w:tab w:val="clear" w:pos="4140"/>
          <w:tab w:val="num" w:pos="1800"/>
        </w:tabs>
        <w:spacing w:after="0" w:line="240" w:lineRule="auto"/>
        <w:ind w:left="1800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>CLEC rates capped at ILEC rate for same serving area</w:t>
      </w:r>
    </w:p>
    <w:p w:rsidR="00367CF7" w:rsidRPr="001D610C" w:rsidRDefault="00367CF7" w:rsidP="00457041">
      <w:pPr>
        <w:pStyle w:val="ListParagraph"/>
        <w:numPr>
          <w:ilvl w:val="1"/>
          <w:numId w:val="12"/>
        </w:numPr>
        <w:tabs>
          <w:tab w:val="clear" w:pos="4140"/>
          <w:tab w:val="num" w:pos="1800"/>
        </w:tabs>
        <w:spacing w:after="0" w:line="240" w:lineRule="auto"/>
        <w:ind w:left="1800"/>
        <w:rPr>
          <w:rFonts w:ascii="Comic Sans MS" w:hAnsi="Comic Sans MS" w:cs="Times New Roman"/>
          <w:sz w:val="20"/>
          <w:szCs w:val="20"/>
        </w:rPr>
      </w:pPr>
      <w:r w:rsidRPr="001D610C">
        <w:rPr>
          <w:rFonts w:ascii="Comic Sans MS" w:hAnsi="Comic Sans MS" w:cs="Times New Roman"/>
          <w:sz w:val="20"/>
          <w:szCs w:val="20"/>
        </w:rPr>
        <w:t xml:space="preserve">Commission set a </w:t>
      </w:r>
      <w:r>
        <w:rPr>
          <w:rFonts w:ascii="Comic Sans MS" w:hAnsi="Comic Sans MS" w:cs="Times New Roman"/>
          <w:sz w:val="20"/>
          <w:szCs w:val="20"/>
        </w:rPr>
        <w:t xml:space="preserve">single </w:t>
      </w:r>
      <w:r w:rsidRPr="001D610C">
        <w:rPr>
          <w:rFonts w:ascii="Comic Sans MS" w:hAnsi="Comic Sans MS" w:cs="Times New Roman"/>
          <w:sz w:val="20"/>
          <w:szCs w:val="20"/>
        </w:rPr>
        <w:t>“benchmark” local service rate that includes EAS (not SLC) – move to the benchmark or impute the benchmark rate in order to be eligible to draw from WUSF</w:t>
      </w:r>
      <w:r>
        <w:rPr>
          <w:rFonts w:ascii="Comic Sans MS" w:hAnsi="Comic Sans MS" w:cs="Times New Roman"/>
          <w:sz w:val="20"/>
          <w:szCs w:val="20"/>
        </w:rPr>
        <w:t xml:space="preserve">  Movement to benchmark not considered a general rate case.</w:t>
      </w:r>
    </w:p>
    <w:p w:rsidR="00367CF7" w:rsidRDefault="00367CF7" w:rsidP="00330B12">
      <w:pPr>
        <w:pStyle w:val="ListParagraph"/>
        <w:spacing w:after="0" w:line="240" w:lineRule="auto"/>
        <w:ind w:left="1440"/>
      </w:pPr>
    </w:p>
    <w:sectPr w:rsidR="00367CF7" w:rsidSect="0064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CF7" w:rsidRDefault="00367CF7">
      <w:r>
        <w:separator/>
      </w:r>
    </w:p>
  </w:endnote>
  <w:endnote w:type="continuationSeparator" w:id="0">
    <w:p w:rsidR="00367CF7" w:rsidRDefault="00367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CF7" w:rsidRDefault="00367CF7">
      <w:r>
        <w:separator/>
      </w:r>
    </w:p>
  </w:footnote>
  <w:footnote w:type="continuationSeparator" w:id="0">
    <w:p w:rsidR="00367CF7" w:rsidRDefault="00367CF7">
      <w:r>
        <w:continuationSeparator/>
      </w:r>
    </w:p>
  </w:footnote>
  <w:footnote w:id="1">
    <w:p w:rsidR="00367CF7" w:rsidRDefault="00367CF7">
      <w:pPr>
        <w:pStyle w:val="FootnoteText"/>
      </w:pPr>
      <w:r>
        <w:rPr>
          <w:rStyle w:val="FootnoteReference"/>
        </w:rPr>
        <w:footnoteRef/>
      </w:r>
      <w:r>
        <w:t xml:space="preserve"> Is not triggered by commitments negotiated in settlement of adjudicated proceedings</w:t>
      </w:r>
    </w:p>
  </w:footnote>
  <w:footnote w:id="2">
    <w:p w:rsidR="00367CF7" w:rsidRDefault="00367CF7" w:rsidP="000C5082">
      <w:pPr>
        <w:pStyle w:val="FootnoteText"/>
      </w:pPr>
      <w:r>
        <w:rPr>
          <w:rStyle w:val="FootnoteReference"/>
        </w:rPr>
        <w:footnoteRef/>
      </w:r>
      <w:r>
        <w:t xml:space="preserve"> Applies only to companies under the UTC’s jurisdiction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47B"/>
    <w:multiLevelType w:val="hybridMultilevel"/>
    <w:tmpl w:val="96744D44"/>
    <w:lvl w:ilvl="0" w:tplc="04090019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ADE4770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4B829BE"/>
    <w:multiLevelType w:val="hybridMultilevel"/>
    <w:tmpl w:val="08F4C336"/>
    <w:lvl w:ilvl="0" w:tplc="04090019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C583BEE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5DC71B9"/>
    <w:multiLevelType w:val="hybridMultilevel"/>
    <w:tmpl w:val="DF2A0B24"/>
    <w:lvl w:ilvl="0" w:tplc="23361CF8">
      <w:start w:val="9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">
    <w:nsid w:val="13EF79FE"/>
    <w:multiLevelType w:val="hybridMultilevel"/>
    <w:tmpl w:val="CD88598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27983308"/>
    <w:multiLevelType w:val="hybridMultilevel"/>
    <w:tmpl w:val="1490199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8D56BC68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78937AD"/>
    <w:multiLevelType w:val="hybridMultilevel"/>
    <w:tmpl w:val="F1EA4714"/>
    <w:lvl w:ilvl="0" w:tplc="04090019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3CE840EF"/>
    <w:multiLevelType w:val="multilevel"/>
    <w:tmpl w:val="E032777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B50052"/>
    <w:multiLevelType w:val="hybridMultilevel"/>
    <w:tmpl w:val="A106DAEE"/>
    <w:lvl w:ilvl="0" w:tplc="04090019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54A6BDE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58AE40E0"/>
    <w:multiLevelType w:val="hybridMultilevel"/>
    <w:tmpl w:val="DCA2C060"/>
    <w:lvl w:ilvl="0" w:tplc="9EF46CF2">
      <w:start w:val="9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9">
    <w:nsid w:val="5FB438E4"/>
    <w:multiLevelType w:val="hybridMultilevel"/>
    <w:tmpl w:val="8E0260EA"/>
    <w:lvl w:ilvl="0" w:tplc="8D56BC6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0">
    <w:nsid w:val="61EB48E7"/>
    <w:multiLevelType w:val="multilevel"/>
    <w:tmpl w:val="B6D45B9C"/>
    <w:lvl w:ilvl="0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6EF46271"/>
    <w:multiLevelType w:val="hybridMultilevel"/>
    <w:tmpl w:val="82FC6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DEEC640">
      <w:start w:val="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684EA0"/>
    <w:multiLevelType w:val="hybridMultilevel"/>
    <w:tmpl w:val="970056AA"/>
    <w:lvl w:ilvl="0" w:tplc="0409000B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A8D"/>
    <w:rsid w:val="0000220F"/>
    <w:rsid w:val="000158BD"/>
    <w:rsid w:val="00017715"/>
    <w:rsid w:val="00017975"/>
    <w:rsid w:val="00025DA2"/>
    <w:rsid w:val="000300F9"/>
    <w:rsid w:val="00030A08"/>
    <w:rsid w:val="00040492"/>
    <w:rsid w:val="00042304"/>
    <w:rsid w:val="000438F0"/>
    <w:rsid w:val="00045CF4"/>
    <w:rsid w:val="000466A0"/>
    <w:rsid w:val="000505BD"/>
    <w:rsid w:val="000638A3"/>
    <w:rsid w:val="00071F0E"/>
    <w:rsid w:val="0007230A"/>
    <w:rsid w:val="000815B3"/>
    <w:rsid w:val="00081B6C"/>
    <w:rsid w:val="0009285F"/>
    <w:rsid w:val="00093D33"/>
    <w:rsid w:val="000A0730"/>
    <w:rsid w:val="000A3029"/>
    <w:rsid w:val="000A61E7"/>
    <w:rsid w:val="000A7EB9"/>
    <w:rsid w:val="000C3547"/>
    <w:rsid w:val="000C5082"/>
    <w:rsid w:val="000C6CB0"/>
    <w:rsid w:val="000D5FE3"/>
    <w:rsid w:val="000E000A"/>
    <w:rsid w:val="000E22F1"/>
    <w:rsid w:val="000F6B65"/>
    <w:rsid w:val="0010325B"/>
    <w:rsid w:val="00103450"/>
    <w:rsid w:val="00111687"/>
    <w:rsid w:val="001154F8"/>
    <w:rsid w:val="0012636A"/>
    <w:rsid w:val="00126C3A"/>
    <w:rsid w:val="001313F9"/>
    <w:rsid w:val="0014021C"/>
    <w:rsid w:val="00151174"/>
    <w:rsid w:val="00153C51"/>
    <w:rsid w:val="00177A6F"/>
    <w:rsid w:val="001831D5"/>
    <w:rsid w:val="00184F89"/>
    <w:rsid w:val="00184FC6"/>
    <w:rsid w:val="001923C1"/>
    <w:rsid w:val="001A1111"/>
    <w:rsid w:val="001A613C"/>
    <w:rsid w:val="001B635A"/>
    <w:rsid w:val="001C0EF8"/>
    <w:rsid w:val="001D0840"/>
    <w:rsid w:val="001D610C"/>
    <w:rsid w:val="001D7278"/>
    <w:rsid w:val="001E0D07"/>
    <w:rsid w:val="001E6749"/>
    <w:rsid w:val="00210779"/>
    <w:rsid w:val="00216502"/>
    <w:rsid w:val="0022567B"/>
    <w:rsid w:val="00226678"/>
    <w:rsid w:val="00237046"/>
    <w:rsid w:val="00237B2D"/>
    <w:rsid w:val="00240AD6"/>
    <w:rsid w:val="002441F9"/>
    <w:rsid w:val="0025012C"/>
    <w:rsid w:val="002576C4"/>
    <w:rsid w:val="00263753"/>
    <w:rsid w:val="00275419"/>
    <w:rsid w:val="002A0761"/>
    <w:rsid w:val="002A7888"/>
    <w:rsid w:val="002C2642"/>
    <w:rsid w:val="002C508B"/>
    <w:rsid w:val="002D4996"/>
    <w:rsid w:val="002E4193"/>
    <w:rsid w:val="002E4630"/>
    <w:rsid w:val="002F77E2"/>
    <w:rsid w:val="002F7ED4"/>
    <w:rsid w:val="00300398"/>
    <w:rsid w:val="0031762A"/>
    <w:rsid w:val="00321D18"/>
    <w:rsid w:val="0032340D"/>
    <w:rsid w:val="003253F1"/>
    <w:rsid w:val="00330B12"/>
    <w:rsid w:val="0035433C"/>
    <w:rsid w:val="003648FF"/>
    <w:rsid w:val="00367CF7"/>
    <w:rsid w:val="00370E30"/>
    <w:rsid w:val="00370F6D"/>
    <w:rsid w:val="00387154"/>
    <w:rsid w:val="003A1CA7"/>
    <w:rsid w:val="003D12A2"/>
    <w:rsid w:val="003D46D2"/>
    <w:rsid w:val="003F684A"/>
    <w:rsid w:val="00404E34"/>
    <w:rsid w:val="004132D5"/>
    <w:rsid w:val="004218E3"/>
    <w:rsid w:val="00435272"/>
    <w:rsid w:val="00446ABD"/>
    <w:rsid w:val="00450561"/>
    <w:rsid w:val="00457041"/>
    <w:rsid w:val="00461DE7"/>
    <w:rsid w:val="004962E4"/>
    <w:rsid w:val="004963C6"/>
    <w:rsid w:val="004A1352"/>
    <w:rsid w:val="004B7295"/>
    <w:rsid w:val="004F0A87"/>
    <w:rsid w:val="004F1173"/>
    <w:rsid w:val="004F186E"/>
    <w:rsid w:val="004F7DB0"/>
    <w:rsid w:val="00511533"/>
    <w:rsid w:val="0051263B"/>
    <w:rsid w:val="005236D9"/>
    <w:rsid w:val="00543EE7"/>
    <w:rsid w:val="0055493F"/>
    <w:rsid w:val="00581FDE"/>
    <w:rsid w:val="00582715"/>
    <w:rsid w:val="005950BD"/>
    <w:rsid w:val="005950C2"/>
    <w:rsid w:val="005A6F1F"/>
    <w:rsid w:val="005B1987"/>
    <w:rsid w:val="005C412D"/>
    <w:rsid w:val="005D19A0"/>
    <w:rsid w:val="005D57FD"/>
    <w:rsid w:val="006007B9"/>
    <w:rsid w:val="00610C09"/>
    <w:rsid w:val="00620FFF"/>
    <w:rsid w:val="00630950"/>
    <w:rsid w:val="00636DCD"/>
    <w:rsid w:val="0064077A"/>
    <w:rsid w:val="00643445"/>
    <w:rsid w:val="00651C04"/>
    <w:rsid w:val="0065392A"/>
    <w:rsid w:val="00655EB4"/>
    <w:rsid w:val="00673C0D"/>
    <w:rsid w:val="00680A0D"/>
    <w:rsid w:val="00680B1C"/>
    <w:rsid w:val="00685FF9"/>
    <w:rsid w:val="006868BA"/>
    <w:rsid w:val="00694160"/>
    <w:rsid w:val="00694D81"/>
    <w:rsid w:val="006B40D2"/>
    <w:rsid w:val="006B556D"/>
    <w:rsid w:val="006C65CA"/>
    <w:rsid w:val="006E11A4"/>
    <w:rsid w:val="0070556C"/>
    <w:rsid w:val="007219C8"/>
    <w:rsid w:val="00722448"/>
    <w:rsid w:val="007513E7"/>
    <w:rsid w:val="00753F99"/>
    <w:rsid w:val="00754E8F"/>
    <w:rsid w:val="00755E7F"/>
    <w:rsid w:val="0076437E"/>
    <w:rsid w:val="007869FA"/>
    <w:rsid w:val="00790996"/>
    <w:rsid w:val="007939DC"/>
    <w:rsid w:val="007C2ECF"/>
    <w:rsid w:val="007C411F"/>
    <w:rsid w:val="007D08A3"/>
    <w:rsid w:val="007D261A"/>
    <w:rsid w:val="007D2E9B"/>
    <w:rsid w:val="007D74EE"/>
    <w:rsid w:val="007E348A"/>
    <w:rsid w:val="00800FDA"/>
    <w:rsid w:val="0080639A"/>
    <w:rsid w:val="00815DA0"/>
    <w:rsid w:val="00826F46"/>
    <w:rsid w:val="0086104B"/>
    <w:rsid w:val="0086104D"/>
    <w:rsid w:val="008761BE"/>
    <w:rsid w:val="00884583"/>
    <w:rsid w:val="00885692"/>
    <w:rsid w:val="008A1EA3"/>
    <w:rsid w:val="008A7C09"/>
    <w:rsid w:val="008E020E"/>
    <w:rsid w:val="008E2AC0"/>
    <w:rsid w:val="008F078D"/>
    <w:rsid w:val="00914A13"/>
    <w:rsid w:val="00921C81"/>
    <w:rsid w:val="00924256"/>
    <w:rsid w:val="00932A8D"/>
    <w:rsid w:val="00947B1C"/>
    <w:rsid w:val="00951763"/>
    <w:rsid w:val="009519D2"/>
    <w:rsid w:val="0095704E"/>
    <w:rsid w:val="0096360D"/>
    <w:rsid w:val="009655B1"/>
    <w:rsid w:val="00976C0D"/>
    <w:rsid w:val="00981727"/>
    <w:rsid w:val="00991198"/>
    <w:rsid w:val="00992FE5"/>
    <w:rsid w:val="009A3670"/>
    <w:rsid w:val="009A3E71"/>
    <w:rsid w:val="009B2A07"/>
    <w:rsid w:val="009C0307"/>
    <w:rsid w:val="009F796A"/>
    <w:rsid w:val="00A04F47"/>
    <w:rsid w:val="00A10353"/>
    <w:rsid w:val="00A24AB7"/>
    <w:rsid w:val="00A360C3"/>
    <w:rsid w:val="00A54199"/>
    <w:rsid w:val="00A54FFF"/>
    <w:rsid w:val="00A63D8F"/>
    <w:rsid w:val="00A71E51"/>
    <w:rsid w:val="00A7625C"/>
    <w:rsid w:val="00AB0AE0"/>
    <w:rsid w:val="00AB4A16"/>
    <w:rsid w:val="00AD7205"/>
    <w:rsid w:val="00AE23EE"/>
    <w:rsid w:val="00AF5432"/>
    <w:rsid w:val="00B00B78"/>
    <w:rsid w:val="00B05BE9"/>
    <w:rsid w:val="00B25EDC"/>
    <w:rsid w:val="00B7501A"/>
    <w:rsid w:val="00B92235"/>
    <w:rsid w:val="00B925E0"/>
    <w:rsid w:val="00B9691C"/>
    <w:rsid w:val="00BD3264"/>
    <w:rsid w:val="00BD5890"/>
    <w:rsid w:val="00BE6718"/>
    <w:rsid w:val="00BF643F"/>
    <w:rsid w:val="00C10096"/>
    <w:rsid w:val="00C10489"/>
    <w:rsid w:val="00C110C3"/>
    <w:rsid w:val="00C131AD"/>
    <w:rsid w:val="00C1522D"/>
    <w:rsid w:val="00C15F5F"/>
    <w:rsid w:val="00C16B8F"/>
    <w:rsid w:val="00C1753F"/>
    <w:rsid w:val="00C27FAC"/>
    <w:rsid w:val="00C30406"/>
    <w:rsid w:val="00C436F0"/>
    <w:rsid w:val="00C43C2A"/>
    <w:rsid w:val="00C45244"/>
    <w:rsid w:val="00C55EC6"/>
    <w:rsid w:val="00C606B8"/>
    <w:rsid w:val="00C617BF"/>
    <w:rsid w:val="00C90D7F"/>
    <w:rsid w:val="00C96F9A"/>
    <w:rsid w:val="00CA5222"/>
    <w:rsid w:val="00CA6460"/>
    <w:rsid w:val="00CB3210"/>
    <w:rsid w:val="00CB4CCD"/>
    <w:rsid w:val="00CC77F7"/>
    <w:rsid w:val="00CC7E46"/>
    <w:rsid w:val="00CE36BA"/>
    <w:rsid w:val="00CF3648"/>
    <w:rsid w:val="00D32A31"/>
    <w:rsid w:val="00D47222"/>
    <w:rsid w:val="00D500FD"/>
    <w:rsid w:val="00D57DCD"/>
    <w:rsid w:val="00D61780"/>
    <w:rsid w:val="00D66A6A"/>
    <w:rsid w:val="00D97470"/>
    <w:rsid w:val="00DB7CF0"/>
    <w:rsid w:val="00DC29AF"/>
    <w:rsid w:val="00DD3F48"/>
    <w:rsid w:val="00E2404F"/>
    <w:rsid w:val="00E25F14"/>
    <w:rsid w:val="00E30919"/>
    <w:rsid w:val="00E405B2"/>
    <w:rsid w:val="00E54322"/>
    <w:rsid w:val="00E818F6"/>
    <w:rsid w:val="00E82302"/>
    <w:rsid w:val="00E8361B"/>
    <w:rsid w:val="00E92096"/>
    <w:rsid w:val="00E96EA1"/>
    <w:rsid w:val="00EB1266"/>
    <w:rsid w:val="00EB1A62"/>
    <w:rsid w:val="00EB42E3"/>
    <w:rsid w:val="00EC1663"/>
    <w:rsid w:val="00EC2BDB"/>
    <w:rsid w:val="00ED4BAD"/>
    <w:rsid w:val="00EE77C0"/>
    <w:rsid w:val="00EE7BFA"/>
    <w:rsid w:val="00EE7FAC"/>
    <w:rsid w:val="00EF1CFD"/>
    <w:rsid w:val="00F156D8"/>
    <w:rsid w:val="00F71602"/>
    <w:rsid w:val="00F777AC"/>
    <w:rsid w:val="00F77E3B"/>
    <w:rsid w:val="00F807CF"/>
    <w:rsid w:val="00F82E5B"/>
    <w:rsid w:val="00F91461"/>
    <w:rsid w:val="00FB1E2E"/>
    <w:rsid w:val="00FD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0F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5890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2BDB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800F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C264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26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66A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2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66A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0723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A0730"/>
    <w:rPr>
      <w:rFonts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7230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7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CFB75134C8974E85C00FB4D29BB1AC" ma:contentTypeVersion="131" ma:contentTypeDescription="" ma:contentTypeScope="" ma:versionID="b7b9907a3537b18e4795b786a84ba1e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2010-04-07T07:00:00+00:00</OpenedDate>
    <Date1 xmlns="dc463f71-b30c-4ab2-9473-d307f9d35888">2010-09-01T07:00:00+00:00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3FBF1A3-5A10-425F-A575-D65C0881037C}"/>
</file>

<file path=customXml/itemProps2.xml><?xml version="1.0" encoding="utf-8"?>
<ds:datastoreItem xmlns:ds="http://schemas.openxmlformats.org/officeDocument/2006/customXml" ds:itemID="{1C772CA8-5359-4FA2-BEB2-98F1064F19A6}"/>
</file>

<file path=customXml/itemProps3.xml><?xml version="1.0" encoding="utf-8"?>
<ds:datastoreItem xmlns:ds="http://schemas.openxmlformats.org/officeDocument/2006/customXml" ds:itemID="{772B1902-F34F-48C0-8F5B-EC41059A8CF9}"/>
</file>

<file path=customXml/itemProps4.xml><?xml version="1.0" encoding="utf-8"?>
<ds:datastoreItem xmlns:ds="http://schemas.openxmlformats.org/officeDocument/2006/customXml" ds:itemID="{4DB1288C-B6D6-4A1D-A080-98B8D4CE936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1224</Words>
  <Characters>6983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Kathy McCrary</cp:lastModifiedBy>
  <cp:revision>2</cp:revision>
  <cp:lastPrinted>2010-08-30T15:45:00Z</cp:lastPrinted>
  <dcterms:created xsi:type="dcterms:W3CDTF">2010-08-30T15:46:00Z</dcterms:created>
  <dcterms:modified xsi:type="dcterms:W3CDTF">2010-08-30T15:46:00Z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2127405454</vt:i4>
  </property>
  <property fmtid="{D5CDD505-2E9C-101B-9397-08002B2CF9AE}" pid="4" name="_EmailSubject">
    <vt:lpwstr>Discuss WA USF proposal </vt:lpwstr>
  </property>
  <property fmtid="{D5CDD505-2E9C-101B-9397-08002B2CF9AE}" pid="5" name="_AuthorEmail">
    <vt:lpwstr>Christy.V.Londerholm@CenturyLink.com</vt:lpwstr>
  </property>
  <property fmtid="{D5CDD505-2E9C-101B-9397-08002B2CF9AE}" pid="6" name="_AuthorEmailDisplayName">
    <vt:lpwstr>Londerholm, Christy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0x0101006E56B4D1795A2E4DB2F0B01679ED314A00BACFB75134C8974E85C00FB4D29BB1AC</vt:lpwstr>
  </property>
  <property fmtid="{D5CDD505-2E9C-101B-9397-08002B2CF9AE}" pid="9" name="_docset_NoMedatataSyncRequired">
    <vt:lpwstr>False</vt:lpwstr>
  </property>
</Properties>
</file>