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706" w:rsidRPr="00277436" w:rsidRDefault="00435706">
      <w:pPr>
        <w:tabs>
          <w:tab w:val="left" w:pos="1260"/>
        </w:tabs>
        <w:spacing w:line="480" w:lineRule="auto"/>
        <w:ind w:firstLine="720"/>
        <w:jc w:val="center"/>
      </w:pPr>
    </w:p>
    <w:p w:rsidR="00435706" w:rsidRPr="00277436" w:rsidRDefault="00435706">
      <w:pPr>
        <w:tabs>
          <w:tab w:val="left" w:pos="1260"/>
        </w:tabs>
        <w:spacing w:line="480" w:lineRule="auto"/>
        <w:ind w:firstLine="720"/>
        <w:jc w:val="center"/>
      </w:pPr>
    </w:p>
    <w:p w:rsidR="00435706" w:rsidRPr="00277436" w:rsidRDefault="00435706">
      <w:pPr>
        <w:tabs>
          <w:tab w:val="left" w:pos="1260"/>
        </w:tabs>
        <w:spacing w:line="480" w:lineRule="auto"/>
        <w:ind w:firstLine="720"/>
        <w:jc w:val="center"/>
      </w:pPr>
    </w:p>
    <w:p w:rsidR="00435706" w:rsidRPr="00277436" w:rsidRDefault="00435706">
      <w:pPr>
        <w:tabs>
          <w:tab w:val="left" w:pos="1260"/>
        </w:tabs>
        <w:spacing w:line="480" w:lineRule="auto"/>
        <w:ind w:firstLine="720"/>
        <w:jc w:val="center"/>
      </w:pPr>
    </w:p>
    <w:p w:rsidR="00435706" w:rsidRPr="00277436" w:rsidRDefault="00525252">
      <w:pPr>
        <w:tabs>
          <w:tab w:val="left" w:pos="1260"/>
        </w:tabs>
        <w:spacing w:line="480" w:lineRule="auto"/>
        <w:ind w:firstLine="720"/>
        <w:jc w:val="center"/>
      </w:pPr>
      <w:r>
        <w:t xml:space="preserve"> </w:t>
      </w:r>
    </w:p>
    <w:p w:rsidR="00435706" w:rsidRPr="00277436" w:rsidRDefault="00435706">
      <w:pPr>
        <w:tabs>
          <w:tab w:val="left" w:pos="1260"/>
        </w:tabs>
        <w:spacing w:line="480" w:lineRule="auto"/>
        <w:ind w:firstLine="720"/>
      </w:pPr>
    </w:p>
    <w:p w:rsidR="00435706" w:rsidRPr="00277436" w:rsidRDefault="00435706">
      <w:pPr>
        <w:tabs>
          <w:tab w:val="left" w:pos="1260"/>
        </w:tabs>
        <w:spacing w:line="480" w:lineRule="auto"/>
        <w:ind w:firstLine="720"/>
        <w:jc w:val="center"/>
        <w:rPr>
          <w:rStyle w:val="LineNumber"/>
        </w:rPr>
      </w:pPr>
    </w:p>
    <w:p w:rsidR="00435706" w:rsidRPr="00277436" w:rsidRDefault="00435706">
      <w:pPr>
        <w:spacing w:line="480" w:lineRule="auto"/>
        <w:jc w:val="center"/>
      </w:pPr>
      <w:r w:rsidRPr="00277436">
        <w:t xml:space="preserve">BEFORE THE </w:t>
      </w:r>
      <w:smartTag w:uri="urn:schemas-microsoft-com:office:smarttags" w:element="place">
        <w:smartTag w:uri="urn:schemas-microsoft-com:office:smarttags" w:element="State">
          <w:r w:rsidRPr="00277436">
            <w:t>WASHINGTON</w:t>
          </w:r>
        </w:smartTag>
      </w:smartTag>
      <w:r w:rsidRPr="00277436">
        <w:t xml:space="preserve"> UTILITIES AND TRANSPORTATION COMMISSION</w:t>
      </w:r>
    </w:p>
    <w:p w:rsidR="00435706" w:rsidRPr="00277436" w:rsidRDefault="00435706">
      <w:pPr>
        <w:tabs>
          <w:tab w:val="left" w:pos="1260"/>
        </w:tabs>
        <w:spacing w:line="480" w:lineRule="auto"/>
      </w:pPr>
    </w:p>
    <w:p w:rsidR="0080138D" w:rsidRPr="00277436" w:rsidRDefault="00092D57" w:rsidP="00E20C9A">
      <w:pPr>
        <w:tabs>
          <w:tab w:val="left" w:pos="1260"/>
        </w:tabs>
        <w:spacing w:line="480" w:lineRule="auto"/>
        <w:jc w:val="center"/>
      </w:pPr>
      <w:r>
        <w:t>DOCKET NO. UE-160228</w:t>
      </w:r>
    </w:p>
    <w:p w:rsidR="00FF0EF1" w:rsidRDefault="00435706" w:rsidP="00283C00">
      <w:pPr>
        <w:tabs>
          <w:tab w:val="left" w:pos="1260"/>
        </w:tabs>
        <w:spacing w:line="480" w:lineRule="auto"/>
        <w:jc w:val="center"/>
      </w:pPr>
      <w:r w:rsidRPr="00D01726">
        <w:t xml:space="preserve">DOCKET NO. </w:t>
      </w:r>
      <w:r w:rsidR="0080138D" w:rsidRPr="00D01726">
        <w:t>UG</w:t>
      </w:r>
      <w:r w:rsidRPr="00D01726">
        <w:t>-</w:t>
      </w:r>
      <w:r w:rsidR="00092D57">
        <w:t>160229</w:t>
      </w:r>
    </w:p>
    <w:p w:rsidR="00435706" w:rsidRPr="00277436" w:rsidRDefault="00435706">
      <w:pPr>
        <w:tabs>
          <w:tab w:val="left" w:pos="1260"/>
        </w:tabs>
        <w:spacing w:line="480" w:lineRule="auto"/>
        <w:ind w:firstLine="720"/>
        <w:jc w:val="center"/>
      </w:pPr>
    </w:p>
    <w:p w:rsidR="00435706" w:rsidRPr="00277436" w:rsidRDefault="006462E7">
      <w:pPr>
        <w:tabs>
          <w:tab w:val="left" w:pos="1260"/>
        </w:tabs>
        <w:spacing w:line="480" w:lineRule="auto"/>
        <w:jc w:val="center"/>
      </w:pPr>
      <w:r>
        <w:t>REBUTTAL</w:t>
      </w:r>
      <w:r w:rsidR="00435706" w:rsidRPr="00277436">
        <w:t xml:space="preserve"> TESTIMONY OF </w:t>
      </w:r>
    </w:p>
    <w:p w:rsidR="00435706" w:rsidRPr="00277436" w:rsidRDefault="00283C00">
      <w:pPr>
        <w:tabs>
          <w:tab w:val="left" w:pos="1260"/>
        </w:tabs>
        <w:spacing w:line="480" w:lineRule="auto"/>
        <w:jc w:val="center"/>
      </w:pPr>
      <w:r>
        <w:t>KAREN K. SCHUH</w:t>
      </w:r>
    </w:p>
    <w:p w:rsidR="00435706" w:rsidRPr="00277436" w:rsidRDefault="00435706">
      <w:pPr>
        <w:tabs>
          <w:tab w:val="left" w:pos="1260"/>
        </w:tabs>
        <w:spacing w:line="480" w:lineRule="auto"/>
        <w:jc w:val="center"/>
      </w:pPr>
      <w:r w:rsidRPr="00277436">
        <w:t>REPRESENTING AVISTA CORPORATION</w:t>
      </w:r>
    </w:p>
    <w:p w:rsidR="00435706" w:rsidRPr="00277436" w:rsidRDefault="00435706">
      <w:pPr>
        <w:tabs>
          <w:tab w:val="left" w:pos="1260"/>
        </w:tabs>
        <w:spacing w:line="480" w:lineRule="auto"/>
        <w:ind w:firstLine="720"/>
        <w:jc w:val="center"/>
      </w:pPr>
    </w:p>
    <w:p w:rsidR="00435706" w:rsidRPr="00277436" w:rsidRDefault="00435706">
      <w:pPr>
        <w:tabs>
          <w:tab w:val="left" w:pos="1260"/>
        </w:tabs>
        <w:spacing w:line="480" w:lineRule="auto"/>
        <w:ind w:firstLine="720"/>
        <w:jc w:val="center"/>
      </w:pPr>
    </w:p>
    <w:p w:rsidR="00435706" w:rsidRPr="00277436" w:rsidRDefault="00435706" w:rsidP="004C0013">
      <w:pPr>
        <w:tabs>
          <w:tab w:val="left" w:pos="1260"/>
        </w:tabs>
        <w:spacing w:line="480" w:lineRule="auto"/>
        <w:jc w:val="both"/>
        <w:sectPr w:rsidR="00435706" w:rsidRPr="00277436" w:rsidSect="00B161E6">
          <w:headerReference w:type="default" r:id="rId8"/>
          <w:footerReference w:type="default" r:id="rId9"/>
          <w:headerReference w:type="first" r:id="rId10"/>
          <w:footerReference w:type="first" r:id="rId11"/>
          <w:type w:val="continuous"/>
          <w:pgSz w:w="12240" w:h="15840" w:code="1"/>
          <w:pgMar w:top="720" w:right="720" w:bottom="720" w:left="720" w:header="720" w:footer="720" w:gutter="0"/>
          <w:pgBorders>
            <w:top w:val="single" w:sz="4" w:space="10" w:color="auto"/>
            <w:left w:val="single" w:sz="4" w:space="10" w:color="auto"/>
            <w:bottom w:val="single" w:sz="4" w:space="10" w:color="auto"/>
            <w:right w:val="single" w:sz="4" w:space="10" w:color="auto"/>
          </w:pgBorders>
          <w:pgNumType w:start="0"/>
          <w:cols w:space="720"/>
          <w:titlePg/>
          <w:docGrid w:linePitch="326"/>
        </w:sectPr>
      </w:pPr>
    </w:p>
    <w:p w:rsidR="00435706" w:rsidRPr="00B46D5E" w:rsidRDefault="00826510" w:rsidP="00B46D5E">
      <w:pPr>
        <w:pStyle w:val="Heading1"/>
        <w:tabs>
          <w:tab w:val="clear" w:pos="720"/>
          <w:tab w:val="clear" w:pos="5040"/>
          <w:tab w:val="clear" w:pos="6480"/>
          <w:tab w:val="clear" w:pos="7920"/>
        </w:tabs>
        <w:suppressAutoHyphens/>
        <w:jc w:val="center"/>
        <w:rPr>
          <w:u w:val="single"/>
        </w:rPr>
      </w:pPr>
      <w:bookmarkStart w:id="0" w:name="_Toc461701401"/>
      <w:r>
        <w:rPr>
          <w:u w:val="single"/>
        </w:rPr>
        <w:lastRenderedPageBreak/>
        <w:t xml:space="preserve">I.  </w:t>
      </w:r>
      <w:r w:rsidR="004C0013" w:rsidRPr="00B46D5E">
        <w:rPr>
          <w:u w:val="single"/>
        </w:rPr>
        <w:t xml:space="preserve"> INTRODUCTION</w:t>
      </w:r>
      <w:bookmarkEnd w:id="0"/>
    </w:p>
    <w:p w:rsidR="00435706" w:rsidRPr="00277436" w:rsidRDefault="00435706" w:rsidP="004F6BDF">
      <w:pPr>
        <w:tabs>
          <w:tab w:val="left" w:pos="1440"/>
        </w:tabs>
        <w:spacing w:line="480" w:lineRule="auto"/>
        <w:ind w:firstLine="720"/>
        <w:jc w:val="both"/>
        <w:rPr>
          <w:b/>
          <w:bCs/>
        </w:rPr>
      </w:pPr>
      <w:r w:rsidRPr="00277436">
        <w:rPr>
          <w:b/>
          <w:bCs/>
        </w:rPr>
        <w:t>Q.</w:t>
      </w:r>
      <w:r w:rsidRPr="00277436">
        <w:rPr>
          <w:b/>
          <w:bCs/>
        </w:rPr>
        <w:tab/>
        <w:t>Please state your name, employer and business address.</w:t>
      </w:r>
    </w:p>
    <w:p w:rsidR="00435706" w:rsidRPr="00277436" w:rsidRDefault="00435706" w:rsidP="00277436">
      <w:pPr>
        <w:pStyle w:val="BodyText2"/>
        <w:tabs>
          <w:tab w:val="left" w:pos="1440"/>
        </w:tabs>
        <w:ind w:firstLine="720"/>
      </w:pPr>
      <w:r w:rsidRPr="00EB1381">
        <w:t>A.</w:t>
      </w:r>
      <w:r w:rsidRPr="00277436">
        <w:tab/>
        <w:t>My name is</w:t>
      </w:r>
      <w:r w:rsidR="0038498D" w:rsidRPr="00277436">
        <w:t xml:space="preserve"> </w:t>
      </w:r>
      <w:r w:rsidR="00283C00">
        <w:t>Karen K. Schuh</w:t>
      </w:r>
      <w:r w:rsidR="00FA37AB" w:rsidRPr="00277436">
        <w:t>.</w:t>
      </w:r>
      <w:r w:rsidRPr="00277436">
        <w:t xml:space="preserve">  I am employed by Avista Corporation as </w:t>
      </w:r>
      <w:r w:rsidR="00277436" w:rsidRPr="00277436">
        <w:t>a Senior</w:t>
      </w:r>
      <w:r w:rsidR="00283C00">
        <w:t xml:space="preserve"> Regulatory</w:t>
      </w:r>
      <w:r w:rsidR="00FA37AB" w:rsidRPr="00277436">
        <w:t xml:space="preserve"> Analyst</w:t>
      </w:r>
      <w:r w:rsidRPr="00277436">
        <w:t xml:space="preserve">.  My business address is 1411 East Mission, </w:t>
      </w:r>
      <w:smartTag w:uri="urn:schemas-microsoft-com:office:smarttags" w:element="place">
        <w:smartTag w:uri="urn:schemas-microsoft-com:office:smarttags" w:element="City">
          <w:r w:rsidRPr="00277436">
            <w:t>Spokane</w:t>
          </w:r>
        </w:smartTag>
        <w:r w:rsidRPr="00277436">
          <w:t xml:space="preserve">, </w:t>
        </w:r>
        <w:smartTag w:uri="urn:schemas-microsoft-com:office:smarttags" w:element="State">
          <w:r w:rsidRPr="00277436">
            <w:t>Washington</w:t>
          </w:r>
        </w:smartTag>
      </w:smartTag>
      <w:r w:rsidRPr="00277436">
        <w:t>.</w:t>
      </w:r>
    </w:p>
    <w:p w:rsidR="007D4089" w:rsidRDefault="007D4089" w:rsidP="00CB7F97">
      <w:pPr>
        <w:pStyle w:val="BodyText2"/>
        <w:ind w:firstLine="720"/>
        <w:jc w:val="left"/>
      </w:pPr>
      <w:bookmarkStart w:id="1" w:name="_Toc459988224"/>
      <w:bookmarkStart w:id="2" w:name="_Toc459988302"/>
      <w:bookmarkStart w:id="3" w:name="_Toc460241803"/>
      <w:r w:rsidRPr="00CB7F97">
        <w:rPr>
          <w:b/>
        </w:rPr>
        <w:t>Q.</w:t>
      </w:r>
      <w:r w:rsidRPr="00CB7F97">
        <w:rPr>
          <w:b/>
        </w:rPr>
        <w:tab/>
        <w:t xml:space="preserve">Have you previously provided direct testimony in this </w:t>
      </w:r>
      <w:r w:rsidR="001D0863" w:rsidRPr="00CB7F97">
        <w:rPr>
          <w:b/>
        </w:rPr>
        <w:t>c</w:t>
      </w:r>
      <w:r w:rsidRPr="00CB7F97">
        <w:rPr>
          <w:b/>
        </w:rPr>
        <w:t>ase?</w:t>
      </w:r>
      <w:bookmarkEnd w:id="1"/>
      <w:bookmarkEnd w:id="2"/>
      <w:bookmarkEnd w:id="3"/>
    </w:p>
    <w:p w:rsidR="00D01726" w:rsidRPr="006E1D22" w:rsidRDefault="007D4089" w:rsidP="00D01726">
      <w:pPr>
        <w:pStyle w:val="BodyText2"/>
        <w:tabs>
          <w:tab w:val="left" w:pos="1440"/>
        </w:tabs>
        <w:ind w:firstLine="720"/>
      </w:pPr>
      <w:r>
        <w:t>A.</w:t>
      </w:r>
      <w:r>
        <w:tab/>
        <w:t xml:space="preserve">Yes.  </w:t>
      </w:r>
      <w:r w:rsidR="00D01726" w:rsidRPr="00BE362D">
        <w:t xml:space="preserve">My </w:t>
      </w:r>
      <w:r w:rsidR="009E09B8">
        <w:t xml:space="preserve">direct </w:t>
      </w:r>
      <w:r w:rsidR="00D01726" w:rsidRPr="00672AD5">
        <w:t>testimony a</w:t>
      </w:r>
      <w:r w:rsidR="00D01726">
        <w:t xml:space="preserve">nd exhibits in this proceeding </w:t>
      </w:r>
      <w:r w:rsidR="00D01726" w:rsidRPr="00672AD5">
        <w:t>cover</w:t>
      </w:r>
      <w:r w:rsidR="00D01726">
        <w:t>ed</w:t>
      </w:r>
      <w:r w:rsidR="00D01726" w:rsidRPr="00672AD5">
        <w:t xml:space="preserve"> the Company’s capital investments in utility plant through </w:t>
      </w:r>
      <w:r w:rsidR="009E09B8">
        <w:t xml:space="preserve">the </w:t>
      </w:r>
      <w:r w:rsidR="00397CCE">
        <w:t xml:space="preserve">2017 </w:t>
      </w:r>
      <w:r w:rsidR="00092D57">
        <w:t xml:space="preserve">rate year </w:t>
      </w:r>
      <w:r w:rsidR="00397CCE">
        <w:t xml:space="preserve">and </w:t>
      </w:r>
      <w:r w:rsidR="00092D57">
        <w:t xml:space="preserve">the January – June </w:t>
      </w:r>
      <w:r w:rsidR="00397CCE">
        <w:t>2018</w:t>
      </w:r>
      <w:r w:rsidR="00092D57">
        <w:t xml:space="preserve"> rate period</w:t>
      </w:r>
      <w:r w:rsidR="00D01726" w:rsidRPr="00672AD5">
        <w:t xml:space="preserve">. </w:t>
      </w:r>
      <w:r w:rsidR="00D01726">
        <w:t>As explained by Company wit</w:t>
      </w:r>
      <w:r w:rsidR="002C56D5">
        <w:t>ness</w:t>
      </w:r>
      <w:r w:rsidR="00952CFA">
        <w:t xml:space="preserve"> </w:t>
      </w:r>
      <w:r w:rsidR="002C56D5">
        <w:t>Ms. Andrews, the Company</w:t>
      </w:r>
      <w:r w:rsidR="00D01726">
        <w:t xml:space="preserve"> based its electric and natural gas revenue increase</w:t>
      </w:r>
      <w:r w:rsidR="00952CFA">
        <w:t>s</w:t>
      </w:r>
      <w:r w:rsidR="00D01726">
        <w:t xml:space="preserve"> requested in this case on its electric and natural gas </w:t>
      </w:r>
      <w:r w:rsidR="008F7FBF">
        <w:t>Attrition</w:t>
      </w:r>
      <w:r w:rsidR="001879B8">
        <w:t xml:space="preserve"> </w:t>
      </w:r>
      <w:r w:rsidR="00D01726">
        <w:t xml:space="preserve">Studies. However, as a </w:t>
      </w:r>
      <w:r w:rsidR="00A028B0">
        <w:t>companion</w:t>
      </w:r>
      <w:r w:rsidR="00D01726">
        <w:t xml:space="preserve"> to the </w:t>
      </w:r>
      <w:r w:rsidR="00A028B0">
        <w:t>attrition studies</w:t>
      </w:r>
      <w:r w:rsidR="00D01726">
        <w:t xml:space="preserve">, Company witness Ms. Smith also prepared electric and natural gas </w:t>
      </w:r>
      <w:r w:rsidR="00A028B0">
        <w:t>Modified Test Year Studies</w:t>
      </w:r>
      <w:r w:rsidR="00A028B0">
        <w:rPr>
          <w:rStyle w:val="FootnoteReference"/>
        </w:rPr>
        <w:footnoteReference w:id="1"/>
      </w:r>
      <w:r w:rsidR="00A028B0">
        <w:t xml:space="preserve"> and Cross Check Studies,</w:t>
      </w:r>
      <w:r w:rsidR="00D01726">
        <w:t xml:space="preserve"> which incorporated Washington’s sh</w:t>
      </w:r>
      <w:r w:rsidR="00397CCE">
        <w:t xml:space="preserve">are of the </w:t>
      </w:r>
      <w:r w:rsidR="00092D57">
        <w:t>2017 rate year and the January – June 2018 rate period</w:t>
      </w:r>
      <w:r w:rsidR="00092D57" w:rsidRPr="006E1D22">
        <w:t xml:space="preserve"> </w:t>
      </w:r>
      <w:r w:rsidR="00D01726" w:rsidRPr="006E1D22">
        <w:t>adjustments for expenses and capital additions.</w:t>
      </w:r>
    </w:p>
    <w:p w:rsidR="00435706" w:rsidRPr="00277436" w:rsidRDefault="00435706" w:rsidP="00277436">
      <w:pPr>
        <w:pStyle w:val="BodyText2"/>
        <w:tabs>
          <w:tab w:val="left" w:pos="1440"/>
        </w:tabs>
        <w:ind w:firstLine="720"/>
        <w:rPr>
          <w:b/>
          <w:bCs/>
        </w:rPr>
      </w:pPr>
      <w:r w:rsidRPr="00277436">
        <w:rPr>
          <w:b/>
          <w:bCs/>
        </w:rPr>
        <w:t>Q.</w:t>
      </w:r>
      <w:r w:rsidRPr="00277436">
        <w:rPr>
          <w:b/>
          <w:bCs/>
        </w:rPr>
        <w:tab/>
        <w:t xml:space="preserve">What is the scope of your </w:t>
      </w:r>
      <w:r w:rsidR="008F612E">
        <w:rPr>
          <w:b/>
          <w:bCs/>
        </w:rPr>
        <w:t xml:space="preserve">rebuttal </w:t>
      </w:r>
      <w:r w:rsidRPr="00277436">
        <w:rPr>
          <w:b/>
          <w:bCs/>
        </w:rPr>
        <w:t>testimony</w:t>
      </w:r>
      <w:r w:rsidR="008F612E">
        <w:rPr>
          <w:b/>
          <w:bCs/>
        </w:rPr>
        <w:t xml:space="preserve"> in this proceeding</w:t>
      </w:r>
      <w:r w:rsidRPr="00277436">
        <w:rPr>
          <w:b/>
          <w:bCs/>
        </w:rPr>
        <w:t>?</w:t>
      </w:r>
    </w:p>
    <w:p w:rsidR="00092D57" w:rsidRDefault="00B955A8" w:rsidP="002A2961">
      <w:pPr>
        <w:pStyle w:val="BodyText2"/>
        <w:tabs>
          <w:tab w:val="left" w:pos="1440"/>
        </w:tabs>
        <w:ind w:firstLine="720"/>
      </w:pPr>
      <w:r w:rsidRPr="00894BB5">
        <w:t>A.</w:t>
      </w:r>
      <w:r w:rsidRPr="00894BB5">
        <w:tab/>
      </w:r>
      <w:r w:rsidR="00883449" w:rsidRPr="00894BB5">
        <w:t>In response to the test</w:t>
      </w:r>
      <w:r w:rsidR="001D0863" w:rsidRPr="00894BB5">
        <w:t xml:space="preserve">imony of </w:t>
      </w:r>
      <w:r w:rsidR="000D1004" w:rsidRPr="00894BB5">
        <w:t>Staff and other parties</w:t>
      </w:r>
      <w:r w:rsidR="001D0863" w:rsidRPr="00894BB5">
        <w:t>,</w:t>
      </w:r>
      <w:r w:rsidR="0036563E" w:rsidRPr="00894BB5">
        <w:rPr>
          <w:vertAlign w:val="superscript"/>
        </w:rPr>
        <w:footnoteReference w:id="2"/>
      </w:r>
      <w:r w:rsidR="001D0863" w:rsidRPr="00894BB5">
        <w:t xml:space="preserve"> </w:t>
      </w:r>
      <w:r w:rsidR="00B56E95" w:rsidRPr="00894BB5">
        <w:t xml:space="preserve">I will address </w:t>
      </w:r>
      <w:r w:rsidR="00812F2F" w:rsidRPr="00894BB5">
        <w:t>the</w:t>
      </w:r>
      <w:r w:rsidR="00CB7F97" w:rsidRPr="00894BB5">
        <w:t xml:space="preserve"> </w:t>
      </w:r>
      <w:r w:rsidR="005C7F61" w:rsidRPr="00894BB5">
        <w:t>positions of other parties regarding pro forma capital adjustments and their inclusion in</w:t>
      </w:r>
      <w:r w:rsidR="000A5E3C">
        <w:t xml:space="preserve"> the</w:t>
      </w:r>
      <w:r w:rsidR="005C7F61" w:rsidRPr="00894BB5">
        <w:t xml:space="preserve"> Modified Test Year Studies</w:t>
      </w:r>
      <w:r w:rsidR="000A5E3C">
        <w:t>. In addition, I explain</w:t>
      </w:r>
      <w:r w:rsidR="005C7F61" w:rsidRPr="00894BB5">
        <w:t xml:space="preserve"> the fact that the rate making studies prepared by Staff and other parties do not reflect the balance of plant-in-service that will benefit customers during the 2017 rate year and the January to June 2018 rate period. I follow this by a discussion of updates </w:t>
      </w:r>
      <w:r w:rsidR="005C7F61" w:rsidRPr="00894BB5">
        <w:lastRenderedPageBreak/>
        <w:t xml:space="preserve">to the </w:t>
      </w:r>
      <w:r w:rsidR="00883449" w:rsidRPr="00894BB5">
        <w:t xml:space="preserve">Company’s </w:t>
      </w:r>
      <w:r w:rsidR="005C7F61" w:rsidRPr="00894BB5">
        <w:t xml:space="preserve">expected </w:t>
      </w:r>
      <w:r w:rsidR="004F71A0" w:rsidRPr="00894BB5">
        <w:t>capital investments</w:t>
      </w:r>
      <w:r w:rsidR="009E09B8" w:rsidRPr="00894BB5">
        <w:t xml:space="preserve"> in utility plant through</w:t>
      </w:r>
      <w:r w:rsidR="002A2961" w:rsidRPr="00894BB5">
        <w:t xml:space="preserve"> the</w:t>
      </w:r>
      <w:r w:rsidR="00397CCE" w:rsidRPr="00894BB5">
        <w:t xml:space="preserve"> </w:t>
      </w:r>
      <w:r w:rsidR="00092D57" w:rsidRPr="00894BB5">
        <w:t xml:space="preserve">2017 rate year and the January </w:t>
      </w:r>
      <w:r w:rsidR="00A4492A" w:rsidRPr="00894BB5">
        <w:t xml:space="preserve">to </w:t>
      </w:r>
      <w:r w:rsidR="00092D57" w:rsidRPr="00894BB5">
        <w:t>June 2018 rate period</w:t>
      </w:r>
      <w:r w:rsidR="005C7F61" w:rsidRPr="00894BB5">
        <w:t xml:space="preserve"> to reflect the most current information. These updates</w:t>
      </w:r>
      <w:r w:rsidR="00883449" w:rsidRPr="00894BB5">
        <w:t xml:space="preserve"> have been incorporated into </w:t>
      </w:r>
      <w:r w:rsidR="00B56E95" w:rsidRPr="00894BB5">
        <w:t xml:space="preserve">the revised </w:t>
      </w:r>
      <w:r w:rsidR="00747B21" w:rsidRPr="00894BB5">
        <w:t>Modified Test Year</w:t>
      </w:r>
      <w:r w:rsidR="006F7A01" w:rsidRPr="00894BB5">
        <w:t xml:space="preserve"> and </w:t>
      </w:r>
      <w:r w:rsidR="00B56E95" w:rsidRPr="00894BB5">
        <w:t>Cross Check</w:t>
      </w:r>
      <w:r w:rsidR="00883449" w:rsidRPr="00894BB5">
        <w:t xml:space="preserve"> Studies</w:t>
      </w:r>
      <w:r w:rsidR="00B56E95" w:rsidRPr="00894BB5">
        <w:t xml:space="preserve"> included in Ms. Smith’s rebuttal testimony.</w:t>
      </w:r>
      <w:r w:rsidR="00183AF7" w:rsidRPr="00894BB5">
        <w:t xml:space="preserve">  </w:t>
      </w:r>
      <w:r w:rsidR="005C7F61" w:rsidRPr="00894BB5">
        <w:t>This is followed by specific discussions related to capital investment in AMI, the Spokane River Projects, and General Plant, as well as discussion of the purpose of the allowance for funds used during construction (AFUDC). My testimony concludes with corrections of errors in other parties’ testimon</w:t>
      </w:r>
      <w:r w:rsidR="000A5E3C">
        <w:t>ies</w:t>
      </w:r>
      <w:r w:rsidR="005C7F61" w:rsidRPr="00894BB5">
        <w:t>.</w:t>
      </w:r>
    </w:p>
    <w:p w:rsidR="00652DE4" w:rsidRPr="00092D57" w:rsidRDefault="00637200" w:rsidP="00092D57">
      <w:pPr>
        <w:pStyle w:val="BodyText2"/>
        <w:tabs>
          <w:tab w:val="left" w:pos="1440"/>
        </w:tabs>
        <w:ind w:left="720"/>
        <w:rPr>
          <w:b/>
          <w:bCs/>
        </w:rPr>
      </w:pPr>
      <w:r w:rsidRPr="00092D57">
        <w:rPr>
          <w:b/>
          <w:bCs/>
        </w:rPr>
        <w:t>Q.</w:t>
      </w:r>
      <w:r w:rsidRPr="00092D57">
        <w:rPr>
          <w:b/>
          <w:bCs/>
        </w:rPr>
        <w:tab/>
        <w:t>Are you sponsoring any exhibits?</w:t>
      </w:r>
    </w:p>
    <w:p w:rsidR="00A26AC4" w:rsidRDefault="00637200" w:rsidP="00277436">
      <w:pPr>
        <w:pStyle w:val="BodyText2"/>
        <w:ind w:firstLine="720"/>
      </w:pPr>
      <w:r w:rsidRPr="008926F0">
        <w:t>A.</w:t>
      </w:r>
      <w:r w:rsidRPr="008926F0">
        <w:tab/>
      </w:r>
      <w:r w:rsidR="002A2961">
        <w:t xml:space="preserve">No. I am not. </w:t>
      </w:r>
    </w:p>
    <w:p w:rsidR="00B46D5E" w:rsidRPr="00B46D5E" w:rsidRDefault="00B46D5E" w:rsidP="00B46D5E">
      <w:pPr>
        <w:pStyle w:val="TOCHeading"/>
        <w:spacing w:line="240" w:lineRule="auto"/>
        <w:jc w:val="center"/>
        <w:rPr>
          <w:rFonts w:ascii="Times New Roman" w:hAnsi="Times New Roman"/>
          <w:b/>
          <w:color w:val="auto"/>
          <w:sz w:val="24"/>
          <w:u w:val="single"/>
        </w:rPr>
      </w:pPr>
      <w:r w:rsidRPr="00B46D5E">
        <w:rPr>
          <w:rFonts w:ascii="Times New Roman" w:hAnsi="Times New Roman"/>
          <w:b/>
          <w:color w:val="auto"/>
          <w:sz w:val="24"/>
          <w:u w:val="single"/>
        </w:rPr>
        <w:t>TABLE OF CONTENTS</w:t>
      </w:r>
    </w:p>
    <w:p w:rsidR="00B46D5E" w:rsidRPr="00B46D5E" w:rsidRDefault="00B46D5E" w:rsidP="00B46D5E">
      <w:pPr>
        <w:pStyle w:val="TOCHeading"/>
        <w:spacing w:line="240" w:lineRule="auto"/>
        <w:rPr>
          <w:rFonts w:ascii="Times New Roman" w:hAnsi="Times New Roman"/>
          <w:b/>
          <w:color w:val="auto"/>
          <w:sz w:val="24"/>
          <w:u w:val="single"/>
        </w:rPr>
      </w:pPr>
      <w:r w:rsidRPr="00B46D5E">
        <w:rPr>
          <w:rFonts w:ascii="Times New Roman" w:hAnsi="Times New Roman"/>
          <w:color w:val="auto"/>
          <w:sz w:val="24"/>
          <w:u w:val="single"/>
        </w:rPr>
        <w:t>Description</w:t>
      </w:r>
      <w:r w:rsidRPr="00B46D5E">
        <w:rPr>
          <w:rFonts w:ascii="Times New Roman" w:hAnsi="Times New Roman"/>
          <w:color w:val="auto"/>
          <w:sz w:val="24"/>
          <w:u w:val="single"/>
        </w:rPr>
        <w:tab/>
      </w:r>
      <w:r w:rsidRPr="00B46D5E">
        <w:rPr>
          <w:rFonts w:ascii="Times New Roman" w:hAnsi="Times New Roman"/>
          <w:color w:val="auto"/>
          <w:sz w:val="24"/>
          <w:u w:val="single"/>
        </w:rPr>
        <w:tab/>
      </w:r>
      <w:r w:rsidRPr="00B46D5E">
        <w:rPr>
          <w:rFonts w:ascii="Times New Roman" w:hAnsi="Times New Roman"/>
          <w:color w:val="auto"/>
          <w:sz w:val="24"/>
          <w:u w:val="single"/>
        </w:rPr>
        <w:tab/>
      </w:r>
      <w:r w:rsidRPr="00B46D5E">
        <w:rPr>
          <w:rFonts w:ascii="Times New Roman" w:hAnsi="Times New Roman"/>
          <w:color w:val="auto"/>
          <w:sz w:val="24"/>
          <w:u w:val="single"/>
        </w:rPr>
        <w:tab/>
      </w:r>
      <w:r w:rsidRPr="00B46D5E">
        <w:rPr>
          <w:rFonts w:ascii="Times New Roman" w:hAnsi="Times New Roman"/>
          <w:color w:val="auto"/>
          <w:sz w:val="24"/>
          <w:u w:val="single"/>
        </w:rPr>
        <w:tab/>
      </w:r>
      <w:r w:rsidRPr="00B46D5E">
        <w:rPr>
          <w:rFonts w:ascii="Times New Roman" w:hAnsi="Times New Roman"/>
          <w:color w:val="auto"/>
          <w:sz w:val="24"/>
          <w:u w:val="single"/>
        </w:rPr>
        <w:tab/>
      </w:r>
      <w:r w:rsidRPr="00B46D5E">
        <w:rPr>
          <w:rFonts w:ascii="Times New Roman" w:hAnsi="Times New Roman"/>
          <w:color w:val="auto"/>
          <w:sz w:val="24"/>
          <w:u w:val="single"/>
        </w:rPr>
        <w:tab/>
      </w:r>
      <w:r w:rsidRPr="00B46D5E">
        <w:rPr>
          <w:rFonts w:ascii="Times New Roman" w:hAnsi="Times New Roman"/>
          <w:color w:val="auto"/>
          <w:sz w:val="24"/>
          <w:u w:val="single"/>
        </w:rPr>
        <w:tab/>
      </w:r>
      <w:r w:rsidRPr="00B46D5E">
        <w:rPr>
          <w:rFonts w:ascii="Times New Roman" w:hAnsi="Times New Roman"/>
          <w:color w:val="auto"/>
          <w:sz w:val="24"/>
          <w:u w:val="single"/>
        </w:rPr>
        <w:tab/>
      </w:r>
      <w:r w:rsidR="002A2961">
        <w:rPr>
          <w:rFonts w:ascii="Times New Roman" w:hAnsi="Times New Roman"/>
          <w:color w:val="auto"/>
          <w:sz w:val="24"/>
          <w:u w:val="single"/>
        </w:rPr>
        <w:tab/>
      </w:r>
      <w:r w:rsidRPr="00B46D5E">
        <w:rPr>
          <w:rFonts w:ascii="Times New Roman" w:hAnsi="Times New Roman"/>
          <w:color w:val="auto"/>
          <w:sz w:val="24"/>
          <w:u w:val="single"/>
        </w:rPr>
        <w:tab/>
        <w:t xml:space="preserve">    Page</w:t>
      </w:r>
    </w:p>
    <w:p w:rsidR="00287D38" w:rsidRDefault="00B46D5E">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61701401" w:history="1">
        <w:r w:rsidR="00287D38" w:rsidRPr="0059406A">
          <w:rPr>
            <w:rStyle w:val="Hyperlink"/>
            <w:noProof/>
          </w:rPr>
          <w:t>I.   INTRODUCTION</w:t>
        </w:r>
        <w:r w:rsidR="00287D38">
          <w:rPr>
            <w:noProof/>
            <w:webHidden/>
          </w:rPr>
          <w:tab/>
        </w:r>
        <w:r w:rsidR="00287D38">
          <w:rPr>
            <w:noProof/>
            <w:webHidden/>
          </w:rPr>
          <w:fldChar w:fldCharType="begin"/>
        </w:r>
        <w:r w:rsidR="00287D38">
          <w:rPr>
            <w:noProof/>
            <w:webHidden/>
          </w:rPr>
          <w:instrText xml:space="preserve"> PAGEREF _Toc461701401 \h </w:instrText>
        </w:r>
        <w:r w:rsidR="00287D38">
          <w:rPr>
            <w:noProof/>
            <w:webHidden/>
          </w:rPr>
        </w:r>
        <w:r w:rsidR="00287D38">
          <w:rPr>
            <w:noProof/>
            <w:webHidden/>
          </w:rPr>
          <w:fldChar w:fldCharType="separate"/>
        </w:r>
        <w:r w:rsidR="00816F51">
          <w:rPr>
            <w:noProof/>
            <w:webHidden/>
          </w:rPr>
          <w:t>1</w:t>
        </w:r>
        <w:r w:rsidR="00287D38">
          <w:rPr>
            <w:noProof/>
            <w:webHidden/>
          </w:rPr>
          <w:fldChar w:fldCharType="end"/>
        </w:r>
      </w:hyperlink>
    </w:p>
    <w:p w:rsidR="00287D38" w:rsidRDefault="00AD68B2">
      <w:pPr>
        <w:pStyle w:val="TOC1"/>
        <w:rPr>
          <w:rFonts w:asciiTheme="minorHAnsi" w:eastAsiaTheme="minorEastAsia" w:hAnsiTheme="minorHAnsi" w:cstheme="minorBidi"/>
          <w:noProof/>
          <w:sz w:val="22"/>
          <w:szCs w:val="22"/>
        </w:rPr>
      </w:pPr>
      <w:hyperlink w:anchor="_Toc461701402" w:history="1">
        <w:r w:rsidR="00287D38" w:rsidRPr="0059406A">
          <w:rPr>
            <w:rStyle w:val="Hyperlink"/>
            <w:noProof/>
          </w:rPr>
          <w:t>II.  OTHER PARTIES’ POSITIONS</w:t>
        </w:r>
        <w:r w:rsidR="00287D38">
          <w:rPr>
            <w:noProof/>
            <w:webHidden/>
          </w:rPr>
          <w:tab/>
        </w:r>
        <w:r w:rsidR="00287D38">
          <w:rPr>
            <w:noProof/>
            <w:webHidden/>
          </w:rPr>
          <w:fldChar w:fldCharType="begin"/>
        </w:r>
        <w:r w:rsidR="00287D38">
          <w:rPr>
            <w:noProof/>
            <w:webHidden/>
          </w:rPr>
          <w:instrText xml:space="preserve"> PAGEREF _Toc461701402 \h </w:instrText>
        </w:r>
        <w:r w:rsidR="00287D38">
          <w:rPr>
            <w:noProof/>
            <w:webHidden/>
          </w:rPr>
        </w:r>
        <w:r w:rsidR="00287D38">
          <w:rPr>
            <w:noProof/>
            <w:webHidden/>
          </w:rPr>
          <w:fldChar w:fldCharType="separate"/>
        </w:r>
        <w:r w:rsidR="00816F51">
          <w:rPr>
            <w:noProof/>
            <w:webHidden/>
          </w:rPr>
          <w:t>2</w:t>
        </w:r>
        <w:r w:rsidR="00287D38">
          <w:rPr>
            <w:noProof/>
            <w:webHidden/>
          </w:rPr>
          <w:fldChar w:fldCharType="end"/>
        </w:r>
      </w:hyperlink>
    </w:p>
    <w:p w:rsidR="00287D38" w:rsidRDefault="00AD68B2">
      <w:pPr>
        <w:pStyle w:val="TOC1"/>
        <w:rPr>
          <w:rFonts w:asciiTheme="minorHAnsi" w:eastAsiaTheme="minorEastAsia" w:hAnsiTheme="minorHAnsi" w:cstheme="minorBidi"/>
          <w:noProof/>
          <w:sz w:val="22"/>
          <w:szCs w:val="22"/>
        </w:rPr>
      </w:pPr>
      <w:hyperlink w:anchor="_Toc461701403" w:history="1">
        <w:r w:rsidR="00287D38" w:rsidRPr="0059406A">
          <w:rPr>
            <w:rStyle w:val="Hyperlink"/>
            <w:noProof/>
          </w:rPr>
          <w:t>III.  UPDATES TO CAPITAL ADDITIONS SINCE ORIGINAL FILING</w:t>
        </w:r>
        <w:r w:rsidR="00287D38">
          <w:rPr>
            <w:noProof/>
            <w:webHidden/>
          </w:rPr>
          <w:tab/>
        </w:r>
        <w:r w:rsidR="00287D38">
          <w:rPr>
            <w:noProof/>
            <w:webHidden/>
          </w:rPr>
          <w:fldChar w:fldCharType="begin"/>
        </w:r>
        <w:r w:rsidR="00287D38">
          <w:rPr>
            <w:noProof/>
            <w:webHidden/>
          </w:rPr>
          <w:instrText xml:space="preserve"> PAGEREF _Toc461701403 \h </w:instrText>
        </w:r>
        <w:r w:rsidR="00287D38">
          <w:rPr>
            <w:noProof/>
            <w:webHidden/>
          </w:rPr>
        </w:r>
        <w:r w:rsidR="00287D38">
          <w:rPr>
            <w:noProof/>
            <w:webHidden/>
          </w:rPr>
          <w:fldChar w:fldCharType="separate"/>
        </w:r>
        <w:r w:rsidR="00816F51">
          <w:rPr>
            <w:noProof/>
            <w:webHidden/>
          </w:rPr>
          <w:t>8</w:t>
        </w:r>
        <w:r w:rsidR="00287D38">
          <w:rPr>
            <w:noProof/>
            <w:webHidden/>
          </w:rPr>
          <w:fldChar w:fldCharType="end"/>
        </w:r>
      </w:hyperlink>
    </w:p>
    <w:p w:rsidR="00287D38" w:rsidRDefault="00AD68B2">
      <w:pPr>
        <w:pStyle w:val="TOC1"/>
        <w:rPr>
          <w:rFonts w:asciiTheme="minorHAnsi" w:eastAsiaTheme="minorEastAsia" w:hAnsiTheme="minorHAnsi" w:cstheme="minorBidi"/>
          <w:noProof/>
          <w:sz w:val="22"/>
          <w:szCs w:val="22"/>
        </w:rPr>
      </w:pPr>
      <w:hyperlink w:anchor="_Toc461701404" w:history="1">
        <w:r w:rsidR="00287D38" w:rsidRPr="0059406A">
          <w:rPr>
            <w:rStyle w:val="Hyperlink"/>
            <w:noProof/>
          </w:rPr>
          <w:t>IV. AMI</w:t>
        </w:r>
        <w:r w:rsidR="00287D38">
          <w:rPr>
            <w:noProof/>
            <w:webHidden/>
          </w:rPr>
          <w:tab/>
        </w:r>
        <w:r w:rsidR="00287D38">
          <w:rPr>
            <w:noProof/>
            <w:webHidden/>
          </w:rPr>
          <w:fldChar w:fldCharType="begin"/>
        </w:r>
        <w:r w:rsidR="00287D38">
          <w:rPr>
            <w:noProof/>
            <w:webHidden/>
          </w:rPr>
          <w:instrText xml:space="preserve"> PAGEREF _Toc461701404 \h </w:instrText>
        </w:r>
        <w:r w:rsidR="00287D38">
          <w:rPr>
            <w:noProof/>
            <w:webHidden/>
          </w:rPr>
        </w:r>
        <w:r w:rsidR="00287D38">
          <w:rPr>
            <w:noProof/>
            <w:webHidden/>
          </w:rPr>
          <w:fldChar w:fldCharType="separate"/>
        </w:r>
        <w:r w:rsidR="00816F51">
          <w:rPr>
            <w:noProof/>
            <w:webHidden/>
          </w:rPr>
          <w:t>10</w:t>
        </w:r>
        <w:r w:rsidR="00287D38">
          <w:rPr>
            <w:noProof/>
            <w:webHidden/>
          </w:rPr>
          <w:fldChar w:fldCharType="end"/>
        </w:r>
      </w:hyperlink>
    </w:p>
    <w:p w:rsidR="00287D38" w:rsidRDefault="00AD68B2">
      <w:pPr>
        <w:pStyle w:val="TOC1"/>
        <w:rPr>
          <w:rFonts w:asciiTheme="minorHAnsi" w:eastAsiaTheme="minorEastAsia" w:hAnsiTheme="minorHAnsi" w:cstheme="minorBidi"/>
          <w:noProof/>
          <w:sz w:val="22"/>
          <w:szCs w:val="22"/>
        </w:rPr>
      </w:pPr>
      <w:hyperlink w:anchor="_Toc461701405" w:history="1">
        <w:r w:rsidR="00287D38" w:rsidRPr="0059406A">
          <w:rPr>
            <w:rStyle w:val="Hyperlink"/>
            <w:noProof/>
          </w:rPr>
          <w:t>V.  SPOKANE RIVER PROJECTS</w:t>
        </w:r>
        <w:r w:rsidR="00287D38">
          <w:rPr>
            <w:noProof/>
            <w:webHidden/>
          </w:rPr>
          <w:tab/>
        </w:r>
        <w:r w:rsidR="00287D38">
          <w:rPr>
            <w:noProof/>
            <w:webHidden/>
          </w:rPr>
          <w:fldChar w:fldCharType="begin"/>
        </w:r>
        <w:r w:rsidR="00287D38">
          <w:rPr>
            <w:noProof/>
            <w:webHidden/>
          </w:rPr>
          <w:instrText xml:space="preserve"> PAGEREF _Toc461701405 \h </w:instrText>
        </w:r>
        <w:r w:rsidR="00287D38">
          <w:rPr>
            <w:noProof/>
            <w:webHidden/>
          </w:rPr>
        </w:r>
        <w:r w:rsidR="00287D38">
          <w:rPr>
            <w:noProof/>
            <w:webHidden/>
          </w:rPr>
          <w:fldChar w:fldCharType="separate"/>
        </w:r>
        <w:r w:rsidR="00816F51">
          <w:rPr>
            <w:noProof/>
            <w:webHidden/>
          </w:rPr>
          <w:t>11</w:t>
        </w:r>
        <w:r w:rsidR="00287D38">
          <w:rPr>
            <w:noProof/>
            <w:webHidden/>
          </w:rPr>
          <w:fldChar w:fldCharType="end"/>
        </w:r>
      </w:hyperlink>
    </w:p>
    <w:p w:rsidR="00287D38" w:rsidRDefault="00AD68B2">
      <w:pPr>
        <w:pStyle w:val="TOC1"/>
        <w:rPr>
          <w:rFonts w:asciiTheme="minorHAnsi" w:eastAsiaTheme="minorEastAsia" w:hAnsiTheme="minorHAnsi" w:cstheme="minorBidi"/>
          <w:noProof/>
          <w:sz w:val="22"/>
          <w:szCs w:val="22"/>
        </w:rPr>
      </w:pPr>
      <w:hyperlink w:anchor="_Toc461701406" w:history="1">
        <w:r w:rsidR="00287D38" w:rsidRPr="0059406A">
          <w:rPr>
            <w:rStyle w:val="Hyperlink"/>
            <w:noProof/>
          </w:rPr>
          <w:t>VI. GENERAL PLANT</w:t>
        </w:r>
        <w:r w:rsidR="00287D38">
          <w:rPr>
            <w:noProof/>
            <w:webHidden/>
          </w:rPr>
          <w:tab/>
        </w:r>
        <w:r w:rsidR="00287D38">
          <w:rPr>
            <w:noProof/>
            <w:webHidden/>
          </w:rPr>
          <w:fldChar w:fldCharType="begin"/>
        </w:r>
        <w:r w:rsidR="00287D38">
          <w:rPr>
            <w:noProof/>
            <w:webHidden/>
          </w:rPr>
          <w:instrText xml:space="preserve"> PAGEREF _Toc461701406 \h </w:instrText>
        </w:r>
        <w:r w:rsidR="00287D38">
          <w:rPr>
            <w:noProof/>
            <w:webHidden/>
          </w:rPr>
        </w:r>
        <w:r w:rsidR="00287D38">
          <w:rPr>
            <w:noProof/>
            <w:webHidden/>
          </w:rPr>
          <w:fldChar w:fldCharType="separate"/>
        </w:r>
        <w:r w:rsidR="00816F51">
          <w:rPr>
            <w:noProof/>
            <w:webHidden/>
          </w:rPr>
          <w:t>17</w:t>
        </w:r>
        <w:r w:rsidR="00287D38">
          <w:rPr>
            <w:noProof/>
            <w:webHidden/>
          </w:rPr>
          <w:fldChar w:fldCharType="end"/>
        </w:r>
      </w:hyperlink>
    </w:p>
    <w:p w:rsidR="00287D38" w:rsidRDefault="00AD68B2">
      <w:pPr>
        <w:pStyle w:val="TOC1"/>
        <w:rPr>
          <w:rFonts w:asciiTheme="minorHAnsi" w:eastAsiaTheme="minorEastAsia" w:hAnsiTheme="minorHAnsi" w:cstheme="minorBidi"/>
          <w:noProof/>
          <w:sz w:val="22"/>
          <w:szCs w:val="22"/>
        </w:rPr>
      </w:pPr>
      <w:hyperlink w:anchor="_Toc461701407" w:history="1">
        <w:r w:rsidR="00287D38" w:rsidRPr="0059406A">
          <w:rPr>
            <w:rStyle w:val="Hyperlink"/>
            <w:noProof/>
          </w:rPr>
          <w:t>VII.  ALLOWANCE FOR FUNDS USED DURING CONSTRUCTION (AFUDC)</w:t>
        </w:r>
        <w:r w:rsidR="00287D38">
          <w:rPr>
            <w:noProof/>
            <w:webHidden/>
          </w:rPr>
          <w:tab/>
        </w:r>
        <w:r w:rsidR="00287D38">
          <w:rPr>
            <w:noProof/>
            <w:webHidden/>
          </w:rPr>
          <w:fldChar w:fldCharType="begin"/>
        </w:r>
        <w:r w:rsidR="00287D38">
          <w:rPr>
            <w:noProof/>
            <w:webHidden/>
          </w:rPr>
          <w:instrText xml:space="preserve"> PAGEREF _Toc461701407 \h </w:instrText>
        </w:r>
        <w:r w:rsidR="00287D38">
          <w:rPr>
            <w:noProof/>
            <w:webHidden/>
          </w:rPr>
        </w:r>
        <w:r w:rsidR="00287D38">
          <w:rPr>
            <w:noProof/>
            <w:webHidden/>
          </w:rPr>
          <w:fldChar w:fldCharType="separate"/>
        </w:r>
        <w:r w:rsidR="00816F51">
          <w:rPr>
            <w:noProof/>
            <w:webHidden/>
          </w:rPr>
          <w:t>19</w:t>
        </w:r>
        <w:r w:rsidR="00287D38">
          <w:rPr>
            <w:noProof/>
            <w:webHidden/>
          </w:rPr>
          <w:fldChar w:fldCharType="end"/>
        </w:r>
      </w:hyperlink>
    </w:p>
    <w:p w:rsidR="003D35EB" w:rsidRPr="00A60A65" w:rsidRDefault="00B46D5E" w:rsidP="00A60A65">
      <w:pPr>
        <w:spacing w:line="480" w:lineRule="auto"/>
      </w:pPr>
      <w:r>
        <w:rPr>
          <w:noProof/>
        </w:rPr>
        <w:fldChar w:fldCharType="end"/>
      </w:r>
    </w:p>
    <w:p w:rsidR="003D35EB" w:rsidRDefault="00747B21" w:rsidP="003D35EB">
      <w:pPr>
        <w:pStyle w:val="Heading1"/>
        <w:tabs>
          <w:tab w:val="clear" w:pos="720"/>
          <w:tab w:val="clear" w:pos="5040"/>
          <w:tab w:val="clear" w:pos="6480"/>
          <w:tab w:val="clear" w:pos="7920"/>
        </w:tabs>
        <w:suppressAutoHyphens/>
        <w:jc w:val="center"/>
        <w:rPr>
          <w:u w:val="single"/>
        </w:rPr>
      </w:pPr>
      <w:bookmarkStart w:id="4" w:name="_Toc461701402"/>
      <w:r>
        <w:rPr>
          <w:u w:val="single"/>
        </w:rPr>
        <w:t>II</w:t>
      </w:r>
      <w:r w:rsidR="00826510">
        <w:rPr>
          <w:u w:val="single"/>
        </w:rPr>
        <w:t xml:space="preserve">.  </w:t>
      </w:r>
      <w:r w:rsidR="003D35EB">
        <w:rPr>
          <w:u w:val="single"/>
        </w:rPr>
        <w:t>OTHER PART</w:t>
      </w:r>
      <w:r w:rsidR="00D104F4">
        <w:rPr>
          <w:u w:val="single"/>
        </w:rPr>
        <w:t>I</w:t>
      </w:r>
      <w:r w:rsidR="003D35EB">
        <w:rPr>
          <w:u w:val="single"/>
        </w:rPr>
        <w:t>ES</w:t>
      </w:r>
      <w:r w:rsidR="00565768">
        <w:rPr>
          <w:u w:val="single"/>
        </w:rPr>
        <w:t>’</w:t>
      </w:r>
      <w:r w:rsidR="003D35EB">
        <w:rPr>
          <w:u w:val="single"/>
        </w:rPr>
        <w:t xml:space="preserve"> POSITIONS</w:t>
      </w:r>
      <w:bookmarkEnd w:id="4"/>
    </w:p>
    <w:p w:rsidR="00A60A65" w:rsidRPr="00B43DD7" w:rsidRDefault="00A60A65" w:rsidP="00A60A65">
      <w:pPr>
        <w:pStyle w:val="WARateCase"/>
        <w:ind w:firstLine="720"/>
        <w:jc w:val="both"/>
        <w:rPr>
          <w:rFonts w:ascii="Times New Roman" w:hAnsi="Times New Roman"/>
          <w:sz w:val="24"/>
          <w:szCs w:val="24"/>
        </w:rPr>
      </w:pPr>
      <w:r w:rsidRPr="00B43DD7">
        <w:rPr>
          <w:rFonts w:ascii="Times New Roman" w:hAnsi="Times New Roman"/>
          <w:sz w:val="24"/>
          <w:szCs w:val="24"/>
        </w:rPr>
        <w:t>Q.</w:t>
      </w:r>
      <w:r w:rsidRPr="00B43DD7">
        <w:rPr>
          <w:rFonts w:ascii="Times New Roman" w:hAnsi="Times New Roman"/>
          <w:sz w:val="24"/>
          <w:szCs w:val="24"/>
        </w:rPr>
        <w:tab/>
        <w:t>Is the way Staff calculated the threshold to define major plant</w:t>
      </w:r>
      <w:r>
        <w:rPr>
          <w:rFonts w:ascii="Times New Roman" w:hAnsi="Times New Roman"/>
          <w:sz w:val="24"/>
          <w:szCs w:val="24"/>
        </w:rPr>
        <w:t xml:space="preserve"> additions</w:t>
      </w:r>
      <w:r w:rsidRPr="00B43DD7">
        <w:rPr>
          <w:rFonts w:ascii="Times New Roman" w:hAnsi="Times New Roman"/>
          <w:sz w:val="24"/>
          <w:szCs w:val="24"/>
        </w:rPr>
        <w:t xml:space="preserve"> appropriate? </w:t>
      </w:r>
    </w:p>
    <w:p w:rsidR="00A60A65" w:rsidRDefault="00A60A65" w:rsidP="00A60A65">
      <w:pPr>
        <w:pStyle w:val="WARateCase"/>
        <w:ind w:firstLine="720"/>
        <w:jc w:val="both"/>
        <w:rPr>
          <w:rFonts w:ascii="Times New Roman" w:hAnsi="Times New Roman"/>
          <w:b w:val="0"/>
          <w:sz w:val="24"/>
          <w:szCs w:val="24"/>
        </w:rPr>
      </w:pPr>
      <w:r>
        <w:rPr>
          <w:rFonts w:ascii="Times New Roman" w:hAnsi="Times New Roman"/>
          <w:b w:val="0"/>
          <w:sz w:val="24"/>
          <w:szCs w:val="24"/>
        </w:rPr>
        <w:t>A.</w:t>
      </w:r>
      <w:r>
        <w:rPr>
          <w:rFonts w:ascii="Times New Roman" w:hAnsi="Times New Roman"/>
          <w:b w:val="0"/>
          <w:sz w:val="24"/>
          <w:szCs w:val="24"/>
        </w:rPr>
        <w:tab/>
        <w:t>No. Staff used the “one-half of one percent” threshold.</w:t>
      </w:r>
      <w:r>
        <w:rPr>
          <w:rStyle w:val="FootnoteReference"/>
          <w:rFonts w:ascii="Times New Roman" w:hAnsi="Times New Roman"/>
          <w:b w:val="0"/>
          <w:sz w:val="24"/>
          <w:szCs w:val="24"/>
        </w:rPr>
        <w:footnoteReference w:id="3"/>
      </w:r>
      <w:r>
        <w:rPr>
          <w:rFonts w:ascii="Times New Roman" w:hAnsi="Times New Roman"/>
          <w:b w:val="0"/>
          <w:sz w:val="24"/>
          <w:szCs w:val="24"/>
        </w:rPr>
        <w:t xml:space="preserve"> This was calculated using the Company’s December 31, 2015 electric and natural gas Commission Basis Reports by </w:t>
      </w:r>
      <w:r w:rsidRPr="00297CBC">
        <w:rPr>
          <w:rFonts w:ascii="Times New Roman" w:hAnsi="Times New Roman"/>
          <w:b w:val="0"/>
          <w:sz w:val="24"/>
          <w:szCs w:val="24"/>
        </w:rPr>
        <w:t>using</w:t>
      </w:r>
      <w:r w:rsidR="001D3511">
        <w:rPr>
          <w:rFonts w:ascii="Times New Roman" w:hAnsi="Times New Roman"/>
          <w:b w:val="0"/>
          <w:sz w:val="24"/>
          <w:szCs w:val="24"/>
        </w:rPr>
        <w:br w:type="page"/>
      </w:r>
      <w:r w:rsidRPr="00297CBC">
        <w:rPr>
          <w:rFonts w:ascii="Times New Roman" w:hAnsi="Times New Roman"/>
          <w:b w:val="0"/>
          <w:sz w:val="24"/>
          <w:szCs w:val="24"/>
        </w:rPr>
        <w:lastRenderedPageBreak/>
        <w:t xml:space="preserve">the net plant </w:t>
      </w:r>
      <w:r w:rsidRPr="00297CBC">
        <w:rPr>
          <w:rFonts w:ascii="Times New Roman" w:hAnsi="Times New Roman"/>
          <w:b w:val="0"/>
          <w:sz w:val="24"/>
          <w:szCs w:val="24"/>
          <w:u w:val="single"/>
        </w:rPr>
        <w:t>before</w:t>
      </w:r>
      <w:r w:rsidRPr="00297CBC">
        <w:rPr>
          <w:rFonts w:ascii="Times New Roman" w:hAnsi="Times New Roman"/>
          <w:b w:val="0"/>
          <w:sz w:val="24"/>
          <w:szCs w:val="24"/>
        </w:rPr>
        <w:t xml:space="preserve"> ADFIT balance. It is not appropriate to exclude the ADFIT</w:t>
      </w:r>
      <w:r>
        <w:rPr>
          <w:rFonts w:ascii="Times New Roman" w:hAnsi="Times New Roman"/>
          <w:b w:val="0"/>
          <w:sz w:val="24"/>
          <w:szCs w:val="24"/>
        </w:rPr>
        <w:t xml:space="preserve"> balance</w:t>
      </w:r>
      <w:r w:rsidRPr="00297CBC">
        <w:rPr>
          <w:rFonts w:ascii="Times New Roman" w:hAnsi="Times New Roman"/>
          <w:b w:val="0"/>
          <w:sz w:val="24"/>
          <w:szCs w:val="24"/>
        </w:rPr>
        <w:t xml:space="preserve"> in the calculation. The Company has</w:t>
      </w:r>
      <w:r>
        <w:rPr>
          <w:rFonts w:ascii="Times New Roman" w:hAnsi="Times New Roman"/>
          <w:b w:val="0"/>
          <w:sz w:val="24"/>
          <w:szCs w:val="24"/>
        </w:rPr>
        <w:t xml:space="preserve"> included all other additions in this filing for the Modified Test Year Studies and Cross Check Studies on a “net of ADFIT” basis, in order to adhere to standard rate making policy</w:t>
      </w:r>
      <w:r w:rsidR="000A5E3C">
        <w:rPr>
          <w:rFonts w:ascii="Times New Roman" w:hAnsi="Times New Roman"/>
          <w:b w:val="0"/>
          <w:sz w:val="24"/>
          <w:szCs w:val="24"/>
        </w:rPr>
        <w:t>. T</w:t>
      </w:r>
      <w:r>
        <w:rPr>
          <w:rFonts w:ascii="Times New Roman" w:hAnsi="Times New Roman"/>
          <w:b w:val="0"/>
          <w:sz w:val="24"/>
          <w:szCs w:val="24"/>
        </w:rPr>
        <w:t xml:space="preserve">herefore, the threshold used to calculate the pro forma capital additions should be consistent with this method.  </w:t>
      </w:r>
      <w:r w:rsidRPr="00DC6CF6">
        <w:rPr>
          <w:rFonts w:ascii="Times New Roman" w:hAnsi="Times New Roman"/>
          <w:b w:val="0"/>
          <w:sz w:val="24"/>
          <w:szCs w:val="24"/>
        </w:rPr>
        <w:t xml:space="preserve">The Company used the net plant </w:t>
      </w:r>
      <w:r w:rsidRPr="00DC6CF6">
        <w:rPr>
          <w:rFonts w:ascii="Times New Roman" w:hAnsi="Times New Roman"/>
          <w:b w:val="0"/>
          <w:sz w:val="24"/>
          <w:szCs w:val="24"/>
          <w:u w:val="single"/>
        </w:rPr>
        <w:t>after</w:t>
      </w:r>
      <w:r w:rsidRPr="00DC6CF6">
        <w:rPr>
          <w:rFonts w:ascii="Times New Roman" w:hAnsi="Times New Roman"/>
          <w:b w:val="0"/>
          <w:sz w:val="24"/>
          <w:szCs w:val="24"/>
        </w:rPr>
        <w:t xml:space="preserve"> ADFIT balance to calculate this threshold, and believes this is the correct application of the rule. </w:t>
      </w:r>
    </w:p>
    <w:p w:rsidR="00A60A65" w:rsidRDefault="00A60A65" w:rsidP="00A60A65">
      <w:pPr>
        <w:pStyle w:val="WARateCase"/>
        <w:ind w:firstLine="720"/>
        <w:jc w:val="both"/>
        <w:rPr>
          <w:rFonts w:ascii="Times New Roman" w:hAnsi="Times New Roman"/>
          <w:b w:val="0"/>
          <w:sz w:val="24"/>
          <w:szCs w:val="24"/>
        </w:rPr>
      </w:pPr>
      <w:r>
        <w:rPr>
          <w:rFonts w:ascii="Times New Roman" w:hAnsi="Times New Roman"/>
          <w:b w:val="0"/>
          <w:sz w:val="24"/>
          <w:szCs w:val="24"/>
        </w:rPr>
        <w:t>When the net plant balance after ADFIT threshold is updated with the information contained in the most recently filed Commission Basis Reports (at December 31, 2015), the threshold changes</w:t>
      </w:r>
      <w:r w:rsidR="000A5E3C">
        <w:rPr>
          <w:rFonts w:ascii="Times New Roman" w:hAnsi="Times New Roman"/>
          <w:b w:val="0"/>
          <w:sz w:val="24"/>
          <w:szCs w:val="24"/>
        </w:rPr>
        <w:t>,</w:t>
      </w:r>
      <w:r>
        <w:rPr>
          <w:rFonts w:ascii="Times New Roman" w:hAnsi="Times New Roman"/>
          <w:b w:val="0"/>
          <w:sz w:val="24"/>
          <w:szCs w:val="24"/>
        </w:rPr>
        <w:t xml:space="preserve"> from the originally filed threshold of $6.3 million for electric and $1.17 for natural gas</w:t>
      </w:r>
      <w:r w:rsidR="000A5E3C">
        <w:rPr>
          <w:rFonts w:ascii="Times New Roman" w:hAnsi="Times New Roman"/>
          <w:b w:val="0"/>
          <w:sz w:val="24"/>
          <w:szCs w:val="24"/>
        </w:rPr>
        <w:t>,</w:t>
      </w:r>
      <w:r>
        <w:rPr>
          <w:rFonts w:ascii="Times New Roman" w:hAnsi="Times New Roman"/>
          <w:b w:val="0"/>
          <w:sz w:val="24"/>
          <w:szCs w:val="24"/>
        </w:rPr>
        <w:t xml:space="preserve"> to $6.4 million and $1.22 million, respectively. Updating this threshold yields the same group of major pro forma projects as was proposed in the Company’s direct case for both electric and natural gas. In contrast, Staff’s threshold was $7.9 million for electric and $1.5 million for natural gas. The higher threshold used by Staff resulted in the exclusion of two electric projects and one natural gas project from their pro forma adjustment, compared with the Company’s. </w:t>
      </w:r>
    </w:p>
    <w:p w:rsidR="00B37C6E" w:rsidRDefault="00B37C6E" w:rsidP="00A60A65">
      <w:pPr>
        <w:pStyle w:val="WARateCase"/>
        <w:ind w:firstLine="720"/>
        <w:jc w:val="both"/>
        <w:rPr>
          <w:rFonts w:ascii="Times New Roman" w:hAnsi="Times New Roman"/>
          <w:sz w:val="24"/>
          <w:szCs w:val="24"/>
        </w:rPr>
      </w:pPr>
      <w:r w:rsidRPr="00B37C6E">
        <w:rPr>
          <w:rFonts w:ascii="Times New Roman" w:hAnsi="Times New Roman"/>
          <w:sz w:val="24"/>
          <w:szCs w:val="24"/>
        </w:rPr>
        <w:t>Q.</w:t>
      </w:r>
      <w:r w:rsidRPr="00B37C6E">
        <w:rPr>
          <w:rFonts w:ascii="Times New Roman" w:hAnsi="Times New Roman"/>
          <w:sz w:val="24"/>
          <w:szCs w:val="24"/>
        </w:rPr>
        <w:tab/>
        <w:t xml:space="preserve">Irrespective of how the threshold was calculated, does the Company believe that </w:t>
      </w:r>
      <w:r>
        <w:rPr>
          <w:rFonts w:ascii="Times New Roman" w:hAnsi="Times New Roman"/>
          <w:sz w:val="24"/>
          <w:szCs w:val="24"/>
        </w:rPr>
        <w:t xml:space="preserve">the use of a limiting </w:t>
      </w:r>
      <w:r w:rsidRPr="00B37C6E">
        <w:rPr>
          <w:rFonts w:ascii="Times New Roman" w:hAnsi="Times New Roman"/>
          <w:sz w:val="24"/>
          <w:szCs w:val="24"/>
        </w:rPr>
        <w:t>threshold is appropriate</w:t>
      </w:r>
      <w:r>
        <w:rPr>
          <w:rFonts w:ascii="Times New Roman" w:hAnsi="Times New Roman"/>
          <w:sz w:val="24"/>
          <w:szCs w:val="24"/>
        </w:rPr>
        <w:t xml:space="preserve"> and reflective of the plant-in-service in the rate year</w:t>
      </w:r>
      <w:r w:rsidRPr="00B37C6E">
        <w:rPr>
          <w:rFonts w:ascii="Times New Roman" w:hAnsi="Times New Roman"/>
          <w:sz w:val="24"/>
          <w:szCs w:val="24"/>
        </w:rPr>
        <w:t>?</w:t>
      </w:r>
    </w:p>
    <w:p w:rsidR="00B37C6E" w:rsidRPr="00B37C6E" w:rsidRDefault="00B37C6E" w:rsidP="00652F44">
      <w:pPr>
        <w:pStyle w:val="WARateCase"/>
        <w:ind w:firstLine="720"/>
        <w:jc w:val="both"/>
        <w:rPr>
          <w:rFonts w:ascii="Times New Roman" w:hAnsi="Times New Roman"/>
          <w:b w:val="0"/>
          <w:sz w:val="24"/>
          <w:szCs w:val="24"/>
        </w:rPr>
      </w:pPr>
      <w:r>
        <w:rPr>
          <w:rFonts w:ascii="Times New Roman" w:hAnsi="Times New Roman"/>
          <w:b w:val="0"/>
          <w:sz w:val="24"/>
          <w:szCs w:val="24"/>
        </w:rPr>
        <w:t>A</w:t>
      </w:r>
      <w:r w:rsidR="000A5E3C">
        <w:rPr>
          <w:rFonts w:ascii="Times New Roman" w:hAnsi="Times New Roman"/>
          <w:b w:val="0"/>
          <w:sz w:val="24"/>
          <w:szCs w:val="24"/>
        </w:rPr>
        <w:t>.</w:t>
      </w:r>
      <w:r w:rsidR="000A5E3C">
        <w:rPr>
          <w:rFonts w:ascii="Times New Roman" w:hAnsi="Times New Roman"/>
          <w:b w:val="0"/>
          <w:sz w:val="24"/>
          <w:szCs w:val="24"/>
        </w:rPr>
        <w:tab/>
        <w:t>No.</w:t>
      </w:r>
      <w:r>
        <w:rPr>
          <w:rFonts w:ascii="Times New Roman" w:hAnsi="Times New Roman"/>
          <w:b w:val="0"/>
          <w:sz w:val="24"/>
          <w:szCs w:val="24"/>
        </w:rPr>
        <w:t xml:space="preserve"> </w:t>
      </w:r>
      <w:r w:rsidR="000A5E3C">
        <w:rPr>
          <w:rFonts w:ascii="Times New Roman" w:hAnsi="Times New Roman"/>
          <w:b w:val="0"/>
          <w:sz w:val="24"/>
          <w:szCs w:val="24"/>
        </w:rPr>
        <w:t>F</w:t>
      </w:r>
      <w:r>
        <w:rPr>
          <w:rFonts w:ascii="Times New Roman" w:hAnsi="Times New Roman"/>
          <w:b w:val="0"/>
          <w:sz w:val="24"/>
          <w:szCs w:val="24"/>
        </w:rPr>
        <w:t>or 2017, the plant adjustments that are included base</w:t>
      </w:r>
      <w:r w:rsidR="000A5E3C">
        <w:rPr>
          <w:rFonts w:ascii="Times New Roman" w:hAnsi="Times New Roman"/>
          <w:b w:val="0"/>
          <w:sz w:val="24"/>
          <w:szCs w:val="24"/>
        </w:rPr>
        <w:t>d upon the threshold limitation</w:t>
      </w:r>
      <w:r>
        <w:rPr>
          <w:rFonts w:ascii="Times New Roman" w:hAnsi="Times New Roman"/>
          <w:b w:val="0"/>
          <w:sz w:val="24"/>
          <w:szCs w:val="24"/>
        </w:rPr>
        <w:t xml:space="preserve"> exclude roughly one-half of the overall plant that will be serving customers in the rate </w:t>
      </w:r>
      <w:r w:rsidR="001D3511">
        <w:rPr>
          <w:rFonts w:ascii="Times New Roman" w:hAnsi="Times New Roman"/>
          <w:b w:val="0"/>
          <w:sz w:val="24"/>
          <w:szCs w:val="24"/>
        </w:rPr>
        <w:br w:type="page"/>
      </w:r>
      <w:r>
        <w:rPr>
          <w:rFonts w:ascii="Times New Roman" w:hAnsi="Times New Roman"/>
          <w:b w:val="0"/>
          <w:sz w:val="24"/>
          <w:szCs w:val="24"/>
        </w:rPr>
        <w:lastRenderedPageBreak/>
        <w:t>effective period (regardless of which application of the threshold is considered).</w:t>
      </w:r>
      <w:r w:rsidR="00652F44">
        <w:rPr>
          <w:rStyle w:val="FootnoteReference"/>
          <w:rFonts w:ascii="Times New Roman" w:hAnsi="Times New Roman"/>
          <w:b w:val="0"/>
          <w:sz w:val="24"/>
          <w:szCs w:val="24"/>
        </w:rPr>
        <w:footnoteReference w:id="4"/>
      </w:r>
      <w:r>
        <w:rPr>
          <w:rFonts w:ascii="Times New Roman" w:hAnsi="Times New Roman"/>
          <w:b w:val="0"/>
          <w:sz w:val="24"/>
          <w:szCs w:val="24"/>
        </w:rPr>
        <w:t xml:space="preserve"> </w:t>
      </w:r>
    </w:p>
    <w:p w:rsidR="00A60A65" w:rsidRPr="009B251C" w:rsidRDefault="00A60A65" w:rsidP="00652F44">
      <w:pPr>
        <w:pStyle w:val="WARateCase"/>
        <w:ind w:firstLine="720"/>
        <w:jc w:val="both"/>
        <w:rPr>
          <w:rFonts w:ascii="Times New Roman" w:hAnsi="Times New Roman"/>
          <w:sz w:val="24"/>
          <w:szCs w:val="24"/>
        </w:rPr>
      </w:pPr>
      <w:r w:rsidRPr="009B251C">
        <w:rPr>
          <w:rFonts w:ascii="Times New Roman" w:hAnsi="Times New Roman"/>
          <w:sz w:val="24"/>
          <w:szCs w:val="24"/>
        </w:rPr>
        <w:t>Q.</w:t>
      </w:r>
      <w:r w:rsidRPr="009B251C">
        <w:rPr>
          <w:rFonts w:ascii="Times New Roman" w:hAnsi="Times New Roman"/>
          <w:sz w:val="24"/>
          <w:szCs w:val="24"/>
        </w:rPr>
        <w:tab/>
      </w:r>
      <w:r w:rsidR="009735D2">
        <w:rPr>
          <w:rFonts w:ascii="Times New Roman" w:hAnsi="Times New Roman"/>
          <w:sz w:val="24"/>
          <w:szCs w:val="24"/>
        </w:rPr>
        <w:t>What did</w:t>
      </w:r>
      <w:r>
        <w:rPr>
          <w:rFonts w:ascii="Times New Roman" w:hAnsi="Times New Roman"/>
          <w:sz w:val="24"/>
          <w:szCs w:val="24"/>
        </w:rPr>
        <w:t xml:space="preserve"> Staff,</w:t>
      </w:r>
      <w:r w:rsidRPr="009B251C">
        <w:rPr>
          <w:rFonts w:ascii="Times New Roman" w:hAnsi="Times New Roman"/>
          <w:sz w:val="24"/>
          <w:szCs w:val="24"/>
        </w:rPr>
        <w:t xml:space="preserve"> ICNU and NWIGU </w:t>
      </w:r>
      <w:r w:rsidR="009735D2">
        <w:rPr>
          <w:rFonts w:ascii="Times New Roman" w:hAnsi="Times New Roman"/>
          <w:sz w:val="24"/>
          <w:szCs w:val="24"/>
        </w:rPr>
        <w:t>propose regarding</w:t>
      </w:r>
      <w:r w:rsidRPr="009B251C">
        <w:rPr>
          <w:rFonts w:ascii="Times New Roman" w:hAnsi="Times New Roman"/>
          <w:sz w:val="24"/>
          <w:szCs w:val="24"/>
        </w:rPr>
        <w:t xml:space="preserve"> </w:t>
      </w:r>
      <w:r>
        <w:rPr>
          <w:rFonts w:ascii="Times New Roman" w:hAnsi="Times New Roman"/>
          <w:sz w:val="24"/>
          <w:szCs w:val="24"/>
        </w:rPr>
        <w:t>certain</w:t>
      </w:r>
      <w:r w:rsidRPr="009B251C">
        <w:rPr>
          <w:rFonts w:ascii="Times New Roman" w:hAnsi="Times New Roman"/>
          <w:sz w:val="24"/>
          <w:szCs w:val="24"/>
        </w:rPr>
        <w:t xml:space="preserve"> cut-off dates for the inclusion of post-test year capital additions for major projects. </w:t>
      </w:r>
    </w:p>
    <w:p w:rsidR="00345D33" w:rsidRPr="000A5E3C" w:rsidRDefault="00A60A65" w:rsidP="000A5E3C">
      <w:pPr>
        <w:pStyle w:val="WARateCase"/>
        <w:jc w:val="both"/>
        <w:rPr>
          <w:rFonts w:ascii="Times New Roman" w:hAnsi="Times New Roman"/>
          <w:b w:val="0"/>
          <w:sz w:val="24"/>
          <w:szCs w:val="24"/>
        </w:rPr>
      </w:pPr>
      <w:r w:rsidRPr="009B251C">
        <w:rPr>
          <w:rFonts w:ascii="Times New Roman" w:hAnsi="Times New Roman"/>
          <w:sz w:val="24"/>
          <w:szCs w:val="24"/>
        </w:rPr>
        <w:tab/>
      </w:r>
      <w:r w:rsidRPr="009B251C">
        <w:rPr>
          <w:rFonts w:ascii="Times New Roman" w:hAnsi="Times New Roman"/>
          <w:b w:val="0"/>
          <w:sz w:val="24"/>
          <w:szCs w:val="24"/>
        </w:rPr>
        <w:t xml:space="preserve">A. </w:t>
      </w:r>
      <w:r w:rsidRPr="009B251C">
        <w:rPr>
          <w:rFonts w:ascii="Times New Roman" w:hAnsi="Times New Roman"/>
          <w:b w:val="0"/>
          <w:sz w:val="24"/>
          <w:szCs w:val="24"/>
        </w:rPr>
        <w:tab/>
      </w:r>
      <w:r>
        <w:rPr>
          <w:rFonts w:ascii="Times New Roman" w:hAnsi="Times New Roman"/>
          <w:b w:val="0"/>
          <w:sz w:val="24"/>
          <w:szCs w:val="24"/>
        </w:rPr>
        <w:t>Staff includes transfers-to-plant on major pro forma projects only through July 2016</w:t>
      </w:r>
      <w:r w:rsidR="00BC2D94">
        <w:rPr>
          <w:rFonts w:ascii="Times New Roman" w:hAnsi="Times New Roman"/>
          <w:b w:val="0"/>
          <w:sz w:val="24"/>
          <w:szCs w:val="24"/>
        </w:rPr>
        <w:t>.</w:t>
      </w:r>
      <w:r>
        <w:rPr>
          <w:rFonts w:ascii="Times New Roman" w:hAnsi="Times New Roman"/>
          <w:b w:val="0"/>
          <w:sz w:val="24"/>
          <w:szCs w:val="24"/>
        </w:rPr>
        <w:t xml:space="preserve"> ICNU and NWIGU include the actual transfer-to-plant amounts from January to May 2016 for all projects except the Nine Mile Redevelopment Project, in which case Mr. Mullins includes the estimated July 2016 transfer-to-plant amount. </w:t>
      </w:r>
    </w:p>
    <w:p w:rsidR="003D1CAB" w:rsidRPr="00C9454D" w:rsidRDefault="001503D2" w:rsidP="003D1CAB">
      <w:pPr>
        <w:spacing w:line="480" w:lineRule="auto"/>
        <w:ind w:firstLine="720"/>
        <w:jc w:val="both"/>
        <w:rPr>
          <w:b/>
        </w:rPr>
      </w:pPr>
      <w:r>
        <w:rPr>
          <w:b/>
        </w:rPr>
        <w:t>Q.</w:t>
      </w:r>
      <w:r>
        <w:rPr>
          <w:b/>
        </w:rPr>
        <w:tab/>
        <w:t>What are the impacts of</w:t>
      </w:r>
      <w:r w:rsidR="003D1CAB" w:rsidRPr="00C9454D">
        <w:rPr>
          <w:b/>
        </w:rPr>
        <w:t xml:space="preserve"> each Parties’ adjustments</w:t>
      </w:r>
      <w:r w:rsidR="00505A6E">
        <w:rPr>
          <w:b/>
        </w:rPr>
        <w:t xml:space="preserve"> on net plant</w:t>
      </w:r>
      <w:r w:rsidR="003D1CAB" w:rsidRPr="00C9454D">
        <w:rPr>
          <w:b/>
        </w:rPr>
        <w:t xml:space="preserve">? </w:t>
      </w:r>
    </w:p>
    <w:p w:rsidR="003D1CAB" w:rsidRPr="00401331" w:rsidRDefault="003D1CAB" w:rsidP="00742B15">
      <w:pPr>
        <w:pStyle w:val="WARateCase"/>
        <w:ind w:firstLine="720"/>
        <w:jc w:val="both"/>
        <w:rPr>
          <w:rFonts w:ascii="Times New Roman" w:hAnsi="Times New Roman"/>
          <w:b w:val="0"/>
          <w:sz w:val="24"/>
          <w:szCs w:val="24"/>
        </w:rPr>
      </w:pPr>
      <w:r w:rsidRPr="005551CB">
        <w:rPr>
          <w:rFonts w:ascii="Times New Roman" w:hAnsi="Times New Roman"/>
          <w:b w:val="0"/>
          <w:sz w:val="24"/>
          <w:szCs w:val="24"/>
        </w:rPr>
        <w:t>A.</w:t>
      </w:r>
      <w:r w:rsidRPr="005551CB">
        <w:rPr>
          <w:rFonts w:ascii="Times New Roman" w:hAnsi="Times New Roman"/>
          <w:b w:val="0"/>
          <w:sz w:val="24"/>
          <w:szCs w:val="24"/>
        </w:rPr>
        <w:tab/>
        <w:t xml:space="preserve">Staff’s proposed </w:t>
      </w:r>
      <w:r w:rsidR="00E05F23">
        <w:rPr>
          <w:rFonts w:ascii="Times New Roman" w:hAnsi="Times New Roman"/>
          <w:b w:val="0"/>
          <w:sz w:val="24"/>
          <w:szCs w:val="24"/>
        </w:rPr>
        <w:t>pro f</w:t>
      </w:r>
      <w:r w:rsidR="00EE3144" w:rsidRPr="005551CB">
        <w:rPr>
          <w:rFonts w:ascii="Times New Roman" w:hAnsi="Times New Roman"/>
          <w:b w:val="0"/>
          <w:sz w:val="24"/>
          <w:szCs w:val="24"/>
        </w:rPr>
        <w:t xml:space="preserve">orma </w:t>
      </w:r>
      <w:r w:rsidRPr="005551CB">
        <w:rPr>
          <w:rFonts w:ascii="Times New Roman" w:hAnsi="Times New Roman"/>
          <w:b w:val="0"/>
          <w:sz w:val="24"/>
          <w:szCs w:val="24"/>
        </w:rPr>
        <w:t xml:space="preserve">adjustments </w:t>
      </w:r>
      <w:r w:rsidR="00BC42B5">
        <w:rPr>
          <w:rFonts w:ascii="Times New Roman" w:hAnsi="Times New Roman"/>
          <w:b w:val="0"/>
          <w:sz w:val="24"/>
          <w:szCs w:val="24"/>
        </w:rPr>
        <w:t xml:space="preserve">beyond the historical test period </w:t>
      </w:r>
      <w:r w:rsidR="00401331" w:rsidRPr="005551CB">
        <w:rPr>
          <w:rFonts w:ascii="Times New Roman" w:hAnsi="Times New Roman"/>
          <w:b w:val="0"/>
          <w:sz w:val="24"/>
          <w:szCs w:val="24"/>
        </w:rPr>
        <w:t>increase net plant</w:t>
      </w:r>
      <w:r w:rsidR="003B0333" w:rsidRPr="005551CB">
        <w:rPr>
          <w:rFonts w:ascii="Times New Roman" w:hAnsi="Times New Roman"/>
          <w:b w:val="0"/>
          <w:sz w:val="24"/>
          <w:szCs w:val="24"/>
        </w:rPr>
        <w:t xml:space="preserve"> from </w:t>
      </w:r>
      <w:r w:rsidR="00BC42B5">
        <w:rPr>
          <w:rFonts w:ascii="Times New Roman" w:hAnsi="Times New Roman"/>
          <w:b w:val="0"/>
          <w:sz w:val="24"/>
          <w:szCs w:val="24"/>
        </w:rPr>
        <w:t xml:space="preserve">September 30, </w:t>
      </w:r>
      <w:r w:rsidR="003B0333" w:rsidRPr="005551CB">
        <w:rPr>
          <w:rFonts w:ascii="Times New Roman" w:hAnsi="Times New Roman"/>
          <w:b w:val="0"/>
          <w:sz w:val="24"/>
          <w:szCs w:val="24"/>
        </w:rPr>
        <w:t>201</w:t>
      </w:r>
      <w:r w:rsidR="001C6BF4" w:rsidRPr="005551CB">
        <w:rPr>
          <w:rFonts w:ascii="Times New Roman" w:hAnsi="Times New Roman"/>
          <w:b w:val="0"/>
          <w:sz w:val="24"/>
          <w:szCs w:val="24"/>
        </w:rPr>
        <w:t>5</w:t>
      </w:r>
      <w:r w:rsidR="003B0333" w:rsidRPr="005551CB">
        <w:rPr>
          <w:rFonts w:ascii="Times New Roman" w:hAnsi="Times New Roman"/>
          <w:b w:val="0"/>
          <w:sz w:val="24"/>
          <w:szCs w:val="24"/>
        </w:rPr>
        <w:t xml:space="preserve"> </w:t>
      </w:r>
      <w:r w:rsidR="00401331" w:rsidRPr="005551CB">
        <w:rPr>
          <w:rFonts w:ascii="Times New Roman" w:hAnsi="Times New Roman"/>
          <w:b w:val="0"/>
          <w:sz w:val="24"/>
          <w:szCs w:val="24"/>
        </w:rPr>
        <w:t xml:space="preserve">by </w:t>
      </w:r>
      <w:r w:rsidR="00BD1E45">
        <w:rPr>
          <w:rFonts w:ascii="Times New Roman" w:hAnsi="Times New Roman"/>
          <w:b w:val="0"/>
          <w:sz w:val="24"/>
          <w:szCs w:val="24"/>
        </w:rPr>
        <w:t>$82.4</w:t>
      </w:r>
      <w:r w:rsidR="00401331" w:rsidRPr="005551CB">
        <w:rPr>
          <w:rFonts w:ascii="Times New Roman" w:hAnsi="Times New Roman"/>
          <w:b w:val="0"/>
          <w:sz w:val="24"/>
          <w:szCs w:val="24"/>
        </w:rPr>
        <w:t xml:space="preserve"> million </w:t>
      </w:r>
      <w:r w:rsidR="00505A6E" w:rsidRPr="005551CB">
        <w:rPr>
          <w:rFonts w:ascii="Times New Roman" w:hAnsi="Times New Roman"/>
          <w:b w:val="0"/>
          <w:sz w:val="24"/>
          <w:szCs w:val="24"/>
        </w:rPr>
        <w:t>and $</w:t>
      </w:r>
      <w:r w:rsidR="00BD1E45">
        <w:rPr>
          <w:rFonts w:ascii="Times New Roman" w:hAnsi="Times New Roman"/>
          <w:b w:val="0"/>
          <w:sz w:val="24"/>
          <w:szCs w:val="24"/>
        </w:rPr>
        <w:t>17.1 million</w:t>
      </w:r>
      <w:r w:rsidR="00505A6E" w:rsidRPr="005551CB">
        <w:rPr>
          <w:rFonts w:ascii="Times New Roman" w:hAnsi="Times New Roman"/>
          <w:b w:val="0"/>
          <w:sz w:val="24"/>
          <w:szCs w:val="24"/>
        </w:rPr>
        <w:t xml:space="preserve"> </w:t>
      </w:r>
      <w:r w:rsidR="00401331" w:rsidRPr="005551CB">
        <w:rPr>
          <w:rFonts w:ascii="Times New Roman" w:hAnsi="Times New Roman"/>
          <w:b w:val="0"/>
          <w:sz w:val="24"/>
          <w:szCs w:val="24"/>
        </w:rPr>
        <w:t>for electric and natural gas, respectively</w:t>
      </w:r>
      <w:r w:rsidR="003B0333" w:rsidRPr="005551CB">
        <w:rPr>
          <w:rFonts w:ascii="Times New Roman" w:hAnsi="Times New Roman"/>
          <w:b w:val="0"/>
          <w:sz w:val="24"/>
          <w:szCs w:val="24"/>
        </w:rPr>
        <w:t>.</w:t>
      </w:r>
      <w:r w:rsidR="009629B8" w:rsidRPr="005551CB">
        <w:rPr>
          <w:rStyle w:val="FootnoteReference"/>
          <w:rFonts w:ascii="Times New Roman" w:hAnsi="Times New Roman"/>
          <w:b w:val="0"/>
          <w:sz w:val="24"/>
          <w:szCs w:val="24"/>
        </w:rPr>
        <w:footnoteReference w:id="5"/>
      </w:r>
      <w:r w:rsidR="003B0333" w:rsidRPr="005551CB">
        <w:rPr>
          <w:rFonts w:ascii="Times New Roman" w:hAnsi="Times New Roman"/>
          <w:b w:val="0"/>
          <w:sz w:val="24"/>
          <w:szCs w:val="24"/>
        </w:rPr>
        <w:t xml:space="preserve"> </w:t>
      </w:r>
      <w:r w:rsidRPr="005551CB">
        <w:rPr>
          <w:rFonts w:ascii="Times New Roman" w:hAnsi="Times New Roman"/>
          <w:b w:val="0"/>
          <w:sz w:val="24"/>
          <w:szCs w:val="24"/>
        </w:rPr>
        <w:t>ICNU</w:t>
      </w:r>
      <w:r w:rsidR="00C2437F" w:rsidRPr="005551CB">
        <w:rPr>
          <w:rFonts w:ascii="Times New Roman" w:hAnsi="Times New Roman"/>
          <w:b w:val="0"/>
          <w:sz w:val="24"/>
          <w:szCs w:val="24"/>
        </w:rPr>
        <w:t xml:space="preserve"> and NWIGU</w:t>
      </w:r>
      <w:r w:rsidRPr="005551CB">
        <w:rPr>
          <w:rFonts w:ascii="Times New Roman" w:hAnsi="Times New Roman"/>
          <w:b w:val="0"/>
          <w:sz w:val="24"/>
          <w:szCs w:val="24"/>
        </w:rPr>
        <w:t>’s adjustment is a</w:t>
      </w:r>
      <w:r w:rsidR="00742B15" w:rsidRPr="005551CB">
        <w:rPr>
          <w:rFonts w:ascii="Times New Roman" w:hAnsi="Times New Roman"/>
          <w:b w:val="0"/>
          <w:sz w:val="24"/>
          <w:szCs w:val="24"/>
        </w:rPr>
        <w:t>n</w:t>
      </w:r>
      <w:r w:rsidRPr="005551CB">
        <w:rPr>
          <w:rFonts w:ascii="Times New Roman" w:hAnsi="Times New Roman"/>
          <w:b w:val="0"/>
          <w:sz w:val="24"/>
          <w:szCs w:val="24"/>
        </w:rPr>
        <w:t xml:space="preserve"> </w:t>
      </w:r>
      <w:r w:rsidR="00742B15" w:rsidRPr="005551CB">
        <w:rPr>
          <w:rFonts w:ascii="Times New Roman" w:hAnsi="Times New Roman"/>
          <w:b w:val="0"/>
          <w:sz w:val="24"/>
          <w:szCs w:val="24"/>
        </w:rPr>
        <w:t>increase</w:t>
      </w:r>
      <w:r w:rsidRPr="005551CB">
        <w:rPr>
          <w:rFonts w:ascii="Times New Roman" w:hAnsi="Times New Roman"/>
          <w:b w:val="0"/>
          <w:sz w:val="24"/>
          <w:szCs w:val="24"/>
        </w:rPr>
        <w:t xml:space="preserve"> of $</w:t>
      </w:r>
      <w:r w:rsidR="00BD1E45">
        <w:rPr>
          <w:rFonts w:ascii="Times New Roman" w:hAnsi="Times New Roman"/>
          <w:b w:val="0"/>
          <w:sz w:val="24"/>
          <w:szCs w:val="24"/>
        </w:rPr>
        <w:t xml:space="preserve">81.6 </w:t>
      </w:r>
      <w:r w:rsidR="00742B15" w:rsidRPr="005551CB">
        <w:rPr>
          <w:rFonts w:ascii="Times New Roman" w:hAnsi="Times New Roman"/>
          <w:b w:val="0"/>
          <w:sz w:val="24"/>
          <w:szCs w:val="24"/>
        </w:rPr>
        <w:t>million</w:t>
      </w:r>
      <w:r w:rsidR="000A5E3C">
        <w:rPr>
          <w:rFonts w:ascii="Times New Roman" w:hAnsi="Times New Roman"/>
          <w:b w:val="0"/>
          <w:sz w:val="24"/>
          <w:szCs w:val="24"/>
        </w:rPr>
        <w:t xml:space="preserve"> and $12.2 million, respectively</w:t>
      </w:r>
      <w:r w:rsidR="00EC63D5">
        <w:rPr>
          <w:rFonts w:ascii="Times New Roman" w:hAnsi="Times New Roman"/>
          <w:b w:val="0"/>
          <w:sz w:val="24"/>
          <w:szCs w:val="24"/>
        </w:rPr>
        <w:t>.</w:t>
      </w:r>
      <w:r w:rsidR="009D71F7" w:rsidRPr="005551CB">
        <w:rPr>
          <w:rStyle w:val="FootnoteReference"/>
          <w:rFonts w:ascii="Times New Roman" w:hAnsi="Times New Roman"/>
          <w:b w:val="0"/>
          <w:sz w:val="24"/>
          <w:szCs w:val="24"/>
        </w:rPr>
        <w:footnoteReference w:id="6"/>
      </w:r>
      <w:r w:rsidR="00505A6E" w:rsidRPr="005551CB">
        <w:rPr>
          <w:rFonts w:ascii="Times New Roman" w:hAnsi="Times New Roman"/>
          <w:b w:val="0"/>
          <w:sz w:val="24"/>
          <w:szCs w:val="24"/>
        </w:rPr>
        <w:t xml:space="preserve"> </w:t>
      </w:r>
      <w:r w:rsidR="00EC63D5">
        <w:rPr>
          <w:rFonts w:ascii="Times New Roman" w:hAnsi="Times New Roman"/>
          <w:b w:val="0"/>
          <w:sz w:val="24"/>
          <w:szCs w:val="24"/>
        </w:rPr>
        <w:t xml:space="preserve"> </w:t>
      </w:r>
      <w:r w:rsidR="00505A6E" w:rsidRPr="005551CB">
        <w:rPr>
          <w:rFonts w:ascii="Times New Roman" w:hAnsi="Times New Roman"/>
          <w:b w:val="0"/>
          <w:sz w:val="24"/>
          <w:szCs w:val="24"/>
        </w:rPr>
        <w:t>Pu</w:t>
      </w:r>
      <w:r w:rsidR="00E05F23">
        <w:rPr>
          <w:rFonts w:ascii="Times New Roman" w:hAnsi="Times New Roman"/>
          <w:b w:val="0"/>
          <w:sz w:val="24"/>
          <w:szCs w:val="24"/>
        </w:rPr>
        <w:t>blic Counsel did not propose a pro f</w:t>
      </w:r>
      <w:r w:rsidR="00505A6E" w:rsidRPr="005551CB">
        <w:rPr>
          <w:rFonts w:ascii="Times New Roman" w:hAnsi="Times New Roman"/>
          <w:b w:val="0"/>
          <w:sz w:val="24"/>
          <w:szCs w:val="24"/>
        </w:rPr>
        <w:t>orma adjustment to net plant.</w:t>
      </w:r>
      <w:r w:rsidR="009629B8" w:rsidRPr="009629B8">
        <w:rPr>
          <w:rStyle w:val="FootnoteReference"/>
          <w:rFonts w:ascii="Times New Roman" w:hAnsi="Times New Roman"/>
          <w:b w:val="0"/>
          <w:sz w:val="24"/>
          <w:szCs w:val="24"/>
        </w:rPr>
        <w:t xml:space="preserve"> </w:t>
      </w:r>
    </w:p>
    <w:p w:rsidR="00947AD6" w:rsidRPr="00947AD6" w:rsidRDefault="00947AD6" w:rsidP="003D1CAB">
      <w:pPr>
        <w:pStyle w:val="WARateCase"/>
        <w:ind w:firstLine="720"/>
        <w:jc w:val="both"/>
        <w:rPr>
          <w:rFonts w:ascii="Times New Roman" w:hAnsi="Times New Roman"/>
          <w:sz w:val="24"/>
          <w:szCs w:val="24"/>
        </w:rPr>
      </w:pPr>
      <w:r w:rsidRPr="00947AD6">
        <w:rPr>
          <w:rFonts w:ascii="Times New Roman" w:hAnsi="Times New Roman"/>
          <w:sz w:val="24"/>
          <w:szCs w:val="24"/>
        </w:rPr>
        <w:t>Q.</w:t>
      </w:r>
      <w:r w:rsidRPr="00947AD6">
        <w:rPr>
          <w:rFonts w:ascii="Times New Roman" w:hAnsi="Times New Roman"/>
          <w:sz w:val="24"/>
          <w:szCs w:val="24"/>
        </w:rPr>
        <w:tab/>
        <w:t xml:space="preserve">How do these </w:t>
      </w:r>
      <w:r w:rsidR="00DA32C7">
        <w:rPr>
          <w:rFonts w:ascii="Times New Roman" w:hAnsi="Times New Roman"/>
          <w:sz w:val="24"/>
          <w:szCs w:val="24"/>
        </w:rPr>
        <w:t xml:space="preserve">adjustments </w:t>
      </w:r>
      <w:r w:rsidRPr="00947AD6">
        <w:rPr>
          <w:rFonts w:ascii="Times New Roman" w:hAnsi="Times New Roman"/>
          <w:sz w:val="24"/>
          <w:szCs w:val="24"/>
        </w:rPr>
        <w:t xml:space="preserve">compare with the plant-in-service during the rate year, as shown by the Company? </w:t>
      </w:r>
    </w:p>
    <w:p w:rsidR="00563F54" w:rsidRDefault="00947AD6" w:rsidP="00563F54">
      <w:pPr>
        <w:pStyle w:val="WARateCase"/>
        <w:ind w:firstLine="720"/>
        <w:jc w:val="both"/>
        <w:rPr>
          <w:rFonts w:ascii="Times New Roman" w:hAnsi="Times New Roman"/>
          <w:b w:val="0"/>
          <w:sz w:val="24"/>
          <w:szCs w:val="24"/>
        </w:rPr>
      </w:pPr>
      <w:r>
        <w:rPr>
          <w:rFonts w:ascii="Times New Roman" w:hAnsi="Times New Roman"/>
          <w:b w:val="0"/>
          <w:sz w:val="24"/>
          <w:szCs w:val="24"/>
        </w:rPr>
        <w:t>A.</w:t>
      </w:r>
      <w:r>
        <w:rPr>
          <w:rFonts w:ascii="Times New Roman" w:hAnsi="Times New Roman"/>
          <w:b w:val="0"/>
          <w:sz w:val="24"/>
          <w:szCs w:val="24"/>
        </w:rPr>
        <w:tab/>
        <w:t>The</w:t>
      </w:r>
      <w:r w:rsidR="00D54033">
        <w:rPr>
          <w:rFonts w:ascii="Times New Roman" w:hAnsi="Times New Roman"/>
          <w:b w:val="0"/>
          <w:sz w:val="24"/>
          <w:szCs w:val="24"/>
        </w:rPr>
        <w:t xml:space="preserve"> following</w:t>
      </w:r>
      <w:r>
        <w:rPr>
          <w:rFonts w:ascii="Times New Roman" w:hAnsi="Times New Roman"/>
          <w:b w:val="0"/>
          <w:sz w:val="24"/>
          <w:szCs w:val="24"/>
        </w:rPr>
        <w:t xml:space="preserve"> illustration </w:t>
      </w:r>
      <w:r w:rsidR="00BC2D94">
        <w:rPr>
          <w:rFonts w:ascii="Times New Roman" w:hAnsi="Times New Roman"/>
          <w:b w:val="0"/>
          <w:sz w:val="24"/>
          <w:szCs w:val="24"/>
        </w:rPr>
        <w:t>provides a</w:t>
      </w:r>
      <w:r>
        <w:rPr>
          <w:rFonts w:ascii="Times New Roman" w:hAnsi="Times New Roman"/>
          <w:b w:val="0"/>
          <w:sz w:val="24"/>
          <w:szCs w:val="24"/>
        </w:rPr>
        <w:t xml:space="preserve"> comparison for electric net plant </w:t>
      </w:r>
      <w:r w:rsidR="00BC2D94">
        <w:rPr>
          <w:rFonts w:ascii="Times New Roman" w:hAnsi="Times New Roman"/>
          <w:b w:val="0"/>
          <w:sz w:val="24"/>
          <w:szCs w:val="24"/>
        </w:rPr>
        <w:t>additions</w:t>
      </w:r>
      <w:r w:rsidR="00F436A2">
        <w:rPr>
          <w:rFonts w:ascii="Times New Roman" w:hAnsi="Times New Roman"/>
          <w:b w:val="0"/>
          <w:sz w:val="24"/>
          <w:szCs w:val="24"/>
        </w:rPr>
        <w:t xml:space="preserve"> through</w:t>
      </w:r>
      <w:r w:rsidR="00A50CA4">
        <w:rPr>
          <w:rFonts w:ascii="Times New Roman" w:hAnsi="Times New Roman"/>
          <w:b w:val="0"/>
          <w:sz w:val="24"/>
          <w:szCs w:val="24"/>
        </w:rPr>
        <w:t xml:space="preserve"> the 2017 rate period</w:t>
      </w:r>
      <w:r w:rsidR="00BC2D94">
        <w:rPr>
          <w:rFonts w:ascii="Times New Roman" w:hAnsi="Times New Roman"/>
          <w:b w:val="0"/>
          <w:sz w:val="24"/>
          <w:szCs w:val="24"/>
        </w:rPr>
        <w:t>, as proposed by the Company and other parties</w:t>
      </w:r>
      <w:r>
        <w:rPr>
          <w:rFonts w:ascii="Times New Roman" w:hAnsi="Times New Roman"/>
          <w:b w:val="0"/>
          <w:sz w:val="24"/>
          <w:szCs w:val="24"/>
        </w:rPr>
        <w:t xml:space="preserve">: </w:t>
      </w:r>
    </w:p>
    <w:p w:rsidR="00947AD6" w:rsidRDefault="004363C2" w:rsidP="002869ED">
      <w:pPr>
        <w:pStyle w:val="WARateCase"/>
        <w:jc w:val="both"/>
        <w:rPr>
          <w:rFonts w:ascii="Times New Roman" w:hAnsi="Times New Roman"/>
          <w:sz w:val="24"/>
          <w:szCs w:val="24"/>
          <w:u w:val="single"/>
        </w:rPr>
      </w:pPr>
      <w:r>
        <w:rPr>
          <w:rFonts w:ascii="Times New Roman" w:hAnsi="Times New Roman"/>
          <w:sz w:val="24"/>
          <w:szCs w:val="24"/>
          <w:u w:val="single"/>
        </w:rPr>
        <w:br w:type="page"/>
      </w:r>
      <w:r w:rsidR="00CF5E20">
        <w:rPr>
          <w:rFonts w:ascii="Times New Roman" w:hAnsi="Times New Roman"/>
          <w:sz w:val="24"/>
          <w:szCs w:val="24"/>
          <w:u w:val="single"/>
        </w:rPr>
        <w:lastRenderedPageBreak/>
        <w:t xml:space="preserve">Illustration No. </w:t>
      </w:r>
      <w:r w:rsidR="00B37C6E">
        <w:rPr>
          <w:rFonts w:ascii="Times New Roman" w:hAnsi="Times New Roman"/>
          <w:sz w:val="24"/>
          <w:szCs w:val="24"/>
          <w:u w:val="single"/>
        </w:rPr>
        <w:t>1</w:t>
      </w:r>
      <w:r w:rsidR="00CF5E20">
        <w:rPr>
          <w:rFonts w:ascii="Times New Roman" w:hAnsi="Times New Roman"/>
          <w:sz w:val="24"/>
          <w:szCs w:val="24"/>
          <w:u w:val="single"/>
        </w:rPr>
        <w:t>:</w:t>
      </w:r>
    </w:p>
    <w:p w:rsidR="001879D1" w:rsidRDefault="00AD68B2" w:rsidP="002869ED">
      <w:pPr>
        <w:pStyle w:val="WARateCase"/>
        <w:jc w:val="both"/>
        <w:rPr>
          <w:rFonts w:ascii="Times New Roman" w:hAnsi="Times New Roman"/>
          <w:sz w:val="24"/>
          <w:szCs w:val="24"/>
        </w:rPr>
      </w:pPr>
      <w:r>
        <w:rPr>
          <w:rFonts w:ascii="Times New Roman" w:hAnsi="Times New Roman"/>
          <w:noProof/>
          <w:sz w:val="24"/>
          <w:szCs w:val="24"/>
        </w:rPr>
        <w:pict w14:anchorId="1A4B51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81" type="#_x0000_t75" style="position:absolute;left:0;text-align:left;margin-left:30.1pt;margin-top:-1.1pt;width:365.05pt;height:251.85pt;z-index:251662336;mso-position-vertical-relative:text">
            <v:imagedata r:id="rId12" o:title=""/>
            <w10:anchorlock/>
          </v:shape>
        </w:pict>
      </w:r>
    </w:p>
    <w:p w:rsidR="001879D1" w:rsidRDefault="001879D1" w:rsidP="002869ED">
      <w:pPr>
        <w:pStyle w:val="WARateCase"/>
        <w:jc w:val="both"/>
        <w:rPr>
          <w:rFonts w:ascii="Times New Roman" w:hAnsi="Times New Roman"/>
          <w:sz w:val="24"/>
          <w:szCs w:val="24"/>
        </w:rPr>
      </w:pPr>
    </w:p>
    <w:p w:rsidR="001879D1" w:rsidRDefault="001879D1" w:rsidP="002869ED">
      <w:pPr>
        <w:pStyle w:val="WARateCase"/>
        <w:jc w:val="both"/>
        <w:rPr>
          <w:rFonts w:ascii="Times New Roman" w:hAnsi="Times New Roman"/>
          <w:sz w:val="24"/>
          <w:szCs w:val="24"/>
        </w:rPr>
      </w:pPr>
    </w:p>
    <w:p w:rsidR="001879D1" w:rsidRDefault="001879D1" w:rsidP="002869ED">
      <w:pPr>
        <w:pStyle w:val="WARateCase"/>
        <w:jc w:val="both"/>
        <w:rPr>
          <w:rFonts w:ascii="Times New Roman" w:hAnsi="Times New Roman"/>
          <w:sz w:val="24"/>
          <w:szCs w:val="24"/>
        </w:rPr>
      </w:pPr>
    </w:p>
    <w:p w:rsidR="001879D1" w:rsidRDefault="001879D1" w:rsidP="002869ED">
      <w:pPr>
        <w:pStyle w:val="WARateCase"/>
        <w:jc w:val="both"/>
        <w:rPr>
          <w:rFonts w:ascii="Times New Roman" w:hAnsi="Times New Roman"/>
          <w:sz w:val="24"/>
          <w:szCs w:val="24"/>
        </w:rPr>
      </w:pPr>
    </w:p>
    <w:p w:rsidR="00E40BD9" w:rsidRDefault="00E40BD9" w:rsidP="002869ED">
      <w:pPr>
        <w:pStyle w:val="WARateCase"/>
        <w:jc w:val="both"/>
        <w:rPr>
          <w:rFonts w:ascii="Times New Roman" w:hAnsi="Times New Roman"/>
          <w:sz w:val="24"/>
          <w:szCs w:val="24"/>
        </w:rPr>
      </w:pPr>
    </w:p>
    <w:p w:rsidR="001879D1" w:rsidRDefault="001879D1" w:rsidP="002869ED">
      <w:pPr>
        <w:pStyle w:val="WARateCase"/>
        <w:jc w:val="both"/>
        <w:rPr>
          <w:rFonts w:ascii="Times New Roman" w:hAnsi="Times New Roman"/>
          <w:sz w:val="24"/>
          <w:szCs w:val="24"/>
        </w:rPr>
      </w:pPr>
    </w:p>
    <w:p w:rsidR="001879D1" w:rsidRDefault="001879D1" w:rsidP="002869ED">
      <w:pPr>
        <w:pStyle w:val="WARateCase"/>
        <w:jc w:val="both"/>
        <w:rPr>
          <w:rFonts w:ascii="Times New Roman" w:hAnsi="Times New Roman"/>
          <w:sz w:val="24"/>
          <w:szCs w:val="24"/>
        </w:rPr>
      </w:pPr>
    </w:p>
    <w:p w:rsidR="00747B21" w:rsidRDefault="00747B21" w:rsidP="002869ED">
      <w:pPr>
        <w:pStyle w:val="WARateCase"/>
        <w:jc w:val="both"/>
        <w:rPr>
          <w:rFonts w:ascii="Times New Roman" w:hAnsi="Times New Roman"/>
          <w:sz w:val="24"/>
          <w:szCs w:val="24"/>
        </w:rPr>
      </w:pPr>
    </w:p>
    <w:p w:rsidR="00747B21" w:rsidRPr="00A60A65" w:rsidRDefault="00A50CA4" w:rsidP="00947AD6">
      <w:pPr>
        <w:pStyle w:val="WARateCase"/>
        <w:jc w:val="both"/>
        <w:rPr>
          <w:rFonts w:ascii="Times New Roman" w:hAnsi="Times New Roman"/>
          <w:b w:val="0"/>
          <w:sz w:val="24"/>
          <w:szCs w:val="24"/>
        </w:rPr>
      </w:pPr>
      <w:r>
        <w:rPr>
          <w:rFonts w:ascii="Times New Roman" w:hAnsi="Times New Roman"/>
          <w:b w:val="0"/>
          <w:sz w:val="24"/>
          <w:szCs w:val="24"/>
        </w:rPr>
        <w:t xml:space="preserve">The following illustration shows this comparison for electric net plant adjustments for the January through June 2018 rate period: </w:t>
      </w:r>
    </w:p>
    <w:p w:rsidR="00B24860" w:rsidRDefault="00A50CA4" w:rsidP="00947AD6">
      <w:pPr>
        <w:pStyle w:val="WARateCase"/>
        <w:jc w:val="both"/>
        <w:rPr>
          <w:rFonts w:ascii="Times New Roman" w:hAnsi="Times New Roman"/>
          <w:b w:val="0"/>
          <w:sz w:val="24"/>
          <w:szCs w:val="24"/>
        </w:rPr>
      </w:pPr>
      <w:r>
        <w:rPr>
          <w:rFonts w:ascii="Times New Roman" w:hAnsi="Times New Roman"/>
          <w:sz w:val="24"/>
          <w:szCs w:val="24"/>
          <w:u w:val="single"/>
        </w:rPr>
        <w:t xml:space="preserve">Illustration No. </w:t>
      </w:r>
      <w:r w:rsidR="00B37C6E">
        <w:rPr>
          <w:rFonts w:ascii="Times New Roman" w:hAnsi="Times New Roman"/>
          <w:sz w:val="24"/>
          <w:szCs w:val="24"/>
          <w:u w:val="single"/>
        </w:rPr>
        <w:t>2</w:t>
      </w:r>
      <w:r>
        <w:rPr>
          <w:rFonts w:ascii="Times New Roman" w:hAnsi="Times New Roman"/>
          <w:sz w:val="24"/>
          <w:szCs w:val="24"/>
          <w:u w:val="single"/>
        </w:rPr>
        <w:t>:</w:t>
      </w:r>
    </w:p>
    <w:p w:rsidR="00F436A2" w:rsidRDefault="00AD68B2" w:rsidP="00947AD6">
      <w:pPr>
        <w:pStyle w:val="WARateCase"/>
        <w:jc w:val="both"/>
        <w:rPr>
          <w:rFonts w:ascii="Times New Roman" w:hAnsi="Times New Roman"/>
          <w:b w:val="0"/>
          <w:sz w:val="24"/>
          <w:szCs w:val="24"/>
        </w:rPr>
      </w:pPr>
      <w:r>
        <w:rPr>
          <w:rFonts w:ascii="Times New Roman" w:hAnsi="Times New Roman"/>
          <w:b w:val="0"/>
          <w:noProof/>
          <w:sz w:val="24"/>
          <w:szCs w:val="24"/>
        </w:rPr>
        <w:pict w14:anchorId="5E50712F">
          <v:shape id="_x0000_s1382" type="#_x0000_t75" style="position:absolute;left:0;text-align:left;margin-left:51.6pt;margin-top:1.3pt;width:365.75pt;height:251.9pt;z-index:251663360">
            <v:imagedata r:id="rId13" o:title=""/>
            <w10:anchorlock/>
          </v:shape>
        </w:pict>
      </w:r>
    </w:p>
    <w:p w:rsidR="00747B21" w:rsidRDefault="00747B21" w:rsidP="00947AD6">
      <w:pPr>
        <w:pStyle w:val="WARateCase"/>
        <w:jc w:val="both"/>
        <w:rPr>
          <w:rFonts w:ascii="Times New Roman" w:hAnsi="Times New Roman"/>
          <w:b w:val="0"/>
          <w:sz w:val="24"/>
          <w:szCs w:val="24"/>
        </w:rPr>
      </w:pPr>
    </w:p>
    <w:p w:rsidR="00747B21" w:rsidRDefault="00747B21" w:rsidP="00947AD6">
      <w:pPr>
        <w:pStyle w:val="WARateCase"/>
        <w:jc w:val="both"/>
        <w:rPr>
          <w:rFonts w:ascii="Times New Roman" w:hAnsi="Times New Roman"/>
          <w:b w:val="0"/>
          <w:sz w:val="24"/>
          <w:szCs w:val="24"/>
        </w:rPr>
      </w:pPr>
    </w:p>
    <w:p w:rsidR="00747B21" w:rsidRDefault="00747B21" w:rsidP="00947AD6">
      <w:pPr>
        <w:pStyle w:val="WARateCase"/>
        <w:jc w:val="both"/>
        <w:rPr>
          <w:rFonts w:ascii="Times New Roman" w:hAnsi="Times New Roman"/>
          <w:b w:val="0"/>
          <w:sz w:val="24"/>
          <w:szCs w:val="24"/>
        </w:rPr>
      </w:pPr>
    </w:p>
    <w:p w:rsidR="00F436A2" w:rsidRDefault="00F436A2" w:rsidP="00947AD6">
      <w:pPr>
        <w:pStyle w:val="WARateCase"/>
        <w:jc w:val="both"/>
        <w:rPr>
          <w:rFonts w:ascii="Times New Roman" w:hAnsi="Times New Roman"/>
          <w:b w:val="0"/>
          <w:sz w:val="24"/>
          <w:szCs w:val="24"/>
        </w:rPr>
      </w:pPr>
    </w:p>
    <w:p w:rsidR="00F436A2" w:rsidRDefault="00F436A2" w:rsidP="00947AD6">
      <w:pPr>
        <w:pStyle w:val="WARateCase"/>
        <w:jc w:val="both"/>
        <w:rPr>
          <w:rFonts w:ascii="Times New Roman" w:hAnsi="Times New Roman"/>
          <w:b w:val="0"/>
          <w:sz w:val="24"/>
          <w:szCs w:val="24"/>
        </w:rPr>
      </w:pPr>
    </w:p>
    <w:p w:rsidR="00F436A2" w:rsidRDefault="00F436A2" w:rsidP="00947AD6">
      <w:pPr>
        <w:pStyle w:val="WARateCase"/>
        <w:jc w:val="both"/>
        <w:rPr>
          <w:rFonts w:ascii="Times New Roman" w:hAnsi="Times New Roman"/>
          <w:b w:val="0"/>
          <w:sz w:val="24"/>
          <w:szCs w:val="24"/>
        </w:rPr>
      </w:pPr>
    </w:p>
    <w:p w:rsidR="00F436A2" w:rsidRDefault="00F436A2" w:rsidP="00947AD6">
      <w:pPr>
        <w:pStyle w:val="WARateCase"/>
        <w:jc w:val="both"/>
        <w:rPr>
          <w:rFonts w:ascii="Times New Roman" w:hAnsi="Times New Roman"/>
          <w:b w:val="0"/>
          <w:sz w:val="24"/>
          <w:szCs w:val="24"/>
        </w:rPr>
      </w:pPr>
    </w:p>
    <w:p w:rsidR="004363C2" w:rsidRDefault="004363C2" w:rsidP="00947AD6">
      <w:pPr>
        <w:pStyle w:val="WARateCase"/>
        <w:jc w:val="both"/>
        <w:rPr>
          <w:rFonts w:ascii="Times New Roman" w:hAnsi="Times New Roman"/>
          <w:b w:val="0"/>
          <w:sz w:val="24"/>
          <w:szCs w:val="24"/>
        </w:rPr>
      </w:pPr>
    </w:p>
    <w:p w:rsidR="00E40BD9" w:rsidRDefault="00947AD6" w:rsidP="00947AD6">
      <w:pPr>
        <w:pStyle w:val="WARateCase"/>
        <w:jc w:val="both"/>
        <w:rPr>
          <w:rFonts w:ascii="Times New Roman" w:hAnsi="Times New Roman"/>
          <w:b w:val="0"/>
          <w:sz w:val="24"/>
          <w:szCs w:val="24"/>
        </w:rPr>
      </w:pPr>
      <w:r>
        <w:rPr>
          <w:rFonts w:ascii="Times New Roman" w:hAnsi="Times New Roman"/>
          <w:b w:val="0"/>
          <w:sz w:val="24"/>
          <w:szCs w:val="24"/>
        </w:rPr>
        <w:lastRenderedPageBreak/>
        <w:t>The</w:t>
      </w:r>
      <w:r w:rsidR="00D54033">
        <w:rPr>
          <w:rFonts w:ascii="Times New Roman" w:hAnsi="Times New Roman"/>
          <w:b w:val="0"/>
          <w:sz w:val="24"/>
          <w:szCs w:val="24"/>
        </w:rPr>
        <w:t xml:space="preserve"> following</w:t>
      </w:r>
      <w:r>
        <w:rPr>
          <w:rFonts w:ascii="Times New Roman" w:hAnsi="Times New Roman"/>
          <w:b w:val="0"/>
          <w:sz w:val="24"/>
          <w:szCs w:val="24"/>
        </w:rPr>
        <w:t xml:space="preserve"> illustration shows</w:t>
      </w:r>
      <w:r w:rsidR="003B0333">
        <w:rPr>
          <w:rFonts w:ascii="Times New Roman" w:hAnsi="Times New Roman"/>
          <w:b w:val="0"/>
          <w:sz w:val="24"/>
          <w:szCs w:val="24"/>
        </w:rPr>
        <w:t xml:space="preserve"> a similar</w:t>
      </w:r>
      <w:r>
        <w:rPr>
          <w:rFonts w:ascii="Times New Roman" w:hAnsi="Times New Roman"/>
          <w:b w:val="0"/>
          <w:sz w:val="24"/>
          <w:szCs w:val="24"/>
        </w:rPr>
        <w:t xml:space="preserve"> comparison for natural gas net plant adjustments</w:t>
      </w:r>
      <w:r w:rsidR="00F436A2">
        <w:rPr>
          <w:rFonts w:ascii="Times New Roman" w:hAnsi="Times New Roman"/>
          <w:b w:val="0"/>
          <w:sz w:val="24"/>
          <w:szCs w:val="24"/>
        </w:rPr>
        <w:t xml:space="preserve"> through the 2017 rate period</w:t>
      </w:r>
      <w:r>
        <w:rPr>
          <w:rFonts w:ascii="Times New Roman" w:hAnsi="Times New Roman"/>
          <w:b w:val="0"/>
          <w:sz w:val="24"/>
          <w:szCs w:val="24"/>
        </w:rPr>
        <w:t xml:space="preserve">: </w:t>
      </w:r>
    </w:p>
    <w:p w:rsidR="00947AD6" w:rsidRPr="008116DD" w:rsidRDefault="00975EB2" w:rsidP="00947AD6">
      <w:pPr>
        <w:pStyle w:val="WARateCase"/>
        <w:jc w:val="both"/>
        <w:rPr>
          <w:rFonts w:ascii="Times New Roman" w:hAnsi="Times New Roman"/>
          <w:b w:val="0"/>
          <w:sz w:val="24"/>
          <w:szCs w:val="24"/>
        </w:rPr>
      </w:pPr>
      <w:r>
        <w:rPr>
          <w:rFonts w:ascii="Times New Roman" w:hAnsi="Times New Roman"/>
          <w:sz w:val="24"/>
          <w:szCs w:val="24"/>
          <w:u w:val="single"/>
        </w:rPr>
        <w:t>I</w:t>
      </w:r>
      <w:r w:rsidR="003D3A80">
        <w:rPr>
          <w:rFonts w:ascii="Times New Roman" w:hAnsi="Times New Roman"/>
          <w:sz w:val="24"/>
          <w:szCs w:val="24"/>
          <w:u w:val="single"/>
        </w:rPr>
        <w:t>llustration</w:t>
      </w:r>
      <w:r w:rsidR="00CF5E20">
        <w:rPr>
          <w:rFonts w:ascii="Times New Roman" w:hAnsi="Times New Roman"/>
          <w:sz w:val="24"/>
          <w:szCs w:val="24"/>
          <w:u w:val="single"/>
        </w:rPr>
        <w:t xml:space="preserve"> No. </w:t>
      </w:r>
      <w:r w:rsidR="00B37C6E">
        <w:rPr>
          <w:rFonts w:ascii="Times New Roman" w:hAnsi="Times New Roman"/>
          <w:sz w:val="24"/>
          <w:szCs w:val="24"/>
          <w:u w:val="single"/>
        </w:rPr>
        <w:t>3</w:t>
      </w:r>
      <w:r w:rsidR="00CF5E20">
        <w:rPr>
          <w:rFonts w:ascii="Times New Roman" w:hAnsi="Times New Roman"/>
          <w:sz w:val="24"/>
          <w:szCs w:val="24"/>
          <w:u w:val="single"/>
        </w:rPr>
        <w:t>:</w:t>
      </w:r>
    </w:p>
    <w:p w:rsidR="00F436A2" w:rsidRPr="008116DD" w:rsidRDefault="00AD68B2" w:rsidP="00947AD6">
      <w:pPr>
        <w:pStyle w:val="WARateCase"/>
        <w:jc w:val="both"/>
        <w:rPr>
          <w:rFonts w:ascii="Times New Roman" w:hAnsi="Times New Roman"/>
          <w:b w:val="0"/>
          <w:sz w:val="24"/>
          <w:szCs w:val="24"/>
        </w:rPr>
      </w:pPr>
      <w:r>
        <w:rPr>
          <w:rFonts w:ascii="Times New Roman" w:hAnsi="Times New Roman"/>
          <w:b w:val="0"/>
          <w:noProof/>
          <w:sz w:val="24"/>
          <w:szCs w:val="24"/>
        </w:rPr>
        <w:pict w14:anchorId="143F2BA9">
          <v:shape id="_x0000_s1383" type="#_x0000_t75" style="position:absolute;left:0;text-align:left;margin-left:29.9pt;margin-top:1.4pt;width:365.05pt;height:251.85pt;z-index:251664384">
            <v:imagedata r:id="rId14" o:title=""/>
            <w10:anchorlock/>
          </v:shape>
        </w:pict>
      </w:r>
    </w:p>
    <w:p w:rsidR="00E40BD9" w:rsidRPr="008116DD" w:rsidRDefault="00E40BD9" w:rsidP="00947AD6">
      <w:pPr>
        <w:pStyle w:val="WARateCase"/>
        <w:jc w:val="both"/>
        <w:rPr>
          <w:rFonts w:ascii="Times New Roman" w:hAnsi="Times New Roman"/>
          <w:b w:val="0"/>
          <w:sz w:val="24"/>
          <w:szCs w:val="24"/>
        </w:rPr>
      </w:pPr>
    </w:p>
    <w:p w:rsidR="00CF5E20" w:rsidRDefault="00CF5E20" w:rsidP="00947AD6">
      <w:pPr>
        <w:pStyle w:val="WARateCase"/>
        <w:jc w:val="both"/>
        <w:rPr>
          <w:rFonts w:ascii="Times New Roman" w:hAnsi="Times New Roman"/>
          <w:b w:val="0"/>
          <w:sz w:val="24"/>
          <w:szCs w:val="24"/>
        </w:rPr>
      </w:pPr>
    </w:p>
    <w:p w:rsidR="003D3A80" w:rsidRDefault="003D3A80" w:rsidP="00947AD6">
      <w:pPr>
        <w:pStyle w:val="WARateCase"/>
        <w:jc w:val="both"/>
        <w:rPr>
          <w:rFonts w:ascii="Times New Roman" w:hAnsi="Times New Roman"/>
          <w:b w:val="0"/>
          <w:sz w:val="24"/>
          <w:szCs w:val="24"/>
        </w:rPr>
      </w:pPr>
    </w:p>
    <w:p w:rsidR="003D3A80" w:rsidRDefault="003D3A80" w:rsidP="00947AD6">
      <w:pPr>
        <w:pStyle w:val="WARateCase"/>
        <w:jc w:val="both"/>
        <w:rPr>
          <w:rFonts w:ascii="Times New Roman" w:hAnsi="Times New Roman"/>
          <w:b w:val="0"/>
          <w:sz w:val="24"/>
          <w:szCs w:val="24"/>
        </w:rPr>
      </w:pPr>
    </w:p>
    <w:p w:rsidR="00CF5E20" w:rsidRDefault="00CF5E20" w:rsidP="00947AD6">
      <w:pPr>
        <w:pStyle w:val="WARateCase"/>
        <w:jc w:val="both"/>
        <w:rPr>
          <w:rFonts w:ascii="Times New Roman" w:hAnsi="Times New Roman"/>
          <w:b w:val="0"/>
          <w:sz w:val="24"/>
          <w:szCs w:val="24"/>
        </w:rPr>
      </w:pPr>
    </w:p>
    <w:p w:rsidR="00747B21" w:rsidRDefault="00747B21" w:rsidP="00947AD6">
      <w:pPr>
        <w:pStyle w:val="WARateCase"/>
        <w:jc w:val="both"/>
        <w:rPr>
          <w:rFonts w:ascii="Times New Roman" w:hAnsi="Times New Roman"/>
          <w:b w:val="0"/>
          <w:sz w:val="24"/>
          <w:szCs w:val="24"/>
        </w:rPr>
      </w:pPr>
    </w:p>
    <w:p w:rsidR="009005C6" w:rsidRDefault="009005C6" w:rsidP="00407E1B">
      <w:pPr>
        <w:pStyle w:val="WARateCase"/>
        <w:jc w:val="both"/>
        <w:rPr>
          <w:rFonts w:ascii="Times New Roman" w:hAnsi="Times New Roman"/>
          <w:b w:val="0"/>
          <w:sz w:val="24"/>
          <w:szCs w:val="24"/>
        </w:rPr>
      </w:pPr>
    </w:p>
    <w:p w:rsidR="00407E1B" w:rsidRDefault="00407E1B" w:rsidP="00407E1B">
      <w:pPr>
        <w:pStyle w:val="WARateCase"/>
        <w:jc w:val="both"/>
        <w:rPr>
          <w:rFonts w:ascii="Times New Roman" w:hAnsi="Times New Roman"/>
          <w:b w:val="0"/>
          <w:sz w:val="24"/>
          <w:szCs w:val="24"/>
        </w:rPr>
      </w:pPr>
    </w:p>
    <w:p w:rsidR="00D634F2" w:rsidRDefault="00D634F2" w:rsidP="00407E1B">
      <w:pPr>
        <w:pStyle w:val="WARateCase"/>
        <w:jc w:val="both"/>
        <w:rPr>
          <w:rFonts w:ascii="Times New Roman" w:hAnsi="Times New Roman"/>
          <w:b w:val="0"/>
          <w:sz w:val="24"/>
          <w:szCs w:val="24"/>
        </w:rPr>
      </w:pPr>
    </w:p>
    <w:p w:rsidR="00563F54" w:rsidRDefault="00F436A2" w:rsidP="00407E1B">
      <w:pPr>
        <w:pStyle w:val="WARateCase"/>
        <w:jc w:val="both"/>
        <w:rPr>
          <w:rFonts w:ascii="Times New Roman" w:hAnsi="Times New Roman"/>
          <w:b w:val="0"/>
          <w:sz w:val="24"/>
          <w:szCs w:val="24"/>
        </w:rPr>
      </w:pPr>
      <w:r>
        <w:rPr>
          <w:rFonts w:ascii="Times New Roman" w:hAnsi="Times New Roman"/>
          <w:b w:val="0"/>
          <w:sz w:val="24"/>
          <w:szCs w:val="24"/>
        </w:rPr>
        <w:t>The following illustration shows a similar comparison for natural gas net plant adjustments for the January through June 2018 rate period:</w:t>
      </w:r>
    </w:p>
    <w:p w:rsidR="00563F54" w:rsidRDefault="00C0463B" w:rsidP="00407E1B">
      <w:pPr>
        <w:pStyle w:val="WARateCase"/>
        <w:jc w:val="both"/>
        <w:rPr>
          <w:rFonts w:ascii="Times New Roman" w:hAnsi="Times New Roman"/>
          <w:sz w:val="24"/>
          <w:szCs w:val="24"/>
          <w:u w:val="single"/>
        </w:rPr>
      </w:pPr>
      <w:r>
        <w:rPr>
          <w:rFonts w:ascii="Times New Roman" w:hAnsi="Times New Roman"/>
          <w:sz w:val="24"/>
          <w:szCs w:val="24"/>
          <w:u w:val="single"/>
        </w:rPr>
        <w:br w:type="page"/>
      </w:r>
      <w:r w:rsidR="001879D1">
        <w:rPr>
          <w:rFonts w:ascii="Times New Roman" w:hAnsi="Times New Roman"/>
          <w:sz w:val="24"/>
          <w:szCs w:val="24"/>
          <w:u w:val="single"/>
        </w:rPr>
        <w:lastRenderedPageBreak/>
        <w:t xml:space="preserve">Illustration No. </w:t>
      </w:r>
      <w:r w:rsidR="00B37C6E">
        <w:rPr>
          <w:rFonts w:ascii="Times New Roman" w:hAnsi="Times New Roman"/>
          <w:sz w:val="24"/>
          <w:szCs w:val="24"/>
          <w:u w:val="single"/>
        </w:rPr>
        <w:t>4</w:t>
      </w:r>
      <w:r w:rsidR="001879D1">
        <w:rPr>
          <w:rFonts w:ascii="Times New Roman" w:hAnsi="Times New Roman"/>
          <w:sz w:val="24"/>
          <w:szCs w:val="24"/>
          <w:u w:val="single"/>
        </w:rPr>
        <w:t>:</w:t>
      </w:r>
    </w:p>
    <w:p w:rsidR="001879D1" w:rsidRDefault="00AD68B2" w:rsidP="00407E1B">
      <w:pPr>
        <w:pStyle w:val="WARateCase"/>
        <w:jc w:val="both"/>
        <w:rPr>
          <w:rFonts w:ascii="Times New Roman" w:hAnsi="Times New Roman"/>
          <w:b w:val="0"/>
          <w:sz w:val="24"/>
          <w:szCs w:val="24"/>
        </w:rPr>
      </w:pPr>
      <w:r>
        <w:rPr>
          <w:rFonts w:ascii="Times New Roman" w:hAnsi="Times New Roman"/>
          <w:b w:val="0"/>
          <w:noProof/>
          <w:sz w:val="24"/>
          <w:szCs w:val="24"/>
        </w:rPr>
        <w:pict w14:anchorId="6DC65812">
          <v:shape id="_x0000_s1384" type="#_x0000_t75" style="position:absolute;left:0;text-align:left;margin-left:51.65pt;margin-top:7.45pt;width:365.05pt;height:251.85pt;z-index:251665408">
            <v:imagedata r:id="rId15" o:title=""/>
            <w10:anchorlock/>
          </v:shape>
        </w:pict>
      </w:r>
    </w:p>
    <w:p w:rsidR="001879D1" w:rsidRDefault="001879D1" w:rsidP="00407E1B">
      <w:pPr>
        <w:pStyle w:val="WARateCase"/>
        <w:jc w:val="both"/>
        <w:rPr>
          <w:rFonts w:ascii="Times New Roman" w:hAnsi="Times New Roman"/>
          <w:b w:val="0"/>
          <w:sz w:val="24"/>
          <w:szCs w:val="24"/>
        </w:rPr>
      </w:pPr>
    </w:p>
    <w:p w:rsidR="001879D1" w:rsidRDefault="001879D1" w:rsidP="00407E1B">
      <w:pPr>
        <w:pStyle w:val="WARateCase"/>
        <w:jc w:val="both"/>
        <w:rPr>
          <w:rFonts w:ascii="Times New Roman" w:hAnsi="Times New Roman"/>
          <w:b w:val="0"/>
          <w:sz w:val="24"/>
          <w:szCs w:val="24"/>
        </w:rPr>
      </w:pPr>
    </w:p>
    <w:p w:rsidR="001879D1" w:rsidRDefault="001879D1" w:rsidP="00407E1B">
      <w:pPr>
        <w:pStyle w:val="WARateCase"/>
        <w:jc w:val="both"/>
        <w:rPr>
          <w:rFonts w:ascii="Times New Roman" w:hAnsi="Times New Roman"/>
          <w:b w:val="0"/>
          <w:sz w:val="24"/>
          <w:szCs w:val="24"/>
        </w:rPr>
      </w:pPr>
    </w:p>
    <w:p w:rsidR="001879D1" w:rsidRDefault="001879D1" w:rsidP="00407E1B">
      <w:pPr>
        <w:pStyle w:val="WARateCase"/>
        <w:jc w:val="both"/>
        <w:rPr>
          <w:rFonts w:ascii="Times New Roman" w:hAnsi="Times New Roman"/>
          <w:b w:val="0"/>
          <w:sz w:val="24"/>
          <w:szCs w:val="24"/>
        </w:rPr>
      </w:pPr>
    </w:p>
    <w:p w:rsidR="00E40BD9" w:rsidRDefault="00E40BD9" w:rsidP="00407E1B">
      <w:pPr>
        <w:pStyle w:val="WARateCase"/>
        <w:jc w:val="both"/>
        <w:rPr>
          <w:rFonts w:ascii="Times New Roman" w:hAnsi="Times New Roman"/>
          <w:b w:val="0"/>
          <w:sz w:val="24"/>
          <w:szCs w:val="24"/>
        </w:rPr>
      </w:pPr>
    </w:p>
    <w:p w:rsidR="001879D1" w:rsidRDefault="001879D1" w:rsidP="00407E1B">
      <w:pPr>
        <w:pStyle w:val="WARateCase"/>
        <w:jc w:val="both"/>
        <w:rPr>
          <w:rFonts w:ascii="Times New Roman" w:hAnsi="Times New Roman"/>
          <w:b w:val="0"/>
          <w:sz w:val="24"/>
          <w:szCs w:val="24"/>
        </w:rPr>
      </w:pPr>
    </w:p>
    <w:p w:rsidR="001879D1" w:rsidRDefault="001879D1" w:rsidP="00407E1B">
      <w:pPr>
        <w:pStyle w:val="WARateCase"/>
        <w:jc w:val="both"/>
        <w:rPr>
          <w:rFonts w:ascii="Times New Roman" w:hAnsi="Times New Roman"/>
          <w:b w:val="0"/>
          <w:sz w:val="24"/>
          <w:szCs w:val="24"/>
        </w:rPr>
      </w:pPr>
    </w:p>
    <w:p w:rsidR="001879D1" w:rsidRDefault="001879D1" w:rsidP="00407E1B">
      <w:pPr>
        <w:pStyle w:val="WARateCase"/>
        <w:jc w:val="both"/>
        <w:rPr>
          <w:rFonts w:ascii="Times New Roman" w:hAnsi="Times New Roman"/>
          <w:b w:val="0"/>
          <w:sz w:val="24"/>
          <w:szCs w:val="24"/>
        </w:rPr>
      </w:pPr>
    </w:p>
    <w:p w:rsidR="00D634F2" w:rsidRDefault="00D634F2" w:rsidP="001D3511">
      <w:pPr>
        <w:pStyle w:val="WARateCase"/>
        <w:ind w:firstLine="720"/>
        <w:jc w:val="both"/>
        <w:rPr>
          <w:rFonts w:ascii="Times New Roman" w:hAnsi="Times New Roman"/>
          <w:b w:val="0"/>
          <w:sz w:val="24"/>
          <w:szCs w:val="24"/>
        </w:rPr>
      </w:pPr>
    </w:p>
    <w:p w:rsidR="000C5661" w:rsidRDefault="00FD5218" w:rsidP="001D3511">
      <w:pPr>
        <w:pStyle w:val="WARateCase"/>
        <w:ind w:firstLine="720"/>
        <w:jc w:val="both"/>
        <w:rPr>
          <w:rFonts w:ascii="Times New Roman" w:hAnsi="Times New Roman"/>
          <w:b w:val="0"/>
          <w:sz w:val="24"/>
          <w:szCs w:val="24"/>
        </w:rPr>
      </w:pPr>
      <w:r>
        <w:rPr>
          <w:rFonts w:ascii="Times New Roman" w:hAnsi="Times New Roman"/>
          <w:b w:val="0"/>
          <w:sz w:val="24"/>
          <w:szCs w:val="24"/>
        </w:rPr>
        <w:t>T</w:t>
      </w:r>
      <w:r w:rsidR="00900022">
        <w:rPr>
          <w:rFonts w:ascii="Times New Roman" w:hAnsi="Times New Roman"/>
          <w:b w:val="0"/>
          <w:sz w:val="24"/>
          <w:szCs w:val="24"/>
        </w:rPr>
        <w:t>hese illustrations show</w:t>
      </w:r>
      <w:r w:rsidR="00947AD6">
        <w:rPr>
          <w:rFonts w:ascii="Times New Roman" w:hAnsi="Times New Roman"/>
          <w:b w:val="0"/>
          <w:sz w:val="24"/>
          <w:szCs w:val="24"/>
        </w:rPr>
        <w:t xml:space="preserve"> that the net plant adjustments</w:t>
      </w:r>
      <w:r w:rsidR="00DA32C7">
        <w:rPr>
          <w:rFonts w:ascii="Times New Roman" w:hAnsi="Times New Roman"/>
          <w:b w:val="0"/>
          <w:sz w:val="24"/>
          <w:szCs w:val="24"/>
        </w:rPr>
        <w:t>,</w:t>
      </w:r>
      <w:r w:rsidR="00947AD6">
        <w:rPr>
          <w:rFonts w:ascii="Times New Roman" w:hAnsi="Times New Roman"/>
          <w:b w:val="0"/>
          <w:sz w:val="24"/>
          <w:szCs w:val="24"/>
        </w:rPr>
        <w:t xml:space="preserve"> as </w:t>
      </w:r>
      <w:r w:rsidR="00DB0218">
        <w:rPr>
          <w:rFonts w:ascii="Times New Roman" w:hAnsi="Times New Roman"/>
          <w:b w:val="0"/>
          <w:sz w:val="24"/>
          <w:szCs w:val="24"/>
        </w:rPr>
        <w:t>pr</w:t>
      </w:r>
      <w:r w:rsidR="00900022">
        <w:rPr>
          <w:rFonts w:ascii="Times New Roman" w:hAnsi="Times New Roman"/>
          <w:b w:val="0"/>
          <w:sz w:val="24"/>
          <w:szCs w:val="24"/>
        </w:rPr>
        <w:t>o formed by other parties, fall</w:t>
      </w:r>
      <w:r w:rsidR="00DB0218">
        <w:rPr>
          <w:rFonts w:ascii="Times New Roman" w:hAnsi="Times New Roman"/>
          <w:b w:val="0"/>
          <w:sz w:val="24"/>
          <w:szCs w:val="24"/>
        </w:rPr>
        <w:t xml:space="preserve"> well below the</w:t>
      </w:r>
      <w:r w:rsidR="009A4E32">
        <w:rPr>
          <w:rFonts w:ascii="Times New Roman" w:hAnsi="Times New Roman"/>
          <w:b w:val="0"/>
          <w:sz w:val="24"/>
          <w:szCs w:val="24"/>
        </w:rPr>
        <w:t xml:space="preserve"> </w:t>
      </w:r>
      <w:r w:rsidR="00DB0218">
        <w:rPr>
          <w:rFonts w:ascii="Times New Roman" w:hAnsi="Times New Roman"/>
          <w:b w:val="0"/>
          <w:sz w:val="24"/>
          <w:szCs w:val="24"/>
        </w:rPr>
        <w:t>plan</w:t>
      </w:r>
      <w:r w:rsidR="001C6BF4">
        <w:rPr>
          <w:rFonts w:ascii="Times New Roman" w:hAnsi="Times New Roman"/>
          <w:b w:val="0"/>
          <w:sz w:val="24"/>
          <w:szCs w:val="24"/>
        </w:rPr>
        <w:t>t-in-service</w:t>
      </w:r>
      <w:r w:rsidR="00EC63D5">
        <w:rPr>
          <w:rFonts w:ascii="Times New Roman" w:hAnsi="Times New Roman"/>
          <w:b w:val="0"/>
          <w:sz w:val="24"/>
          <w:szCs w:val="24"/>
        </w:rPr>
        <w:t xml:space="preserve"> that will be</w:t>
      </w:r>
      <w:r w:rsidR="001C6BF4">
        <w:rPr>
          <w:rFonts w:ascii="Times New Roman" w:hAnsi="Times New Roman"/>
          <w:b w:val="0"/>
          <w:sz w:val="24"/>
          <w:szCs w:val="24"/>
        </w:rPr>
        <w:t xml:space="preserve"> </w:t>
      </w:r>
      <w:r w:rsidR="008116DD">
        <w:rPr>
          <w:rFonts w:ascii="Times New Roman" w:hAnsi="Times New Roman"/>
          <w:b w:val="0"/>
          <w:sz w:val="24"/>
          <w:szCs w:val="24"/>
        </w:rPr>
        <w:t xml:space="preserve">in place and serving customers </w:t>
      </w:r>
      <w:r w:rsidR="001C6BF4">
        <w:rPr>
          <w:rFonts w:ascii="Times New Roman" w:hAnsi="Times New Roman"/>
          <w:b w:val="0"/>
          <w:sz w:val="24"/>
          <w:szCs w:val="24"/>
        </w:rPr>
        <w:t>during the 2017</w:t>
      </w:r>
      <w:r w:rsidR="00DB0218">
        <w:rPr>
          <w:rFonts w:ascii="Times New Roman" w:hAnsi="Times New Roman"/>
          <w:b w:val="0"/>
          <w:sz w:val="24"/>
          <w:szCs w:val="24"/>
        </w:rPr>
        <w:t xml:space="preserve"> rate year</w:t>
      </w:r>
      <w:r w:rsidR="00B43DD7">
        <w:rPr>
          <w:rFonts w:ascii="Times New Roman" w:hAnsi="Times New Roman"/>
          <w:b w:val="0"/>
          <w:sz w:val="24"/>
          <w:szCs w:val="24"/>
        </w:rPr>
        <w:t xml:space="preserve"> and the</w:t>
      </w:r>
      <w:r w:rsidR="001C6BF4">
        <w:rPr>
          <w:rFonts w:ascii="Times New Roman" w:hAnsi="Times New Roman"/>
          <w:b w:val="0"/>
          <w:sz w:val="24"/>
          <w:szCs w:val="24"/>
        </w:rPr>
        <w:t xml:space="preserve"> January </w:t>
      </w:r>
      <w:r w:rsidR="00B66308">
        <w:rPr>
          <w:rFonts w:ascii="Times New Roman" w:hAnsi="Times New Roman"/>
          <w:b w:val="0"/>
          <w:sz w:val="24"/>
          <w:szCs w:val="24"/>
        </w:rPr>
        <w:t xml:space="preserve">through </w:t>
      </w:r>
      <w:r w:rsidR="001C6BF4">
        <w:rPr>
          <w:rFonts w:ascii="Times New Roman" w:hAnsi="Times New Roman"/>
          <w:b w:val="0"/>
          <w:sz w:val="24"/>
          <w:szCs w:val="24"/>
        </w:rPr>
        <w:t>June</w:t>
      </w:r>
      <w:r w:rsidR="00B43DD7">
        <w:rPr>
          <w:rFonts w:ascii="Times New Roman" w:hAnsi="Times New Roman"/>
          <w:b w:val="0"/>
          <w:sz w:val="24"/>
          <w:szCs w:val="24"/>
        </w:rPr>
        <w:t xml:space="preserve"> 2018</w:t>
      </w:r>
      <w:r w:rsidR="001C6BF4">
        <w:rPr>
          <w:rFonts w:ascii="Times New Roman" w:hAnsi="Times New Roman"/>
          <w:b w:val="0"/>
          <w:sz w:val="24"/>
          <w:szCs w:val="24"/>
        </w:rPr>
        <w:t xml:space="preserve"> rate period</w:t>
      </w:r>
      <w:r w:rsidR="00900022">
        <w:rPr>
          <w:rFonts w:ascii="Times New Roman" w:hAnsi="Times New Roman"/>
          <w:b w:val="0"/>
          <w:sz w:val="24"/>
          <w:szCs w:val="24"/>
        </w:rPr>
        <w:t xml:space="preserve">. </w:t>
      </w:r>
      <w:r w:rsidR="0001630C">
        <w:rPr>
          <w:rFonts w:ascii="Times New Roman" w:hAnsi="Times New Roman"/>
          <w:b w:val="0"/>
          <w:sz w:val="24"/>
          <w:szCs w:val="24"/>
        </w:rPr>
        <w:t xml:space="preserve"> </w:t>
      </w:r>
    </w:p>
    <w:p w:rsidR="00917B7B" w:rsidRDefault="000A5E3C" w:rsidP="000C5661">
      <w:pPr>
        <w:pStyle w:val="WARateCase"/>
        <w:ind w:firstLine="720"/>
        <w:jc w:val="both"/>
        <w:rPr>
          <w:rFonts w:ascii="Times New Roman" w:hAnsi="Times New Roman"/>
          <w:b w:val="0"/>
          <w:sz w:val="24"/>
          <w:szCs w:val="24"/>
        </w:rPr>
      </w:pPr>
      <w:r w:rsidRPr="000A5E3C">
        <w:rPr>
          <w:rFonts w:ascii="Times New Roman" w:hAnsi="Times New Roman"/>
          <w:b w:val="0"/>
          <w:sz w:val="24"/>
          <w:szCs w:val="24"/>
        </w:rPr>
        <w:t xml:space="preserve">This also illustrates why the Company does not agree with the practice of excluding transfers-to-plant after a cut-off point for the limited, “major” pro forma projects included in the Modified Test Year. </w:t>
      </w:r>
      <w:r w:rsidR="000C5661">
        <w:rPr>
          <w:rFonts w:ascii="Times New Roman" w:hAnsi="Times New Roman"/>
          <w:b w:val="0"/>
          <w:sz w:val="24"/>
          <w:szCs w:val="24"/>
        </w:rPr>
        <w:t>Limiting the</w:t>
      </w:r>
      <w:r w:rsidR="00917B7B">
        <w:rPr>
          <w:rFonts w:ascii="Times New Roman" w:hAnsi="Times New Roman"/>
          <w:b w:val="0"/>
          <w:sz w:val="24"/>
          <w:szCs w:val="24"/>
        </w:rPr>
        <w:t xml:space="preserve"> capital adjustments contained in the Modified Test Year Study</w:t>
      </w:r>
      <w:r w:rsidR="000C5661">
        <w:rPr>
          <w:rFonts w:ascii="Times New Roman" w:hAnsi="Times New Roman"/>
          <w:b w:val="0"/>
          <w:sz w:val="24"/>
          <w:szCs w:val="24"/>
        </w:rPr>
        <w:t xml:space="preserve"> to major projects already severely understates the actual plant investment what will be providing service to customers in the rate year.</w:t>
      </w:r>
      <w:r w:rsidR="009735D2">
        <w:rPr>
          <w:rFonts w:ascii="Times New Roman" w:hAnsi="Times New Roman"/>
          <w:b w:val="0"/>
          <w:sz w:val="24"/>
          <w:szCs w:val="24"/>
        </w:rPr>
        <w:t xml:space="preserve"> </w:t>
      </w:r>
      <w:r w:rsidR="000C5661">
        <w:rPr>
          <w:rFonts w:ascii="Times New Roman" w:hAnsi="Times New Roman"/>
          <w:b w:val="0"/>
          <w:sz w:val="24"/>
          <w:szCs w:val="24"/>
        </w:rPr>
        <w:t xml:space="preserve">Further reducing the capital adjustment through the application of a cut-off only exacerbates this deficiency. </w:t>
      </w:r>
      <w:r w:rsidR="00900022">
        <w:rPr>
          <w:rFonts w:ascii="Times New Roman" w:hAnsi="Times New Roman"/>
          <w:b w:val="0"/>
          <w:sz w:val="24"/>
          <w:szCs w:val="24"/>
        </w:rPr>
        <w:t xml:space="preserve"> </w:t>
      </w:r>
    </w:p>
    <w:p w:rsidR="00C403AF" w:rsidRPr="008116DD" w:rsidRDefault="00900022" w:rsidP="008116DD">
      <w:pPr>
        <w:pStyle w:val="WARateCase"/>
        <w:ind w:firstLine="720"/>
        <w:jc w:val="both"/>
        <w:rPr>
          <w:rFonts w:ascii="Times New Roman" w:hAnsi="Times New Roman"/>
          <w:b w:val="0"/>
          <w:sz w:val="24"/>
          <w:szCs w:val="24"/>
        </w:rPr>
      </w:pPr>
      <w:r>
        <w:rPr>
          <w:rFonts w:ascii="Times New Roman" w:hAnsi="Times New Roman"/>
          <w:b w:val="0"/>
          <w:sz w:val="24"/>
          <w:szCs w:val="24"/>
        </w:rPr>
        <w:t xml:space="preserve">This was recognized by Staff witness </w:t>
      </w:r>
      <w:r w:rsidR="00FD5218">
        <w:rPr>
          <w:rFonts w:ascii="Times New Roman" w:hAnsi="Times New Roman"/>
          <w:b w:val="0"/>
          <w:sz w:val="24"/>
          <w:szCs w:val="24"/>
        </w:rPr>
        <w:t xml:space="preserve">Mr. </w:t>
      </w:r>
      <w:r w:rsidR="00997E8A">
        <w:rPr>
          <w:rFonts w:ascii="Times New Roman" w:hAnsi="Times New Roman"/>
          <w:b w:val="0"/>
          <w:sz w:val="24"/>
          <w:szCs w:val="24"/>
        </w:rPr>
        <w:t>Hancock</w:t>
      </w:r>
      <w:r w:rsidR="00BA14F1">
        <w:rPr>
          <w:rFonts w:ascii="Times New Roman" w:hAnsi="Times New Roman"/>
          <w:b w:val="0"/>
          <w:sz w:val="24"/>
          <w:szCs w:val="24"/>
        </w:rPr>
        <w:t>, as well as</w:t>
      </w:r>
      <w:r>
        <w:rPr>
          <w:rFonts w:ascii="Times New Roman" w:hAnsi="Times New Roman"/>
          <w:b w:val="0"/>
          <w:sz w:val="24"/>
          <w:szCs w:val="24"/>
        </w:rPr>
        <w:t xml:space="preserve"> the Company</w:t>
      </w:r>
      <w:r w:rsidR="009629B8">
        <w:rPr>
          <w:rFonts w:ascii="Times New Roman" w:hAnsi="Times New Roman"/>
          <w:b w:val="0"/>
          <w:sz w:val="24"/>
          <w:szCs w:val="24"/>
        </w:rPr>
        <w:t>,</w:t>
      </w:r>
      <w:r w:rsidR="001D3511">
        <w:rPr>
          <w:rFonts w:ascii="Times New Roman" w:hAnsi="Times New Roman"/>
          <w:b w:val="0"/>
          <w:sz w:val="24"/>
          <w:szCs w:val="24"/>
        </w:rPr>
        <w:t xml:space="preserve"> in</w:t>
      </w:r>
      <w:r>
        <w:rPr>
          <w:rFonts w:ascii="Times New Roman" w:hAnsi="Times New Roman"/>
          <w:b w:val="0"/>
          <w:sz w:val="24"/>
          <w:szCs w:val="24"/>
        </w:rPr>
        <w:t xml:space="preserve"> </w:t>
      </w:r>
      <w:r w:rsidR="008116DD">
        <w:rPr>
          <w:rFonts w:ascii="Times New Roman" w:hAnsi="Times New Roman"/>
          <w:b w:val="0"/>
          <w:sz w:val="24"/>
          <w:szCs w:val="24"/>
        </w:rPr>
        <w:t>proposing</w:t>
      </w:r>
      <w:r w:rsidR="000C5661">
        <w:rPr>
          <w:rFonts w:ascii="Times New Roman" w:hAnsi="Times New Roman"/>
          <w:b w:val="0"/>
          <w:sz w:val="24"/>
          <w:szCs w:val="24"/>
        </w:rPr>
        <w:t xml:space="preserve"> electric and natural gas</w:t>
      </w:r>
      <w:r>
        <w:rPr>
          <w:rFonts w:ascii="Times New Roman" w:hAnsi="Times New Roman"/>
          <w:b w:val="0"/>
          <w:sz w:val="24"/>
          <w:szCs w:val="24"/>
        </w:rPr>
        <w:t xml:space="preserve"> revenue </w:t>
      </w:r>
      <w:r w:rsidR="00EC63D5">
        <w:rPr>
          <w:rFonts w:ascii="Times New Roman" w:hAnsi="Times New Roman"/>
          <w:b w:val="0"/>
          <w:sz w:val="24"/>
          <w:szCs w:val="24"/>
        </w:rPr>
        <w:t>increases</w:t>
      </w:r>
      <w:r w:rsidRPr="00B43DD7">
        <w:rPr>
          <w:rFonts w:ascii="Times New Roman" w:hAnsi="Times New Roman"/>
          <w:b w:val="0"/>
          <w:sz w:val="24"/>
          <w:szCs w:val="24"/>
        </w:rPr>
        <w:t xml:space="preserve"> </w:t>
      </w:r>
      <w:r w:rsidR="00EC63D5">
        <w:rPr>
          <w:rFonts w:ascii="Times New Roman" w:hAnsi="Times New Roman"/>
          <w:b w:val="0"/>
          <w:sz w:val="24"/>
          <w:szCs w:val="24"/>
        </w:rPr>
        <w:t>that reflect attrition adjustments</w:t>
      </w:r>
      <w:r w:rsidRPr="00B43DD7">
        <w:rPr>
          <w:rFonts w:ascii="Times New Roman" w:hAnsi="Times New Roman"/>
          <w:b w:val="0"/>
          <w:sz w:val="24"/>
          <w:szCs w:val="24"/>
        </w:rPr>
        <w:t xml:space="preserve">. </w:t>
      </w:r>
      <w:r w:rsidR="00DB0218" w:rsidRPr="00B43DD7">
        <w:rPr>
          <w:rFonts w:ascii="Times New Roman" w:hAnsi="Times New Roman"/>
          <w:b w:val="0"/>
          <w:sz w:val="24"/>
          <w:szCs w:val="24"/>
        </w:rPr>
        <w:t xml:space="preserve"> </w:t>
      </w:r>
    </w:p>
    <w:p w:rsidR="00B60939" w:rsidRPr="00A60A65" w:rsidRDefault="00B60939" w:rsidP="00B60939">
      <w:pPr>
        <w:pStyle w:val="Heading1"/>
        <w:tabs>
          <w:tab w:val="clear" w:pos="720"/>
          <w:tab w:val="clear" w:pos="5040"/>
          <w:tab w:val="clear" w:pos="6480"/>
          <w:tab w:val="clear" w:pos="7920"/>
        </w:tabs>
        <w:suppressAutoHyphens/>
        <w:jc w:val="center"/>
        <w:rPr>
          <w:u w:val="single"/>
        </w:rPr>
      </w:pPr>
      <w:bookmarkStart w:id="5" w:name="_Toc461701403"/>
      <w:r w:rsidRPr="00A60A65">
        <w:rPr>
          <w:u w:val="single"/>
        </w:rPr>
        <w:lastRenderedPageBreak/>
        <w:t>III.  UPDATES TO CAPITAL ADDITIONS SINCE ORIGINAL FILING</w:t>
      </w:r>
      <w:bookmarkEnd w:id="5"/>
    </w:p>
    <w:p w:rsidR="00B60939" w:rsidRPr="00A60A65" w:rsidRDefault="00B60939" w:rsidP="00B60939">
      <w:pPr>
        <w:pStyle w:val="BodyText2"/>
        <w:ind w:firstLine="720"/>
        <w:rPr>
          <w:b/>
          <w:bCs/>
        </w:rPr>
      </w:pPr>
      <w:r w:rsidRPr="00A60A65">
        <w:rPr>
          <w:b/>
          <w:bCs/>
        </w:rPr>
        <w:t>Q.</w:t>
      </w:r>
      <w:r w:rsidRPr="00A60A65">
        <w:rPr>
          <w:b/>
          <w:bCs/>
        </w:rPr>
        <w:tab/>
      </w:r>
      <w:r w:rsidR="00C403AF" w:rsidRPr="00A60A65">
        <w:rPr>
          <w:b/>
          <w:bCs/>
        </w:rPr>
        <w:t xml:space="preserve">Have there been any changes, since Avista’s original filing, to the expected </w:t>
      </w:r>
      <w:r w:rsidR="008116DD">
        <w:rPr>
          <w:b/>
          <w:bCs/>
        </w:rPr>
        <w:t>capital additions</w:t>
      </w:r>
      <w:r w:rsidR="00C403AF" w:rsidRPr="00A60A65">
        <w:rPr>
          <w:b/>
          <w:bCs/>
        </w:rPr>
        <w:t xml:space="preserve"> for the 2017 rate year and the January to June 2018 rate period.</w:t>
      </w:r>
      <w:r w:rsidRPr="00A60A65">
        <w:rPr>
          <w:b/>
          <w:bCs/>
        </w:rPr>
        <w:t xml:space="preserve"> </w:t>
      </w:r>
    </w:p>
    <w:p w:rsidR="007D125E" w:rsidRPr="007D125E" w:rsidRDefault="00B60939" w:rsidP="007D125E">
      <w:pPr>
        <w:pStyle w:val="BodyText2"/>
        <w:ind w:firstLine="720"/>
      </w:pPr>
      <w:r w:rsidRPr="00A60A65">
        <w:t>A.</w:t>
      </w:r>
      <w:r w:rsidRPr="00A60A65">
        <w:tab/>
      </w:r>
      <w:r w:rsidR="00EC63D5">
        <w:t xml:space="preserve">Yes. </w:t>
      </w:r>
      <w:r w:rsidRPr="00A60A65">
        <w:t xml:space="preserve">There </w:t>
      </w:r>
      <w:r w:rsidR="00C403AF" w:rsidRPr="00C403AF">
        <w:t>ha</w:t>
      </w:r>
      <w:r w:rsidR="00C403AF">
        <w:t>s</w:t>
      </w:r>
      <w:r w:rsidRPr="00A60A65">
        <w:t xml:space="preserve"> been </w:t>
      </w:r>
      <w:r w:rsidR="00C403AF">
        <w:t>a net</w:t>
      </w:r>
      <w:r w:rsidR="00C403AF" w:rsidRPr="00C403AF">
        <w:t xml:space="preserve"> </w:t>
      </w:r>
      <w:r w:rsidR="00C403AF" w:rsidRPr="00EC63D5">
        <w:rPr>
          <w:u w:val="single"/>
        </w:rPr>
        <w:t>increase</w:t>
      </w:r>
      <w:r w:rsidRPr="00A60A65">
        <w:t xml:space="preserve"> to the expected electric plant-in-service since the Company’s original filing</w:t>
      </w:r>
      <w:r w:rsidR="008116DD">
        <w:t>,</w:t>
      </w:r>
      <w:r w:rsidRPr="00A60A65">
        <w:t xml:space="preserve"> and </w:t>
      </w:r>
      <w:r w:rsidR="00C403AF">
        <w:t>a net</w:t>
      </w:r>
      <w:r w:rsidR="00C403AF" w:rsidRPr="00C403AF">
        <w:t xml:space="preserve"> </w:t>
      </w:r>
      <w:r w:rsidR="00C403AF" w:rsidRPr="00EC63D5">
        <w:rPr>
          <w:u w:val="single"/>
        </w:rPr>
        <w:t>decrease</w:t>
      </w:r>
      <w:r w:rsidRPr="00A60A65">
        <w:t xml:space="preserve"> to the expected natural gas plant-in-service.</w:t>
      </w:r>
      <w:r w:rsidRPr="00C403AF">
        <w:t xml:space="preserve">  </w:t>
      </w:r>
    </w:p>
    <w:p w:rsidR="00B60939" w:rsidRPr="007D198D" w:rsidRDefault="00B60939" w:rsidP="007D125E">
      <w:pPr>
        <w:pStyle w:val="BodyText2"/>
        <w:ind w:firstLine="720"/>
        <w:rPr>
          <w:b/>
        </w:rPr>
      </w:pPr>
      <w:r w:rsidRPr="007D198D">
        <w:rPr>
          <w:b/>
        </w:rPr>
        <w:t>Q.</w:t>
      </w:r>
      <w:r w:rsidRPr="007D198D">
        <w:rPr>
          <w:b/>
        </w:rPr>
        <w:tab/>
        <w:t xml:space="preserve">What are these changes in expected plant-in-service? </w:t>
      </w:r>
    </w:p>
    <w:p w:rsidR="00B60939" w:rsidRDefault="00B60939" w:rsidP="00A60A65">
      <w:pPr>
        <w:pStyle w:val="BodyText2"/>
        <w:tabs>
          <w:tab w:val="left" w:pos="1440"/>
        </w:tabs>
        <w:ind w:firstLine="720"/>
      </w:pPr>
      <w:r w:rsidRPr="007D198D">
        <w:t>A.</w:t>
      </w:r>
      <w:r w:rsidRPr="007D198D">
        <w:tab/>
      </w:r>
      <w:r>
        <w:t>For electric</w:t>
      </w:r>
      <w:r w:rsidR="00C403AF">
        <w:t xml:space="preserve"> service</w:t>
      </w:r>
      <w:r>
        <w:t>, there are two</w:t>
      </w:r>
      <w:r w:rsidRPr="007D198D">
        <w:t xml:space="preserve"> main reasons for the </w:t>
      </w:r>
      <w:r w:rsidR="00C403AF">
        <w:t>net</w:t>
      </w:r>
      <w:r>
        <w:t xml:space="preserve"> in</w:t>
      </w:r>
      <w:r w:rsidRPr="00187C67">
        <w:t>crease to</w:t>
      </w:r>
      <w:r w:rsidRPr="007D198D">
        <w:t xml:space="preserve"> the Washington net electric plant adjustment</w:t>
      </w:r>
      <w:r>
        <w:t xml:space="preserve"> for the 2017 rate year from</w:t>
      </w:r>
      <w:r w:rsidRPr="007D198D">
        <w:t xml:space="preserve"> </w:t>
      </w:r>
      <w:r w:rsidR="00C403AF">
        <w:t>the initial presentation</w:t>
      </w:r>
      <w:r w:rsidRPr="007D198D">
        <w:t xml:space="preserve"> in my direct testimony. </w:t>
      </w:r>
      <w:r w:rsidRPr="00187C67">
        <w:t xml:space="preserve">First, </w:t>
      </w:r>
      <w:r w:rsidRPr="007D198D">
        <w:t xml:space="preserve">updating actual transfers for the January through May </w:t>
      </w:r>
      <w:r>
        <w:t xml:space="preserve">2016 </w:t>
      </w:r>
      <w:r w:rsidRPr="007D198D">
        <w:t>time period</w:t>
      </w:r>
      <w:r w:rsidR="00C403AF">
        <w:t xml:space="preserve"> resulted in an increase</w:t>
      </w:r>
      <w:r w:rsidR="00770E22">
        <w:t xml:space="preserve"> in expected plant-in-service</w:t>
      </w:r>
      <w:r w:rsidRPr="007D198D">
        <w:t xml:space="preserve">. </w:t>
      </w:r>
      <w:r w:rsidR="00770E22">
        <w:t>T</w:t>
      </w:r>
      <w:r w:rsidRPr="007D198D">
        <w:t xml:space="preserve">hese increases are </w:t>
      </w:r>
      <w:r w:rsidR="00770E22">
        <w:t xml:space="preserve">primarily </w:t>
      </w:r>
      <w:r w:rsidRPr="007D198D">
        <w:t xml:space="preserve">a result of larger </w:t>
      </w:r>
      <w:r w:rsidR="00770E22">
        <w:t>generation/</w:t>
      </w:r>
      <w:r>
        <w:t>production</w:t>
      </w:r>
      <w:r w:rsidR="00770E22">
        <w:t>-related</w:t>
      </w:r>
      <w:r w:rsidRPr="007D198D">
        <w:t xml:space="preserve"> projects transf</w:t>
      </w:r>
      <w:r>
        <w:t>erring at a higher balance than had been included in my original testimony.</w:t>
      </w:r>
      <w:r w:rsidRPr="007D198D">
        <w:t xml:space="preserve"> </w:t>
      </w:r>
      <w:r>
        <w:t xml:space="preserve">Those increases were </w:t>
      </w:r>
      <w:r w:rsidR="00770E22">
        <w:t xml:space="preserve">partially </w:t>
      </w:r>
      <w:r>
        <w:t xml:space="preserve">offset by decreases </w:t>
      </w:r>
      <w:r w:rsidR="00770E22">
        <w:t xml:space="preserve">that </w:t>
      </w:r>
      <w:r>
        <w:t>result</w:t>
      </w:r>
      <w:r w:rsidR="00770E22">
        <w:t>ed</w:t>
      </w:r>
      <w:r w:rsidRPr="007D198D">
        <w:t xml:space="preserve"> from</w:t>
      </w:r>
      <w:r w:rsidR="005E2070">
        <w:t xml:space="preserve"> revisions in the planned in-service dates for components of the AMI project. I will discuss these changes later in my testimony.</w:t>
      </w:r>
      <w:r w:rsidRPr="007D198D">
        <w:t xml:space="preserve"> </w:t>
      </w:r>
      <w:r w:rsidR="005E2070">
        <w:t>This change</w:t>
      </w:r>
      <w:r w:rsidRPr="007D198D">
        <w:t xml:space="preserve"> </w:t>
      </w:r>
      <w:r>
        <w:t>impact</w:t>
      </w:r>
      <w:r w:rsidR="00770E22">
        <w:t>ed both</w:t>
      </w:r>
      <w:r>
        <w:t xml:space="preserve"> </w:t>
      </w:r>
      <w:r w:rsidRPr="007D198D">
        <w:t xml:space="preserve">the 2017 </w:t>
      </w:r>
      <w:r>
        <w:t>and June</w:t>
      </w:r>
      <w:r w:rsidRPr="007D198D">
        <w:t xml:space="preserve"> 2018</w:t>
      </w:r>
      <w:r w:rsidRPr="008D4CF9">
        <w:t xml:space="preserve"> </w:t>
      </w:r>
      <w:r w:rsidRPr="007D198D">
        <w:t>AMA</w:t>
      </w:r>
      <w:r>
        <w:t xml:space="preserve"> balance</w:t>
      </w:r>
      <w:r w:rsidR="00770E22">
        <w:t>s</w:t>
      </w:r>
      <w:r w:rsidRPr="007D198D">
        <w:t xml:space="preserve">. </w:t>
      </w:r>
      <w:r>
        <w:t>Overall</w:t>
      </w:r>
      <w:r w:rsidR="00770E22">
        <w:t>,</w:t>
      </w:r>
      <w:r>
        <w:t xml:space="preserve"> for the 2017 rate year, the net effect is an increase of approximately $</w:t>
      </w:r>
      <w:r w:rsidR="006D2BE6">
        <w:t>6</w:t>
      </w:r>
      <w:r>
        <w:t>.</w:t>
      </w:r>
      <w:r w:rsidR="006D2BE6">
        <w:t>9</w:t>
      </w:r>
      <w:r>
        <w:t xml:space="preserve"> million in net plant. </w:t>
      </w:r>
      <w:r w:rsidR="00EC63D5">
        <w:t>T</w:t>
      </w:r>
      <w:r w:rsidR="00770E22">
        <w:t xml:space="preserve">he </w:t>
      </w:r>
      <w:r>
        <w:t>2018 rate period</w:t>
      </w:r>
      <w:r w:rsidR="00770E22">
        <w:t xml:space="preserve"> experienced a minimal increase</w:t>
      </w:r>
      <w:r>
        <w:t xml:space="preserve"> of $</w:t>
      </w:r>
      <w:r w:rsidR="006D2BE6">
        <w:t>146</w:t>
      </w:r>
      <w:r>
        <w:t>,000 in net plant.</w:t>
      </w:r>
      <w:r w:rsidR="008116DD" w:rsidRPr="008116DD">
        <w:rPr>
          <w:rStyle w:val="FootnoteReference"/>
        </w:rPr>
        <w:t xml:space="preserve"> </w:t>
      </w:r>
      <w:r w:rsidR="008116DD" w:rsidRPr="00187C67">
        <w:rPr>
          <w:rStyle w:val="FootnoteReference"/>
        </w:rPr>
        <w:footnoteReference w:id="7"/>
      </w:r>
    </w:p>
    <w:p w:rsidR="00B60939" w:rsidRDefault="00B60939" w:rsidP="00A60A65">
      <w:pPr>
        <w:pStyle w:val="BodyText2"/>
        <w:ind w:firstLine="720"/>
      </w:pPr>
      <w:r w:rsidRPr="007D198D">
        <w:t xml:space="preserve">Turning to natural gas </w:t>
      </w:r>
      <w:r w:rsidR="005E03E8">
        <w:t xml:space="preserve">service, </w:t>
      </w:r>
      <w:r w:rsidRPr="007D198D">
        <w:t xml:space="preserve">the main reason for the </w:t>
      </w:r>
      <w:r w:rsidR="005E03E8">
        <w:t>net</w:t>
      </w:r>
      <w:r w:rsidRPr="002475D0">
        <w:t xml:space="preserve"> </w:t>
      </w:r>
      <w:r>
        <w:t>de</w:t>
      </w:r>
      <w:r w:rsidRPr="002475D0">
        <w:t>crease to</w:t>
      </w:r>
      <w:r w:rsidRPr="007D198D">
        <w:t xml:space="preserve"> the Washington natural gas plant adjustment</w:t>
      </w:r>
      <w:r>
        <w:t>s for the 2017 rate year</w:t>
      </w:r>
      <w:r w:rsidR="005E03E8">
        <w:t xml:space="preserve"> was</w:t>
      </w:r>
      <w:r w:rsidRPr="002475D0">
        <w:t xml:space="preserve"> </w:t>
      </w:r>
      <w:r>
        <w:t xml:space="preserve">the </w:t>
      </w:r>
      <w:r w:rsidR="005E2070">
        <w:t>aforementioned revision in the</w:t>
      </w:r>
      <w:r w:rsidR="009E36E8">
        <w:br w:type="page"/>
      </w:r>
      <w:r w:rsidRPr="007D198D">
        <w:lastRenderedPageBreak/>
        <w:t xml:space="preserve"> AMI Project</w:t>
      </w:r>
      <w:r w:rsidR="005E2070">
        <w:t xml:space="preserve"> timeline</w:t>
      </w:r>
      <w:r w:rsidR="005E03E8">
        <w:t xml:space="preserve">. </w:t>
      </w:r>
      <w:r>
        <w:t>The</w:t>
      </w:r>
      <w:r w:rsidR="005E03E8">
        <w:t xml:space="preserve"> net impact of this and other minor changes</w:t>
      </w:r>
      <w:r>
        <w:t xml:space="preserve"> on the 2017 rate year adjustment is a </w:t>
      </w:r>
      <w:r w:rsidR="005E03E8">
        <w:t>net</w:t>
      </w:r>
      <w:r>
        <w:t xml:space="preserve"> decrease of $2.6 million in net plant. For the </w:t>
      </w:r>
      <w:r w:rsidR="005E03E8">
        <w:t>January to June 2018 rate period the</w:t>
      </w:r>
      <w:r>
        <w:t xml:space="preserve"> </w:t>
      </w:r>
      <w:r w:rsidR="005E03E8">
        <w:t>net</w:t>
      </w:r>
      <w:r>
        <w:t xml:space="preserve"> decrease </w:t>
      </w:r>
      <w:r w:rsidR="005E03E8">
        <w:t>to the</w:t>
      </w:r>
      <w:r>
        <w:t xml:space="preserve"> net plant</w:t>
      </w:r>
      <w:r w:rsidR="005E03E8">
        <w:t xml:space="preserve"> adjustment was $</w:t>
      </w:r>
      <w:r w:rsidR="006D2BE6">
        <w:t>957</w:t>
      </w:r>
      <w:r w:rsidR="005E03E8">
        <w:t>,000.</w:t>
      </w:r>
      <w:r w:rsidR="008116DD" w:rsidRPr="008116DD">
        <w:rPr>
          <w:rStyle w:val="FootnoteReference"/>
        </w:rPr>
        <w:t xml:space="preserve"> </w:t>
      </w:r>
      <w:r w:rsidR="008116DD" w:rsidRPr="00E00623">
        <w:rPr>
          <w:rStyle w:val="FootnoteReference"/>
        </w:rPr>
        <w:footnoteReference w:id="8"/>
      </w:r>
    </w:p>
    <w:p w:rsidR="00B60939" w:rsidRPr="00A60A65" w:rsidRDefault="00B60939" w:rsidP="007B018B">
      <w:pPr>
        <w:pStyle w:val="BodyText2"/>
        <w:ind w:firstLine="720"/>
        <w:rPr>
          <w:b/>
        </w:rPr>
      </w:pPr>
      <w:r w:rsidRPr="00A60A65">
        <w:rPr>
          <w:b/>
        </w:rPr>
        <w:t>Q.</w:t>
      </w:r>
      <w:r w:rsidRPr="00A60A65">
        <w:rPr>
          <w:b/>
        </w:rPr>
        <w:tab/>
      </w:r>
      <w:r w:rsidR="001B575C">
        <w:rPr>
          <w:b/>
        </w:rPr>
        <w:t>A</w:t>
      </w:r>
      <w:r w:rsidR="005E03E8">
        <w:rPr>
          <w:b/>
        </w:rPr>
        <w:t>re</w:t>
      </w:r>
      <w:r w:rsidRPr="00A60A65">
        <w:rPr>
          <w:b/>
        </w:rPr>
        <w:t xml:space="preserve"> the revised</w:t>
      </w:r>
      <w:r w:rsidR="005E2070">
        <w:rPr>
          <w:b/>
        </w:rPr>
        <w:t xml:space="preserve"> total</w:t>
      </w:r>
      <w:r w:rsidR="005E03E8">
        <w:rPr>
          <w:b/>
        </w:rPr>
        <w:t xml:space="preserve"> net plant </w:t>
      </w:r>
      <w:r w:rsidR="005E2070">
        <w:rPr>
          <w:b/>
        </w:rPr>
        <w:t xml:space="preserve">adjustments </w:t>
      </w:r>
      <w:r w:rsidR="005E03E8">
        <w:rPr>
          <w:b/>
        </w:rPr>
        <w:t>for</w:t>
      </w:r>
      <w:r w:rsidR="005E2070">
        <w:rPr>
          <w:b/>
        </w:rPr>
        <w:t xml:space="preserve"> the</w:t>
      </w:r>
      <w:r w:rsidR="005E03E8">
        <w:rPr>
          <w:b/>
        </w:rPr>
        <w:t xml:space="preserve"> electric and natural gas </w:t>
      </w:r>
      <w:r w:rsidR="005E03E8" w:rsidRPr="003358C8">
        <w:rPr>
          <w:b/>
        </w:rPr>
        <w:t>2017 rate year</w:t>
      </w:r>
      <w:r w:rsidRPr="00A60A65">
        <w:rPr>
          <w:b/>
        </w:rPr>
        <w:t xml:space="preserve"> reflected in Ms. Smith’s </w:t>
      </w:r>
      <w:r w:rsidR="00E05F23">
        <w:rPr>
          <w:b/>
        </w:rPr>
        <w:t>Modified Test Year</w:t>
      </w:r>
      <w:r w:rsidRPr="00A60A65">
        <w:rPr>
          <w:b/>
        </w:rPr>
        <w:t xml:space="preserve"> and Cross Check Studies? </w:t>
      </w:r>
    </w:p>
    <w:p w:rsidR="001B575C" w:rsidRDefault="00B60939" w:rsidP="00B60939">
      <w:pPr>
        <w:pStyle w:val="BodyText2"/>
        <w:tabs>
          <w:tab w:val="left" w:pos="1440"/>
        </w:tabs>
        <w:ind w:firstLine="720"/>
      </w:pPr>
      <w:r w:rsidRPr="00A60A65">
        <w:t>A.</w:t>
      </w:r>
      <w:r w:rsidRPr="00A60A65">
        <w:tab/>
      </w:r>
      <w:r w:rsidR="001B575C">
        <w:t xml:space="preserve">Yes. </w:t>
      </w:r>
      <w:r w:rsidRPr="00A60A65">
        <w:t xml:space="preserve">Ms. Smith’s updated </w:t>
      </w:r>
      <w:r w:rsidR="00E77CE6">
        <w:t xml:space="preserve">electric </w:t>
      </w:r>
      <w:r w:rsidR="00EC63D5">
        <w:t>s</w:t>
      </w:r>
      <w:r w:rsidRPr="00A60A65">
        <w:t>tud</w:t>
      </w:r>
      <w:r w:rsidR="001B575C">
        <w:t>ies</w:t>
      </w:r>
      <w:r w:rsidRPr="00A60A65">
        <w:t xml:space="preserve"> start with </w:t>
      </w:r>
      <w:r w:rsidRPr="005E2070">
        <w:rPr>
          <w:u w:val="single"/>
        </w:rPr>
        <w:t>restated</w:t>
      </w:r>
      <w:r w:rsidRPr="00A60A65">
        <w:t xml:space="preserve"> electric net plant after ADFIT</w:t>
      </w:r>
      <w:r w:rsidR="005E2070">
        <w:t>, as of September 30, 2015,</w:t>
      </w:r>
      <w:r w:rsidRPr="00A60A65">
        <w:t xml:space="preserve"> of $1.255 billion and adds $204.</w:t>
      </w:r>
      <w:r w:rsidR="006D2BE6">
        <w:t>4</w:t>
      </w:r>
      <w:r w:rsidRPr="00A60A65">
        <w:t xml:space="preserve"> million in net plant additions to arrive at a total level of Washington electric plant for the </w:t>
      </w:r>
      <w:r w:rsidRPr="006D2BE6">
        <w:rPr>
          <w:u w:val="single"/>
        </w:rPr>
        <w:t>2017 rate year</w:t>
      </w:r>
      <w:r w:rsidRPr="00A60A65">
        <w:t xml:space="preserve"> of $1.</w:t>
      </w:r>
      <w:r w:rsidR="006D2BE6">
        <w:t>459</w:t>
      </w:r>
      <w:r w:rsidRPr="00A60A65">
        <w:t xml:space="preserve"> billion</w:t>
      </w:r>
      <w:r w:rsidR="00E77CE6">
        <w:t>.</w:t>
      </w:r>
      <w:r w:rsidR="00E77CE6" w:rsidRPr="00E77CE6">
        <w:t xml:space="preserve">  A</w:t>
      </w:r>
      <w:r w:rsidRPr="00A60A65">
        <w:t>fter adjusting for other rate base items (e.g. working capital)</w:t>
      </w:r>
      <w:r w:rsidR="00E77CE6">
        <w:t>,</w:t>
      </w:r>
      <w:r w:rsidRPr="00A60A65">
        <w:t xml:space="preserve"> total </w:t>
      </w:r>
      <w:r w:rsidRPr="001B575C">
        <w:rPr>
          <w:u w:val="single"/>
        </w:rPr>
        <w:t>rate base</w:t>
      </w:r>
      <w:r w:rsidRPr="00A60A65">
        <w:t xml:space="preserve"> </w:t>
      </w:r>
      <w:r w:rsidR="00E77CE6">
        <w:t>equals</w:t>
      </w:r>
      <w:r w:rsidRPr="00A60A65">
        <w:t xml:space="preserve"> $1.51 billion</w:t>
      </w:r>
      <w:r w:rsidR="001B575C">
        <w:t xml:space="preserve"> for 2017</w:t>
      </w:r>
      <w:r w:rsidRPr="00A60A65">
        <w:t xml:space="preserve">. </w:t>
      </w:r>
    </w:p>
    <w:p w:rsidR="00B60939" w:rsidRPr="00A60A65" w:rsidRDefault="00B60939" w:rsidP="00B60939">
      <w:pPr>
        <w:pStyle w:val="BodyText2"/>
        <w:tabs>
          <w:tab w:val="left" w:pos="1440"/>
        </w:tabs>
        <w:ind w:firstLine="720"/>
      </w:pPr>
      <w:r w:rsidRPr="00A60A65">
        <w:t xml:space="preserve">For natural gas, Ms. Smith’s updated </w:t>
      </w:r>
      <w:r w:rsidR="00EC63D5">
        <w:t>s</w:t>
      </w:r>
      <w:r w:rsidRPr="00A60A65">
        <w:t>tud</w:t>
      </w:r>
      <w:r w:rsidR="00E77CE6">
        <w:t>y</w:t>
      </w:r>
      <w:r w:rsidRPr="00A60A65">
        <w:t xml:space="preserve"> starts with the </w:t>
      </w:r>
      <w:r w:rsidRPr="005E2070">
        <w:rPr>
          <w:u w:val="single"/>
        </w:rPr>
        <w:t>restated</w:t>
      </w:r>
      <w:r w:rsidRPr="00A60A65">
        <w:t xml:space="preserve"> natural gas net plant after ADFIT</w:t>
      </w:r>
      <w:r w:rsidR="005E2070">
        <w:t>, as of September 30, 2015,</w:t>
      </w:r>
      <w:r w:rsidRPr="00A60A65">
        <w:t xml:space="preserve"> of $235 million and adds $41 million </w:t>
      </w:r>
      <w:r w:rsidR="00E77CE6">
        <w:t>in</w:t>
      </w:r>
      <w:r w:rsidRPr="00A60A65">
        <w:t xml:space="preserve"> net plant to arrive at a total level of Washington natural gas net plant for the </w:t>
      </w:r>
      <w:r w:rsidRPr="00A60A65">
        <w:rPr>
          <w:u w:val="single"/>
        </w:rPr>
        <w:t>2017 rate year</w:t>
      </w:r>
      <w:r w:rsidR="00E77CE6" w:rsidRPr="00E77CE6">
        <w:t xml:space="preserve"> of $276 </w:t>
      </w:r>
      <w:r w:rsidRPr="00A60A65">
        <w:t>million.</w:t>
      </w:r>
      <w:r w:rsidRPr="00A60A65">
        <w:rPr>
          <w:rStyle w:val="FootnoteReference"/>
        </w:rPr>
        <w:footnoteReference w:id="9"/>
      </w:r>
      <w:r w:rsidRPr="00A60A65">
        <w:t xml:space="preserve"> After adjusting for other rate base item</w:t>
      </w:r>
      <w:r w:rsidR="00E77CE6">
        <w:t>s</w:t>
      </w:r>
      <w:r w:rsidRPr="00A60A65">
        <w:t xml:space="preserve"> (e.g. working capital and inventory)</w:t>
      </w:r>
      <w:r w:rsidR="00E77CE6">
        <w:t>,</w:t>
      </w:r>
      <w:r w:rsidRPr="00A60A65">
        <w:t xml:space="preserve"> total </w:t>
      </w:r>
      <w:r w:rsidRPr="001B575C">
        <w:rPr>
          <w:u w:val="single"/>
        </w:rPr>
        <w:t>rate base</w:t>
      </w:r>
      <w:r w:rsidRPr="00A60A65">
        <w:t xml:space="preserve"> </w:t>
      </w:r>
      <w:r w:rsidR="00E77CE6">
        <w:t>equals</w:t>
      </w:r>
      <w:r w:rsidRPr="00A60A65">
        <w:t xml:space="preserve"> $303.3 million</w:t>
      </w:r>
      <w:r w:rsidR="001B575C">
        <w:t xml:space="preserve"> for 2017</w:t>
      </w:r>
      <w:r w:rsidRPr="00A60A65">
        <w:t xml:space="preserve">. </w:t>
      </w:r>
    </w:p>
    <w:p w:rsidR="00B60939" w:rsidRPr="006D2BE6" w:rsidRDefault="001D3511" w:rsidP="00B60939">
      <w:pPr>
        <w:pStyle w:val="BodyText2"/>
        <w:tabs>
          <w:tab w:val="left" w:pos="1440"/>
        </w:tabs>
        <w:ind w:firstLine="720"/>
        <w:rPr>
          <w:b/>
        </w:rPr>
      </w:pPr>
      <w:r>
        <w:rPr>
          <w:b/>
        </w:rPr>
        <w:br w:type="page"/>
      </w:r>
      <w:r w:rsidR="001B575C">
        <w:rPr>
          <w:b/>
        </w:rPr>
        <w:lastRenderedPageBreak/>
        <w:t>Q.</w:t>
      </w:r>
      <w:r w:rsidR="001B575C">
        <w:rPr>
          <w:b/>
        </w:rPr>
        <w:tab/>
        <w:t xml:space="preserve">How </w:t>
      </w:r>
      <w:r w:rsidR="00B60939" w:rsidRPr="006D2BE6">
        <w:rPr>
          <w:b/>
        </w:rPr>
        <w:t>do</w:t>
      </w:r>
      <w:r w:rsidR="001B575C">
        <w:rPr>
          <w:b/>
        </w:rPr>
        <w:t>es the rate base for</w:t>
      </w:r>
      <w:r w:rsidR="00B60939" w:rsidRPr="006D2BE6">
        <w:rPr>
          <w:b/>
        </w:rPr>
        <w:t xml:space="preserve"> </w:t>
      </w:r>
      <w:r w:rsidR="005E2070">
        <w:rPr>
          <w:b/>
        </w:rPr>
        <w:t>the</w:t>
      </w:r>
      <w:r w:rsidR="00B60939" w:rsidRPr="006D2BE6">
        <w:rPr>
          <w:b/>
        </w:rPr>
        <w:t xml:space="preserve"> Cross Check Studies </w:t>
      </w:r>
      <w:r w:rsidR="001B575C">
        <w:rPr>
          <w:b/>
        </w:rPr>
        <w:t xml:space="preserve">for the 2017 rate year </w:t>
      </w:r>
      <w:r w:rsidR="00B60939" w:rsidRPr="006D2BE6">
        <w:rPr>
          <w:b/>
        </w:rPr>
        <w:t>compare with the Attrition Studies</w:t>
      </w:r>
      <w:r w:rsidR="006D2BE6">
        <w:rPr>
          <w:b/>
        </w:rPr>
        <w:t>’</w:t>
      </w:r>
      <w:r w:rsidR="00B60939" w:rsidRPr="006D2BE6">
        <w:rPr>
          <w:b/>
        </w:rPr>
        <w:t xml:space="preserve"> total rate base for the 2017 rate year? </w:t>
      </w:r>
    </w:p>
    <w:p w:rsidR="006D4B08" w:rsidRDefault="00B60939" w:rsidP="007B018B">
      <w:pPr>
        <w:pStyle w:val="BodyText2"/>
        <w:tabs>
          <w:tab w:val="left" w:pos="1440"/>
        </w:tabs>
        <w:ind w:firstLine="720"/>
      </w:pPr>
      <w:r w:rsidRPr="006D2BE6">
        <w:t>A.</w:t>
      </w:r>
      <w:r w:rsidRPr="006D2BE6">
        <w:tab/>
        <w:t xml:space="preserve">Ms. Andrews’ revised electric and natural gas Attrition Studies show </w:t>
      </w:r>
      <w:r w:rsidR="00E77CE6" w:rsidRPr="006D2BE6">
        <w:t>net</w:t>
      </w:r>
      <w:r w:rsidRPr="006D2BE6">
        <w:t xml:space="preserve"> rate base of $1.4</w:t>
      </w:r>
      <w:r w:rsidR="006D4B08">
        <w:t>7</w:t>
      </w:r>
      <w:r w:rsidRPr="006D2BE6">
        <w:t xml:space="preserve"> billion and $</w:t>
      </w:r>
      <w:r w:rsidR="00102BBC">
        <w:t>299</w:t>
      </w:r>
      <w:r w:rsidRPr="006D2BE6">
        <w:t xml:space="preserve"> million, respectively.</w:t>
      </w:r>
      <w:r w:rsidRPr="006D2BE6">
        <w:rPr>
          <w:vertAlign w:val="superscript"/>
        </w:rPr>
        <w:footnoteReference w:id="10"/>
      </w:r>
      <w:r w:rsidRPr="006D2BE6">
        <w:rPr>
          <w:vertAlign w:val="superscript"/>
        </w:rPr>
        <w:t>/</w:t>
      </w:r>
      <w:r w:rsidRPr="006D2BE6">
        <w:rPr>
          <w:vertAlign w:val="superscript"/>
        </w:rPr>
        <w:footnoteReference w:id="11"/>
      </w:r>
      <w:r w:rsidR="006D4B08">
        <w:t xml:space="preserve"> The comparison between Ms. Andrews’ Attrition Studies and Ms. Smith’s Cross Check Studies is illustrated in the table below:</w:t>
      </w:r>
    </w:p>
    <w:p w:rsidR="006D4B08" w:rsidRDefault="006D4B08" w:rsidP="006D4B08">
      <w:pPr>
        <w:pStyle w:val="BodyText2"/>
        <w:tabs>
          <w:tab w:val="left" w:pos="1440"/>
        </w:tabs>
      </w:pPr>
      <w:r w:rsidRPr="006D4B08">
        <w:rPr>
          <w:b/>
          <w:u w:val="single"/>
        </w:rPr>
        <w:t>Table No. 1:</w:t>
      </w:r>
    </w:p>
    <w:p w:rsidR="006D4B08" w:rsidRDefault="00AD68B2" w:rsidP="006D4B08">
      <w:pPr>
        <w:pStyle w:val="BodyText2"/>
        <w:tabs>
          <w:tab w:val="left" w:pos="1440"/>
        </w:tabs>
      </w:pPr>
      <w:r>
        <w:rPr>
          <w:noProof/>
        </w:rPr>
        <w:pict>
          <v:shape id="_x0000_s1385" type="#_x0000_t75" style="position:absolute;left:0;text-align:left;margin-left:0;margin-top:0;width:323.25pt;height:79.5pt;z-index:251667456;mso-position-horizontal:absolute;mso-position-horizontal-relative:text;mso-position-vertical:absolute;mso-position-vertical-relative:text" o:bordertopcolor="this" o:borderleftcolor="this" o:borderbottomcolor="this" o:borderrightcolor="this" stroked="t" strokeweight="1.5pt">
            <v:imagedata r:id="rId16" o:title=""/>
            <w10:anchorlock/>
          </v:shape>
        </w:pict>
      </w:r>
    </w:p>
    <w:p w:rsidR="006D4B08" w:rsidRDefault="006D4B08" w:rsidP="007B018B">
      <w:pPr>
        <w:pStyle w:val="BodyText2"/>
        <w:tabs>
          <w:tab w:val="left" w:pos="1440"/>
        </w:tabs>
        <w:ind w:firstLine="720"/>
      </w:pPr>
    </w:p>
    <w:p w:rsidR="005F1198" w:rsidRDefault="005F1198" w:rsidP="005F1198">
      <w:pPr>
        <w:spacing w:line="480" w:lineRule="auto"/>
      </w:pPr>
    </w:p>
    <w:p w:rsidR="005F1198" w:rsidRPr="005F1198" w:rsidRDefault="005F1198" w:rsidP="005F1198">
      <w:pPr>
        <w:spacing w:line="480" w:lineRule="auto"/>
      </w:pPr>
    </w:p>
    <w:p w:rsidR="00B60939" w:rsidRPr="00A60A65" w:rsidRDefault="00B60939" w:rsidP="00A60A65">
      <w:pPr>
        <w:pStyle w:val="Heading1"/>
        <w:jc w:val="center"/>
        <w:rPr>
          <w:u w:val="single"/>
        </w:rPr>
      </w:pPr>
      <w:bookmarkStart w:id="6" w:name="_Toc461701404"/>
      <w:r w:rsidRPr="00A60A65">
        <w:rPr>
          <w:u w:val="single"/>
        </w:rPr>
        <w:t>IV. AMI</w:t>
      </w:r>
      <w:bookmarkEnd w:id="6"/>
    </w:p>
    <w:p w:rsidR="00B60939" w:rsidRPr="00A60A65" w:rsidRDefault="00B60939" w:rsidP="00B60939">
      <w:pPr>
        <w:pStyle w:val="BodyText2"/>
        <w:tabs>
          <w:tab w:val="left" w:pos="1440"/>
        </w:tabs>
        <w:ind w:firstLine="720"/>
        <w:rPr>
          <w:b/>
        </w:rPr>
      </w:pPr>
      <w:r w:rsidRPr="00A60A65">
        <w:rPr>
          <w:b/>
        </w:rPr>
        <w:t xml:space="preserve">Q. </w:t>
      </w:r>
      <w:r w:rsidRPr="00A60A65">
        <w:rPr>
          <w:b/>
        </w:rPr>
        <w:tab/>
      </w:r>
      <w:r w:rsidR="009E3282" w:rsidRPr="00A60A65">
        <w:rPr>
          <w:b/>
        </w:rPr>
        <w:t>You mention</w:t>
      </w:r>
      <w:r w:rsidR="006D4B08">
        <w:rPr>
          <w:b/>
        </w:rPr>
        <w:t>ed</w:t>
      </w:r>
      <w:r w:rsidR="009E3282" w:rsidRPr="00A60A65">
        <w:rPr>
          <w:b/>
        </w:rPr>
        <w:t xml:space="preserve"> above</w:t>
      </w:r>
      <w:r w:rsidRPr="00A60A65">
        <w:rPr>
          <w:b/>
        </w:rPr>
        <w:t xml:space="preserve"> that one of the major changes to the Pro Forma adjustments for the 2017 rate year </w:t>
      </w:r>
      <w:r w:rsidR="00AD68B2">
        <w:rPr>
          <w:b/>
        </w:rPr>
        <w:t>results from a shift in</w:t>
      </w:r>
      <w:r w:rsidR="00E77CE6">
        <w:rPr>
          <w:b/>
        </w:rPr>
        <w:t xml:space="preserve"> the AMI project</w:t>
      </w:r>
      <w:r w:rsidRPr="00A60A65">
        <w:rPr>
          <w:b/>
        </w:rPr>
        <w:t xml:space="preserve"> </w:t>
      </w:r>
      <w:r w:rsidR="00AD68B2">
        <w:rPr>
          <w:b/>
        </w:rPr>
        <w:t xml:space="preserve">schedule </w:t>
      </w:r>
      <w:r w:rsidRPr="00A60A65">
        <w:rPr>
          <w:b/>
        </w:rPr>
        <w:t>in 2017</w:t>
      </w:r>
      <w:r w:rsidR="006D4B08">
        <w:rPr>
          <w:b/>
        </w:rPr>
        <w:t>.</w:t>
      </w:r>
      <w:r w:rsidRPr="00A60A65">
        <w:rPr>
          <w:b/>
        </w:rPr>
        <w:t xml:space="preserve"> </w:t>
      </w:r>
      <w:r w:rsidR="007C7E84">
        <w:rPr>
          <w:b/>
        </w:rPr>
        <w:t>W</w:t>
      </w:r>
      <w:r w:rsidR="00E77CE6">
        <w:rPr>
          <w:b/>
        </w:rPr>
        <w:t>ould</w:t>
      </w:r>
      <w:r w:rsidRPr="00A60A65">
        <w:rPr>
          <w:b/>
        </w:rPr>
        <w:t xml:space="preserve"> </w:t>
      </w:r>
      <w:r w:rsidR="00E77CE6">
        <w:rPr>
          <w:b/>
        </w:rPr>
        <w:t xml:space="preserve">you </w:t>
      </w:r>
      <w:r w:rsidR="00E77CE6" w:rsidRPr="00E77CE6">
        <w:rPr>
          <w:b/>
        </w:rPr>
        <w:t>please elaborate on these changes?</w:t>
      </w:r>
    </w:p>
    <w:p w:rsidR="001D3511" w:rsidRDefault="00B60939" w:rsidP="005F1198">
      <w:pPr>
        <w:pStyle w:val="BodyText2"/>
        <w:tabs>
          <w:tab w:val="left" w:pos="1440"/>
        </w:tabs>
        <w:ind w:firstLine="720"/>
      </w:pPr>
      <w:r w:rsidRPr="00A60A65">
        <w:t>A.</w:t>
      </w:r>
      <w:r w:rsidRPr="00A60A65">
        <w:tab/>
      </w:r>
      <w:r w:rsidR="006D4B08">
        <w:t xml:space="preserve">Yes. </w:t>
      </w:r>
      <w:r w:rsidRPr="00A60A65">
        <w:t xml:space="preserve">The shift in the AMI costs </w:t>
      </w:r>
      <w:r w:rsidR="00AD68B2">
        <w:t xml:space="preserve">reflects </w:t>
      </w:r>
      <w:r w:rsidRPr="00A60A65">
        <w:t xml:space="preserve">the </w:t>
      </w:r>
      <w:r w:rsidR="00AD68B2">
        <w:t>revised</w:t>
      </w:r>
      <w:r w:rsidRPr="00A60A65">
        <w:t xml:space="preserve"> in</w:t>
      </w:r>
      <w:r w:rsidR="00AD68B2">
        <w:t>-service date for</w:t>
      </w:r>
      <w:r w:rsidRPr="00A60A65">
        <w:t xml:space="preserve"> the Meter Data Management (MDM) System,</w:t>
      </w:r>
      <w:r w:rsidR="00020E23">
        <w:rPr>
          <w:rStyle w:val="FootnoteReference"/>
        </w:rPr>
        <w:footnoteReference w:id="12"/>
      </w:r>
      <w:r w:rsidRPr="00A60A65">
        <w:t xml:space="preserve"> which was originally expected to go into service in </w:t>
      </w:r>
      <w:r w:rsidR="00E77CE6">
        <w:t>April</w:t>
      </w:r>
      <w:r w:rsidRPr="00A60A65">
        <w:t xml:space="preserve"> 2017 and has now shifted to July of 2017. This shift in timing </w:t>
      </w:r>
      <w:bookmarkStart w:id="7" w:name="_GoBack"/>
      <w:bookmarkEnd w:id="7"/>
      <w:r w:rsidR="00AD68B2">
        <w:t>also shifts</w:t>
      </w:r>
      <w:r w:rsidR="00E77CE6" w:rsidRPr="00E77CE6">
        <w:t xml:space="preserve"> the timing of meter deployment, which </w:t>
      </w:r>
      <w:r w:rsidRPr="00A60A65">
        <w:t>w</w:t>
      </w:r>
      <w:r w:rsidR="00E77CE6" w:rsidRPr="00E77CE6">
        <w:t xml:space="preserve">ould have started in </w:t>
      </w:r>
      <w:r w:rsidR="00E77CE6">
        <w:t>July</w:t>
      </w:r>
      <w:r w:rsidR="00E77CE6" w:rsidRPr="00E77CE6">
        <w:t xml:space="preserve"> 2017, and is now expected to </w:t>
      </w:r>
      <w:r w:rsidR="00E77CE6">
        <w:t>begin</w:t>
      </w:r>
      <w:r w:rsidR="00E77CE6" w:rsidRPr="00E77CE6">
        <w:t xml:space="preserve"> in</w:t>
      </w:r>
      <w:r w:rsidR="007C7E84">
        <w:t xml:space="preserve"> September </w:t>
      </w:r>
      <w:r w:rsidRPr="00A60A65">
        <w:t xml:space="preserve">2017. </w:t>
      </w:r>
      <w:r w:rsidR="007C7E84">
        <w:t xml:space="preserve">The </w:t>
      </w:r>
      <w:r w:rsidR="002C769F">
        <w:t>updated</w:t>
      </w:r>
      <w:r w:rsidR="007C7E84">
        <w:t xml:space="preserve"> in-</w:t>
      </w:r>
      <w:r w:rsidR="002C769F">
        <w:t>service dates change</w:t>
      </w:r>
      <w:r w:rsidRPr="00A60A65">
        <w:t xml:space="preserve"> the AMA balances previously reflected in </w:t>
      </w:r>
      <w:r w:rsidRPr="00A60A65">
        <w:lastRenderedPageBreak/>
        <w:t xml:space="preserve">the original filing. </w:t>
      </w:r>
      <w:r w:rsidR="002C769F">
        <w:t>The</w:t>
      </w:r>
      <w:r w:rsidR="00E77CE6">
        <w:t xml:space="preserve"> change</w:t>
      </w:r>
      <w:r w:rsidR="002C769F">
        <w:t>s in net plant and associated expense</w:t>
      </w:r>
      <w:r w:rsidR="00E77CE6">
        <w:t xml:space="preserve"> ha</w:t>
      </w:r>
      <w:r w:rsidR="002C769F">
        <w:t>ve</w:t>
      </w:r>
      <w:r w:rsidR="00E77CE6">
        <w:t xml:space="preserve"> been reflected in my electric and natural gas Cross Check </w:t>
      </w:r>
      <w:r w:rsidR="00EC63D5">
        <w:t xml:space="preserve">Study </w:t>
      </w:r>
      <w:r w:rsidR="00E77CE6">
        <w:t xml:space="preserve">adjustments. </w:t>
      </w:r>
    </w:p>
    <w:p w:rsidR="0010011D" w:rsidRPr="0010011D" w:rsidRDefault="0010011D" w:rsidP="005F1198">
      <w:pPr>
        <w:pStyle w:val="BodyText2"/>
        <w:tabs>
          <w:tab w:val="left" w:pos="1440"/>
        </w:tabs>
        <w:ind w:firstLine="720"/>
        <w:rPr>
          <w:b/>
        </w:rPr>
      </w:pPr>
      <w:r w:rsidRPr="0010011D">
        <w:rPr>
          <w:b/>
        </w:rPr>
        <w:t xml:space="preserve">Q. </w:t>
      </w:r>
      <w:r w:rsidRPr="0010011D">
        <w:rPr>
          <w:b/>
        </w:rPr>
        <w:tab/>
        <w:t>What are the</w:t>
      </w:r>
      <w:r w:rsidR="003277F5">
        <w:rPr>
          <w:b/>
        </w:rPr>
        <w:t xml:space="preserve"> investment </w:t>
      </w:r>
      <w:r>
        <w:rPr>
          <w:b/>
        </w:rPr>
        <w:t>balances associated with the</w:t>
      </w:r>
      <w:r w:rsidRPr="0010011D">
        <w:rPr>
          <w:b/>
        </w:rPr>
        <w:t xml:space="preserve"> updated AMI </w:t>
      </w:r>
      <w:r w:rsidR="003277F5">
        <w:rPr>
          <w:b/>
        </w:rPr>
        <w:t>adjustments</w:t>
      </w:r>
      <w:r w:rsidRPr="0010011D">
        <w:rPr>
          <w:b/>
        </w:rPr>
        <w:t xml:space="preserve"> included in the Cross Check Studies?</w:t>
      </w:r>
    </w:p>
    <w:p w:rsidR="006D4B08" w:rsidRPr="005F1198" w:rsidRDefault="0010011D" w:rsidP="005F1198">
      <w:pPr>
        <w:pStyle w:val="BodyText2"/>
        <w:tabs>
          <w:tab w:val="left" w:pos="1440"/>
        </w:tabs>
        <w:ind w:firstLine="720"/>
        <w:rPr>
          <w:b/>
        </w:rPr>
      </w:pPr>
      <w:r>
        <w:t>A.</w:t>
      </w:r>
      <w:r>
        <w:tab/>
        <w:t>The updated total investment is $96.7 million for 2017 through June 30, 2018. The $96.7 million relates to gross transfers to plant on an end of period basis from January 1, 2017 to June 30, 2018.</w:t>
      </w:r>
      <w:r w:rsidR="00E21FA6">
        <w:rPr>
          <w:rStyle w:val="FootnoteReference"/>
        </w:rPr>
        <w:footnoteReference w:id="13"/>
      </w:r>
      <w:r>
        <w:t xml:space="preserve"> </w:t>
      </w:r>
      <w:r w:rsidR="00E21FA6">
        <w:t>The Cross Check Studies in</w:t>
      </w:r>
      <w:r>
        <w:t xml:space="preserve"> this case </w:t>
      </w:r>
      <w:r w:rsidR="00E21FA6">
        <w:t>include</w:t>
      </w:r>
      <w:r>
        <w:t xml:space="preserve"> </w:t>
      </w:r>
      <w:r w:rsidR="00E21FA6">
        <w:t>total additions to net plant</w:t>
      </w:r>
      <w:r w:rsidR="002C769F">
        <w:t xml:space="preserve"> after accumulated deferred income taxes</w:t>
      </w:r>
      <w:r w:rsidR="00E21FA6">
        <w:t xml:space="preserve"> (on an </w:t>
      </w:r>
      <w:r>
        <w:t>AMA ba</w:t>
      </w:r>
      <w:r w:rsidR="00E21FA6">
        <w:t>sis)</w:t>
      </w:r>
      <w:r>
        <w:t xml:space="preserve"> of </w:t>
      </w:r>
      <w:r w:rsidR="00E21FA6">
        <w:t>$24 million for electric ($8.8 million in 2017 and $15.2 million in 2018) and $9.1 million for natural gas ($3 million in 2018 and $6.1 million in 2018).</w:t>
      </w:r>
      <w:r>
        <w:t xml:space="preserve"> </w:t>
      </w:r>
      <w:r w:rsidR="00E21FA6">
        <w:t>Ms. </w:t>
      </w:r>
      <w:r w:rsidR="00B60939" w:rsidRPr="00A60A65">
        <w:t xml:space="preserve">Andrews </w:t>
      </w:r>
      <w:r w:rsidR="00E21FA6">
        <w:t>includes these 2017 additions in her Studies as After Attrition Adjustments</w:t>
      </w:r>
      <w:r w:rsidR="00B60939" w:rsidRPr="00A60A65">
        <w:t>.</w:t>
      </w:r>
    </w:p>
    <w:p w:rsidR="005F1198" w:rsidRPr="005F1198" w:rsidRDefault="005F1198" w:rsidP="005F1198">
      <w:pPr>
        <w:spacing w:line="480" w:lineRule="auto"/>
      </w:pPr>
    </w:p>
    <w:p w:rsidR="00B60939" w:rsidRPr="00A60A65" w:rsidRDefault="00B60939" w:rsidP="00A60A65">
      <w:pPr>
        <w:pStyle w:val="Heading1"/>
        <w:jc w:val="center"/>
        <w:rPr>
          <w:highlight w:val="yellow"/>
          <w:u w:val="single"/>
        </w:rPr>
      </w:pPr>
      <w:bookmarkStart w:id="8" w:name="_Toc461701405"/>
      <w:r w:rsidRPr="00A60A65">
        <w:rPr>
          <w:u w:val="single"/>
        </w:rPr>
        <w:t>V.  SPOKANE RIVER PROJECTS</w:t>
      </w:r>
      <w:bookmarkEnd w:id="8"/>
    </w:p>
    <w:p w:rsidR="00652BA7" w:rsidRPr="00D24F66" w:rsidRDefault="00652BA7" w:rsidP="00652BA7">
      <w:pPr>
        <w:pStyle w:val="BodyText2"/>
        <w:tabs>
          <w:tab w:val="left" w:pos="1440"/>
        </w:tabs>
        <w:ind w:firstLine="720"/>
        <w:rPr>
          <w:b/>
        </w:rPr>
      </w:pPr>
      <w:r w:rsidRPr="00D24F66">
        <w:rPr>
          <w:b/>
        </w:rPr>
        <w:t>Q.</w:t>
      </w:r>
      <w:r w:rsidRPr="00D24F66">
        <w:rPr>
          <w:b/>
        </w:rPr>
        <w:tab/>
      </w:r>
      <w:r w:rsidR="007C7E84">
        <w:rPr>
          <w:b/>
        </w:rPr>
        <w:t>Do you agree with Staff’s method of calculating the after-attrition adjustment</w:t>
      </w:r>
      <w:r w:rsidR="007C7E84">
        <w:rPr>
          <w:rStyle w:val="FootnoteReference"/>
          <w:b/>
        </w:rPr>
        <w:footnoteReference w:id="14"/>
      </w:r>
      <w:r w:rsidR="007C7E84">
        <w:rPr>
          <w:b/>
        </w:rPr>
        <w:t xml:space="preserve"> for the Spokane River Projects?</w:t>
      </w:r>
      <w:r w:rsidRPr="00D24F66">
        <w:rPr>
          <w:b/>
        </w:rPr>
        <w:t xml:space="preserve"> </w:t>
      </w:r>
    </w:p>
    <w:p w:rsidR="00B52551" w:rsidRDefault="00652BA7" w:rsidP="00652BA7">
      <w:pPr>
        <w:pStyle w:val="BodyText2"/>
        <w:tabs>
          <w:tab w:val="left" w:pos="1440"/>
        </w:tabs>
        <w:ind w:firstLine="720"/>
      </w:pPr>
      <w:r w:rsidRPr="00D24F66">
        <w:t>A.</w:t>
      </w:r>
      <w:r w:rsidRPr="00D24F66">
        <w:tab/>
      </w:r>
      <w:r w:rsidR="00B52551">
        <w:t xml:space="preserve">No. Staff only included $17 million as an after attrition adjustment rather than the $67.1 million proposed by the Company. As I will explain, Staff’s proposed after attrition </w:t>
      </w:r>
      <w:r w:rsidR="00B52551">
        <w:lastRenderedPageBreak/>
        <w:t>adjustment is both insufficient to reflect the generation plant that will be serving customers in the rate year</w:t>
      </w:r>
      <w:r w:rsidR="00B52A45">
        <w:rPr>
          <w:rStyle w:val="FootnoteReference"/>
        </w:rPr>
        <w:footnoteReference w:id="15"/>
      </w:r>
      <w:r w:rsidR="00B52551">
        <w:t xml:space="preserve"> and inconsistent with the concept of a pro-forma addition, as defined by Staff.</w:t>
      </w:r>
      <w:r w:rsidR="00D24F66" w:rsidRPr="00D24F66">
        <w:t xml:space="preserve">  </w:t>
      </w:r>
    </w:p>
    <w:p w:rsidR="00652BA7" w:rsidRPr="006F7A01" w:rsidRDefault="00B52551" w:rsidP="00B52551">
      <w:pPr>
        <w:pStyle w:val="BodyText2"/>
        <w:tabs>
          <w:tab w:val="left" w:pos="720"/>
        </w:tabs>
      </w:pPr>
      <w:r>
        <w:tab/>
        <w:t>T</w:t>
      </w:r>
      <w:r w:rsidR="00D24F66" w:rsidRPr="00D24F66">
        <w:t>he Nine Mile Redevelopment project, Post Falls South Channel Gate Replacement project and Little Falls Powerhouse Redevelopment project have</w:t>
      </w:r>
      <w:r>
        <w:t xml:space="preserve"> collectively</w:t>
      </w:r>
      <w:r w:rsidR="00D24F66" w:rsidRPr="00D24F66">
        <w:t xml:space="preserve"> been referred to in Ms. </w:t>
      </w:r>
      <w:r w:rsidR="00777618">
        <w:t>Andrews’</w:t>
      </w:r>
      <w:r w:rsidR="00D24F66" w:rsidRPr="00D24F66">
        <w:t xml:space="preserve"> testimony as the Spokane River Projects.  </w:t>
      </w:r>
      <w:r w:rsidR="00547B7A" w:rsidRPr="00D24F66">
        <w:t>These three projects</w:t>
      </w:r>
      <w:r w:rsidR="0097282A">
        <w:t>, together,</w:t>
      </w:r>
      <w:r w:rsidR="003F2D5C">
        <w:t xml:space="preserve"> have been </w:t>
      </w:r>
      <w:r>
        <w:t>treated as an after attrition adjustment,</w:t>
      </w:r>
      <w:r w:rsidR="003F2D5C">
        <w:t xml:space="preserve"> as they</w:t>
      </w:r>
      <w:r w:rsidR="00547B7A" w:rsidRPr="00D24F66">
        <w:t xml:space="preserve"> are </w:t>
      </w:r>
      <w:r w:rsidR="00652BA7" w:rsidRPr="00D24F66">
        <w:t>large</w:t>
      </w:r>
      <w:r w:rsidR="003F2D5C">
        <w:t xml:space="preserve"> in investment scale</w:t>
      </w:r>
      <w:r w:rsidR="00652BA7" w:rsidRPr="00D24F66">
        <w:t xml:space="preserve"> and </w:t>
      </w:r>
      <w:r w:rsidR="003F2D5C">
        <w:t xml:space="preserve">their associated transfers to plant are </w:t>
      </w:r>
      <w:r w:rsidR="00652BA7" w:rsidRPr="00D24F66">
        <w:t>well abov</w:t>
      </w:r>
      <w:r w:rsidR="00D24F66">
        <w:t>e the historical</w:t>
      </w:r>
      <w:r w:rsidR="00652BA7" w:rsidRPr="00D24F66">
        <w:t xml:space="preserve"> level of capital transfers for the </w:t>
      </w:r>
      <w:r w:rsidR="00186437">
        <w:t>production</w:t>
      </w:r>
      <w:r w:rsidR="009629B8">
        <w:t xml:space="preserve"> plant</w:t>
      </w:r>
      <w:r w:rsidR="00652BA7" w:rsidRPr="00D24F66">
        <w:t xml:space="preserve"> functional </w:t>
      </w:r>
      <w:r w:rsidR="00D24F66">
        <w:t>group.</w:t>
      </w:r>
      <w:r w:rsidR="00652BA7" w:rsidRPr="00D24F66">
        <w:t xml:space="preserve"> </w:t>
      </w:r>
      <w:r w:rsidR="00F6251E">
        <w:t xml:space="preserve">Each of the projects </w:t>
      </w:r>
      <w:r>
        <w:t>are</w:t>
      </w:r>
      <w:r w:rsidR="00020E23">
        <w:t xml:space="preserve"> already</w:t>
      </w:r>
      <w:r w:rsidR="00F6251E">
        <w:t xml:space="preserve"> in service</w:t>
      </w:r>
      <w:r w:rsidR="006D4B08">
        <w:t>.</w:t>
      </w:r>
      <w:r w:rsidR="006D4B08">
        <w:rPr>
          <w:rStyle w:val="FootnoteReference"/>
        </w:rPr>
        <w:footnoteReference w:id="16"/>
      </w:r>
      <w:r w:rsidR="00777618">
        <w:t xml:space="preserve"> </w:t>
      </w:r>
      <w:r w:rsidR="00142600">
        <w:t xml:space="preserve">The total </w:t>
      </w:r>
      <w:r w:rsidR="00777618">
        <w:t>additions to plant-in-service</w:t>
      </w:r>
      <w:r w:rsidR="00F6251E">
        <w:t xml:space="preserve"> </w:t>
      </w:r>
      <w:r w:rsidR="002C5D11">
        <w:t xml:space="preserve">in 2016 </w:t>
      </w:r>
      <w:r w:rsidR="00777618">
        <w:t>related to these three projects is $67.</w:t>
      </w:r>
      <w:r w:rsidR="00B52A45">
        <w:t xml:space="preserve">1 </w:t>
      </w:r>
      <w:r w:rsidR="00777618">
        <w:t>million</w:t>
      </w:r>
      <w:r>
        <w:t>.</w:t>
      </w:r>
    </w:p>
    <w:p w:rsidR="00652BA7" w:rsidRPr="00547B7A" w:rsidRDefault="00C0463B" w:rsidP="00C0463B">
      <w:pPr>
        <w:pStyle w:val="BodyText2"/>
        <w:rPr>
          <w:b/>
        </w:rPr>
      </w:pPr>
      <w:r>
        <w:rPr>
          <w:b/>
        </w:rPr>
        <w:tab/>
      </w:r>
      <w:r w:rsidR="00DC6CF6" w:rsidRPr="007710B5">
        <w:rPr>
          <w:b/>
        </w:rPr>
        <w:t>Q.</w:t>
      </w:r>
      <w:r w:rsidR="00DC6CF6" w:rsidRPr="007710B5">
        <w:rPr>
          <w:b/>
        </w:rPr>
        <w:tab/>
      </w:r>
      <w:r w:rsidR="007710B5" w:rsidRPr="007710B5">
        <w:rPr>
          <w:b/>
        </w:rPr>
        <w:t xml:space="preserve">Earlier you mentioned that the additions </w:t>
      </w:r>
      <w:r w:rsidR="00777618">
        <w:rPr>
          <w:b/>
        </w:rPr>
        <w:t xml:space="preserve">associated with the three Spokane River Projects </w:t>
      </w:r>
      <w:r w:rsidR="007710B5" w:rsidRPr="007710B5">
        <w:rPr>
          <w:b/>
        </w:rPr>
        <w:t>included in Ms</w:t>
      </w:r>
      <w:r w:rsidR="009629B8">
        <w:rPr>
          <w:b/>
        </w:rPr>
        <w:t>. Andrews</w:t>
      </w:r>
      <w:r w:rsidR="00777618">
        <w:rPr>
          <w:b/>
        </w:rPr>
        <w:t>’</w:t>
      </w:r>
      <w:r w:rsidR="009629B8">
        <w:rPr>
          <w:b/>
        </w:rPr>
        <w:t xml:space="preserve"> </w:t>
      </w:r>
      <w:r w:rsidR="00777618">
        <w:rPr>
          <w:b/>
        </w:rPr>
        <w:t xml:space="preserve">Attrition </w:t>
      </w:r>
      <w:r w:rsidR="009629B8">
        <w:rPr>
          <w:b/>
        </w:rPr>
        <w:t>study</w:t>
      </w:r>
      <w:r w:rsidR="007710B5" w:rsidRPr="007710B5">
        <w:rPr>
          <w:b/>
        </w:rPr>
        <w:t xml:space="preserve"> were well above the historical average of </w:t>
      </w:r>
      <w:r w:rsidR="007B0618">
        <w:rPr>
          <w:b/>
        </w:rPr>
        <w:t>production plant</w:t>
      </w:r>
      <w:r w:rsidR="00777618">
        <w:rPr>
          <w:b/>
        </w:rPr>
        <w:t xml:space="preserve"> </w:t>
      </w:r>
      <w:r w:rsidR="007710B5" w:rsidRPr="007710B5">
        <w:rPr>
          <w:b/>
        </w:rPr>
        <w:t xml:space="preserve">additions. </w:t>
      </w:r>
      <w:r w:rsidR="00777618">
        <w:rPr>
          <w:b/>
        </w:rPr>
        <w:t>Would you please</w:t>
      </w:r>
      <w:r w:rsidR="00777618" w:rsidRPr="007710B5">
        <w:rPr>
          <w:b/>
        </w:rPr>
        <w:t xml:space="preserve"> </w:t>
      </w:r>
      <w:r w:rsidR="007710B5" w:rsidRPr="007710B5">
        <w:rPr>
          <w:b/>
        </w:rPr>
        <w:t>discuss this further?</w:t>
      </w:r>
      <w:r w:rsidR="007710B5">
        <w:rPr>
          <w:b/>
        </w:rPr>
        <w:t xml:space="preserve"> </w:t>
      </w:r>
      <w:r w:rsidR="00652BA7" w:rsidRPr="00547B7A">
        <w:rPr>
          <w:b/>
        </w:rPr>
        <w:t xml:space="preserve"> </w:t>
      </w:r>
    </w:p>
    <w:p w:rsidR="00652BA7" w:rsidRDefault="00652BA7" w:rsidP="00652BA7">
      <w:pPr>
        <w:pStyle w:val="BodyText2"/>
        <w:tabs>
          <w:tab w:val="left" w:pos="1440"/>
        </w:tabs>
        <w:ind w:firstLine="720"/>
      </w:pPr>
      <w:r w:rsidRPr="00547B7A">
        <w:t>A.</w:t>
      </w:r>
      <w:r w:rsidRPr="00547B7A">
        <w:tab/>
      </w:r>
      <w:r w:rsidR="007710B5">
        <w:t xml:space="preserve">The historical levels of </w:t>
      </w:r>
      <w:r w:rsidR="00186437">
        <w:t>production</w:t>
      </w:r>
      <w:r w:rsidR="007710B5">
        <w:t xml:space="preserve"> plant</w:t>
      </w:r>
      <w:r w:rsidR="007B0618">
        <w:t xml:space="preserve"> rate base additions</w:t>
      </w:r>
      <w:r w:rsidR="007710B5">
        <w:t xml:space="preserve"> have ranged from </w:t>
      </w:r>
      <w:r w:rsidR="009629B8">
        <w:t>$</w:t>
      </w:r>
      <w:r w:rsidR="007710B5">
        <w:t xml:space="preserve">7 to </w:t>
      </w:r>
      <w:r w:rsidR="009629B8">
        <w:t>$</w:t>
      </w:r>
      <w:r w:rsidR="007710B5">
        <w:t xml:space="preserve">33 million per year over the last </w:t>
      </w:r>
      <w:r w:rsidR="00142600">
        <w:t>nine</w:t>
      </w:r>
      <w:r w:rsidR="007710B5">
        <w:t xml:space="preserve"> years. The </w:t>
      </w:r>
      <w:r w:rsidR="00747E2C">
        <w:t>table</w:t>
      </w:r>
      <w:r w:rsidR="00EC63D5">
        <w:t xml:space="preserve"> below</w:t>
      </w:r>
      <w:r w:rsidRPr="00547B7A">
        <w:t xml:space="preserve"> </w:t>
      </w:r>
      <w:r w:rsidR="007710B5">
        <w:t xml:space="preserve">shows the </w:t>
      </w:r>
      <w:r w:rsidRPr="00547B7A">
        <w:t xml:space="preserve">historical gross plant additions per year in the </w:t>
      </w:r>
      <w:r w:rsidR="00186437">
        <w:t>production</w:t>
      </w:r>
      <w:r w:rsidRPr="00547B7A">
        <w:t xml:space="preserve"> </w:t>
      </w:r>
      <w:r w:rsidR="007710B5">
        <w:t>p</w:t>
      </w:r>
      <w:r w:rsidRPr="00547B7A">
        <w:t>lant functional group for 2007 through 2015.</w:t>
      </w:r>
      <w:r>
        <w:t xml:space="preserve"> </w:t>
      </w:r>
    </w:p>
    <w:p w:rsidR="00547B7A" w:rsidRDefault="00C0463B" w:rsidP="00547B7A">
      <w:pPr>
        <w:pStyle w:val="BodyText2"/>
        <w:tabs>
          <w:tab w:val="left" w:pos="1440"/>
        </w:tabs>
        <w:rPr>
          <w:b/>
          <w:u w:val="single"/>
        </w:rPr>
      </w:pPr>
      <w:r>
        <w:rPr>
          <w:b/>
          <w:u w:val="single"/>
        </w:rPr>
        <w:br w:type="page"/>
      </w:r>
      <w:r w:rsidR="0074563A">
        <w:rPr>
          <w:b/>
          <w:u w:val="single"/>
        </w:rPr>
        <w:lastRenderedPageBreak/>
        <w:t xml:space="preserve">Table No. </w:t>
      </w:r>
      <w:r w:rsidR="00142600">
        <w:rPr>
          <w:b/>
          <w:u w:val="single"/>
        </w:rPr>
        <w:t>2</w:t>
      </w:r>
      <w:r w:rsidR="00547B7A">
        <w:rPr>
          <w:b/>
          <w:u w:val="single"/>
        </w:rPr>
        <w:t>:</w:t>
      </w:r>
    </w:p>
    <w:p w:rsidR="00547B7A" w:rsidRDefault="00AD68B2" w:rsidP="00A60A65">
      <w:pPr>
        <w:pStyle w:val="BodyText2"/>
        <w:ind w:firstLine="720"/>
        <w:rPr>
          <w:b/>
          <w:u w:val="single"/>
        </w:rPr>
      </w:pPr>
      <w:r>
        <w:rPr>
          <w:noProof/>
        </w:rPr>
        <w:pict>
          <v:shape id="_x0000_s1375" type="#_x0000_t75" style="position:absolute;left:0;text-align:left;margin-left:36pt;margin-top:0;width:162.75pt;height:214.5pt;z-index:251659264">
            <v:imagedata r:id="rId17" o:title=""/>
            <w10:anchorlock/>
          </v:shape>
        </w:pict>
      </w:r>
    </w:p>
    <w:p w:rsidR="00265233" w:rsidRPr="00547B7A" w:rsidRDefault="00265233" w:rsidP="00547B7A">
      <w:pPr>
        <w:pStyle w:val="BodyText2"/>
        <w:tabs>
          <w:tab w:val="left" w:pos="1440"/>
        </w:tabs>
        <w:rPr>
          <w:b/>
          <w:u w:val="single"/>
        </w:rPr>
      </w:pPr>
    </w:p>
    <w:p w:rsidR="00652BA7" w:rsidRDefault="00652BA7" w:rsidP="00652BA7">
      <w:pPr>
        <w:pStyle w:val="BodyText2"/>
        <w:tabs>
          <w:tab w:val="left" w:pos="1440"/>
        </w:tabs>
        <w:ind w:firstLine="720"/>
        <w:jc w:val="center"/>
      </w:pPr>
    </w:p>
    <w:p w:rsidR="00652BA7" w:rsidRDefault="00652BA7" w:rsidP="003F2D5C">
      <w:pPr>
        <w:pStyle w:val="BodyText2"/>
        <w:tabs>
          <w:tab w:val="left" w:pos="1440"/>
        </w:tabs>
      </w:pPr>
    </w:p>
    <w:p w:rsidR="007765A2" w:rsidRDefault="007765A2" w:rsidP="00652BA7">
      <w:pPr>
        <w:pStyle w:val="BodyText2"/>
        <w:tabs>
          <w:tab w:val="left" w:pos="1440"/>
        </w:tabs>
        <w:ind w:firstLine="720"/>
      </w:pPr>
    </w:p>
    <w:p w:rsidR="007765A2" w:rsidRDefault="007765A2" w:rsidP="00652BA7">
      <w:pPr>
        <w:pStyle w:val="BodyText2"/>
        <w:tabs>
          <w:tab w:val="left" w:pos="1440"/>
        </w:tabs>
        <w:ind w:firstLine="720"/>
      </w:pPr>
    </w:p>
    <w:p w:rsidR="007765A2" w:rsidRPr="00451A2F" w:rsidRDefault="007765A2" w:rsidP="00652BA7">
      <w:pPr>
        <w:pStyle w:val="BodyText2"/>
        <w:tabs>
          <w:tab w:val="left" w:pos="1440"/>
        </w:tabs>
        <w:ind w:firstLine="720"/>
      </w:pPr>
    </w:p>
    <w:p w:rsidR="00142600" w:rsidRDefault="00142600" w:rsidP="00265233">
      <w:pPr>
        <w:pStyle w:val="BodyText2"/>
        <w:tabs>
          <w:tab w:val="left" w:pos="720"/>
        </w:tabs>
        <w:rPr>
          <w:sz w:val="20"/>
          <w:szCs w:val="20"/>
        </w:rPr>
      </w:pPr>
    </w:p>
    <w:p w:rsidR="00652BA7" w:rsidRPr="00142600" w:rsidRDefault="00142600" w:rsidP="00265233">
      <w:pPr>
        <w:pStyle w:val="BodyText2"/>
        <w:tabs>
          <w:tab w:val="left" w:pos="720"/>
        </w:tabs>
        <w:rPr>
          <w:sz w:val="20"/>
          <w:szCs w:val="20"/>
        </w:rPr>
      </w:pPr>
      <w:r w:rsidRPr="00142600">
        <w:rPr>
          <w:sz w:val="20"/>
          <w:szCs w:val="20"/>
        </w:rPr>
        <w:tab/>
      </w:r>
      <w:r w:rsidR="00FA6713" w:rsidRPr="00142600">
        <w:rPr>
          <w:sz w:val="20"/>
          <w:szCs w:val="20"/>
        </w:rPr>
        <w:t>*Average production plant 2007 to 2015 is $15.9 million annually.</w:t>
      </w:r>
    </w:p>
    <w:p w:rsidR="00652BA7" w:rsidRPr="007710B5" w:rsidRDefault="007710B5" w:rsidP="00FF1476">
      <w:pPr>
        <w:pStyle w:val="BodyText2"/>
        <w:ind w:firstLine="720"/>
      </w:pPr>
      <w:r w:rsidRPr="007710B5">
        <w:t xml:space="preserve">The Company </w:t>
      </w:r>
      <w:r w:rsidR="00FF1476">
        <w:t>recognized</w:t>
      </w:r>
      <w:r w:rsidR="003F2D5C">
        <w:t>,</w:t>
      </w:r>
      <w:r w:rsidRPr="007710B5">
        <w:t xml:space="preserve"> as a part of the </w:t>
      </w:r>
      <w:r w:rsidR="007C7E84">
        <w:t>Modified Test Year</w:t>
      </w:r>
      <w:r w:rsidRPr="007710B5">
        <w:t xml:space="preserve"> and Cross Check Studies for </w:t>
      </w:r>
      <w:r w:rsidR="00186437" w:rsidRPr="009629B8">
        <w:rPr>
          <w:u w:val="single"/>
        </w:rPr>
        <w:t>Production</w:t>
      </w:r>
      <w:r w:rsidRPr="009629B8">
        <w:rPr>
          <w:u w:val="single"/>
        </w:rPr>
        <w:t xml:space="preserve"> Plant Additions</w:t>
      </w:r>
      <w:r w:rsidRPr="007710B5">
        <w:t xml:space="preserve"> in the 2017 rate year and January </w:t>
      </w:r>
      <w:r w:rsidR="005E03E8">
        <w:t>to</w:t>
      </w:r>
      <w:r w:rsidR="005E03E8" w:rsidRPr="007710B5">
        <w:t xml:space="preserve"> </w:t>
      </w:r>
      <w:r w:rsidRPr="007710B5">
        <w:t>June 2018 rate period</w:t>
      </w:r>
      <w:r w:rsidR="003F2D5C">
        <w:t>,</w:t>
      </w:r>
      <w:r w:rsidRPr="007710B5">
        <w:t xml:space="preserve"> </w:t>
      </w:r>
      <w:r w:rsidR="00652BA7" w:rsidRPr="007710B5">
        <w:t>approximately $156</w:t>
      </w:r>
      <w:r w:rsidR="00777618">
        <w:t> </w:t>
      </w:r>
      <w:r w:rsidR="00652BA7" w:rsidRPr="007710B5">
        <w:t>million</w:t>
      </w:r>
      <w:r w:rsidR="00020E23">
        <w:t xml:space="preserve"> of plant</w:t>
      </w:r>
      <w:r w:rsidR="00652BA7" w:rsidRPr="007710B5">
        <w:t xml:space="preserve"> to be in </w:t>
      </w:r>
      <w:r w:rsidR="003F2D5C">
        <w:t xml:space="preserve">placed in </w:t>
      </w:r>
      <w:r w:rsidR="00652BA7" w:rsidRPr="007710B5">
        <w:t>service between</w:t>
      </w:r>
      <w:r>
        <w:t xml:space="preserve"> January</w:t>
      </w:r>
      <w:r w:rsidR="00652BA7" w:rsidRPr="007710B5">
        <w:t xml:space="preserve"> 2016 and June 30, 2018. The Chart below shows what amount is expected in each year. </w:t>
      </w:r>
    </w:p>
    <w:p w:rsidR="00C70169" w:rsidRPr="00C70169" w:rsidRDefault="0074563A" w:rsidP="00C70169">
      <w:pPr>
        <w:pStyle w:val="BodyText2"/>
        <w:tabs>
          <w:tab w:val="left" w:pos="1440"/>
        </w:tabs>
        <w:rPr>
          <w:b/>
          <w:u w:val="single"/>
        </w:rPr>
      </w:pPr>
      <w:r>
        <w:rPr>
          <w:b/>
          <w:u w:val="single"/>
        </w:rPr>
        <w:t xml:space="preserve">Table No. </w:t>
      </w:r>
      <w:r w:rsidR="00142600">
        <w:rPr>
          <w:b/>
          <w:u w:val="single"/>
        </w:rPr>
        <w:t>3</w:t>
      </w:r>
      <w:r w:rsidR="00C70169" w:rsidRPr="00C70169">
        <w:rPr>
          <w:b/>
          <w:u w:val="single"/>
        </w:rPr>
        <w:t>:</w:t>
      </w:r>
    </w:p>
    <w:p w:rsidR="00652BA7" w:rsidRDefault="00AD68B2" w:rsidP="00265233">
      <w:pPr>
        <w:pStyle w:val="BodyText2"/>
        <w:tabs>
          <w:tab w:val="left" w:pos="1440"/>
        </w:tabs>
        <w:ind w:firstLine="720"/>
      </w:pPr>
      <w:r>
        <w:rPr>
          <w:noProof/>
        </w:rPr>
        <w:pict>
          <v:shape id="_x0000_s1377" type="#_x0000_t75" style="position:absolute;left:0;text-align:left;margin-left:36pt;margin-top:-.7pt;width:162.75pt;height:128.25pt;z-index:251660288">
            <v:imagedata r:id="rId18" o:title=""/>
            <w10:anchorlock/>
          </v:shape>
        </w:pict>
      </w:r>
    </w:p>
    <w:p w:rsidR="00652BA7" w:rsidRDefault="00652BA7" w:rsidP="00652BA7">
      <w:pPr>
        <w:pStyle w:val="BodyText2"/>
        <w:tabs>
          <w:tab w:val="left" w:pos="1440"/>
        </w:tabs>
        <w:ind w:firstLine="720"/>
      </w:pPr>
    </w:p>
    <w:p w:rsidR="00652BA7" w:rsidRDefault="00652BA7" w:rsidP="00652BA7">
      <w:pPr>
        <w:pStyle w:val="BodyText2"/>
        <w:tabs>
          <w:tab w:val="left" w:pos="1440"/>
        </w:tabs>
        <w:ind w:firstLine="720"/>
      </w:pPr>
    </w:p>
    <w:p w:rsidR="00C70169" w:rsidRDefault="00C70169" w:rsidP="00652BA7">
      <w:pPr>
        <w:pStyle w:val="BodyText2"/>
        <w:tabs>
          <w:tab w:val="left" w:pos="1440"/>
        </w:tabs>
        <w:ind w:firstLine="720"/>
      </w:pPr>
    </w:p>
    <w:p w:rsidR="007710B5" w:rsidRDefault="007710B5" w:rsidP="00652BA7">
      <w:pPr>
        <w:pStyle w:val="BodyText2"/>
        <w:tabs>
          <w:tab w:val="left" w:pos="1440"/>
        </w:tabs>
        <w:ind w:firstLine="720"/>
      </w:pPr>
    </w:p>
    <w:p w:rsidR="007710B5" w:rsidRDefault="00747E2C" w:rsidP="007710B5">
      <w:pPr>
        <w:pStyle w:val="BodyText2"/>
        <w:tabs>
          <w:tab w:val="left" w:pos="1440"/>
        </w:tabs>
      </w:pPr>
      <w:r>
        <w:t>T</w:t>
      </w:r>
      <w:r w:rsidR="007710B5">
        <w:t xml:space="preserve">he </w:t>
      </w:r>
      <w:r w:rsidR="00265233">
        <w:t>additions to</w:t>
      </w:r>
      <w:r w:rsidR="007710B5">
        <w:t xml:space="preserve"> </w:t>
      </w:r>
      <w:r w:rsidR="00186437">
        <w:t>production</w:t>
      </w:r>
      <w:r w:rsidR="007710B5">
        <w:t xml:space="preserve"> plant</w:t>
      </w:r>
      <w:r w:rsidR="00265233">
        <w:t xml:space="preserve"> (on an AMA basis)</w:t>
      </w:r>
      <w:r w:rsidR="007710B5">
        <w:t xml:space="preserve"> are </w:t>
      </w:r>
      <w:r>
        <w:t>well above the historical level</w:t>
      </w:r>
      <w:r w:rsidR="00E40BD9">
        <w:t>s</w:t>
      </w:r>
      <w:r>
        <w:t xml:space="preserve"> presented in </w:t>
      </w:r>
      <w:r w:rsidR="00EC63D5">
        <w:t>Table No. 2</w:t>
      </w:r>
      <w:r w:rsidR="00142600">
        <w:t>.</w:t>
      </w:r>
      <w:r w:rsidR="007710B5">
        <w:t xml:space="preserve"> </w:t>
      </w:r>
    </w:p>
    <w:p w:rsidR="003A1896" w:rsidRDefault="003A1896" w:rsidP="00652BA7">
      <w:pPr>
        <w:pStyle w:val="BodyText2"/>
        <w:tabs>
          <w:tab w:val="left" w:pos="1440"/>
        </w:tabs>
        <w:ind w:firstLine="720"/>
        <w:rPr>
          <w:b/>
        </w:rPr>
      </w:pPr>
      <w:r>
        <w:rPr>
          <w:b/>
        </w:rPr>
        <w:lastRenderedPageBreak/>
        <w:t>Q.</w:t>
      </w:r>
      <w:r>
        <w:rPr>
          <w:b/>
        </w:rPr>
        <w:tab/>
        <w:t xml:space="preserve">Both Staff and the Company realized the need for an after attrition adjustment with regards to the Spokane River Projects. </w:t>
      </w:r>
      <w:r w:rsidR="00142600">
        <w:rPr>
          <w:b/>
        </w:rPr>
        <w:t>Why is Staff’s proposed adjustment insufficient?</w:t>
      </w:r>
      <w:r>
        <w:rPr>
          <w:b/>
        </w:rPr>
        <w:t xml:space="preserve"> </w:t>
      </w:r>
    </w:p>
    <w:p w:rsidR="003A1896" w:rsidRDefault="003A1896" w:rsidP="00142600">
      <w:pPr>
        <w:pStyle w:val="BodyText2"/>
        <w:tabs>
          <w:tab w:val="left" w:pos="1440"/>
        </w:tabs>
        <w:ind w:firstLine="720"/>
      </w:pPr>
      <w:r w:rsidRPr="003A1896">
        <w:t>A.</w:t>
      </w:r>
      <w:r w:rsidRPr="003A1896">
        <w:tab/>
      </w:r>
      <w:r w:rsidR="00D1016C">
        <w:t xml:space="preserve">The effect of </w:t>
      </w:r>
      <w:r w:rsidR="00142600">
        <w:t>Staff’s</w:t>
      </w:r>
      <w:r w:rsidR="00D1016C">
        <w:t xml:space="preserve"> adjustment </w:t>
      </w:r>
      <w:r w:rsidR="00142600">
        <w:t>includes</w:t>
      </w:r>
      <w:r w:rsidR="00D1016C">
        <w:t xml:space="preserve"> </w:t>
      </w:r>
      <w:r w:rsidR="00D1016C" w:rsidRPr="0097282A">
        <w:rPr>
          <w:u w:val="single"/>
        </w:rPr>
        <w:t>only</w:t>
      </w:r>
      <w:r w:rsidR="00186437" w:rsidRPr="00142600">
        <w:rPr>
          <w:u w:val="single"/>
        </w:rPr>
        <w:t xml:space="preserve"> </w:t>
      </w:r>
      <w:r w:rsidR="00186437" w:rsidRPr="0097282A">
        <w:rPr>
          <w:u w:val="single"/>
        </w:rPr>
        <w:t>$17 million</w:t>
      </w:r>
      <w:r w:rsidR="00186437">
        <w:t xml:space="preserve"> in additional </w:t>
      </w:r>
      <w:r w:rsidR="00D1016C">
        <w:t>production plant</w:t>
      </w:r>
      <w:r w:rsidR="00142600">
        <w:t>,</w:t>
      </w:r>
      <w:r w:rsidR="00D1016C">
        <w:t xml:space="preserve"> </w:t>
      </w:r>
      <w:r w:rsidR="00E8444B" w:rsidRPr="0097282A">
        <w:rPr>
          <w:u w:val="single"/>
        </w:rPr>
        <w:t>versus</w:t>
      </w:r>
      <w:r w:rsidR="00E8444B">
        <w:t xml:space="preserve"> the </w:t>
      </w:r>
      <w:r w:rsidR="00E8444B" w:rsidRPr="0097282A">
        <w:rPr>
          <w:u w:val="single"/>
        </w:rPr>
        <w:t>$67.1 million</w:t>
      </w:r>
      <w:r w:rsidR="00E8444B">
        <w:t xml:space="preserve"> proposed by Avista</w:t>
      </w:r>
      <w:r w:rsidR="00142600">
        <w:t>.</w:t>
      </w:r>
      <w:r w:rsidR="00186437">
        <w:t xml:space="preserve"> </w:t>
      </w:r>
      <w:r w:rsidR="002C5D11">
        <w:t>The primary difference between Staff’s position and Avista’s position is that Avista included the full investment cost of the plant additions related to these three p</w:t>
      </w:r>
      <w:r w:rsidR="00142600">
        <w:t>rojects, while Staff limited it</w:t>
      </w:r>
      <w:r w:rsidR="002C5D11">
        <w:t xml:space="preserve">s pro forma after attrition adjustment to </w:t>
      </w:r>
      <w:r w:rsidR="003277F5">
        <w:t>a level which does not reflect the full investment cost</w:t>
      </w:r>
      <w:r w:rsidR="002C5D11">
        <w:t xml:space="preserve"> for these three projects.</w:t>
      </w:r>
    </w:p>
    <w:p w:rsidR="00186437" w:rsidRDefault="00186437" w:rsidP="00652BA7">
      <w:pPr>
        <w:pStyle w:val="BodyText2"/>
        <w:tabs>
          <w:tab w:val="left" w:pos="1440"/>
        </w:tabs>
        <w:ind w:firstLine="720"/>
      </w:pPr>
      <w:r>
        <w:t xml:space="preserve">The </w:t>
      </w:r>
      <w:r w:rsidR="00486377">
        <w:t>illustration</w:t>
      </w:r>
      <w:r>
        <w:t xml:space="preserve"> below shows a comp</w:t>
      </w:r>
      <w:r w:rsidR="00486377">
        <w:t>arison of the Company’s proposed level of production plant additions (both from the Modified Test Year and Cross Check Study and from the Attrition Study, including the after attrition adjustment)</w:t>
      </w:r>
      <w:r>
        <w:t xml:space="preserve"> and</w:t>
      </w:r>
      <w:r w:rsidR="00486377">
        <w:t xml:space="preserve"> the comparative level of</w:t>
      </w:r>
      <w:r>
        <w:t xml:space="preserve"> Staff’s propos</w:t>
      </w:r>
      <w:r w:rsidR="00486377">
        <w:t>ed</w:t>
      </w:r>
      <w:r>
        <w:t xml:space="preserve"> level of production </w:t>
      </w:r>
      <w:r w:rsidR="00486377">
        <w:t xml:space="preserve">plant </w:t>
      </w:r>
      <w:r>
        <w:t>additions</w:t>
      </w:r>
      <w:r w:rsidR="00486377">
        <w:t>.</w:t>
      </w:r>
      <w:r>
        <w:t xml:space="preserve"> </w:t>
      </w:r>
    </w:p>
    <w:p w:rsidR="00D549BB" w:rsidRPr="00D549BB" w:rsidRDefault="00D549BB" w:rsidP="00D549BB">
      <w:pPr>
        <w:pStyle w:val="BodyText2"/>
        <w:tabs>
          <w:tab w:val="left" w:pos="1440"/>
        </w:tabs>
        <w:rPr>
          <w:b/>
          <w:u w:val="single"/>
        </w:rPr>
      </w:pPr>
      <w:r>
        <w:rPr>
          <w:b/>
          <w:u w:val="single"/>
        </w:rPr>
        <w:t>Illustration No. 5:</w:t>
      </w:r>
    </w:p>
    <w:p w:rsidR="00D549BB" w:rsidRDefault="00AD68B2" w:rsidP="00D549BB">
      <w:pPr>
        <w:pStyle w:val="BodyText2"/>
        <w:tabs>
          <w:tab w:val="left" w:pos="1440"/>
        </w:tabs>
      </w:pPr>
      <w:r>
        <w:rPr>
          <w:noProof/>
        </w:rPr>
        <w:pict w14:anchorId="1A2AC36B">
          <v:shape id="_x0000_s1386" type="#_x0000_t75" style="position:absolute;left:0;text-align:left;margin-left:53.7pt;margin-top:1.05pt;width:360.75pt;height:216.75pt;z-index:251668480">
            <v:imagedata r:id="rId19" o:title=""/>
            <w10:anchorlock/>
          </v:shape>
        </w:pict>
      </w:r>
    </w:p>
    <w:p w:rsidR="00D549BB" w:rsidRDefault="00D549BB" w:rsidP="00D549BB">
      <w:pPr>
        <w:pStyle w:val="BodyText2"/>
        <w:tabs>
          <w:tab w:val="left" w:pos="1440"/>
        </w:tabs>
      </w:pPr>
    </w:p>
    <w:p w:rsidR="00D549BB" w:rsidRDefault="00D549BB" w:rsidP="00D549BB">
      <w:pPr>
        <w:pStyle w:val="BodyText2"/>
        <w:tabs>
          <w:tab w:val="left" w:pos="1440"/>
        </w:tabs>
      </w:pPr>
    </w:p>
    <w:p w:rsidR="00D549BB" w:rsidRDefault="00D549BB" w:rsidP="00D549BB">
      <w:pPr>
        <w:pStyle w:val="BodyText2"/>
        <w:tabs>
          <w:tab w:val="left" w:pos="1440"/>
        </w:tabs>
      </w:pPr>
    </w:p>
    <w:p w:rsidR="00D549BB" w:rsidRDefault="00D549BB" w:rsidP="00D549BB">
      <w:pPr>
        <w:pStyle w:val="BodyText2"/>
        <w:tabs>
          <w:tab w:val="left" w:pos="1440"/>
        </w:tabs>
      </w:pPr>
    </w:p>
    <w:p w:rsidR="00D549BB" w:rsidRDefault="00D549BB" w:rsidP="00D549BB">
      <w:pPr>
        <w:pStyle w:val="BodyText2"/>
        <w:tabs>
          <w:tab w:val="left" w:pos="1440"/>
        </w:tabs>
      </w:pPr>
    </w:p>
    <w:p w:rsidR="00D549BB" w:rsidRDefault="00D549BB" w:rsidP="00D549BB">
      <w:pPr>
        <w:pStyle w:val="BodyText2"/>
        <w:tabs>
          <w:tab w:val="left" w:pos="1440"/>
        </w:tabs>
      </w:pPr>
    </w:p>
    <w:p w:rsidR="00D549BB" w:rsidRDefault="00D549BB" w:rsidP="00D549BB">
      <w:pPr>
        <w:pStyle w:val="BodyText2"/>
        <w:tabs>
          <w:tab w:val="left" w:pos="1440"/>
        </w:tabs>
      </w:pPr>
    </w:p>
    <w:p w:rsidR="00B52A45" w:rsidRDefault="000B0641" w:rsidP="00486377">
      <w:pPr>
        <w:pStyle w:val="BodyText2"/>
        <w:ind w:firstLine="720"/>
      </w:pPr>
      <w:r>
        <w:lastRenderedPageBreak/>
        <w:t>Th</w:t>
      </w:r>
      <w:r w:rsidR="00486377">
        <w:t>is illustration</w:t>
      </w:r>
      <w:r>
        <w:t xml:space="preserve"> demonstrates that even</w:t>
      </w:r>
      <w:r w:rsidR="00486377">
        <w:t xml:space="preserve"> the total proposed net production plant additions in</w:t>
      </w:r>
      <w:r>
        <w:t xml:space="preserve"> Avista</w:t>
      </w:r>
      <w:r w:rsidR="00486377">
        <w:t xml:space="preserve">’s Attrition </w:t>
      </w:r>
      <w:r w:rsidR="005F1198">
        <w:t>analysis, including the</w:t>
      </w:r>
      <w:r w:rsidR="00486377">
        <w:t xml:space="preserve"> After Attrition</w:t>
      </w:r>
      <w:r>
        <w:t xml:space="preserve"> </w:t>
      </w:r>
      <w:r w:rsidR="005F1198">
        <w:t xml:space="preserve">Adjustment, </w:t>
      </w:r>
      <w:r w:rsidR="00486377">
        <w:t>does</w:t>
      </w:r>
      <w:r>
        <w:t xml:space="preserve"> not </w:t>
      </w:r>
      <w:r w:rsidR="00486377">
        <w:t xml:space="preserve">fully reflect the level of production plant </w:t>
      </w:r>
      <w:r w:rsidR="005F1198">
        <w:t>that will</w:t>
      </w:r>
      <w:r w:rsidR="00486377">
        <w:t xml:space="preserve"> be serving customers in the rate year (as illustrated by the Avista </w:t>
      </w:r>
      <w:r w:rsidR="005F1198">
        <w:t>Cross Check</w:t>
      </w:r>
      <w:r w:rsidR="00486377">
        <w:t xml:space="preserve"> bar above).</w:t>
      </w:r>
      <w:r w:rsidR="00E8444B">
        <w:t xml:space="preserve"> </w:t>
      </w:r>
      <w:r w:rsidR="00486377">
        <w:t xml:space="preserve">In fact, Staff effectively </w:t>
      </w:r>
      <w:r w:rsidR="00486377" w:rsidRPr="00020E23">
        <w:rPr>
          <w:u w:val="single"/>
        </w:rPr>
        <w:t>excludes</w:t>
      </w:r>
      <w:r w:rsidR="00D1016C" w:rsidRPr="00020E23">
        <w:rPr>
          <w:u w:val="single"/>
        </w:rPr>
        <w:t xml:space="preserve"> approximately $99 million </w:t>
      </w:r>
      <w:r w:rsidR="00272737" w:rsidRPr="00020E23">
        <w:rPr>
          <w:u w:val="single"/>
        </w:rPr>
        <w:t>(or 64%)</w:t>
      </w:r>
      <w:r w:rsidR="00272737">
        <w:t xml:space="preserve"> of expected additions to net production plant, which </w:t>
      </w:r>
      <w:r w:rsidR="001C5247" w:rsidRPr="001C5247">
        <w:t xml:space="preserve">will be </w:t>
      </w:r>
      <w:r w:rsidR="00272737">
        <w:t>serving customers</w:t>
      </w:r>
      <w:r w:rsidR="001C5247" w:rsidRPr="001C5247">
        <w:t xml:space="preserve"> during the 2017 rate year</w:t>
      </w:r>
      <w:r w:rsidR="00B90E61">
        <w:t>.  This exclusion appears inconsistent with Mr. Hancock’s discussion of pro forma adjustments to the attrition models, in which he states</w:t>
      </w:r>
      <w:r w:rsidR="00B52A45">
        <w:t>:</w:t>
      </w:r>
      <w:r w:rsidR="00B90E61">
        <w:t xml:space="preserve"> </w:t>
      </w:r>
    </w:p>
    <w:p w:rsidR="00020E23" w:rsidRDefault="00B90E61" w:rsidP="00020E23">
      <w:pPr>
        <w:pStyle w:val="BodyText2"/>
        <w:spacing w:after="240" w:line="240" w:lineRule="auto"/>
        <w:ind w:left="720"/>
      </w:pPr>
      <w:r>
        <w:t xml:space="preserve">Pro forma adjustments are made in the traditional modified historical test year approach as a way to adjust base figures to more accurately represent figures as they are anticipated to be in the rate year. That is precisely the function served by the </w:t>
      </w:r>
      <w:r w:rsidR="00B52A45">
        <w:t>“</w:t>
      </w:r>
      <w:r>
        <w:t>after-attrition adjustments.</w:t>
      </w:r>
      <w:r w:rsidR="00B52A45">
        <w:t>”</w:t>
      </w:r>
      <w:r>
        <w:rPr>
          <w:rStyle w:val="FootnoteReference"/>
        </w:rPr>
        <w:footnoteReference w:id="17"/>
      </w:r>
      <w:r>
        <w:t xml:space="preserve"> </w:t>
      </w:r>
    </w:p>
    <w:p w:rsidR="000B0641" w:rsidRPr="00486377" w:rsidRDefault="00020E23" w:rsidP="00486377">
      <w:pPr>
        <w:pStyle w:val="BodyText2"/>
        <w:ind w:firstLine="720"/>
        <w:rPr>
          <w:b/>
          <w:u w:val="single"/>
        </w:rPr>
      </w:pPr>
      <w:r>
        <w:t>If the intent is</w:t>
      </w:r>
      <w:r w:rsidR="00B90E61">
        <w:t xml:space="preserve"> to more accurately reflect anticipated production plant balances in the rate year, a</w:t>
      </w:r>
      <w:r w:rsidR="00102BBC">
        <w:t xml:space="preserve"> nearly</w:t>
      </w:r>
      <w:r w:rsidR="00B90E61">
        <w:t xml:space="preserve"> $100 million </w:t>
      </w:r>
      <w:r>
        <w:t>reduction</w:t>
      </w:r>
      <w:r w:rsidR="00B90E61">
        <w:t xml:space="preserve"> to the expected production plant investment does not appear to accomplish this intent.</w:t>
      </w:r>
    </w:p>
    <w:p w:rsidR="001C5247" w:rsidRDefault="001C5247" w:rsidP="001C5247">
      <w:pPr>
        <w:pStyle w:val="BodyText2"/>
        <w:tabs>
          <w:tab w:val="left" w:pos="1440"/>
        </w:tabs>
        <w:ind w:firstLine="720"/>
        <w:rPr>
          <w:b/>
        </w:rPr>
      </w:pPr>
      <w:r w:rsidRPr="001C5247">
        <w:rPr>
          <w:b/>
        </w:rPr>
        <w:t>Q.</w:t>
      </w:r>
      <w:r w:rsidRPr="001C5247">
        <w:rPr>
          <w:b/>
        </w:rPr>
        <w:tab/>
        <w:t>Above</w:t>
      </w:r>
      <w:r w:rsidR="00E8444B">
        <w:rPr>
          <w:b/>
        </w:rPr>
        <w:t>,</w:t>
      </w:r>
      <w:r w:rsidRPr="001C5247">
        <w:rPr>
          <w:b/>
        </w:rPr>
        <w:t xml:space="preserve"> you discuss that </w:t>
      </w:r>
      <w:r>
        <w:rPr>
          <w:b/>
        </w:rPr>
        <w:t xml:space="preserve">Avista recognized the after attrition adjustment for the Spokane River Projects on </w:t>
      </w:r>
      <w:r w:rsidR="00B35B90">
        <w:rPr>
          <w:b/>
        </w:rPr>
        <w:t xml:space="preserve">the basis of </w:t>
      </w:r>
      <w:r w:rsidR="00272737">
        <w:rPr>
          <w:b/>
          <w:u w:val="single"/>
        </w:rPr>
        <w:t>full investment cost</w:t>
      </w:r>
      <w:r w:rsidR="00020E23">
        <w:rPr>
          <w:b/>
        </w:rPr>
        <w:t>. P</w:t>
      </w:r>
      <w:r>
        <w:rPr>
          <w:b/>
        </w:rPr>
        <w:t xml:space="preserve">lease </w:t>
      </w:r>
      <w:r w:rsidR="00020E23">
        <w:rPr>
          <w:b/>
        </w:rPr>
        <w:t>explain</w:t>
      </w:r>
      <w:r>
        <w:rPr>
          <w:b/>
        </w:rPr>
        <w:t xml:space="preserve"> why this is appropriate. </w:t>
      </w:r>
    </w:p>
    <w:p w:rsidR="00567BCA" w:rsidRDefault="001C5247" w:rsidP="006F6F44">
      <w:pPr>
        <w:pStyle w:val="BodyText2"/>
        <w:tabs>
          <w:tab w:val="left" w:pos="1440"/>
        </w:tabs>
        <w:ind w:firstLine="720"/>
      </w:pPr>
      <w:r w:rsidRPr="001C5247">
        <w:t>A.</w:t>
      </w:r>
      <w:r w:rsidRPr="001C5247">
        <w:tab/>
      </w:r>
      <w:r>
        <w:t xml:space="preserve">The Company included the </w:t>
      </w:r>
      <w:r w:rsidR="00B35B90">
        <w:t>full investment cost</w:t>
      </w:r>
      <w:r>
        <w:t xml:space="preserve"> for the Spokane River projects</w:t>
      </w:r>
      <w:r w:rsidR="005F1198">
        <w:t xml:space="preserve"> </w:t>
      </w:r>
      <w:r>
        <w:t xml:space="preserve">because the amounts included </w:t>
      </w:r>
      <w:r w:rsidRPr="00020E23">
        <w:rPr>
          <w:u w:val="single"/>
        </w:rPr>
        <w:t>already are</w:t>
      </w:r>
      <w:r w:rsidR="00B90E61" w:rsidRPr="00020E23">
        <w:rPr>
          <w:u w:val="single"/>
        </w:rPr>
        <w:t xml:space="preserve"> </w:t>
      </w:r>
      <w:r w:rsidRPr="00020E23">
        <w:rPr>
          <w:u w:val="single"/>
        </w:rPr>
        <w:t>serving customers</w:t>
      </w:r>
      <w:r w:rsidR="00B90E61">
        <w:t xml:space="preserve">. </w:t>
      </w:r>
      <w:r w:rsidR="00736C12">
        <w:t xml:space="preserve"> Additionally</w:t>
      </w:r>
      <w:r>
        <w:t>, the Nine Mile Redevelopment project</w:t>
      </w:r>
      <w:r w:rsidR="00985244">
        <w:t>, which was moved into service in July of 2016</w:t>
      </w:r>
      <w:r w:rsidR="00B90E61">
        <w:t>,</w:t>
      </w:r>
      <w:r>
        <w:t xml:space="preserve"> will add additional generation accounted for in the Company’s power cost model</w:t>
      </w:r>
      <w:r w:rsidR="00985244">
        <w:t xml:space="preserve"> (Aurora)</w:t>
      </w:r>
      <w:r>
        <w:t xml:space="preserve">. </w:t>
      </w:r>
      <w:r w:rsidR="00985244">
        <w:t>Past precedent</w:t>
      </w:r>
      <w:r w:rsidR="00736C12">
        <w:t xml:space="preserve"> </w:t>
      </w:r>
      <w:r w:rsidR="00567BCA">
        <w:t>from</w:t>
      </w:r>
      <w:r w:rsidR="00736C12">
        <w:t xml:space="preserve"> this </w:t>
      </w:r>
      <w:r w:rsidR="00736C12">
        <w:lastRenderedPageBreak/>
        <w:t>Commission has allowed additions of this nature to be accepted on an annualized basis, even when the additions occur into the rate period.</w:t>
      </w:r>
      <w:r w:rsidR="00736C12">
        <w:rPr>
          <w:rStyle w:val="FootnoteReference"/>
        </w:rPr>
        <w:footnoteReference w:id="18"/>
      </w:r>
      <w:r w:rsidR="00736C12">
        <w:t xml:space="preserve">  </w:t>
      </w:r>
    </w:p>
    <w:p w:rsidR="00567BCA" w:rsidRDefault="00E8444B" w:rsidP="006F6F44">
      <w:pPr>
        <w:pStyle w:val="BodyText2"/>
        <w:tabs>
          <w:tab w:val="left" w:pos="1440"/>
        </w:tabs>
        <w:ind w:firstLine="720"/>
      </w:pPr>
      <w:r>
        <w:t>Additionally</w:t>
      </w:r>
      <w:r w:rsidR="00747E2C">
        <w:t xml:space="preserve">, </w:t>
      </w:r>
      <w:r w:rsidR="006F6F44">
        <w:t>Staff’s</w:t>
      </w:r>
      <w:r w:rsidR="00567BCA">
        <w:t xml:space="preserve"> own witness, Ms. Huang, recognized pro forma capital investments in the Modified Test Year Study at their full investment costs through July.</w:t>
      </w:r>
      <w:r w:rsidR="00567BCA">
        <w:rPr>
          <w:rStyle w:val="FootnoteReference"/>
        </w:rPr>
        <w:footnoteReference w:id="19"/>
      </w:r>
      <w:r w:rsidR="006F6F44">
        <w:t xml:space="preserve"> </w:t>
      </w:r>
      <w:r w:rsidR="002E10B4">
        <w:t xml:space="preserve">While this does </w:t>
      </w:r>
      <w:r w:rsidR="006F6F44">
        <w:t xml:space="preserve">not </w:t>
      </w:r>
      <w:r w:rsidR="002E10B4">
        <w:t xml:space="preserve">include </w:t>
      </w:r>
      <w:r w:rsidR="006F6F44">
        <w:t xml:space="preserve">the full </w:t>
      </w:r>
      <w:r w:rsidR="002E10B4">
        <w:t>amount of additions expected in 2016</w:t>
      </w:r>
      <w:r w:rsidR="006F6F44">
        <w:t xml:space="preserve">, </w:t>
      </w:r>
      <w:r w:rsidR="002E10B4">
        <w:t xml:space="preserve">Ms. Huang did recognize </w:t>
      </w:r>
      <w:r w:rsidR="006F6F44">
        <w:t xml:space="preserve">that these additions should be included at full cost.  </w:t>
      </w:r>
      <w:r w:rsidR="00567BCA">
        <w:t>Given Mr. Hancock’s position that Avista’s proposed after attrition adjustment is “analogous to a pro forma adjustment in the familiar modified historical test year ratemaking framework,”</w:t>
      </w:r>
      <w:r w:rsidR="00567BCA">
        <w:rPr>
          <w:rStyle w:val="FootnoteReference"/>
        </w:rPr>
        <w:footnoteReference w:id="20"/>
      </w:r>
      <w:r w:rsidR="00B90E61">
        <w:t xml:space="preserve"> the investment amounts considered through an after attrition adjustment </w:t>
      </w:r>
      <w:r w:rsidR="00EC63D5">
        <w:t>should</w:t>
      </w:r>
      <w:r w:rsidR="00B90E61">
        <w:t xml:space="preserve"> receive similar treatment </w:t>
      </w:r>
      <w:r w:rsidR="00020E23">
        <w:t>of</w:t>
      </w:r>
      <w:r w:rsidR="00B90E61">
        <w:t xml:space="preserve"> full recognition of </w:t>
      </w:r>
      <w:r w:rsidR="00020E23">
        <w:t xml:space="preserve">the </w:t>
      </w:r>
      <w:r w:rsidR="00B90E61">
        <w:t xml:space="preserve">investment, </w:t>
      </w:r>
      <w:r w:rsidR="00B52A45">
        <w:t>consistent with</w:t>
      </w:r>
      <w:r w:rsidR="00B90E61">
        <w:t xml:space="preserve"> Staff’s pro forma adjustment in its Modified Test Year Study. </w:t>
      </w:r>
    </w:p>
    <w:p w:rsidR="005F1198" w:rsidRPr="005F1198" w:rsidRDefault="002E10B4" w:rsidP="00C0463B">
      <w:pPr>
        <w:pStyle w:val="BodyText2"/>
        <w:tabs>
          <w:tab w:val="left" w:pos="1440"/>
        </w:tabs>
        <w:ind w:firstLine="720"/>
      </w:pPr>
      <w:r>
        <w:t>Finally, simply considering this matter from an accounting point of view, any capital additions that occur in the interim period between the end of the test year and the rate effective date will be included in plant at their full cost in each month of the rate year.  This means that the AMA plant balance in the rate year for these projects wi</w:t>
      </w:r>
      <w:r w:rsidR="00EC63D5">
        <w:t>ll be equal to their full cost</w:t>
      </w:r>
      <w:r>
        <w:t xml:space="preserve">.  </w:t>
      </w:r>
      <w:r w:rsidR="006F6F44">
        <w:t xml:space="preserve">Please see Ms. </w:t>
      </w:r>
      <w:r w:rsidR="00777618">
        <w:t>Andrews’</w:t>
      </w:r>
      <w:r w:rsidR="006F6F44">
        <w:t xml:space="preserve"> testimony for further details regarding the after attrition adjustments.</w:t>
      </w:r>
    </w:p>
    <w:p w:rsidR="00B60939" w:rsidRPr="00A60A65" w:rsidRDefault="00B60939" w:rsidP="007D125E">
      <w:pPr>
        <w:pStyle w:val="Heading1"/>
        <w:jc w:val="center"/>
        <w:rPr>
          <w:u w:val="single"/>
        </w:rPr>
      </w:pPr>
      <w:bookmarkStart w:id="9" w:name="_Toc461701406"/>
      <w:r w:rsidRPr="00A60A65">
        <w:rPr>
          <w:u w:val="single"/>
        </w:rPr>
        <w:lastRenderedPageBreak/>
        <w:t>VI. GENERAL PLANT</w:t>
      </w:r>
      <w:bookmarkEnd w:id="9"/>
    </w:p>
    <w:p w:rsidR="008C0885" w:rsidRPr="00D720B9" w:rsidRDefault="008C0885" w:rsidP="008C0885">
      <w:pPr>
        <w:pStyle w:val="BodyText2"/>
        <w:tabs>
          <w:tab w:val="left" w:pos="1440"/>
        </w:tabs>
        <w:ind w:firstLine="720"/>
        <w:rPr>
          <w:b/>
        </w:rPr>
      </w:pPr>
      <w:r w:rsidRPr="00C8796C">
        <w:rPr>
          <w:b/>
        </w:rPr>
        <w:t>Q.</w:t>
      </w:r>
      <w:r w:rsidRPr="00C8796C">
        <w:rPr>
          <w:b/>
        </w:rPr>
        <w:tab/>
      </w:r>
      <w:r w:rsidR="00B90E61">
        <w:rPr>
          <w:b/>
        </w:rPr>
        <w:t xml:space="preserve">Do you agree with </w:t>
      </w:r>
      <w:r w:rsidRPr="00C8796C">
        <w:rPr>
          <w:b/>
        </w:rPr>
        <w:t xml:space="preserve">Mr. Mullins </w:t>
      </w:r>
      <w:r w:rsidR="00B90E61">
        <w:rPr>
          <w:b/>
        </w:rPr>
        <w:t xml:space="preserve">that the investment in general plant is “generally less time-sensitive” and that </w:t>
      </w:r>
      <w:r w:rsidRPr="00C8796C">
        <w:rPr>
          <w:b/>
        </w:rPr>
        <w:t>“it is probably unnecessary for a Company experiencing low load growth to invest in a new office building</w:t>
      </w:r>
      <w:r w:rsidR="00D1534E">
        <w:rPr>
          <w:b/>
        </w:rPr>
        <w:t>?</w:t>
      </w:r>
      <w:r w:rsidRPr="00C8796C">
        <w:rPr>
          <w:b/>
        </w:rPr>
        <w:t>”</w:t>
      </w:r>
      <w:r w:rsidR="007D125E" w:rsidRPr="007D125E">
        <w:rPr>
          <w:rStyle w:val="FootnoteReference"/>
          <w:b/>
        </w:rPr>
        <w:t xml:space="preserve"> </w:t>
      </w:r>
      <w:r w:rsidR="007D125E">
        <w:rPr>
          <w:rStyle w:val="FootnoteReference"/>
          <w:b/>
        </w:rPr>
        <w:footnoteReference w:id="21"/>
      </w:r>
    </w:p>
    <w:p w:rsidR="0038679E" w:rsidRDefault="008C0885" w:rsidP="00D1534E">
      <w:pPr>
        <w:pStyle w:val="BodyText2"/>
        <w:widowControl w:val="0"/>
        <w:tabs>
          <w:tab w:val="left" w:pos="1440"/>
        </w:tabs>
        <w:ind w:firstLine="720"/>
      </w:pPr>
      <w:r w:rsidRPr="00D720B9">
        <w:t xml:space="preserve">A. </w:t>
      </w:r>
      <w:r w:rsidRPr="00D720B9">
        <w:tab/>
        <w:t xml:space="preserve">No. </w:t>
      </w:r>
      <w:r>
        <w:t xml:space="preserve">First, Mr. Mullins makes the assumption that the only asset types included in the general plant category are those of an office building or </w:t>
      </w:r>
      <w:r w:rsidR="002E10B4">
        <w:t xml:space="preserve">those of a </w:t>
      </w:r>
      <w:r>
        <w:t>facilities</w:t>
      </w:r>
      <w:r w:rsidR="002E10B4">
        <w:t>-related</w:t>
      </w:r>
      <w:r>
        <w:t xml:space="preserve"> nature. </w:t>
      </w:r>
      <w:r w:rsidR="002E10B4">
        <w:t xml:space="preserve">However, </w:t>
      </w:r>
      <w:r>
        <w:t>the FERC uniform system of accounts</w:t>
      </w:r>
      <w:r w:rsidR="002E10B4">
        <w:t xml:space="preserve"> includes a number of other categories in the “General Plant” category.  The following table includes</w:t>
      </w:r>
      <w:r>
        <w:t xml:space="preserve"> </w:t>
      </w:r>
      <w:r w:rsidR="002E10B4">
        <w:t>each</w:t>
      </w:r>
      <w:r>
        <w:t xml:space="preserve"> FERC accounts</w:t>
      </w:r>
      <w:r w:rsidR="002E10B4">
        <w:t xml:space="preserve"> within General Plant, along with </w:t>
      </w:r>
      <w:r w:rsidR="005F1198">
        <w:t xml:space="preserve">the </w:t>
      </w:r>
      <w:r w:rsidR="002E10B4">
        <w:t>AMA balance included in each account, as of December 31, 2015</w:t>
      </w:r>
      <w:r w:rsidR="00280304">
        <w:t>, for both Washington electric and natural gas services</w:t>
      </w:r>
      <w:r>
        <w:t xml:space="preserve">: </w:t>
      </w:r>
    </w:p>
    <w:p w:rsidR="008C0885" w:rsidRDefault="00AD68B2" w:rsidP="0036563E">
      <w:pPr>
        <w:pStyle w:val="BodyText2"/>
        <w:widowControl w:val="0"/>
        <w:tabs>
          <w:tab w:val="left" w:pos="1440"/>
        </w:tabs>
        <w:rPr>
          <w:b/>
          <w:u w:val="single"/>
        </w:rPr>
      </w:pPr>
      <w:r>
        <w:rPr>
          <w:noProof/>
        </w:rPr>
        <w:pict>
          <v:shape id="_x0000_s1387" type="#_x0000_t75" style="position:absolute;left:0;text-align:left;margin-left:0;margin-top:15.5pt;width:467.25pt;height:207pt;z-index:251670528;mso-position-horizontal-relative:text;mso-position-vertical-relative:text">
            <v:imagedata r:id="rId20" o:title=""/>
            <w10:anchorlock/>
          </v:shape>
        </w:pict>
      </w:r>
      <w:r w:rsidR="0074563A">
        <w:rPr>
          <w:b/>
          <w:u w:val="single"/>
        </w:rPr>
        <w:t>Table No. 4</w:t>
      </w:r>
      <w:r w:rsidR="008C0885" w:rsidRPr="001E4CF7">
        <w:rPr>
          <w:b/>
          <w:u w:val="single"/>
        </w:rPr>
        <w:t>:</w:t>
      </w:r>
    </w:p>
    <w:p w:rsidR="008C0885" w:rsidRDefault="008C0885" w:rsidP="00FA6713">
      <w:pPr>
        <w:pStyle w:val="BodyText2"/>
        <w:tabs>
          <w:tab w:val="left" w:pos="1440"/>
        </w:tabs>
      </w:pPr>
    </w:p>
    <w:p w:rsidR="008C0885" w:rsidRDefault="008C0885" w:rsidP="008C0885">
      <w:pPr>
        <w:pStyle w:val="BodyText2"/>
        <w:tabs>
          <w:tab w:val="left" w:pos="1440"/>
        </w:tabs>
        <w:ind w:firstLine="720"/>
      </w:pPr>
    </w:p>
    <w:p w:rsidR="00FA6713" w:rsidRDefault="00FA6713" w:rsidP="008C0885">
      <w:pPr>
        <w:pStyle w:val="BodyText2"/>
        <w:tabs>
          <w:tab w:val="left" w:pos="1440"/>
        </w:tabs>
        <w:ind w:firstLine="720"/>
      </w:pPr>
    </w:p>
    <w:p w:rsidR="00985244" w:rsidRDefault="00985244" w:rsidP="008C0885">
      <w:pPr>
        <w:pStyle w:val="BodyText2"/>
        <w:tabs>
          <w:tab w:val="left" w:pos="1440"/>
        </w:tabs>
        <w:ind w:firstLine="720"/>
      </w:pPr>
    </w:p>
    <w:p w:rsidR="008C0885" w:rsidRDefault="008C0885" w:rsidP="008C0885">
      <w:pPr>
        <w:pStyle w:val="BodyText2"/>
        <w:tabs>
          <w:tab w:val="left" w:pos="1440"/>
        </w:tabs>
        <w:ind w:firstLine="720"/>
      </w:pPr>
    </w:p>
    <w:p w:rsidR="00FA6713" w:rsidRDefault="00FA6713" w:rsidP="008C0885">
      <w:pPr>
        <w:pStyle w:val="BodyText2"/>
        <w:tabs>
          <w:tab w:val="left" w:pos="1440"/>
        </w:tabs>
        <w:ind w:firstLine="720"/>
      </w:pPr>
    </w:p>
    <w:p w:rsidR="00FA6713" w:rsidRDefault="00FA6713" w:rsidP="00020E23">
      <w:pPr>
        <w:pStyle w:val="BodyText2"/>
        <w:tabs>
          <w:tab w:val="left" w:pos="1440"/>
        </w:tabs>
        <w:spacing w:after="120"/>
      </w:pPr>
    </w:p>
    <w:p w:rsidR="00985244" w:rsidRDefault="008C0885" w:rsidP="008C0885">
      <w:pPr>
        <w:pStyle w:val="BodyText2"/>
        <w:tabs>
          <w:tab w:val="left" w:pos="1440"/>
        </w:tabs>
        <w:ind w:firstLine="720"/>
      </w:pPr>
      <w:r w:rsidRPr="00EA7314">
        <w:t>As shown above, the General Plant category also includes</w:t>
      </w:r>
      <w:r w:rsidR="00020E23">
        <w:t xml:space="preserve"> assets such as Transportation E</w:t>
      </w:r>
      <w:r w:rsidRPr="00EA7314">
        <w:t>quipment, Tools</w:t>
      </w:r>
      <w:r w:rsidR="00280304">
        <w:t>,</w:t>
      </w:r>
      <w:r w:rsidRPr="00EA7314">
        <w:t xml:space="preserve"> and Communication Equipment, which are all tied to the everyday operations of the Company.</w:t>
      </w:r>
      <w:r w:rsidR="00D1534E">
        <w:t xml:space="preserve">  These are items that are no less “time-sensitive” than other asset categories.</w:t>
      </w:r>
      <w:r w:rsidRPr="00EA7314">
        <w:t xml:space="preserve">  </w:t>
      </w:r>
      <w:r w:rsidR="00280304">
        <w:lastRenderedPageBreak/>
        <w:t>This table also shows</w:t>
      </w:r>
      <w:r w:rsidRPr="00EA7314">
        <w:t xml:space="preserve"> the relative size of each account as </w:t>
      </w:r>
      <w:r w:rsidR="00280304">
        <w:t>a percentage of the</w:t>
      </w:r>
      <w:r w:rsidRPr="00EA7314">
        <w:t xml:space="preserve"> total general plant</w:t>
      </w:r>
      <w:r>
        <w:t xml:space="preserve"> balance</w:t>
      </w:r>
      <w:r w:rsidRPr="00EA7314">
        <w:t xml:space="preserve">. </w:t>
      </w:r>
      <w:r w:rsidR="00280304">
        <w:t xml:space="preserve"> </w:t>
      </w:r>
      <w:r w:rsidRPr="00EA7314">
        <w:t xml:space="preserve">Communication Equipment and Transportation Equipment </w:t>
      </w:r>
      <w:r w:rsidR="00280304">
        <w:t>represent</w:t>
      </w:r>
      <w:r w:rsidRPr="00EA7314">
        <w:t xml:space="preserve"> </w:t>
      </w:r>
      <w:r w:rsidR="00280304">
        <w:t>significant portions</w:t>
      </w:r>
      <w:r w:rsidRPr="00EA7314">
        <w:t xml:space="preserve"> </w:t>
      </w:r>
      <w:r w:rsidR="00280304">
        <w:t>of</w:t>
      </w:r>
      <w:r w:rsidR="00280304" w:rsidRPr="00EA7314">
        <w:t xml:space="preserve"> </w:t>
      </w:r>
      <w:r w:rsidRPr="00EA7314">
        <w:t>the overall general plant category balance.</w:t>
      </w:r>
      <w:r>
        <w:t xml:space="preserve"> </w:t>
      </w:r>
    </w:p>
    <w:p w:rsidR="008C0885" w:rsidRDefault="005F1198" w:rsidP="008C0885">
      <w:pPr>
        <w:pStyle w:val="BodyText2"/>
        <w:tabs>
          <w:tab w:val="left" w:pos="1440"/>
        </w:tabs>
        <w:ind w:firstLine="720"/>
      </w:pPr>
      <w:r>
        <w:t>O</w:t>
      </w:r>
      <w:r w:rsidR="008C0885">
        <w:t xml:space="preserve">ne example of Communication equipment that has been a driver in this category is the Company’s Next </w:t>
      </w:r>
      <w:r w:rsidR="00186437">
        <w:t>Generation</w:t>
      </w:r>
      <w:r w:rsidR="008C0885">
        <w:t xml:space="preserve"> Radio System</w:t>
      </w:r>
      <w:r w:rsidR="00280304">
        <w:t xml:space="preserve"> program,</w:t>
      </w:r>
      <w:r w:rsidR="008C0885">
        <w:t xml:space="preserve"> which is refreshing the Company’s 20-year-old Land Mobile Radio System. The Company maintains this private system because no public provider is capable of supporting communications throughout our rural service territory. </w:t>
      </w:r>
      <w:r w:rsidR="00280304">
        <w:t xml:space="preserve">Because </w:t>
      </w:r>
      <w:r w:rsidR="008C0885">
        <w:t xml:space="preserve">the Company’s systems </w:t>
      </w:r>
      <w:r w:rsidR="00280304">
        <w:t xml:space="preserve">represent </w:t>
      </w:r>
      <w:r w:rsidR="008C0885">
        <w:t xml:space="preserve">a portion of the nation’s critical infrastructure, the Company is required to have a communication system that will operate in the event of a disaster. This project </w:t>
      </w:r>
      <w:r w:rsidR="008C0885" w:rsidRPr="00D1534E">
        <w:rPr>
          <w:u w:val="single"/>
        </w:rPr>
        <w:t>is mandated by the Federal Communications Commission</w:t>
      </w:r>
      <w:r w:rsidR="00280304">
        <w:t>, which requires</w:t>
      </w:r>
      <w:r w:rsidR="008C0885">
        <w:t xml:space="preserve"> </w:t>
      </w:r>
      <w:r w:rsidR="008C0885" w:rsidRPr="00C87E54">
        <w:t>that all licensees in the Industrial/Business Radio Pool migrate to spectrum efficient narrowband technology</w:t>
      </w:r>
      <w:r w:rsidR="008C0885">
        <w:t xml:space="preserve">. </w:t>
      </w:r>
      <w:r w:rsidR="00280304">
        <w:t>P</w:t>
      </w:r>
      <w:r w:rsidR="008C0885">
        <w:t xml:space="preserve">rojects such as these cannot simply be deferred. </w:t>
      </w:r>
    </w:p>
    <w:p w:rsidR="005F1198" w:rsidRDefault="005F1198" w:rsidP="005F1198">
      <w:pPr>
        <w:pStyle w:val="BodyText2"/>
        <w:tabs>
          <w:tab w:val="left" w:pos="1440"/>
        </w:tabs>
        <w:ind w:firstLine="720"/>
      </w:pPr>
      <w:r>
        <w:t>In addition</w:t>
      </w:r>
      <w:r w:rsidR="008C0885">
        <w:t xml:space="preserve">, Structures and </w:t>
      </w:r>
      <w:r w:rsidR="00985244">
        <w:t>I</w:t>
      </w:r>
      <w:r w:rsidR="008C0885">
        <w:t>mprovements are</w:t>
      </w:r>
      <w:r w:rsidR="00747E2C">
        <w:t xml:space="preserve"> indeed</w:t>
      </w:r>
      <w:r w:rsidR="008C0885">
        <w:t xml:space="preserve"> a large part </w:t>
      </w:r>
      <w:r w:rsidR="00985244">
        <w:t>of the balance (25% for electric) of this category. H</w:t>
      </w:r>
      <w:r w:rsidR="008C0885">
        <w:t>owever, the Company has been investing in its current office facilities, as many of our facilities have been in service for over 50 years. In particular, the HVAC Renovation project</w:t>
      </w:r>
      <w:r w:rsidR="00EC63D5">
        <w:t xml:space="preserve"> for the Company’s main office building,</w:t>
      </w:r>
      <w:r w:rsidR="008C0885">
        <w:t xml:space="preserve"> </w:t>
      </w:r>
      <w:r w:rsidR="00EC63D5">
        <w:t>which</w:t>
      </w:r>
      <w:r w:rsidR="008C0885">
        <w:t xml:space="preserve"> has been ongoing for the last several years, </w:t>
      </w:r>
      <w:r w:rsidR="00280304">
        <w:t>replaced</w:t>
      </w:r>
      <w:r w:rsidR="008C0885">
        <w:t xml:space="preserve"> a ventilation and Air Conditioning system that </w:t>
      </w:r>
      <w:r w:rsidR="00280304">
        <w:t xml:space="preserve">had </w:t>
      </w:r>
      <w:r w:rsidR="008C0885">
        <w:t xml:space="preserve">been operating 24/7 since the original construction in 1956. This renovation included a massive </w:t>
      </w:r>
      <w:r w:rsidR="00280304">
        <w:t xml:space="preserve">asbestos abatement </w:t>
      </w:r>
      <w:r w:rsidR="008C0885">
        <w:t xml:space="preserve">component, and the </w:t>
      </w:r>
      <w:r w:rsidR="00280304">
        <w:t xml:space="preserve">removal of </w:t>
      </w:r>
      <w:r w:rsidR="008C0885">
        <w:t xml:space="preserve">original fire proofing on the basic steel structure of the building. </w:t>
      </w:r>
      <w:r w:rsidR="00EC63D5">
        <w:t>Avista is investing in its existing main office building and campus to “make do” with the existing facilities, to avoid the need to build a new building and new campus in another location.</w:t>
      </w:r>
    </w:p>
    <w:p w:rsidR="008C0885" w:rsidRPr="005F1198" w:rsidRDefault="008C0885" w:rsidP="005F1198">
      <w:pPr>
        <w:pStyle w:val="BodyText2"/>
        <w:tabs>
          <w:tab w:val="left" w:pos="1440"/>
        </w:tabs>
        <w:ind w:firstLine="720"/>
      </w:pPr>
      <w:r w:rsidRPr="00C8796C">
        <w:rPr>
          <w:b/>
        </w:rPr>
        <w:lastRenderedPageBreak/>
        <w:t>Q.</w:t>
      </w:r>
      <w:r w:rsidRPr="00C8796C">
        <w:rPr>
          <w:b/>
        </w:rPr>
        <w:tab/>
      </w:r>
      <w:r>
        <w:rPr>
          <w:b/>
        </w:rPr>
        <w:t>You mention above that the Company’s Next Generation Radio System is mostly included in General plant under</w:t>
      </w:r>
      <w:r w:rsidR="00985244">
        <w:rPr>
          <w:b/>
        </w:rPr>
        <w:t xml:space="preserve"> the Communication FERC account. H</w:t>
      </w:r>
      <w:r>
        <w:rPr>
          <w:b/>
        </w:rPr>
        <w:t xml:space="preserve">owever, I see that on your Exhibit No. KKS-4 Next Generation Radio is listed as </w:t>
      </w:r>
      <w:r w:rsidR="00985244">
        <w:rPr>
          <w:b/>
        </w:rPr>
        <w:t>an Information Technology Asset.</w:t>
      </w:r>
      <w:r>
        <w:rPr>
          <w:b/>
        </w:rPr>
        <w:t xml:space="preserve"> </w:t>
      </w:r>
      <w:r w:rsidR="00985244">
        <w:rPr>
          <w:b/>
        </w:rPr>
        <w:t xml:space="preserve">Please </w:t>
      </w:r>
      <w:r>
        <w:rPr>
          <w:b/>
        </w:rPr>
        <w:t>explain why this asset is functionalized differently in this Exhibit</w:t>
      </w:r>
      <w:r w:rsidRPr="00C8796C">
        <w:rPr>
          <w:b/>
        </w:rPr>
        <w:t>?</w:t>
      </w:r>
      <w:r w:rsidRPr="00D720B9">
        <w:rPr>
          <w:b/>
        </w:rPr>
        <w:t xml:space="preserve"> </w:t>
      </w:r>
    </w:p>
    <w:p w:rsidR="00B60939" w:rsidRPr="005F1198" w:rsidRDefault="008C0885" w:rsidP="005F1198">
      <w:pPr>
        <w:pStyle w:val="BodyText2"/>
        <w:tabs>
          <w:tab w:val="left" w:pos="1440"/>
        </w:tabs>
        <w:ind w:firstLine="720"/>
      </w:pPr>
      <w:r w:rsidRPr="00D720B9">
        <w:t>A.</w:t>
      </w:r>
      <w:r>
        <w:tab/>
        <w:t>Technology assets are categorized at a high level</w:t>
      </w:r>
      <w:r w:rsidR="00791D15">
        <w:t>,</w:t>
      </w:r>
      <w:r>
        <w:t xml:space="preserve"> for planning purposes</w:t>
      </w:r>
      <w:r w:rsidR="00791D15">
        <w:t>,</w:t>
      </w:r>
      <w:r>
        <w:t xml:space="preserve"> to the group that will work most closely on that particular project, which is how the Company has categorized them for presentation purposes in Exhibit No. KKS-4.  However, from an accounting standpoint, </w:t>
      </w:r>
      <w:r w:rsidR="00791D15">
        <w:t xml:space="preserve">when these assets are transferred to plant, </w:t>
      </w:r>
      <w:r>
        <w:t xml:space="preserve">a more granular </w:t>
      </w:r>
      <w:r w:rsidR="00791D15">
        <w:t>examination occurs</w:t>
      </w:r>
      <w:r>
        <w:t xml:space="preserve"> with respect to the asset</w:t>
      </w:r>
      <w:r w:rsidR="00791D15">
        <w:t xml:space="preserve"> category,</w:t>
      </w:r>
      <w:r>
        <w:t xml:space="preserve"> as classified by FERC account</w:t>
      </w:r>
      <w:r w:rsidR="00791D15">
        <w:t>,</w:t>
      </w:r>
      <w:r>
        <w:t xml:space="preserve"> and</w:t>
      </w:r>
      <w:r w:rsidR="00791D15">
        <w:t xml:space="preserve"> with respect to</w:t>
      </w:r>
      <w:r>
        <w:t xml:space="preserve"> which depreciation rate is used. As a part of the adjustment prepared by the Company in this case, the Company </w:t>
      </w:r>
      <w:r w:rsidR="00791D15">
        <w:t xml:space="preserve">allocated information technology projects between software and hardware components </w:t>
      </w:r>
      <w:r w:rsidR="009F21B8">
        <w:t xml:space="preserve">to </w:t>
      </w:r>
      <w:r w:rsidR="00791D15">
        <w:t>reflect</w:t>
      </w:r>
      <w:r w:rsidR="00747E2C">
        <w:t xml:space="preserve"> the portion</w:t>
      </w:r>
      <w:r w:rsidR="00791D15">
        <w:t>s</w:t>
      </w:r>
      <w:r w:rsidR="00747E2C">
        <w:t xml:space="preserve"> of the </w:t>
      </w:r>
      <w:r w:rsidR="00791D15">
        <w:t xml:space="preserve">Next Generation Radio System project and other information technology projects which fall in the general plant category.  This is done </w:t>
      </w:r>
      <w:r>
        <w:t>in order to calculate the appropriate depreciation expense and accumulated depreciation</w:t>
      </w:r>
      <w:r w:rsidR="00791D15">
        <w:t xml:space="preserve"> for these investments</w:t>
      </w:r>
      <w:r>
        <w:t xml:space="preserve">. </w:t>
      </w:r>
    </w:p>
    <w:p w:rsidR="002F5D38" w:rsidRPr="002F5D38" w:rsidRDefault="002F5D38" w:rsidP="002F5D38">
      <w:pPr>
        <w:spacing w:line="480" w:lineRule="auto"/>
      </w:pPr>
    </w:p>
    <w:p w:rsidR="00B60939" w:rsidRPr="00A60A65" w:rsidRDefault="00B60939" w:rsidP="00C0463B">
      <w:pPr>
        <w:pStyle w:val="Heading1"/>
        <w:jc w:val="center"/>
        <w:rPr>
          <w:u w:val="single"/>
        </w:rPr>
      </w:pPr>
      <w:bookmarkStart w:id="10" w:name="_Toc461701407"/>
      <w:r w:rsidRPr="00A60A65">
        <w:rPr>
          <w:u w:val="single"/>
        </w:rPr>
        <w:t>VII.  ALLOWANCE FOR FUNDS USED DURING CONSTRUCTION (AFUDC)</w:t>
      </w:r>
      <w:bookmarkEnd w:id="10"/>
    </w:p>
    <w:p w:rsidR="008C0885" w:rsidRPr="00976B74" w:rsidRDefault="008C0885" w:rsidP="008C0885">
      <w:pPr>
        <w:spacing w:line="480" w:lineRule="auto"/>
        <w:ind w:firstLine="720"/>
        <w:jc w:val="both"/>
        <w:rPr>
          <w:b/>
        </w:rPr>
      </w:pPr>
      <w:r w:rsidRPr="00976B74">
        <w:rPr>
          <w:b/>
        </w:rPr>
        <w:t>Q.</w:t>
      </w:r>
      <w:r w:rsidRPr="00976B74">
        <w:rPr>
          <w:b/>
        </w:rPr>
        <w:tab/>
      </w:r>
      <w:r w:rsidR="00985244">
        <w:rPr>
          <w:b/>
        </w:rPr>
        <w:t xml:space="preserve">Do you have concerns with Public Counsel </w:t>
      </w:r>
      <w:r w:rsidR="00D1534E">
        <w:rPr>
          <w:b/>
        </w:rPr>
        <w:t>w</w:t>
      </w:r>
      <w:r w:rsidR="00985244">
        <w:rPr>
          <w:b/>
        </w:rPr>
        <w:t>itness Mr. Watkins</w:t>
      </w:r>
      <w:r w:rsidR="00D1534E">
        <w:rPr>
          <w:b/>
        </w:rPr>
        <w:t>’</w:t>
      </w:r>
      <w:r w:rsidR="00985244">
        <w:rPr>
          <w:b/>
        </w:rPr>
        <w:t xml:space="preserve"> conclusions regarding AFUDC</w:t>
      </w:r>
      <w:r w:rsidRPr="00976B74">
        <w:rPr>
          <w:b/>
        </w:rPr>
        <w:t xml:space="preserve">? </w:t>
      </w:r>
    </w:p>
    <w:p w:rsidR="003B3B47" w:rsidRDefault="008C0885" w:rsidP="00287D38">
      <w:pPr>
        <w:spacing w:line="480" w:lineRule="auto"/>
        <w:ind w:firstLine="720"/>
        <w:jc w:val="both"/>
      </w:pPr>
      <w:r>
        <w:t>A.</w:t>
      </w:r>
      <w:r>
        <w:tab/>
        <w:t xml:space="preserve">Yes. </w:t>
      </w:r>
      <w:r w:rsidR="005F1198">
        <w:t>T</w:t>
      </w:r>
      <w:r w:rsidR="00791D15">
        <w:t>he role of AFUDC is not to address regulatory lag</w:t>
      </w:r>
      <w:r w:rsidR="00407DB4">
        <w:t>. R</w:t>
      </w:r>
      <w:r w:rsidR="00791D15">
        <w:t>ather</w:t>
      </w:r>
      <w:r w:rsidR="00407DB4">
        <w:t>,</w:t>
      </w:r>
      <w:r w:rsidR="00791D15">
        <w:t xml:space="preserve"> </w:t>
      </w:r>
      <w:r w:rsidR="00CE3DC8">
        <w:t xml:space="preserve">AFUDC represents compensation </w:t>
      </w:r>
      <w:r w:rsidR="00287D38">
        <w:t>to</w:t>
      </w:r>
      <w:r w:rsidR="00CE3DC8">
        <w:t xml:space="preserve"> the Company </w:t>
      </w:r>
      <w:r w:rsidR="00287D38">
        <w:t>to cover the carrying cost of</w:t>
      </w:r>
      <w:r w:rsidR="00CE3DC8">
        <w:t xml:space="preserve"> assets during construction</w:t>
      </w:r>
      <w:r w:rsidR="00287D38">
        <w:t xml:space="preserve">, </w:t>
      </w:r>
      <w:r w:rsidR="00287D38">
        <w:br w:type="page"/>
      </w:r>
      <w:r w:rsidR="00287D38">
        <w:lastRenderedPageBreak/>
        <w:t xml:space="preserve">i.e., </w:t>
      </w:r>
      <w:r w:rsidR="00407DB4">
        <w:t>the</w:t>
      </w:r>
      <w:r w:rsidR="00CE3DC8">
        <w:t xml:space="preserve"> cost</w:t>
      </w:r>
      <w:r w:rsidR="00407DB4">
        <w:t>s</w:t>
      </w:r>
      <w:r w:rsidR="00287D38">
        <w:t xml:space="preserve"> associated with</w:t>
      </w:r>
      <w:r w:rsidR="00CE3DC8">
        <w:t xml:space="preserve"> debt and equity financing that funds the construction.</w:t>
      </w:r>
      <w:r w:rsidR="00407DB4">
        <w:rPr>
          <w:rStyle w:val="FootnoteReference"/>
        </w:rPr>
        <w:footnoteReference w:id="22"/>
      </w:r>
      <w:r w:rsidR="00D1534E">
        <w:t xml:space="preserve"> </w:t>
      </w:r>
      <w:r w:rsidR="00407DB4">
        <w:t xml:space="preserve">The recognition of </w:t>
      </w:r>
      <w:r>
        <w:t>AFUDC stop</w:t>
      </w:r>
      <w:r w:rsidR="00985244">
        <w:t>s once an</w:t>
      </w:r>
      <w:r>
        <w:t xml:space="preserve"> asset is placed into service</w:t>
      </w:r>
      <w:r w:rsidR="00985244">
        <w:t xml:space="preserve">. </w:t>
      </w:r>
      <w:r w:rsidR="00407DB4">
        <w:t xml:space="preserve">Therefore, the </w:t>
      </w:r>
      <w:r>
        <w:t xml:space="preserve">time between when </w:t>
      </w:r>
      <w:r w:rsidR="00407DB4">
        <w:t xml:space="preserve">an </w:t>
      </w:r>
      <w:r>
        <w:t xml:space="preserve">asset is </w:t>
      </w:r>
      <w:r w:rsidR="00791D15">
        <w:t xml:space="preserve">placed </w:t>
      </w:r>
      <w:r>
        <w:t>in service and</w:t>
      </w:r>
      <w:r w:rsidR="00791D15">
        <w:t xml:space="preserve"> when</w:t>
      </w:r>
      <w:r>
        <w:t xml:space="preserve"> </w:t>
      </w:r>
      <w:r w:rsidR="00407DB4">
        <w:t xml:space="preserve">that same asset is included in rates for </w:t>
      </w:r>
      <w:r w:rsidR="00985244">
        <w:t xml:space="preserve">cost </w:t>
      </w:r>
      <w:r>
        <w:t xml:space="preserve">recovery </w:t>
      </w:r>
      <w:r w:rsidR="00407DB4">
        <w:t xml:space="preserve">certainly </w:t>
      </w:r>
      <w:r w:rsidR="00791D15">
        <w:t>results</w:t>
      </w:r>
      <w:r>
        <w:t xml:space="preserve"> </w:t>
      </w:r>
      <w:r w:rsidR="00791D15">
        <w:t>in</w:t>
      </w:r>
      <w:r>
        <w:t xml:space="preserve"> lag. </w:t>
      </w:r>
      <w:r w:rsidR="00E6053D">
        <w:t xml:space="preserve"> </w:t>
      </w:r>
      <w:r>
        <w:t xml:space="preserve">Therefore, </w:t>
      </w:r>
      <w:r w:rsidR="00E6053D">
        <w:t xml:space="preserve">the argument that </w:t>
      </w:r>
      <w:r>
        <w:t>AFUDC</w:t>
      </w:r>
      <w:r w:rsidR="00E6053D">
        <w:t xml:space="preserve"> addresses</w:t>
      </w:r>
      <w:r>
        <w:t xml:space="preserve"> regulatory lag </w:t>
      </w:r>
      <w:r w:rsidR="00E6053D">
        <w:t xml:space="preserve">(the period between </w:t>
      </w:r>
      <w:r>
        <w:t xml:space="preserve">the time plant </w:t>
      </w:r>
      <w:r w:rsidR="00E6053D">
        <w:t>is placed in</w:t>
      </w:r>
      <w:r>
        <w:t xml:space="preserve"> service and </w:t>
      </w:r>
      <w:r w:rsidR="00E6053D">
        <w:t xml:space="preserve">the point </w:t>
      </w:r>
      <w:r>
        <w:t xml:space="preserve">recovery </w:t>
      </w:r>
      <w:r w:rsidR="00E6053D">
        <w:t xml:space="preserve">of the costs associated with said plant </w:t>
      </w:r>
      <w:r>
        <w:t>is granted</w:t>
      </w:r>
      <w:r w:rsidR="00E6053D">
        <w:t>) is not only incorrect,</w:t>
      </w:r>
      <w:r w:rsidR="009F21B8">
        <w:t xml:space="preserve"> but it also reflects</w:t>
      </w:r>
      <w:r w:rsidR="00E6053D">
        <w:t xml:space="preserve"> a fundamental misunderstanding of both AFUDC and regulatory lag</w:t>
      </w:r>
      <w:r>
        <w:t xml:space="preserve">.  </w:t>
      </w:r>
    </w:p>
    <w:p w:rsidR="00435706" w:rsidRPr="00D7770E" w:rsidRDefault="00435706" w:rsidP="00277436">
      <w:pPr>
        <w:pStyle w:val="BodyTextIndent2"/>
        <w:tabs>
          <w:tab w:val="clear" w:pos="1260"/>
          <w:tab w:val="left" w:pos="1440"/>
        </w:tabs>
        <w:ind w:left="0" w:firstLine="720"/>
        <w:rPr>
          <w:b/>
          <w:bCs/>
        </w:rPr>
      </w:pPr>
      <w:r w:rsidRPr="00D7770E">
        <w:rPr>
          <w:b/>
          <w:bCs/>
        </w:rPr>
        <w:t>Q.</w:t>
      </w:r>
      <w:r w:rsidRPr="00D7770E">
        <w:rPr>
          <w:b/>
          <w:bCs/>
        </w:rPr>
        <w:tab/>
        <w:t xml:space="preserve">Does this conclude your </w:t>
      </w:r>
      <w:r w:rsidR="005705D8">
        <w:rPr>
          <w:b/>
          <w:bCs/>
        </w:rPr>
        <w:t xml:space="preserve">rebuttal </w:t>
      </w:r>
      <w:r w:rsidRPr="00D7770E">
        <w:rPr>
          <w:b/>
          <w:bCs/>
        </w:rPr>
        <w:t>testimony?</w:t>
      </w:r>
    </w:p>
    <w:p w:rsidR="00435706" w:rsidRPr="00D7770E" w:rsidRDefault="00435706" w:rsidP="00277436">
      <w:pPr>
        <w:pStyle w:val="BodyText2"/>
        <w:tabs>
          <w:tab w:val="left" w:pos="1440"/>
        </w:tabs>
        <w:ind w:firstLine="720"/>
      </w:pPr>
      <w:r w:rsidRPr="00D7770E">
        <w:t>A.</w:t>
      </w:r>
      <w:r w:rsidRPr="00D7770E">
        <w:tab/>
        <w:t>Yes, it does.</w:t>
      </w:r>
    </w:p>
    <w:sectPr w:rsidR="00435706" w:rsidRPr="00D7770E" w:rsidSect="00753FE0">
      <w:pgSz w:w="12240" w:h="15840" w:code="1"/>
      <w:pgMar w:top="1440" w:right="1008" w:bottom="1710" w:left="1872" w:header="720" w:footer="360" w:gutter="0"/>
      <w:lnNumType w:countBy="1" w:distance="432"/>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E76" w:rsidRDefault="00276E76">
      <w:r>
        <w:separator/>
      </w:r>
    </w:p>
  </w:endnote>
  <w:endnote w:type="continuationSeparator" w:id="0">
    <w:p w:rsidR="00276E76" w:rsidRDefault="00276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A65" w:rsidRPr="00B161E6" w:rsidRDefault="00A60A65" w:rsidP="00F50C95">
    <w:pPr>
      <w:pStyle w:val="Footer"/>
      <w:tabs>
        <w:tab w:val="clear" w:pos="4320"/>
        <w:tab w:val="clear" w:pos="8640"/>
        <w:tab w:val="left" w:pos="180"/>
        <w:tab w:val="right" w:pos="9360"/>
      </w:tabs>
    </w:pPr>
    <w:r w:rsidRPr="00B161E6">
      <w:t xml:space="preserve">Rebuttal Testimony of </w:t>
    </w:r>
    <w:r>
      <w:t>Karen K. Schuh</w:t>
    </w:r>
  </w:p>
  <w:p w:rsidR="00A60A65" w:rsidRPr="00B161E6" w:rsidRDefault="00A60A65" w:rsidP="00F50C95">
    <w:pPr>
      <w:pStyle w:val="Footer"/>
      <w:tabs>
        <w:tab w:val="clear" w:pos="4320"/>
        <w:tab w:val="clear" w:pos="8640"/>
        <w:tab w:val="left" w:pos="180"/>
        <w:tab w:val="right" w:pos="9360"/>
      </w:tabs>
      <w:rPr>
        <w:rStyle w:val="PageNumber"/>
        <w:lang w:val="fr-FR"/>
      </w:rPr>
    </w:pPr>
    <w:r>
      <w:rPr>
        <w:lang w:val="fr-FR"/>
      </w:rPr>
      <w:t>Avista Corporation</w:t>
    </w:r>
  </w:p>
  <w:p w:rsidR="00A60A65" w:rsidRPr="00A13B91" w:rsidRDefault="00A60A65" w:rsidP="00A13B91">
    <w:pPr>
      <w:pStyle w:val="Footer"/>
      <w:tabs>
        <w:tab w:val="clear" w:pos="4320"/>
        <w:tab w:val="clear" w:pos="8640"/>
        <w:tab w:val="left" w:pos="180"/>
        <w:tab w:val="right" w:pos="9360"/>
      </w:tabs>
    </w:pPr>
    <w:r w:rsidRPr="00B161E6">
      <w:rPr>
        <w:lang w:val="fr-FR"/>
      </w:rPr>
      <w:t xml:space="preserve">Docket Nos. </w:t>
    </w:r>
    <w:r>
      <w:t>UE-160228 and UG-160229</w:t>
    </w:r>
    <w:r>
      <w:rPr>
        <w:lang w:val="fr-FR"/>
      </w:rPr>
      <w:tab/>
    </w:r>
    <w:r w:rsidRPr="00B161E6">
      <w:rPr>
        <w:lang w:val="fr-FR"/>
      </w:rPr>
      <w:t xml:space="preserve">Page </w:t>
    </w:r>
    <w:r w:rsidRPr="00B161E6">
      <w:rPr>
        <w:rStyle w:val="PageNumber"/>
      </w:rPr>
      <w:fldChar w:fldCharType="begin"/>
    </w:r>
    <w:r w:rsidRPr="00B161E6">
      <w:rPr>
        <w:rStyle w:val="PageNumber"/>
        <w:lang w:val="fr-FR"/>
      </w:rPr>
      <w:instrText xml:space="preserve"> PAGE </w:instrText>
    </w:r>
    <w:r w:rsidRPr="00B161E6">
      <w:rPr>
        <w:rStyle w:val="PageNumber"/>
      </w:rPr>
      <w:fldChar w:fldCharType="separate"/>
    </w:r>
    <w:r w:rsidR="00AD68B2">
      <w:rPr>
        <w:rStyle w:val="PageNumber"/>
        <w:noProof/>
        <w:lang w:val="fr-FR"/>
      </w:rPr>
      <w:t>10</w:t>
    </w:r>
    <w:r w:rsidRPr="00B161E6">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A65" w:rsidRDefault="00A60A65">
    <w:pPr>
      <w:pStyle w:val="Footer"/>
      <w:tabs>
        <w:tab w:val="clear" w:pos="4320"/>
        <w:tab w:val="clear" w:pos="8640"/>
        <w:tab w:val="right" w:pos="936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E76" w:rsidRDefault="00276E76">
      <w:r>
        <w:separator/>
      </w:r>
    </w:p>
  </w:footnote>
  <w:footnote w:type="continuationSeparator" w:id="0">
    <w:p w:rsidR="00276E76" w:rsidRDefault="00276E76">
      <w:r>
        <w:continuationSeparator/>
      </w:r>
    </w:p>
  </w:footnote>
  <w:footnote w:id="1">
    <w:p w:rsidR="00A60A65" w:rsidRPr="00747B21" w:rsidRDefault="00A60A65" w:rsidP="00A60A65">
      <w:pPr>
        <w:pStyle w:val="FootnoteText"/>
        <w:jc w:val="both"/>
      </w:pPr>
      <w:r w:rsidRPr="00A028B0">
        <w:rPr>
          <w:rStyle w:val="FootnoteReference"/>
        </w:rPr>
        <w:footnoteRef/>
      </w:r>
      <w:r w:rsidRPr="00A028B0">
        <w:t xml:space="preserve"> In the Company’s rebuttal testimony the use of “Modified Test Year Study” is synonymous with the Company’s previous use of “Pro Forma Study”. The Company continues to describe specific adjustments within its Modified Test Year Study as Pro Forma Adjustmen</w:t>
      </w:r>
      <w:r w:rsidRPr="00747B21">
        <w:t>ts for consistency purposes within direct testimony and workpapers.</w:t>
      </w:r>
    </w:p>
  </w:footnote>
  <w:footnote w:id="2">
    <w:p w:rsidR="00A60A65" w:rsidRPr="00537748" w:rsidRDefault="00A60A65" w:rsidP="00A60A65">
      <w:pPr>
        <w:pStyle w:val="FootnoteText"/>
        <w:keepNext/>
        <w:keepLines/>
        <w:widowControl w:val="0"/>
        <w:jc w:val="both"/>
      </w:pPr>
      <w:r w:rsidRPr="004817B4">
        <w:rPr>
          <w:rStyle w:val="FootnoteReference"/>
        </w:rPr>
        <w:footnoteRef/>
      </w:r>
      <w:r w:rsidRPr="004817B4">
        <w:t xml:space="preserve"> I will refer to the other parties in the case as follows: Staff (The Washington Utilities </w:t>
      </w:r>
      <w:r>
        <w:t>and Transportation Commission Staff), ICNU (Industrial Customer</w:t>
      </w:r>
      <w:r w:rsidRPr="004817B4">
        <w:t>s of Northwest Utilities), NWIGU (N</w:t>
      </w:r>
      <w:r>
        <w:t xml:space="preserve">orthwest Industrial Gas Users) </w:t>
      </w:r>
      <w:r w:rsidRPr="00537748">
        <w:t xml:space="preserve">and Public Counsel (Washington Office of Attorney General). </w:t>
      </w:r>
    </w:p>
  </w:footnote>
  <w:footnote w:id="3">
    <w:p w:rsidR="00A60A65" w:rsidRDefault="00A60A65" w:rsidP="00A60A65">
      <w:pPr>
        <w:pStyle w:val="FootnoteText"/>
        <w:jc w:val="both"/>
      </w:pPr>
      <w:r>
        <w:rPr>
          <w:rStyle w:val="FootnoteReference"/>
        </w:rPr>
        <w:footnoteRef/>
      </w:r>
      <w:r>
        <w:t xml:space="preserve"> Exhibit No.__JH-1T, page 15, line 19.</w:t>
      </w:r>
    </w:p>
  </w:footnote>
  <w:footnote w:id="4">
    <w:p w:rsidR="00652F44" w:rsidRDefault="00652F44" w:rsidP="00652F44">
      <w:pPr>
        <w:pStyle w:val="FootnoteText"/>
        <w:jc w:val="both"/>
      </w:pPr>
      <w:r>
        <w:rPr>
          <w:rStyle w:val="FootnoteReference"/>
        </w:rPr>
        <w:footnoteRef/>
      </w:r>
      <w:r>
        <w:t xml:space="preserve"> The Company understands that the Commmission’s last order in Dockets Nos. UE-150204 and 150205 used the “one-half of one percent” of net utility plant as a threshold for defining major plant additions, deriving it from the Commission’s rule on budgets (see WAC 480-140-040). Nevertheless, the Company believes that such a threshold arbitrarily removes from consideration a substantial level of new plant investment (nearly half) that is used to provide service to customers—e.g., smaller discrete levels of investment not otherwise meeting the threshold.</w:t>
      </w:r>
    </w:p>
  </w:footnote>
  <w:footnote w:id="5">
    <w:p w:rsidR="00A60A65" w:rsidRDefault="00A60A65" w:rsidP="00A60A65">
      <w:pPr>
        <w:pStyle w:val="FootnoteText"/>
        <w:jc w:val="both"/>
      </w:pPr>
      <w:r>
        <w:rPr>
          <w:rStyle w:val="FootnoteReference"/>
        </w:rPr>
        <w:footnoteRef/>
      </w:r>
      <w:r>
        <w:t xml:space="preserve"> This number represents Staff’s Pro Forma Adjustments and does not reflect Staff’s overall position, which recognizes that the </w:t>
      </w:r>
      <w:r w:rsidR="009D71F7">
        <w:t>M</w:t>
      </w:r>
      <w:r>
        <w:t xml:space="preserve">odified </w:t>
      </w:r>
      <w:r w:rsidR="009D71F7">
        <w:t>T</w:t>
      </w:r>
      <w:r>
        <w:t xml:space="preserve">est </w:t>
      </w:r>
      <w:r w:rsidR="009D71F7">
        <w:t>Y</w:t>
      </w:r>
      <w:r>
        <w:t xml:space="preserve">ear </w:t>
      </w:r>
      <w:r w:rsidR="009D71F7">
        <w:t>S</w:t>
      </w:r>
      <w:r>
        <w:t xml:space="preserve">tudy is insufficient, and therefore includes an attrition adjustment. </w:t>
      </w:r>
    </w:p>
  </w:footnote>
  <w:footnote w:id="6">
    <w:p w:rsidR="009D71F7" w:rsidRDefault="009D71F7" w:rsidP="009D71F7">
      <w:pPr>
        <w:pStyle w:val="FootnoteText"/>
        <w:jc w:val="both"/>
      </w:pPr>
      <w:r>
        <w:rPr>
          <w:rStyle w:val="FootnoteReference"/>
        </w:rPr>
        <w:footnoteRef/>
      </w:r>
      <w:r>
        <w:t xml:space="preserve"> These numbers represent ICNU and NWIGU’s Pro Forma Adjustments and do not reflect ICNU and NWIGU’s overall position.</w:t>
      </w:r>
    </w:p>
  </w:footnote>
  <w:footnote w:id="7">
    <w:p w:rsidR="008116DD" w:rsidRPr="000A4C1C" w:rsidRDefault="008116DD" w:rsidP="001B575C">
      <w:pPr>
        <w:pStyle w:val="BodyText2"/>
        <w:keepNext/>
        <w:keepLines/>
        <w:tabs>
          <w:tab w:val="left" w:pos="1440"/>
        </w:tabs>
        <w:spacing w:line="240" w:lineRule="auto"/>
        <w:rPr>
          <w:sz w:val="20"/>
          <w:szCs w:val="20"/>
        </w:rPr>
      </w:pPr>
      <w:r w:rsidRPr="000A4C1C">
        <w:rPr>
          <w:rStyle w:val="FootnoteReference"/>
          <w:sz w:val="20"/>
          <w:szCs w:val="20"/>
        </w:rPr>
        <w:footnoteRef/>
      </w:r>
      <w:r w:rsidRPr="000A4C1C">
        <w:rPr>
          <w:sz w:val="20"/>
          <w:szCs w:val="20"/>
        </w:rPr>
        <w:t xml:space="preserve"> For purposes of the </w:t>
      </w:r>
      <w:r>
        <w:rPr>
          <w:sz w:val="20"/>
          <w:szCs w:val="20"/>
        </w:rPr>
        <w:t>r</w:t>
      </w:r>
      <w:r w:rsidRPr="000A4C1C">
        <w:rPr>
          <w:sz w:val="20"/>
          <w:szCs w:val="20"/>
        </w:rPr>
        <w:t xml:space="preserve">ebuttal </w:t>
      </w:r>
      <w:r>
        <w:rPr>
          <w:sz w:val="20"/>
          <w:szCs w:val="20"/>
        </w:rPr>
        <w:t>Modified Test Year</w:t>
      </w:r>
      <w:r w:rsidRPr="000A4C1C">
        <w:rPr>
          <w:sz w:val="20"/>
          <w:szCs w:val="20"/>
        </w:rPr>
        <w:t xml:space="preserve"> and Cross Check Studies, the Company has included updated information as of July 2016 that was provided to Staff in response to</w:t>
      </w:r>
      <w:r>
        <w:rPr>
          <w:sz w:val="20"/>
          <w:szCs w:val="20"/>
        </w:rPr>
        <w:t xml:space="preserve"> Staff</w:t>
      </w:r>
      <w:r w:rsidRPr="000A4C1C">
        <w:rPr>
          <w:sz w:val="20"/>
          <w:szCs w:val="20"/>
        </w:rPr>
        <w:t xml:space="preserve"> Data Request 12. The Company has also updated the AMI project.  </w:t>
      </w:r>
      <w:r w:rsidRPr="000A4C1C">
        <w:rPr>
          <w:bCs/>
          <w:sz w:val="20"/>
          <w:szCs w:val="20"/>
        </w:rPr>
        <w:t xml:space="preserve">On rebuttal, Avista used the same approach as in the Company’s direct filing. Avista started with AMA rate base for the twelve months ended </w:t>
      </w:r>
      <w:r w:rsidR="00EC63D5">
        <w:rPr>
          <w:bCs/>
          <w:sz w:val="20"/>
          <w:szCs w:val="20"/>
        </w:rPr>
        <w:t>September</w:t>
      </w:r>
      <w:r w:rsidRPr="000A4C1C">
        <w:rPr>
          <w:bCs/>
          <w:sz w:val="20"/>
          <w:szCs w:val="20"/>
        </w:rPr>
        <w:t xml:space="preserve"> 3</w:t>
      </w:r>
      <w:r w:rsidR="00EC63D5">
        <w:rPr>
          <w:bCs/>
          <w:sz w:val="20"/>
          <w:szCs w:val="20"/>
        </w:rPr>
        <w:t>0</w:t>
      </w:r>
      <w:r w:rsidRPr="000A4C1C">
        <w:rPr>
          <w:bCs/>
          <w:sz w:val="20"/>
          <w:szCs w:val="20"/>
        </w:rPr>
        <w:t xml:space="preserve">, 2015 adjusting through AMA June 30, 2018, updated with current information. </w:t>
      </w:r>
    </w:p>
  </w:footnote>
  <w:footnote w:id="8">
    <w:p w:rsidR="008116DD" w:rsidRPr="000A4C1C" w:rsidRDefault="008116DD" w:rsidP="008116DD">
      <w:pPr>
        <w:pStyle w:val="FootnoteText"/>
        <w:jc w:val="both"/>
      </w:pPr>
      <w:r w:rsidRPr="000A4C1C">
        <w:rPr>
          <w:rStyle w:val="FootnoteReference"/>
        </w:rPr>
        <w:footnoteRef/>
      </w:r>
      <w:r w:rsidRPr="000A4C1C">
        <w:t xml:space="preserve"> Id.</w:t>
      </w:r>
    </w:p>
  </w:footnote>
  <w:footnote w:id="9">
    <w:p w:rsidR="00A60A65" w:rsidRPr="000A4C1C" w:rsidRDefault="00A60A65" w:rsidP="00A60A65">
      <w:pPr>
        <w:pStyle w:val="FootnoteText"/>
        <w:jc w:val="both"/>
      </w:pPr>
      <w:r w:rsidRPr="000A4C1C">
        <w:rPr>
          <w:rStyle w:val="FootnoteReference"/>
        </w:rPr>
        <w:footnoteRef/>
      </w:r>
      <w:r w:rsidRPr="000A4C1C">
        <w:t xml:space="preserve"> Ms. S</w:t>
      </w:r>
      <w:r>
        <w:t>mith’s updated electric Cross Check Study</w:t>
      </w:r>
      <w:r w:rsidRPr="000A4C1C">
        <w:t xml:space="preserve"> for the 2018 rate period starts with restated electric net plant after ADFIT of $1.</w:t>
      </w:r>
      <w:r w:rsidR="00102BBC">
        <w:t>459</w:t>
      </w:r>
      <w:r w:rsidRPr="000A4C1C">
        <w:t xml:space="preserve"> billion and then adds $</w:t>
      </w:r>
      <w:r w:rsidR="00102BBC">
        <w:t>12.7 million</w:t>
      </w:r>
      <w:r w:rsidRPr="000A4C1C">
        <w:t xml:space="preserve"> in net plant additions to arrive at a total level of Washington electric plant for the January </w:t>
      </w:r>
      <w:r>
        <w:t>to</w:t>
      </w:r>
      <w:r w:rsidRPr="000A4C1C">
        <w:t xml:space="preserve"> June 2018 rate period of $1.</w:t>
      </w:r>
      <w:r w:rsidR="00102BBC">
        <w:t>472</w:t>
      </w:r>
      <w:r w:rsidRPr="000A4C1C">
        <w:t xml:space="preserve"> billion. For natural gas, Ms. Smith’s updated Cross Check Stud</w:t>
      </w:r>
      <w:r>
        <w:t>y</w:t>
      </w:r>
      <w:r w:rsidRPr="000A4C1C">
        <w:t xml:space="preserve"> starts with the restated natural gas net plant after ADFIT of $</w:t>
      </w:r>
      <w:r w:rsidR="00102BBC">
        <w:t>276</w:t>
      </w:r>
      <w:r w:rsidRPr="000A4C1C">
        <w:t xml:space="preserve"> million and then </w:t>
      </w:r>
      <w:r w:rsidR="00102BBC">
        <w:t>adds</w:t>
      </w:r>
      <w:r w:rsidRPr="000A4C1C">
        <w:t xml:space="preserve"> $</w:t>
      </w:r>
      <w:r w:rsidR="00102BBC">
        <w:t>4.7 million</w:t>
      </w:r>
      <w:r w:rsidRPr="000A4C1C">
        <w:t xml:space="preserve"> of net plant to arrive at a total level of Washington natural gas net plant for the 201</w:t>
      </w:r>
      <w:r w:rsidR="00102BBC">
        <w:t>8</w:t>
      </w:r>
      <w:r w:rsidRPr="000A4C1C">
        <w:t xml:space="preserve"> rate </w:t>
      </w:r>
      <w:r w:rsidR="00102BBC">
        <w:t>period</w:t>
      </w:r>
      <w:r w:rsidRPr="000A4C1C">
        <w:t xml:space="preserve"> of $</w:t>
      </w:r>
      <w:r w:rsidR="00102BBC">
        <w:t>280</w:t>
      </w:r>
      <w:r w:rsidRPr="000A4C1C">
        <w:t>.</w:t>
      </w:r>
      <w:r w:rsidR="00102BBC">
        <w:t>6</w:t>
      </w:r>
      <w:r w:rsidRPr="000A4C1C">
        <w:t xml:space="preserve"> million.</w:t>
      </w:r>
    </w:p>
  </w:footnote>
  <w:footnote w:id="10">
    <w:p w:rsidR="00A60A65" w:rsidRDefault="00A60A65" w:rsidP="00A60A65">
      <w:pPr>
        <w:pStyle w:val="FootnoteText"/>
        <w:jc w:val="both"/>
      </w:pPr>
      <w:r w:rsidRPr="000A4C1C">
        <w:rPr>
          <w:rStyle w:val="FootnoteReference"/>
        </w:rPr>
        <w:footnoteRef/>
      </w:r>
      <w:r w:rsidRPr="000A4C1C">
        <w:t xml:space="preserve"> The Attrition Study amounts represented above are from Exhibit No.__(EMA-7) page 5, line 46, column M, for electric, and Exhibit No.__(EMA-8) page 5, line 42, column M for natural gas</w:t>
      </w:r>
      <w:r w:rsidR="00B52A45">
        <w:t>,</w:t>
      </w:r>
      <w:r w:rsidRPr="000A4C1C">
        <w:t xml:space="preserve"> gross</w:t>
      </w:r>
      <w:r w:rsidR="00B52A45">
        <w:t xml:space="preserve">ed </w:t>
      </w:r>
      <w:r w:rsidRPr="000A4C1C">
        <w:t>down by the revenue growth factor of 1.013115 and 1.011566, respectively.</w:t>
      </w:r>
    </w:p>
  </w:footnote>
  <w:footnote w:id="11">
    <w:p w:rsidR="00A60A65" w:rsidRDefault="00A60A65" w:rsidP="00A60A65">
      <w:pPr>
        <w:pStyle w:val="FootnoteText"/>
        <w:jc w:val="both"/>
      </w:pPr>
      <w:r>
        <w:rPr>
          <w:rStyle w:val="FootnoteReference"/>
        </w:rPr>
        <w:footnoteRef/>
      </w:r>
      <w:r>
        <w:t xml:space="preserve"> Id.</w:t>
      </w:r>
    </w:p>
  </w:footnote>
  <w:footnote w:id="12">
    <w:p w:rsidR="00020E23" w:rsidRDefault="00020E23" w:rsidP="00020E23">
      <w:pPr>
        <w:pStyle w:val="FootnoteText"/>
        <w:jc w:val="both"/>
      </w:pPr>
      <w:r>
        <w:rPr>
          <w:rStyle w:val="FootnoteReference"/>
        </w:rPr>
        <w:footnoteRef/>
      </w:r>
      <w:r>
        <w:t xml:space="preserve"> The MDM system consists of computer hardware and software applications that store, validate, edit, and analyze the interval consumption data for use with Avista’s billing system, as well as coordinate specified metering commands.</w:t>
      </w:r>
    </w:p>
  </w:footnote>
  <w:footnote w:id="13">
    <w:p w:rsidR="00E21FA6" w:rsidRDefault="00E21FA6" w:rsidP="002C769F">
      <w:pPr>
        <w:pStyle w:val="FootnoteText"/>
        <w:jc w:val="both"/>
      </w:pPr>
      <w:r>
        <w:rPr>
          <w:rStyle w:val="FootnoteReference"/>
        </w:rPr>
        <w:footnoteRef/>
      </w:r>
      <w:r>
        <w:t xml:space="preserve"> The $96.7 million total investment for 2017 through June 30, 2018 comprises the following components: Meter Data Ma</w:t>
      </w:r>
      <w:r w:rsidR="003277F5">
        <w:t>nagement system ($28.3 million),</w:t>
      </w:r>
      <w:r>
        <w:t xml:space="preserve"> </w:t>
      </w:r>
      <w:r w:rsidR="003277F5">
        <w:t>Electric Meter Deployment ($21.3 million), Gas Meter Deployment ($13.4 million), Head End System ($16.4 million), Collector Infrastructure ($9.9 million), and Data Analytics ($7.4 million).</w:t>
      </w:r>
    </w:p>
  </w:footnote>
  <w:footnote w:id="14">
    <w:p w:rsidR="007C7E84" w:rsidRDefault="007C7E84" w:rsidP="00B52551">
      <w:pPr>
        <w:pStyle w:val="FootnoteText"/>
        <w:jc w:val="both"/>
      </w:pPr>
      <w:r>
        <w:rPr>
          <w:rStyle w:val="FootnoteReference"/>
        </w:rPr>
        <w:footnoteRef/>
      </w:r>
      <w:r>
        <w:t xml:space="preserve"> </w:t>
      </w:r>
      <w:r w:rsidR="00165572">
        <w:t>Mr. Hancock makes a point of using the phrase “pro forma adjustment to the attrition study models.” Avista has continued to use the phrase “after attrition adjustment.” Please see Ms. Andrews’</w:t>
      </w:r>
      <w:r w:rsidR="00B52551">
        <w:t xml:space="preserve"> rebuttal testimony at Exhibit N</w:t>
      </w:r>
      <w:r w:rsidR="00165572">
        <w:t>o.__(</w:t>
      </w:r>
      <w:r w:rsidR="00B52551">
        <w:t>EMA-6T) for further discussion of the similarity between these terms.</w:t>
      </w:r>
    </w:p>
  </w:footnote>
  <w:footnote w:id="15">
    <w:p w:rsidR="00B52A45" w:rsidRDefault="00B52A45" w:rsidP="00B52A45">
      <w:pPr>
        <w:pStyle w:val="FootnoteText"/>
        <w:jc w:val="both"/>
      </w:pPr>
      <w:r>
        <w:rPr>
          <w:rStyle w:val="FootnoteReference"/>
        </w:rPr>
        <w:footnoteRef/>
      </w:r>
      <w:r>
        <w:t xml:space="preserve"> The additional generation from the upgrade of the Nine Mile Redevelopment Project has</w:t>
      </w:r>
      <w:r w:rsidR="00020E23">
        <w:t xml:space="preserve"> already</w:t>
      </w:r>
      <w:r>
        <w:t xml:space="preserve"> been reflected in the Company’s 2017 Power Supply model (Aurora).</w:t>
      </w:r>
    </w:p>
  </w:footnote>
  <w:footnote w:id="16">
    <w:p w:rsidR="006D4B08" w:rsidRDefault="006D4B08" w:rsidP="00EC63D5">
      <w:pPr>
        <w:pStyle w:val="FootnoteText"/>
        <w:jc w:val="both"/>
      </w:pPr>
      <w:r>
        <w:rPr>
          <w:rStyle w:val="FootnoteReference"/>
        </w:rPr>
        <w:footnoteRef/>
      </w:r>
      <w:r>
        <w:t xml:space="preserve"> Minor amounts of trailing investment costs may occur through the end of the year for these projects</w:t>
      </w:r>
      <w:r w:rsidR="00142600">
        <w:t xml:space="preserve"> as invoices arrive and close-out work is completed</w:t>
      </w:r>
      <w:r>
        <w:t>.</w:t>
      </w:r>
    </w:p>
  </w:footnote>
  <w:footnote w:id="17">
    <w:p w:rsidR="00B90E61" w:rsidRDefault="00B90E61">
      <w:pPr>
        <w:pStyle w:val="FootnoteText"/>
      </w:pPr>
      <w:r>
        <w:rPr>
          <w:rStyle w:val="FootnoteReference"/>
        </w:rPr>
        <w:footnoteRef/>
      </w:r>
      <w:r>
        <w:t xml:space="preserve"> Exhibit No.__(CSH-1T), page 53, lines 16-19.</w:t>
      </w:r>
    </w:p>
  </w:footnote>
  <w:footnote w:id="18">
    <w:p w:rsidR="00A60A65" w:rsidRDefault="00A60A65" w:rsidP="00A60A65">
      <w:pPr>
        <w:pStyle w:val="FootnoteText"/>
        <w:jc w:val="both"/>
      </w:pPr>
      <w:r w:rsidRPr="00517AD0">
        <w:rPr>
          <w:rStyle w:val="FootnoteReference"/>
        </w:rPr>
        <w:footnoteRef/>
      </w:r>
      <w:r w:rsidRPr="00517AD0">
        <w:t xml:space="preserve"> Dockets UE-090134, UG-090135&amp; UG-060518, Order 10, page 36, paragraphs 80 and 81, where Staff, Parties and the Commission accepted the Noxon No. 3 upgrade as a pro forma adjustment even though was to go into service 3 months after the start of the rate period in March of 2010.</w:t>
      </w:r>
      <w:r>
        <w:t xml:space="preserve">  This project was included on a pro rata basis (9/12 of the annualized value) versus AMA.</w:t>
      </w:r>
    </w:p>
  </w:footnote>
  <w:footnote w:id="19">
    <w:p w:rsidR="00567BCA" w:rsidRPr="00567BCA" w:rsidRDefault="00567BCA" w:rsidP="00567BCA">
      <w:pPr>
        <w:pStyle w:val="FootnoteText"/>
        <w:jc w:val="both"/>
      </w:pPr>
      <w:r w:rsidRPr="00567BCA">
        <w:rPr>
          <w:rStyle w:val="FootnoteReference"/>
        </w:rPr>
        <w:footnoteRef/>
      </w:r>
      <w:r w:rsidRPr="00567BCA">
        <w:t xml:space="preserve"> Exhibit No.__(JH-1T), page 18, lines 10-12 (emphasis added): “The figures Staff supports as 2016 transfers to plant represent capital [sic] costs that the Company </w:t>
      </w:r>
      <w:r w:rsidRPr="00567BCA">
        <w:rPr>
          <w:u w:val="single"/>
        </w:rPr>
        <w:t>actually incurred</w:t>
      </w:r>
      <w:r w:rsidRPr="00567BCA">
        <w:t xml:space="preserve"> for plant placed into service by July 31, 2016.”</w:t>
      </w:r>
    </w:p>
  </w:footnote>
  <w:footnote w:id="20">
    <w:p w:rsidR="00567BCA" w:rsidRDefault="00567BCA" w:rsidP="00D1534E">
      <w:pPr>
        <w:pStyle w:val="FootnoteText"/>
        <w:keepNext/>
        <w:keepLines/>
        <w:jc w:val="both"/>
      </w:pPr>
      <w:r>
        <w:rPr>
          <w:rStyle w:val="FootnoteReference"/>
        </w:rPr>
        <w:footnoteRef/>
      </w:r>
      <w:r>
        <w:t xml:space="preserve"> Exhibit No.__(CSH-1T), page 53, lines 3-4.</w:t>
      </w:r>
    </w:p>
  </w:footnote>
  <w:footnote w:id="21">
    <w:p w:rsidR="007D125E" w:rsidRDefault="007D125E" w:rsidP="007D125E">
      <w:pPr>
        <w:pStyle w:val="FootnoteText"/>
        <w:keepNext/>
        <w:keepLines/>
        <w:jc w:val="both"/>
      </w:pPr>
      <w:r>
        <w:rPr>
          <w:rStyle w:val="FootnoteReference"/>
        </w:rPr>
        <w:footnoteRef/>
      </w:r>
      <w:r>
        <w:t xml:space="preserve"> Exhibit No.__(BGM-1CT), page 20, lines 1-4.</w:t>
      </w:r>
    </w:p>
  </w:footnote>
  <w:footnote w:id="22">
    <w:p w:rsidR="00A60A65" w:rsidRDefault="00A60A65" w:rsidP="00A60A65">
      <w:pPr>
        <w:pStyle w:val="FootnoteText"/>
        <w:jc w:val="both"/>
      </w:pPr>
      <w:r>
        <w:rPr>
          <w:rStyle w:val="FootnoteReference"/>
        </w:rPr>
        <w:footnoteRef/>
      </w:r>
      <w:r>
        <w:t xml:space="preserve"> As explained by </w:t>
      </w:r>
      <w:r w:rsidR="007D125E">
        <w:t>PricewaterhouseCoopers (</w:t>
      </w:r>
      <w:r>
        <w:t>PwC</w:t>
      </w:r>
      <w:r w:rsidR="007D125E">
        <w:t>)</w:t>
      </w:r>
      <w:r>
        <w:t xml:space="preserve"> in its 2013 publication, “Guide to Accounting for Utilities and Power Companies” (page 18-3), “Constructing utility plant takes time, potentially resulting in the incurrence of significant carrying costs in advance of when the facilities are ready for use and included in allowable costs for ratemaking purposes. … Therefore, regulators typically allow utilities to capitalize an allowance for funds used during construction for future recovery.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A65" w:rsidRPr="007945B5" w:rsidRDefault="00A60A65">
    <w:pPr>
      <w:pStyle w:val="Header"/>
      <w:jc w:val="right"/>
    </w:pPr>
    <w:r w:rsidRPr="007945B5">
      <w:t>Exhibit No. ___(</w:t>
    </w:r>
    <w:r>
      <w:t>KKS</w:t>
    </w:r>
    <w:r w:rsidRPr="007945B5">
      <w:t>-</w:t>
    </w:r>
    <w:r>
      <w:t>8T</w:t>
    </w:r>
    <w:r w:rsidRPr="007945B5">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A65" w:rsidRDefault="00A60A65" w:rsidP="00B161E6">
    <w:pPr>
      <w:pStyle w:val="Header"/>
      <w:tabs>
        <w:tab w:val="clear" w:pos="8640"/>
        <w:tab w:val="right" w:pos="10800"/>
      </w:tabs>
    </w:pPr>
    <w:r>
      <w:tab/>
    </w:r>
    <w:r>
      <w:tab/>
      <w:t>Exhibit No. __(KKS-8T)</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E4EF4"/>
    <w:multiLevelType w:val="hybridMultilevel"/>
    <w:tmpl w:val="FEA8302A"/>
    <w:lvl w:ilvl="0" w:tplc="7374AD6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5101D9"/>
    <w:multiLevelType w:val="multilevel"/>
    <w:tmpl w:val="38D2213A"/>
    <w:lvl w:ilvl="0">
      <w:start w:val="17"/>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B5A38B6"/>
    <w:multiLevelType w:val="multilevel"/>
    <w:tmpl w:val="36B8AF2A"/>
    <w:lvl w:ilvl="0">
      <w:start w:val="17"/>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D5120F7"/>
    <w:multiLevelType w:val="hybridMultilevel"/>
    <w:tmpl w:val="A63CEC00"/>
    <w:lvl w:ilvl="0" w:tplc="39060326">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55CB1"/>
    <w:multiLevelType w:val="hybridMultilevel"/>
    <w:tmpl w:val="6A70DB0C"/>
    <w:lvl w:ilvl="0" w:tplc="04663D8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056FC9"/>
    <w:multiLevelType w:val="hybridMultilevel"/>
    <w:tmpl w:val="4C3A9D70"/>
    <w:lvl w:ilvl="0" w:tplc="536603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503093"/>
    <w:multiLevelType w:val="hybridMultilevel"/>
    <w:tmpl w:val="B350B710"/>
    <w:lvl w:ilvl="0" w:tplc="5DA2698C">
      <w:start w:val="17"/>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9565C4"/>
    <w:multiLevelType w:val="hybridMultilevel"/>
    <w:tmpl w:val="A2FE907A"/>
    <w:lvl w:ilvl="0" w:tplc="92DC78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C44B5"/>
    <w:multiLevelType w:val="multilevel"/>
    <w:tmpl w:val="CC7E767C"/>
    <w:lvl w:ilvl="0">
      <w:start w:val="1"/>
      <w:numFmt w:val="upperLetter"/>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D75255"/>
    <w:multiLevelType w:val="hybridMultilevel"/>
    <w:tmpl w:val="B18A79CC"/>
    <w:lvl w:ilvl="0" w:tplc="7F323D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C91A58"/>
    <w:multiLevelType w:val="hybridMultilevel"/>
    <w:tmpl w:val="A2ECDE06"/>
    <w:lvl w:ilvl="0" w:tplc="209C75EA">
      <w:start w:val="1"/>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52702D4"/>
    <w:multiLevelType w:val="hybridMultilevel"/>
    <w:tmpl w:val="9A342F28"/>
    <w:lvl w:ilvl="0" w:tplc="5D8E7514">
      <w:start w:val="1"/>
      <w:numFmt w:val="upperLetter"/>
      <w:lvlText w:val="%1."/>
      <w:lvlJc w:val="left"/>
      <w:pPr>
        <w:tabs>
          <w:tab w:val="num" w:pos="2160"/>
        </w:tabs>
        <w:ind w:left="2160" w:hanging="720"/>
      </w:pPr>
      <w:rPr>
        <w:rFonts w:hint="default"/>
        <w:b/>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6A65E20"/>
    <w:multiLevelType w:val="hybridMultilevel"/>
    <w:tmpl w:val="1FAED8CA"/>
    <w:lvl w:ilvl="0" w:tplc="5BA05F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657EB5"/>
    <w:multiLevelType w:val="hybridMultilevel"/>
    <w:tmpl w:val="23C8324E"/>
    <w:lvl w:ilvl="0" w:tplc="C54A458A">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1D57E4E"/>
    <w:multiLevelType w:val="hybridMultilevel"/>
    <w:tmpl w:val="7090D708"/>
    <w:lvl w:ilvl="0" w:tplc="E7C4D254">
      <w:start w:val="17"/>
      <w:numFmt w:val="upperLetter"/>
      <w:lvlText w:val="%1."/>
      <w:lvlJc w:val="left"/>
      <w:pPr>
        <w:tabs>
          <w:tab w:val="num" w:pos="1620"/>
        </w:tabs>
        <w:ind w:left="1620" w:hanging="720"/>
      </w:pPr>
      <w:rPr>
        <w:rFonts w:hint="default"/>
        <w:b/>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5" w15:restartNumberingAfterBreak="0">
    <w:nsid w:val="31D7446D"/>
    <w:multiLevelType w:val="hybridMultilevel"/>
    <w:tmpl w:val="21725414"/>
    <w:lvl w:ilvl="0" w:tplc="CC4ACE1C">
      <w:start w:val="1"/>
      <w:numFmt w:val="upperLetter"/>
      <w:lvlText w:val="%1."/>
      <w:lvlJc w:val="left"/>
      <w:pPr>
        <w:tabs>
          <w:tab w:val="num" w:pos="3600"/>
        </w:tabs>
        <w:ind w:left="3600" w:hanging="720"/>
      </w:pPr>
      <w:rPr>
        <w:rFonts w:hint="default"/>
        <w:b/>
      </w:rPr>
    </w:lvl>
    <w:lvl w:ilvl="1" w:tplc="174883B2">
      <w:start w:val="17"/>
      <w:numFmt w:val="upperLetter"/>
      <w:lvlText w:val="%2."/>
      <w:lvlJc w:val="left"/>
      <w:pPr>
        <w:tabs>
          <w:tab w:val="num" w:pos="4320"/>
        </w:tabs>
        <w:ind w:left="4320" w:hanging="720"/>
      </w:pPr>
      <w:rPr>
        <w:rFonts w:hint="default"/>
        <w:b/>
      </w:r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6" w15:restartNumberingAfterBreak="0">
    <w:nsid w:val="32827183"/>
    <w:multiLevelType w:val="multilevel"/>
    <w:tmpl w:val="E2EC30BC"/>
    <w:lvl w:ilvl="0">
      <w:start w:val="17"/>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3802545E"/>
    <w:multiLevelType w:val="singleLevel"/>
    <w:tmpl w:val="6700FE8A"/>
    <w:lvl w:ilvl="0">
      <w:start w:val="17"/>
      <w:numFmt w:val="upperLetter"/>
      <w:lvlText w:val="%1."/>
      <w:lvlJc w:val="left"/>
      <w:pPr>
        <w:tabs>
          <w:tab w:val="num" w:pos="1440"/>
        </w:tabs>
        <w:ind w:left="1440" w:hanging="720"/>
      </w:pPr>
      <w:rPr>
        <w:rFonts w:hint="default"/>
        <w:b/>
      </w:rPr>
    </w:lvl>
  </w:abstractNum>
  <w:abstractNum w:abstractNumId="18" w15:restartNumberingAfterBreak="0">
    <w:nsid w:val="3C6D6532"/>
    <w:multiLevelType w:val="hybridMultilevel"/>
    <w:tmpl w:val="5A445426"/>
    <w:lvl w:ilvl="0" w:tplc="D41CEDB2">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9" w15:restartNumberingAfterBreak="0">
    <w:nsid w:val="3CA3744B"/>
    <w:multiLevelType w:val="hybridMultilevel"/>
    <w:tmpl w:val="205E3C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21" w15:restartNumberingAfterBreak="0">
    <w:nsid w:val="43223E97"/>
    <w:multiLevelType w:val="hybridMultilevel"/>
    <w:tmpl w:val="E6ECAB38"/>
    <w:lvl w:ilvl="0" w:tplc="E21832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457777"/>
    <w:multiLevelType w:val="hybridMultilevel"/>
    <w:tmpl w:val="59AEE220"/>
    <w:lvl w:ilvl="0" w:tplc="3022F9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BF0833"/>
    <w:multiLevelType w:val="hybridMultilevel"/>
    <w:tmpl w:val="95D22CDE"/>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cs="Wingdings" w:hint="default"/>
      </w:rPr>
    </w:lvl>
    <w:lvl w:ilvl="3" w:tplc="04090001">
      <w:start w:val="1"/>
      <w:numFmt w:val="bullet"/>
      <w:lvlText w:val=""/>
      <w:lvlJc w:val="left"/>
      <w:pPr>
        <w:tabs>
          <w:tab w:val="num" w:pos="1080"/>
        </w:tabs>
        <w:ind w:left="1080" w:hanging="360"/>
      </w:pPr>
      <w:rPr>
        <w:rFonts w:ascii="Symbol" w:hAnsi="Symbol" w:cs="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cs="Wingdings" w:hint="default"/>
      </w:rPr>
    </w:lvl>
    <w:lvl w:ilvl="6" w:tplc="04090001">
      <w:start w:val="1"/>
      <w:numFmt w:val="bullet"/>
      <w:lvlText w:val=""/>
      <w:lvlJc w:val="left"/>
      <w:pPr>
        <w:tabs>
          <w:tab w:val="num" w:pos="3240"/>
        </w:tabs>
        <w:ind w:left="3240" w:hanging="360"/>
      </w:pPr>
      <w:rPr>
        <w:rFonts w:ascii="Symbol" w:hAnsi="Symbol" w:cs="Symbol" w:hint="default"/>
      </w:rPr>
    </w:lvl>
    <w:lvl w:ilvl="7" w:tplc="04090003">
      <w:start w:val="1"/>
      <w:numFmt w:val="bullet"/>
      <w:lvlText w:val="o"/>
      <w:lvlJc w:val="left"/>
      <w:pPr>
        <w:tabs>
          <w:tab w:val="num" w:pos="3960"/>
        </w:tabs>
        <w:ind w:left="3960" w:hanging="360"/>
      </w:pPr>
      <w:rPr>
        <w:rFonts w:ascii="Courier New" w:hAnsi="Courier New" w:cs="Courier New" w:hint="default"/>
      </w:rPr>
    </w:lvl>
    <w:lvl w:ilvl="8" w:tplc="04090005">
      <w:start w:val="1"/>
      <w:numFmt w:val="bullet"/>
      <w:lvlText w:val=""/>
      <w:lvlJc w:val="left"/>
      <w:pPr>
        <w:tabs>
          <w:tab w:val="num" w:pos="4680"/>
        </w:tabs>
        <w:ind w:left="4680" w:hanging="360"/>
      </w:pPr>
      <w:rPr>
        <w:rFonts w:ascii="Wingdings" w:hAnsi="Wingdings" w:cs="Wingdings" w:hint="default"/>
      </w:rPr>
    </w:lvl>
  </w:abstractNum>
  <w:abstractNum w:abstractNumId="24" w15:restartNumberingAfterBreak="0">
    <w:nsid w:val="4D922B47"/>
    <w:multiLevelType w:val="hybridMultilevel"/>
    <w:tmpl w:val="D89EB7F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0D53AFB"/>
    <w:multiLevelType w:val="hybridMultilevel"/>
    <w:tmpl w:val="2E1C32DE"/>
    <w:lvl w:ilvl="0" w:tplc="D9A8C5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72794F"/>
    <w:multiLevelType w:val="hybridMultilevel"/>
    <w:tmpl w:val="51CC5CA2"/>
    <w:lvl w:ilvl="0" w:tplc="7F704F7A">
      <w:start w:val="17"/>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5B3F3981"/>
    <w:multiLevelType w:val="hybridMultilevel"/>
    <w:tmpl w:val="21B69CA8"/>
    <w:lvl w:ilvl="0" w:tplc="49E8C668">
      <w:start w:val="17"/>
      <w:numFmt w:val="upperLetter"/>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5D6819CF"/>
    <w:multiLevelType w:val="hybridMultilevel"/>
    <w:tmpl w:val="94F63A0C"/>
    <w:lvl w:ilvl="0" w:tplc="ABC2AC10">
      <w:start w:val="1"/>
      <w:numFmt w:val="bullet"/>
      <w:lvlText w:val=""/>
      <w:lvlJc w:val="left"/>
      <w:pPr>
        <w:tabs>
          <w:tab w:val="num" w:pos="144"/>
        </w:tabs>
        <w:ind w:left="216" w:hanging="216"/>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AD4C51"/>
    <w:multiLevelType w:val="singleLevel"/>
    <w:tmpl w:val="EBE41A2E"/>
    <w:lvl w:ilvl="0">
      <w:start w:val="1"/>
      <w:numFmt w:val="upperLetter"/>
      <w:lvlText w:val="%1."/>
      <w:lvlJc w:val="left"/>
      <w:pPr>
        <w:tabs>
          <w:tab w:val="num" w:pos="1440"/>
        </w:tabs>
        <w:ind w:left="1440" w:hanging="720"/>
      </w:pPr>
      <w:rPr>
        <w:rFonts w:hint="default"/>
      </w:rPr>
    </w:lvl>
  </w:abstractNum>
  <w:abstractNum w:abstractNumId="30" w15:restartNumberingAfterBreak="0">
    <w:nsid w:val="612E7D07"/>
    <w:multiLevelType w:val="hybridMultilevel"/>
    <w:tmpl w:val="9E4C61A6"/>
    <w:lvl w:ilvl="0" w:tplc="0B84193E">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80D7658"/>
    <w:multiLevelType w:val="hybridMultilevel"/>
    <w:tmpl w:val="D86AD30A"/>
    <w:lvl w:ilvl="0" w:tplc="36CA462A">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AB449AD"/>
    <w:multiLevelType w:val="hybridMultilevel"/>
    <w:tmpl w:val="8A462AA0"/>
    <w:lvl w:ilvl="0" w:tplc="53A07878">
      <w:start w:val="17"/>
      <w:numFmt w:val="upperLetter"/>
      <w:lvlText w:val="%1."/>
      <w:lvlJc w:val="left"/>
      <w:pPr>
        <w:tabs>
          <w:tab w:val="num" w:pos="1500"/>
        </w:tabs>
        <w:ind w:left="1500" w:hanging="780"/>
      </w:pPr>
      <w:rPr>
        <w:rFonts w:hint="default"/>
        <w:b/>
      </w:rPr>
    </w:lvl>
    <w:lvl w:ilvl="1" w:tplc="97226258">
      <w:start w:val="17"/>
      <w:numFmt w:val="upperLetter"/>
      <w:lvlText w:val="%2."/>
      <w:lvlJc w:val="left"/>
      <w:pPr>
        <w:tabs>
          <w:tab w:val="num" w:pos="1800"/>
        </w:tabs>
        <w:ind w:left="1800" w:hanging="72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D1B6DC8"/>
    <w:multiLevelType w:val="hybridMultilevel"/>
    <w:tmpl w:val="A5042900"/>
    <w:lvl w:ilvl="0" w:tplc="DB80393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E5B6776"/>
    <w:multiLevelType w:val="hybridMultilevel"/>
    <w:tmpl w:val="38D2213A"/>
    <w:lvl w:ilvl="0" w:tplc="1DA25076">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1981D5F"/>
    <w:multiLevelType w:val="hybridMultilevel"/>
    <w:tmpl w:val="5D4A6478"/>
    <w:lvl w:ilvl="0" w:tplc="5482992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3196513"/>
    <w:multiLevelType w:val="hybridMultilevel"/>
    <w:tmpl w:val="35A6A05E"/>
    <w:lvl w:ilvl="0" w:tplc="C46287C8">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39256D"/>
    <w:multiLevelType w:val="hybridMultilevel"/>
    <w:tmpl w:val="26E2FC64"/>
    <w:lvl w:ilvl="0" w:tplc="20AE223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8"/>
  </w:num>
  <w:num w:numId="3">
    <w:abstractNumId w:val="23"/>
  </w:num>
  <w:num w:numId="4">
    <w:abstractNumId w:val="34"/>
  </w:num>
  <w:num w:numId="5">
    <w:abstractNumId w:val="13"/>
  </w:num>
  <w:num w:numId="6">
    <w:abstractNumId w:val="2"/>
  </w:num>
  <w:num w:numId="7">
    <w:abstractNumId w:val="31"/>
  </w:num>
  <w:num w:numId="8">
    <w:abstractNumId w:val="16"/>
  </w:num>
  <w:num w:numId="9">
    <w:abstractNumId w:val="33"/>
  </w:num>
  <w:num w:numId="10">
    <w:abstractNumId w:val="1"/>
  </w:num>
  <w:num w:numId="11">
    <w:abstractNumId w:val="4"/>
  </w:num>
  <w:num w:numId="12">
    <w:abstractNumId w:val="30"/>
  </w:num>
  <w:num w:numId="13">
    <w:abstractNumId w:val="26"/>
  </w:num>
  <w:num w:numId="14">
    <w:abstractNumId w:val="17"/>
  </w:num>
  <w:num w:numId="15">
    <w:abstractNumId w:val="29"/>
  </w:num>
  <w:num w:numId="16">
    <w:abstractNumId w:val="14"/>
  </w:num>
  <w:num w:numId="17">
    <w:abstractNumId w:val="15"/>
  </w:num>
  <w:num w:numId="18">
    <w:abstractNumId w:val="11"/>
  </w:num>
  <w:num w:numId="19">
    <w:abstractNumId w:val="27"/>
  </w:num>
  <w:num w:numId="20">
    <w:abstractNumId w:val="32"/>
  </w:num>
  <w:num w:numId="21">
    <w:abstractNumId w:val="10"/>
  </w:num>
  <w:num w:numId="22">
    <w:abstractNumId w:val="28"/>
  </w:num>
  <w:num w:numId="23">
    <w:abstractNumId w:val="12"/>
  </w:num>
  <w:num w:numId="24">
    <w:abstractNumId w:val="19"/>
  </w:num>
  <w:num w:numId="25">
    <w:abstractNumId w:val="0"/>
  </w:num>
  <w:num w:numId="26">
    <w:abstractNumId w:val="3"/>
  </w:num>
  <w:num w:numId="27">
    <w:abstractNumId w:val="5"/>
  </w:num>
  <w:num w:numId="28">
    <w:abstractNumId w:val="9"/>
  </w:num>
  <w:num w:numId="29">
    <w:abstractNumId w:val="36"/>
  </w:num>
  <w:num w:numId="30">
    <w:abstractNumId w:val="22"/>
  </w:num>
  <w:num w:numId="31">
    <w:abstractNumId w:val="21"/>
  </w:num>
  <w:num w:numId="32">
    <w:abstractNumId w:val="7"/>
  </w:num>
  <w:num w:numId="33">
    <w:abstractNumId w:val="25"/>
  </w:num>
  <w:num w:numId="34">
    <w:abstractNumId w:val="37"/>
  </w:num>
  <w:num w:numId="35">
    <w:abstractNumId w:val="35"/>
  </w:num>
  <w:num w:numId="36">
    <w:abstractNumId w:val="8"/>
  </w:num>
  <w:num w:numId="37">
    <w:abstractNumId w:val="24"/>
  </w:num>
  <w:num w:numId="38">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17409"/>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3F37"/>
    <w:rsid w:val="00000039"/>
    <w:rsid w:val="000005C5"/>
    <w:rsid w:val="000016C8"/>
    <w:rsid w:val="00002445"/>
    <w:rsid w:val="00003FC5"/>
    <w:rsid w:val="00004216"/>
    <w:rsid w:val="00004295"/>
    <w:rsid w:val="00007397"/>
    <w:rsid w:val="000118D0"/>
    <w:rsid w:val="000119D1"/>
    <w:rsid w:val="000119E2"/>
    <w:rsid w:val="0001630C"/>
    <w:rsid w:val="00016E13"/>
    <w:rsid w:val="00017252"/>
    <w:rsid w:val="00020E23"/>
    <w:rsid w:val="000223D0"/>
    <w:rsid w:val="0002302D"/>
    <w:rsid w:val="00023A14"/>
    <w:rsid w:val="000246CF"/>
    <w:rsid w:val="00024CC7"/>
    <w:rsid w:val="00026718"/>
    <w:rsid w:val="000300B8"/>
    <w:rsid w:val="00030F0E"/>
    <w:rsid w:val="000326DB"/>
    <w:rsid w:val="00032744"/>
    <w:rsid w:val="000333A8"/>
    <w:rsid w:val="000339B1"/>
    <w:rsid w:val="000350DA"/>
    <w:rsid w:val="00036159"/>
    <w:rsid w:val="00040C62"/>
    <w:rsid w:val="0004155C"/>
    <w:rsid w:val="00044C99"/>
    <w:rsid w:val="00044D4B"/>
    <w:rsid w:val="00044E50"/>
    <w:rsid w:val="00046D06"/>
    <w:rsid w:val="00046EDD"/>
    <w:rsid w:val="00050542"/>
    <w:rsid w:val="0005099B"/>
    <w:rsid w:val="000519DE"/>
    <w:rsid w:val="00052E61"/>
    <w:rsid w:val="00054F2D"/>
    <w:rsid w:val="00055A11"/>
    <w:rsid w:val="000616BD"/>
    <w:rsid w:val="00062029"/>
    <w:rsid w:val="0006376C"/>
    <w:rsid w:val="00063FA1"/>
    <w:rsid w:val="00064255"/>
    <w:rsid w:val="000720CA"/>
    <w:rsid w:val="00073CB8"/>
    <w:rsid w:val="000752C9"/>
    <w:rsid w:val="00077387"/>
    <w:rsid w:val="00077BBE"/>
    <w:rsid w:val="00081DEE"/>
    <w:rsid w:val="00081E17"/>
    <w:rsid w:val="00082AEF"/>
    <w:rsid w:val="0008400A"/>
    <w:rsid w:val="000848B9"/>
    <w:rsid w:val="00090273"/>
    <w:rsid w:val="000906A8"/>
    <w:rsid w:val="00091E98"/>
    <w:rsid w:val="00092D57"/>
    <w:rsid w:val="00092E8E"/>
    <w:rsid w:val="00093848"/>
    <w:rsid w:val="00095EF0"/>
    <w:rsid w:val="000A09C9"/>
    <w:rsid w:val="000A25BF"/>
    <w:rsid w:val="000A3049"/>
    <w:rsid w:val="000A3CCE"/>
    <w:rsid w:val="000A4C1C"/>
    <w:rsid w:val="000A5E3C"/>
    <w:rsid w:val="000A6CD0"/>
    <w:rsid w:val="000B0641"/>
    <w:rsid w:val="000B3885"/>
    <w:rsid w:val="000B400B"/>
    <w:rsid w:val="000B5B37"/>
    <w:rsid w:val="000B6279"/>
    <w:rsid w:val="000B6338"/>
    <w:rsid w:val="000B7099"/>
    <w:rsid w:val="000C0D31"/>
    <w:rsid w:val="000C1D88"/>
    <w:rsid w:val="000C3663"/>
    <w:rsid w:val="000C43F9"/>
    <w:rsid w:val="000C5661"/>
    <w:rsid w:val="000C57FD"/>
    <w:rsid w:val="000C5A15"/>
    <w:rsid w:val="000C61AB"/>
    <w:rsid w:val="000D09BF"/>
    <w:rsid w:val="000D1004"/>
    <w:rsid w:val="000D3433"/>
    <w:rsid w:val="000D45E6"/>
    <w:rsid w:val="000D5FC9"/>
    <w:rsid w:val="000D63F1"/>
    <w:rsid w:val="000E010F"/>
    <w:rsid w:val="000E012E"/>
    <w:rsid w:val="000E0F90"/>
    <w:rsid w:val="000E1E5D"/>
    <w:rsid w:val="000E2061"/>
    <w:rsid w:val="000E238B"/>
    <w:rsid w:val="000E5784"/>
    <w:rsid w:val="000E5967"/>
    <w:rsid w:val="000E59D3"/>
    <w:rsid w:val="000E6826"/>
    <w:rsid w:val="000E6EAF"/>
    <w:rsid w:val="000F0AD4"/>
    <w:rsid w:val="000F1DB3"/>
    <w:rsid w:val="000F25D6"/>
    <w:rsid w:val="000F3328"/>
    <w:rsid w:val="000F413C"/>
    <w:rsid w:val="000F5EB4"/>
    <w:rsid w:val="000F629E"/>
    <w:rsid w:val="000F6C26"/>
    <w:rsid w:val="0010011D"/>
    <w:rsid w:val="00101A28"/>
    <w:rsid w:val="00102BBC"/>
    <w:rsid w:val="00103242"/>
    <w:rsid w:val="001034BB"/>
    <w:rsid w:val="001057E4"/>
    <w:rsid w:val="001065AF"/>
    <w:rsid w:val="00110A29"/>
    <w:rsid w:val="00111299"/>
    <w:rsid w:val="00113222"/>
    <w:rsid w:val="00114EE0"/>
    <w:rsid w:val="00115210"/>
    <w:rsid w:val="00115E94"/>
    <w:rsid w:val="0011751A"/>
    <w:rsid w:val="00122A3C"/>
    <w:rsid w:val="001248C1"/>
    <w:rsid w:val="00125146"/>
    <w:rsid w:val="00125DC2"/>
    <w:rsid w:val="00127314"/>
    <w:rsid w:val="00127CDD"/>
    <w:rsid w:val="0013247D"/>
    <w:rsid w:val="00134E21"/>
    <w:rsid w:val="001365E9"/>
    <w:rsid w:val="00140858"/>
    <w:rsid w:val="00142600"/>
    <w:rsid w:val="00142684"/>
    <w:rsid w:val="00145E5B"/>
    <w:rsid w:val="00146E9B"/>
    <w:rsid w:val="00147BD6"/>
    <w:rsid w:val="00150394"/>
    <w:rsid w:val="001503D2"/>
    <w:rsid w:val="00150CB6"/>
    <w:rsid w:val="0015506F"/>
    <w:rsid w:val="00160006"/>
    <w:rsid w:val="001636A8"/>
    <w:rsid w:val="001639C1"/>
    <w:rsid w:val="00165572"/>
    <w:rsid w:val="001662D0"/>
    <w:rsid w:val="00166C70"/>
    <w:rsid w:val="00167E5D"/>
    <w:rsid w:val="001749CE"/>
    <w:rsid w:val="00176C16"/>
    <w:rsid w:val="001770EE"/>
    <w:rsid w:val="001813E9"/>
    <w:rsid w:val="00182A4D"/>
    <w:rsid w:val="00182B51"/>
    <w:rsid w:val="00183019"/>
    <w:rsid w:val="00183AF7"/>
    <w:rsid w:val="001853C4"/>
    <w:rsid w:val="00185ACA"/>
    <w:rsid w:val="00186196"/>
    <w:rsid w:val="00186437"/>
    <w:rsid w:val="001879B8"/>
    <w:rsid w:val="001879D1"/>
    <w:rsid w:val="00187C67"/>
    <w:rsid w:val="00196156"/>
    <w:rsid w:val="001A00DC"/>
    <w:rsid w:val="001A12DB"/>
    <w:rsid w:val="001A1922"/>
    <w:rsid w:val="001A1B1A"/>
    <w:rsid w:val="001A238C"/>
    <w:rsid w:val="001A276E"/>
    <w:rsid w:val="001A51A1"/>
    <w:rsid w:val="001A55E2"/>
    <w:rsid w:val="001A6DCA"/>
    <w:rsid w:val="001A7225"/>
    <w:rsid w:val="001B0E81"/>
    <w:rsid w:val="001B18F0"/>
    <w:rsid w:val="001B22B6"/>
    <w:rsid w:val="001B3838"/>
    <w:rsid w:val="001B53ED"/>
    <w:rsid w:val="001B575C"/>
    <w:rsid w:val="001B668F"/>
    <w:rsid w:val="001B718E"/>
    <w:rsid w:val="001C3A9C"/>
    <w:rsid w:val="001C5247"/>
    <w:rsid w:val="001C6BF4"/>
    <w:rsid w:val="001C6C53"/>
    <w:rsid w:val="001C7FEE"/>
    <w:rsid w:val="001D0863"/>
    <w:rsid w:val="001D0F87"/>
    <w:rsid w:val="001D3511"/>
    <w:rsid w:val="001D3FA8"/>
    <w:rsid w:val="001D59E0"/>
    <w:rsid w:val="001D72E9"/>
    <w:rsid w:val="001D7E36"/>
    <w:rsid w:val="001E07BC"/>
    <w:rsid w:val="001E144E"/>
    <w:rsid w:val="001E1E05"/>
    <w:rsid w:val="001E2112"/>
    <w:rsid w:val="001E2D76"/>
    <w:rsid w:val="001E339B"/>
    <w:rsid w:val="001E40C4"/>
    <w:rsid w:val="001E4CF7"/>
    <w:rsid w:val="001E5B1C"/>
    <w:rsid w:val="001E5F55"/>
    <w:rsid w:val="001E74BC"/>
    <w:rsid w:val="001E79AF"/>
    <w:rsid w:val="001F3D82"/>
    <w:rsid w:val="001F7735"/>
    <w:rsid w:val="001F7A04"/>
    <w:rsid w:val="0020471A"/>
    <w:rsid w:val="00205799"/>
    <w:rsid w:val="00206625"/>
    <w:rsid w:val="00207757"/>
    <w:rsid w:val="00207BD7"/>
    <w:rsid w:val="00211DA6"/>
    <w:rsid w:val="00212637"/>
    <w:rsid w:val="00213B1B"/>
    <w:rsid w:val="00214E23"/>
    <w:rsid w:val="0021590D"/>
    <w:rsid w:val="0021630A"/>
    <w:rsid w:val="0021705C"/>
    <w:rsid w:val="00220EBD"/>
    <w:rsid w:val="0022193A"/>
    <w:rsid w:val="002231A0"/>
    <w:rsid w:val="002232BF"/>
    <w:rsid w:val="002232E9"/>
    <w:rsid w:val="0022650B"/>
    <w:rsid w:val="002268EE"/>
    <w:rsid w:val="002323EA"/>
    <w:rsid w:val="00236507"/>
    <w:rsid w:val="00236CD7"/>
    <w:rsid w:val="002416C6"/>
    <w:rsid w:val="00242108"/>
    <w:rsid w:val="002425EF"/>
    <w:rsid w:val="002475D0"/>
    <w:rsid w:val="00247B4C"/>
    <w:rsid w:val="002512E0"/>
    <w:rsid w:val="002533AA"/>
    <w:rsid w:val="00253AE3"/>
    <w:rsid w:val="00254483"/>
    <w:rsid w:val="002547C5"/>
    <w:rsid w:val="00255145"/>
    <w:rsid w:val="0025608B"/>
    <w:rsid w:val="002574D3"/>
    <w:rsid w:val="002578E5"/>
    <w:rsid w:val="00260D04"/>
    <w:rsid w:val="0026156D"/>
    <w:rsid w:val="002639D2"/>
    <w:rsid w:val="00265233"/>
    <w:rsid w:val="00265EEF"/>
    <w:rsid w:val="00265FBE"/>
    <w:rsid w:val="00266C5C"/>
    <w:rsid w:val="00267EB3"/>
    <w:rsid w:val="00272737"/>
    <w:rsid w:val="00273703"/>
    <w:rsid w:val="00274239"/>
    <w:rsid w:val="00276D32"/>
    <w:rsid w:val="00276E76"/>
    <w:rsid w:val="002770A6"/>
    <w:rsid w:val="00277436"/>
    <w:rsid w:val="002779CA"/>
    <w:rsid w:val="00280304"/>
    <w:rsid w:val="00281D2A"/>
    <w:rsid w:val="00283127"/>
    <w:rsid w:val="00283C00"/>
    <w:rsid w:val="0028696B"/>
    <w:rsid w:val="002869ED"/>
    <w:rsid w:val="00287726"/>
    <w:rsid w:val="00287D38"/>
    <w:rsid w:val="00295902"/>
    <w:rsid w:val="00297CBC"/>
    <w:rsid w:val="002A04D3"/>
    <w:rsid w:val="002A2961"/>
    <w:rsid w:val="002A3BB0"/>
    <w:rsid w:val="002A4464"/>
    <w:rsid w:val="002A4F74"/>
    <w:rsid w:val="002B4F7F"/>
    <w:rsid w:val="002B5F0F"/>
    <w:rsid w:val="002B7421"/>
    <w:rsid w:val="002C2673"/>
    <w:rsid w:val="002C429D"/>
    <w:rsid w:val="002C56D5"/>
    <w:rsid w:val="002C5D11"/>
    <w:rsid w:val="002C5F32"/>
    <w:rsid w:val="002C769F"/>
    <w:rsid w:val="002C7EDB"/>
    <w:rsid w:val="002D1A19"/>
    <w:rsid w:val="002D1DB2"/>
    <w:rsid w:val="002D24C0"/>
    <w:rsid w:val="002D318D"/>
    <w:rsid w:val="002D5457"/>
    <w:rsid w:val="002E0238"/>
    <w:rsid w:val="002E10B4"/>
    <w:rsid w:val="002E1C2E"/>
    <w:rsid w:val="002E279C"/>
    <w:rsid w:val="002E30D7"/>
    <w:rsid w:val="002E51E7"/>
    <w:rsid w:val="002E58FD"/>
    <w:rsid w:val="002E6DD2"/>
    <w:rsid w:val="002E7D7E"/>
    <w:rsid w:val="002F5D38"/>
    <w:rsid w:val="002F663C"/>
    <w:rsid w:val="002F6F9A"/>
    <w:rsid w:val="0030327B"/>
    <w:rsid w:val="003046B4"/>
    <w:rsid w:val="0030619F"/>
    <w:rsid w:val="003109D2"/>
    <w:rsid w:val="0031545E"/>
    <w:rsid w:val="00315D10"/>
    <w:rsid w:val="00316CAE"/>
    <w:rsid w:val="0032215D"/>
    <w:rsid w:val="0032494A"/>
    <w:rsid w:val="00325966"/>
    <w:rsid w:val="003265F7"/>
    <w:rsid w:val="00326A8A"/>
    <w:rsid w:val="003277F5"/>
    <w:rsid w:val="003337E6"/>
    <w:rsid w:val="00334055"/>
    <w:rsid w:val="0034298D"/>
    <w:rsid w:val="00344D11"/>
    <w:rsid w:val="00345D33"/>
    <w:rsid w:val="003461E8"/>
    <w:rsid w:val="00347267"/>
    <w:rsid w:val="00353056"/>
    <w:rsid w:val="0036142E"/>
    <w:rsid w:val="00361DB3"/>
    <w:rsid w:val="00362F51"/>
    <w:rsid w:val="00364F44"/>
    <w:rsid w:val="0036563E"/>
    <w:rsid w:val="003662C2"/>
    <w:rsid w:val="00366FC1"/>
    <w:rsid w:val="00371FDC"/>
    <w:rsid w:val="00372824"/>
    <w:rsid w:val="00372C18"/>
    <w:rsid w:val="00373A41"/>
    <w:rsid w:val="00374094"/>
    <w:rsid w:val="003806FE"/>
    <w:rsid w:val="00381803"/>
    <w:rsid w:val="00383101"/>
    <w:rsid w:val="0038498D"/>
    <w:rsid w:val="0038505E"/>
    <w:rsid w:val="0038679E"/>
    <w:rsid w:val="00394383"/>
    <w:rsid w:val="00394677"/>
    <w:rsid w:val="00395D30"/>
    <w:rsid w:val="00396795"/>
    <w:rsid w:val="00397CCE"/>
    <w:rsid w:val="003A1896"/>
    <w:rsid w:val="003A4A08"/>
    <w:rsid w:val="003A6579"/>
    <w:rsid w:val="003B0333"/>
    <w:rsid w:val="003B0AAE"/>
    <w:rsid w:val="003B13DF"/>
    <w:rsid w:val="003B25ED"/>
    <w:rsid w:val="003B3B47"/>
    <w:rsid w:val="003B4193"/>
    <w:rsid w:val="003B4D08"/>
    <w:rsid w:val="003B7E86"/>
    <w:rsid w:val="003C0F06"/>
    <w:rsid w:val="003C0FE7"/>
    <w:rsid w:val="003C12B5"/>
    <w:rsid w:val="003C3698"/>
    <w:rsid w:val="003C48FC"/>
    <w:rsid w:val="003C5B66"/>
    <w:rsid w:val="003D06B8"/>
    <w:rsid w:val="003D1CAB"/>
    <w:rsid w:val="003D35EB"/>
    <w:rsid w:val="003D3873"/>
    <w:rsid w:val="003D3A80"/>
    <w:rsid w:val="003E1B61"/>
    <w:rsid w:val="003E36CB"/>
    <w:rsid w:val="003E58AF"/>
    <w:rsid w:val="003E762A"/>
    <w:rsid w:val="003F0145"/>
    <w:rsid w:val="003F1C18"/>
    <w:rsid w:val="003F1CA0"/>
    <w:rsid w:val="003F22B8"/>
    <w:rsid w:val="003F28E0"/>
    <w:rsid w:val="003F2D5C"/>
    <w:rsid w:val="003F340C"/>
    <w:rsid w:val="003F4E06"/>
    <w:rsid w:val="003F6E12"/>
    <w:rsid w:val="003F7A62"/>
    <w:rsid w:val="004009E6"/>
    <w:rsid w:val="00401331"/>
    <w:rsid w:val="004054E3"/>
    <w:rsid w:val="0040667C"/>
    <w:rsid w:val="00407309"/>
    <w:rsid w:val="00407DB4"/>
    <w:rsid w:val="00407E1B"/>
    <w:rsid w:val="004129E0"/>
    <w:rsid w:val="0041302D"/>
    <w:rsid w:val="00413E6F"/>
    <w:rsid w:val="00413EAF"/>
    <w:rsid w:val="00413F08"/>
    <w:rsid w:val="00416ADE"/>
    <w:rsid w:val="00416B40"/>
    <w:rsid w:val="00416D62"/>
    <w:rsid w:val="00417138"/>
    <w:rsid w:val="004204EB"/>
    <w:rsid w:val="004220DD"/>
    <w:rsid w:val="00422189"/>
    <w:rsid w:val="00423073"/>
    <w:rsid w:val="00424139"/>
    <w:rsid w:val="00425512"/>
    <w:rsid w:val="00425F16"/>
    <w:rsid w:val="00427FAD"/>
    <w:rsid w:val="00430948"/>
    <w:rsid w:val="00431317"/>
    <w:rsid w:val="00433181"/>
    <w:rsid w:val="004354F3"/>
    <w:rsid w:val="00435514"/>
    <w:rsid w:val="00435706"/>
    <w:rsid w:val="004363C2"/>
    <w:rsid w:val="00440714"/>
    <w:rsid w:val="0044146D"/>
    <w:rsid w:val="0044169E"/>
    <w:rsid w:val="00441FEA"/>
    <w:rsid w:val="004473DF"/>
    <w:rsid w:val="00447658"/>
    <w:rsid w:val="00450317"/>
    <w:rsid w:val="0045076E"/>
    <w:rsid w:val="00451A2F"/>
    <w:rsid w:val="00457B30"/>
    <w:rsid w:val="00464794"/>
    <w:rsid w:val="004654CC"/>
    <w:rsid w:val="00465F93"/>
    <w:rsid w:val="00467670"/>
    <w:rsid w:val="004717E1"/>
    <w:rsid w:val="00472458"/>
    <w:rsid w:val="00474062"/>
    <w:rsid w:val="00474D35"/>
    <w:rsid w:val="00475E7B"/>
    <w:rsid w:val="00480379"/>
    <w:rsid w:val="004809E9"/>
    <w:rsid w:val="00481221"/>
    <w:rsid w:val="004817B4"/>
    <w:rsid w:val="0048191A"/>
    <w:rsid w:val="00486377"/>
    <w:rsid w:val="004919B6"/>
    <w:rsid w:val="0049273C"/>
    <w:rsid w:val="00493E0A"/>
    <w:rsid w:val="00494C98"/>
    <w:rsid w:val="00495B83"/>
    <w:rsid w:val="004976CA"/>
    <w:rsid w:val="004A2230"/>
    <w:rsid w:val="004A2E84"/>
    <w:rsid w:val="004A62B7"/>
    <w:rsid w:val="004B0EA4"/>
    <w:rsid w:val="004B5D47"/>
    <w:rsid w:val="004B711D"/>
    <w:rsid w:val="004B7E18"/>
    <w:rsid w:val="004C0013"/>
    <w:rsid w:val="004C0655"/>
    <w:rsid w:val="004C0A95"/>
    <w:rsid w:val="004C2C5D"/>
    <w:rsid w:val="004C47AA"/>
    <w:rsid w:val="004C6A23"/>
    <w:rsid w:val="004D6A0C"/>
    <w:rsid w:val="004E0010"/>
    <w:rsid w:val="004E1196"/>
    <w:rsid w:val="004E1D8A"/>
    <w:rsid w:val="004F03E4"/>
    <w:rsid w:val="004F0FEE"/>
    <w:rsid w:val="004F1D03"/>
    <w:rsid w:val="004F411C"/>
    <w:rsid w:val="004F656C"/>
    <w:rsid w:val="004F6BDF"/>
    <w:rsid w:val="004F71A0"/>
    <w:rsid w:val="00501BEA"/>
    <w:rsid w:val="00505A6E"/>
    <w:rsid w:val="00507245"/>
    <w:rsid w:val="00507600"/>
    <w:rsid w:val="00511AF1"/>
    <w:rsid w:val="00511D02"/>
    <w:rsid w:val="00512A50"/>
    <w:rsid w:val="00513402"/>
    <w:rsid w:val="00513F56"/>
    <w:rsid w:val="00514335"/>
    <w:rsid w:val="00517AD0"/>
    <w:rsid w:val="0052140D"/>
    <w:rsid w:val="0052174D"/>
    <w:rsid w:val="00522D4D"/>
    <w:rsid w:val="00525252"/>
    <w:rsid w:val="0053114D"/>
    <w:rsid w:val="00531551"/>
    <w:rsid w:val="005317EE"/>
    <w:rsid w:val="005322AC"/>
    <w:rsid w:val="005335D3"/>
    <w:rsid w:val="00537748"/>
    <w:rsid w:val="00541C7A"/>
    <w:rsid w:val="00547B7A"/>
    <w:rsid w:val="0055074D"/>
    <w:rsid w:val="00551F60"/>
    <w:rsid w:val="005532BC"/>
    <w:rsid w:val="005551CB"/>
    <w:rsid w:val="00556505"/>
    <w:rsid w:val="00556514"/>
    <w:rsid w:val="00561866"/>
    <w:rsid w:val="0056290F"/>
    <w:rsid w:val="00563046"/>
    <w:rsid w:val="00563B45"/>
    <w:rsid w:val="00563F54"/>
    <w:rsid w:val="00564CD7"/>
    <w:rsid w:val="00565768"/>
    <w:rsid w:val="00566FF5"/>
    <w:rsid w:val="0056707D"/>
    <w:rsid w:val="00567BCA"/>
    <w:rsid w:val="005705D8"/>
    <w:rsid w:val="00573851"/>
    <w:rsid w:val="00573C85"/>
    <w:rsid w:val="00574D69"/>
    <w:rsid w:val="00575182"/>
    <w:rsid w:val="00576414"/>
    <w:rsid w:val="00576C15"/>
    <w:rsid w:val="00577AFE"/>
    <w:rsid w:val="00577EFF"/>
    <w:rsid w:val="005813D3"/>
    <w:rsid w:val="00582955"/>
    <w:rsid w:val="00584473"/>
    <w:rsid w:val="005877A9"/>
    <w:rsid w:val="00591A23"/>
    <w:rsid w:val="00591ADE"/>
    <w:rsid w:val="00592D6E"/>
    <w:rsid w:val="00595F37"/>
    <w:rsid w:val="005A0121"/>
    <w:rsid w:val="005A0DF7"/>
    <w:rsid w:val="005A2A7F"/>
    <w:rsid w:val="005A3E7A"/>
    <w:rsid w:val="005A4A49"/>
    <w:rsid w:val="005A6D59"/>
    <w:rsid w:val="005A7460"/>
    <w:rsid w:val="005B034D"/>
    <w:rsid w:val="005C3F39"/>
    <w:rsid w:val="005C44C6"/>
    <w:rsid w:val="005C732F"/>
    <w:rsid w:val="005C7F61"/>
    <w:rsid w:val="005D12C1"/>
    <w:rsid w:val="005D1B10"/>
    <w:rsid w:val="005D2370"/>
    <w:rsid w:val="005D3E58"/>
    <w:rsid w:val="005D3E69"/>
    <w:rsid w:val="005D46F1"/>
    <w:rsid w:val="005D4BFC"/>
    <w:rsid w:val="005D65E8"/>
    <w:rsid w:val="005E03E8"/>
    <w:rsid w:val="005E0A5B"/>
    <w:rsid w:val="005E0FCE"/>
    <w:rsid w:val="005E1D32"/>
    <w:rsid w:val="005E2070"/>
    <w:rsid w:val="005E2615"/>
    <w:rsid w:val="005E32B7"/>
    <w:rsid w:val="005E52DF"/>
    <w:rsid w:val="005E6898"/>
    <w:rsid w:val="005E6D70"/>
    <w:rsid w:val="005F1198"/>
    <w:rsid w:val="005F13F1"/>
    <w:rsid w:val="005F1450"/>
    <w:rsid w:val="005F2C70"/>
    <w:rsid w:val="005F5036"/>
    <w:rsid w:val="00600F82"/>
    <w:rsid w:val="00603083"/>
    <w:rsid w:val="00605103"/>
    <w:rsid w:val="00605565"/>
    <w:rsid w:val="006056C2"/>
    <w:rsid w:val="00605818"/>
    <w:rsid w:val="00606B6F"/>
    <w:rsid w:val="00606D42"/>
    <w:rsid w:val="00610E92"/>
    <w:rsid w:val="00612988"/>
    <w:rsid w:val="00612B6E"/>
    <w:rsid w:val="0061565C"/>
    <w:rsid w:val="0061586A"/>
    <w:rsid w:val="00616550"/>
    <w:rsid w:val="006174DF"/>
    <w:rsid w:val="00617E2C"/>
    <w:rsid w:val="0062099B"/>
    <w:rsid w:val="006215E9"/>
    <w:rsid w:val="00622DF4"/>
    <w:rsid w:val="006237F0"/>
    <w:rsid w:val="00624DC3"/>
    <w:rsid w:val="006264BA"/>
    <w:rsid w:val="00630B32"/>
    <w:rsid w:val="006318CA"/>
    <w:rsid w:val="00631E55"/>
    <w:rsid w:val="00632456"/>
    <w:rsid w:val="00632802"/>
    <w:rsid w:val="00634E6B"/>
    <w:rsid w:val="006356E0"/>
    <w:rsid w:val="00635898"/>
    <w:rsid w:val="00637200"/>
    <w:rsid w:val="00637563"/>
    <w:rsid w:val="006408F0"/>
    <w:rsid w:val="006411C6"/>
    <w:rsid w:val="00641E1C"/>
    <w:rsid w:val="00642036"/>
    <w:rsid w:val="006423AC"/>
    <w:rsid w:val="00642A05"/>
    <w:rsid w:val="00643611"/>
    <w:rsid w:val="00643AB0"/>
    <w:rsid w:val="00644B52"/>
    <w:rsid w:val="00645256"/>
    <w:rsid w:val="006462E7"/>
    <w:rsid w:val="006466A9"/>
    <w:rsid w:val="0065007E"/>
    <w:rsid w:val="00651FBA"/>
    <w:rsid w:val="00652BA7"/>
    <w:rsid w:val="00652DE4"/>
    <w:rsid w:val="00652F44"/>
    <w:rsid w:val="00654133"/>
    <w:rsid w:val="006549F7"/>
    <w:rsid w:val="00655432"/>
    <w:rsid w:val="00657D66"/>
    <w:rsid w:val="00665903"/>
    <w:rsid w:val="00666074"/>
    <w:rsid w:val="0066717D"/>
    <w:rsid w:val="006706A8"/>
    <w:rsid w:val="0067281A"/>
    <w:rsid w:val="00673120"/>
    <w:rsid w:val="006736E6"/>
    <w:rsid w:val="00676783"/>
    <w:rsid w:val="00676CD9"/>
    <w:rsid w:val="00683700"/>
    <w:rsid w:val="00684DBE"/>
    <w:rsid w:val="00685931"/>
    <w:rsid w:val="00691058"/>
    <w:rsid w:val="006928F9"/>
    <w:rsid w:val="006967A4"/>
    <w:rsid w:val="00696C2A"/>
    <w:rsid w:val="006970D5"/>
    <w:rsid w:val="006A26ED"/>
    <w:rsid w:val="006A5BA2"/>
    <w:rsid w:val="006A74CF"/>
    <w:rsid w:val="006A766B"/>
    <w:rsid w:val="006A7E8F"/>
    <w:rsid w:val="006B100D"/>
    <w:rsid w:val="006B4383"/>
    <w:rsid w:val="006B47F3"/>
    <w:rsid w:val="006B4811"/>
    <w:rsid w:val="006B5EB7"/>
    <w:rsid w:val="006B69A3"/>
    <w:rsid w:val="006B6B02"/>
    <w:rsid w:val="006C03AB"/>
    <w:rsid w:val="006C11B4"/>
    <w:rsid w:val="006C2388"/>
    <w:rsid w:val="006C2F1D"/>
    <w:rsid w:val="006C5D71"/>
    <w:rsid w:val="006C7862"/>
    <w:rsid w:val="006C78B5"/>
    <w:rsid w:val="006C78CF"/>
    <w:rsid w:val="006D162B"/>
    <w:rsid w:val="006D2BE6"/>
    <w:rsid w:val="006D2C73"/>
    <w:rsid w:val="006D4B08"/>
    <w:rsid w:val="006E0F5B"/>
    <w:rsid w:val="006E51C5"/>
    <w:rsid w:val="006F176E"/>
    <w:rsid w:val="006F1B7C"/>
    <w:rsid w:val="006F6F44"/>
    <w:rsid w:val="006F7A01"/>
    <w:rsid w:val="006F7F59"/>
    <w:rsid w:val="007005C7"/>
    <w:rsid w:val="0070179E"/>
    <w:rsid w:val="00705255"/>
    <w:rsid w:val="00705E4B"/>
    <w:rsid w:val="00706BF3"/>
    <w:rsid w:val="00711543"/>
    <w:rsid w:val="007116FB"/>
    <w:rsid w:val="0072034D"/>
    <w:rsid w:val="007206CB"/>
    <w:rsid w:val="00721618"/>
    <w:rsid w:val="00725071"/>
    <w:rsid w:val="007250C1"/>
    <w:rsid w:val="0072521F"/>
    <w:rsid w:val="00726268"/>
    <w:rsid w:val="00726373"/>
    <w:rsid w:val="007267EC"/>
    <w:rsid w:val="00727361"/>
    <w:rsid w:val="00727633"/>
    <w:rsid w:val="00727A87"/>
    <w:rsid w:val="00730B8C"/>
    <w:rsid w:val="0073432B"/>
    <w:rsid w:val="00735ADA"/>
    <w:rsid w:val="00736C12"/>
    <w:rsid w:val="00737266"/>
    <w:rsid w:val="00737414"/>
    <w:rsid w:val="007375C7"/>
    <w:rsid w:val="00737B6E"/>
    <w:rsid w:val="007401D9"/>
    <w:rsid w:val="00742B15"/>
    <w:rsid w:val="0074338C"/>
    <w:rsid w:val="0074437B"/>
    <w:rsid w:val="0074563A"/>
    <w:rsid w:val="00747B21"/>
    <w:rsid w:val="00747B25"/>
    <w:rsid w:val="00747E2C"/>
    <w:rsid w:val="0075195B"/>
    <w:rsid w:val="00752B79"/>
    <w:rsid w:val="00752BD3"/>
    <w:rsid w:val="00753FE0"/>
    <w:rsid w:val="007554C2"/>
    <w:rsid w:val="00756ED0"/>
    <w:rsid w:val="0075719A"/>
    <w:rsid w:val="00757E16"/>
    <w:rsid w:val="0076162E"/>
    <w:rsid w:val="00761760"/>
    <w:rsid w:val="007636BB"/>
    <w:rsid w:val="00770E22"/>
    <w:rsid w:val="007710B5"/>
    <w:rsid w:val="00771436"/>
    <w:rsid w:val="00771D9A"/>
    <w:rsid w:val="00771F86"/>
    <w:rsid w:val="00772D4A"/>
    <w:rsid w:val="007737BF"/>
    <w:rsid w:val="00773985"/>
    <w:rsid w:val="00773B80"/>
    <w:rsid w:val="00774B2C"/>
    <w:rsid w:val="007765A2"/>
    <w:rsid w:val="00776AC4"/>
    <w:rsid w:val="00777618"/>
    <w:rsid w:val="00777F1D"/>
    <w:rsid w:val="00783999"/>
    <w:rsid w:val="00783B90"/>
    <w:rsid w:val="007867F2"/>
    <w:rsid w:val="007871F5"/>
    <w:rsid w:val="00791D15"/>
    <w:rsid w:val="007945B5"/>
    <w:rsid w:val="007954A4"/>
    <w:rsid w:val="007959CE"/>
    <w:rsid w:val="007972C9"/>
    <w:rsid w:val="007A1C62"/>
    <w:rsid w:val="007A30B3"/>
    <w:rsid w:val="007A3B2B"/>
    <w:rsid w:val="007A479C"/>
    <w:rsid w:val="007A5AD4"/>
    <w:rsid w:val="007A7B1D"/>
    <w:rsid w:val="007B018B"/>
    <w:rsid w:val="007B0618"/>
    <w:rsid w:val="007B0CC4"/>
    <w:rsid w:val="007B269E"/>
    <w:rsid w:val="007B2F06"/>
    <w:rsid w:val="007C06CD"/>
    <w:rsid w:val="007C3590"/>
    <w:rsid w:val="007C5413"/>
    <w:rsid w:val="007C5584"/>
    <w:rsid w:val="007C7E84"/>
    <w:rsid w:val="007C7FAE"/>
    <w:rsid w:val="007D125E"/>
    <w:rsid w:val="007D1502"/>
    <w:rsid w:val="007D1970"/>
    <w:rsid w:val="007D198D"/>
    <w:rsid w:val="007D4089"/>
    <w:rsid w:val="007D512E"/>
    <w:rsid w:val="007D639F"/>
    <w:rsid w:val="007D6540"/>
    <w:rsid w:val="007D6975"/>
    <w:rsid w:val="007D7C2D"/>
    <w:rsid w:val="007E0BBD"/>
    <w:rsid w:val="007E1819"/>
    <w:rsid w:val="007E2D01"/>
    <w:rsid w:val="007E3607"/>
    <w:rsid w:val="007E3D31"/>
    <w:rsid w:val="007E44CC"/>
    <w:rsid w:val="007E4FDC"/>
    <w:rsid w:val="007E60E9"/>
    <w:rsid w:val="007F076A"/>
    <w:rsid w:val="007F4764"/>
    <w:rsid w:val="007F4C2C"/>
    <w:rsid w:val="007F7343"/>
    <w:rsid w:val="0080138D"/>
    <w:rsid w:val="00801E73"/>
    <w:rsid w:val="0080244A"/>
    <w:rsid w:val="00804B41"/>
    <w:rsid w:val="008116DD"/>
    <w:rsid w:val="00811C0A"/>
    <w:rsid w:val="00812F2F"/>
    <w:rsid w:val="00815690"/>
    <w:rsid w:val="00816F51"/>
    <w:rsid w:val="00820934"/>
    <w:rsid w:val="00821FF3"/>
    <w:rsid w:val="0082477B"/>
    <w:rsid w:val="008264AD"/>
    <w:rsid w:val="00826510"/>
    <w:rsid w:val="0082664A"/>
    <w:rsid w:val="00826CD4"/>
    <w:rsid w:val="0082748F"/>
    <w:rsid w:val="008308A4"/>
    <w:rsid w:val="00831A8B"/>
    <w:rsid w:val="00833F37"/>
    <w:rsid w:val="00835422"/>
    <w:rsid w:val="00835F38"/>
    <w:rsid w:val="00840026"/>
    <w:rsid w:val="008419C5"/>
    <w:rsid w:val="008421CD"/>
    <w:rsid w:val="008425D9"/>
    <w:rsid w:val="008427D8"/>
    <w:rsid w:val="008428C0"/>
    <w:rsid w:val="008429BD"/>
    <w:rsid w:val="008454F3"/>
    <w:rsid w:val="008456B2"/>
    <w:rsid w:val="008458A0"/>
    <w:rsid w:val="00846409"/>
    <w:rsid w:val="00850680"/>
    <w:rsid w:val="00851373"/>
    <w:rsid w:val="008513C4"/>
    <w:rsid w:val="00852180"/>
    <w:rsid w:val="008530EF"/>
    <w:rsid w:val="00854211"/>
    <w:rsid w:val="008548B6"/>
    <w:rsid w:val="00857008"/>
    <w:rsid w:val="00861077"/>
    <w:rsid w:val="008612E8"/>
    <w:rsid w:val="00861B85"/>
    <w:rsid w:val="008626E2"/>
    <w:rsid w:val="00862715"/>
    <w:rsid w:val="00863095"/>
    <w:rsid w:val="008649F0"/>
    <w:rsid w:val="00864ED9"/>
    <w:rsid w:val="00865258"/>
    <w:rsid w:val="00865780"/>
    <w:rsid w:val="00867C1D"/>
    <w:rsid w:val="00870781"/>
    <w:rsid w:val="008711F0"/>
    <w:rsid w:val="00871AA3"/>
    <w:rsid w:val="008739B8"/>
    <w:rsid w:val="00874DE1"/>
    <w:rsid w:val="00875551"/>
    <w:rsid w:val="0087559B"/>
    <w:rsid w:val="00876DDA"/>
    <w:rsid w:val="00877157"/>
    <w:rsid w:val="00877AAE"/>
    <w:rsid w:val="008828AE"/>
    <w:rsid w:val="00882EF6"/>
    <w:rsid w:val="00883449"/>
    <w:rsid w:val="008838D9"/>
    <w:rsid w:val="00886E69"/>
    <w:rsid w:val="008901CB"/>
    <w:rsid w:val="00890348"/>
    <w:rsid w:val="00890C20"/>
    <w:rsid w:val="008919E7"/>
    <w:rsid w:val="008926F0"/>
    <w:rsid w:val="00892ECB"/>
    <w:rsid w:val="00894BB5"/>
    <w:rsid w:val="00897CCA"/>
    <w:rsid w:val="008A2F7C"/>
    <w:rsid w:val="008A353D"/>
    <w:rsid w:val="008A6CB1"/>
    <w:rsid w:val="008A74A8"/>
    <w:rsid w:val="008A7C2C"/>
    <w:rsid w:val="008B1780"/>
    <w:rsid w:val="008B1AE8"/>
    <w:rsid w:val="008B2F97"/>
    <w:rsid w:val="008B4793"/>
    <w:rsid w:val="008B4B25"/>
    <w:rsid w:val="008B5C75"/>
    <w:rsid w:val="008B605A"/>
    <w:rsid w:val="008B67E3"/>
    <w:rsid w:val="008C0885"/>
    <w:rsid w:val="008C227C"/>
    <w:rsid w:val="008C2D5C"/>
    <w:rsid w:val="008C6BD9"/>
    <w:rsid w:val="008D234B"/>
    <w:rsid w:val="008D26DA"/>
    <w:rsid w:val="008D3A39"/>
    <w:rsid w:val="008D49A0"/>
    <w:rsid w:val="008D4CF9"/>
    <w:rsid w:val="008D5458"/>
    <w:rsid w:val="008D5E19"/>
    <w:rsid w:val="008D7437"/>
    <w:rsid w:val="008D7800"/>
    <w:rsid w:val="008D7EAD"/>
    <w:rsid w:val="008E1560"/>
    <w:rsid w:val="008E1B5E"/>
    <w:rsid w:val="008F23A3"/>
    <w:rsid w:val="008F24B0"/>
    <w:rsid w:val="008F612E"/>
    <w:rsid w:val="008F67A7"/>
    <w:rsid w:val="008F75BD"/>
    <w:rsid w:val="008F7FBF"/>
    <w:rsid w:val="00900022"/>
    <w:rsid w:val="0090041F"/>
    <w:rsid w:val="009005C6"/>
    <w:rsid w:val="00902EE9"/>
    <w:rsid w:val="0090319E"/>
    <w:rsid w:val="0090424D"/>
    <w:rsid w:val="009048AB"/>
    <w:rsid w:val="0090499C"/>
    <w:rsid w:val="00904F2E"/>
    <w:rsid w:val="00913E6D"/>
    <w:rsid w:val="009141A0"/>
    <w:rsid w:val="00914408"/>
    <w:rsid w:val="009158D0"/>
    <w:rsid w:val="009166CF"/>
    <w:rsid w:val="0091722E"/>
    <w:rsid w:val="00917B7B"/>
    <w:rsid w:val="0092252A"/>
    <w:rsid w:val="009263B4"/>
    <w:rsid w:val="00926D93"/>
    <w:rsid w:val="00936EFD"/>
    <w:rsid w:val="00941028"/>
    <w:rsid w:val="0094588B"/>
    <w:rsid w:val="00946B54"/>
    <w:rsid w:val="00947AD6"/>
    <w:rsid w:val="00950082"/>
    <w:rsid w:val="00950989"/>
    <w:rsid w:val="00952678"/>
    <w:rsid w:val="00952CFA"/>
    <w:rsid w:val="00953BD4"/>
    <w:rsid w:val="00953ED9"/>
    <w:rsid w:val="0095605A"/>
    <w:rsid w:val="00962980"/>
    <w:rsid w:val="009629B8"/>
    <w:rsid w:val="00962C70"/>
    <w:rsid w:val="009656B5"/>
    <w:rsid w:val="00966CB7"/>
    <w:rsid w:val="009672D8"/>
    <w:rsid w:val="0097282A"/>
    <w:rsid w:val="009735D2"/>
    <w:rsid w:val="00974DD8"/>
    <w:rsid w:val="00975EB2"/>
    <w:rsid w:val="00976B74"/>
    <w:rsid w:val="00976D92"/>
    <w:rsid w:val="009813B4"/>
    <w:rsid w:val="0098292D"/>
    <w:rsid w:val="00983B79"/>
    <w:rsid w:val="00985244"/>
    <w:rsid w:val="00985DE2"/>
    <w:rsid w:val="0098793D"/>
    <w:rsid w:val="0099043D"/>
    <w:rsid w:val="00994EF4"/>
    <w:rsid w:val="0099636A"/>
    <w:rsid w:val="00996EAE"/>
    <w:rsid w:val="00997E8A"/>
    <w:rsid w:val="009A0ABB"/>
    <w:rsid w:val="009A0B0B"/>
    <w:rsid w:val="009A0B47"/>
    <w:rsid w:val="009A13D0"/>
    <w:rsid w:val="009A18A4"/>
    <w:rsid w:val="009A1992"/>
    <w:rsid w:val="009A1DDE"/>
    <w:rsid w:val="009A2B1A"/>
    <w:rsid w:val="009A4036"/>
    <w:rsid w:val="009A4E32"/>
    <w:rsid w:val="009A7AE2"/>
    <w:rsid w:val="009A7BE6"/>
    <w:rsid w:val="009A7EEF"/>
    <w:rsid w:val="009B251C"/>
    <w:rsid w:val="009B3C26"/>
    <w:rsid w:val="009B67B5"/>
    <w:rsid w:val="009C2C43"/>
    <w:rsid w:val="009C2CFE"/>
    <w:rsid w:val="009C3C32"/>
    <w:rsid w:val="009C4978"/>
    <w:rsid w:val="009D0D69"/>
    <w:rsid w:val="009D3EEC"/>
    <w:rsid w:val="009D444C"/>
    <w:rsid w:val="009D5351"/>
    <w:rsid w:val="009D71F7"/>
    <w:rsid w:val="009D7518"/>
    <w:rsid w:val="009D7A47"/>
    <w:rsid w:val="009E09B8"/>
    <w:rsid w:val="009E2062"/>
    <w:rsid w:val="009E3282"/>
    <w:rsid w:val="009E36E8"/>
    <w:rsid w:val="009E4BFE"/>
    <w:rsid w:val="009E5FE7"/>
    <w:rsid w:val="009F21B8"/>
    <w:rsid w:val="009F2A1C"/>
    <w:rsid w:val="009F4162"/>
    <w:rsid w:val="009F4B9D"/>
    <w:rsid w:val="009F4E28"/>
    <w:rsid w:val="009F5232"/>
    <w:rsid w:val="00A005B2"/>
    <w:rsid w:val="00A0198B"/>
    <w:rsid w:val="00A019B5"/>
    <w:rsid w:val="00A028B0"/>
    <w:rsid w:val="00A04991"/>
    <w:rsid w:val="00A070FB"/>
    <w:rsid w:val="00A075D9"/>
    <w:rsid w:val="00A139BD"/>
    <w:rsid w:val="00A13B91"/>
    <w:rsid w:val="00A14549"/>
    <w:rsid w:val="00A15869"/>
    <w:rsid w:val="00A209FD"/>
    <w:rsid w:val="00A210C9"/>
    <w:rsid w:val="00A21415"/>
    <w:rsid w:val="00A22386"/>
    <w:rsid w:val="00A233DD"/>
    <w:rsid w:val="00A26AC4"/>
    <w:rsid w:val="00A26B64"/>
    <w:rsid w:val="00A27F5C"/>
    <w:rsid w:val="00A30C4B"/>
    <w:rsid w:val="00A30DC6"/>
    <w:rsid w:val="00A36CF8"/>
    <w:rsid w:val="00A37EC4"/>
    <w:rsid w:val="00A412A3"/>
    <w:rsid w:val="00A41C14"/>
    <w:rsid w:val="00A4259A"/>
    <w:rsid w:val="00A428D8"/>
    <w:rsid w:val="00A4330B"/>
    <w:rsid w:val="00A434DA"/>
    <w:rsid w:val="00A4492A"/>
    <w:rsid w:val="00A44CB3"/>
    <w:rsid w:val="00A457CF"/>
    <w:rsid w:val="00A46190"/>
    <w:rsid w:val="00A47DC7"/>
    <w:rsid w:val="00A50CA4"/>
    <w:rsid w:val="00A544C3"/>
    <w:rsid w:val="00A545A4"/>
    <w:rsid w:val="00A54F5B"/>
    <w:rsid w:val="00A553B3"/>
    <w:rsid w:val="00A5739A"/>
    <w:rsid w:val="00A57B98"/>
    <w:rsid w:val="00A60A65"/>
    <w:rsid w:val="00A60BE3"/>
    <w:rsid w:val="00A616F5"/>
    <w:rsid w:val="00A6245A"/>
    <w:rsid w:val="00A63831"/>
    <w:rsid w:val="00A63CA9"/>
    <w:rsid w:val="00A64D7F"/>
    <w:rsid w:val="00A660ED"/>
    <w:rsid w:val="00A67662"/>
    <w:rsid w:val="00A67E29"/>
    <w:rsid w:val="00A71EF9"/>
    <w:rsid w:val="00A72B15"/>
    <w:rsid w:val="00A7335A"/>
    <w:rsid w:val="00A743E1"/>
    <w:rsid w:val="00A80E23"/>
    <w:rsid w:val="00A820E2"/>
    <w:rsid w:val="00A82842"/>
    <w:rsid w:val="00A82AC9"/>
    <w:rsid w:val="00A855DE"/>
    <w:rsid w:val="00A922E8"/>
    <w:rsid w:val="00A92EE7"/>
    <w:rsid w:val="00A96E99"/>
    <w:rsid w:val="00AA5BAC"/>
    <w:rsid w:val="00AA5F51"/>
    <w:rsid w:val="00AA7536"/>
    <w:rsid w:val="00AB6B22"/>
    <w:rsid w:val="00AB6C5C"/>
    <w:rsid w:val="00AB6F9F"/>
    <w:rsid w:val="00AB7304"/>
    <w:rsid w:val="00AB76B5"/>
    <w:rsid w:val="00AB77EF"/>
    <w:rsid w:val="00AB7A73"/>
    <w:rsid w:val="00AC10A9"/>
    <w:rsid w:val="00AC50F2"/>
    <w:rsid w:val="00AC552B"/>
    <w:rsid w:val="00AC5D5B"/>
    <w:rsid w:val="00AC7C3E"/>
    <w:rsid w:val="00AD0BAB"/>
    <w:rsid w:val="00AD0CD8"/>
    <w:rsid w:val="00AD10BD"/>
    <w:rsid w:val="00AD14AE"/>
    <w:rsid w:val="00AD14C4"/>
    <w:rsid w:val="00AD4930"/>
    <w:rsid w:val="00AD68B2"/>
    <w:rsid w:val="00AE0FA8"/>
    <w:rsid w:val="00AE45C6"/>
    <w:rsid w:val="00AE5131"/>
    <w:rsid w:val="00AE64E6"/>
    <w:rsid w:val="00AF1D24"/>
    <w:rsid w:val="00AF4032"/>
    <w:rsid w:val="00AF4E87"/>
    <w:rsid w:val="00AF7986"/>
    <w:rsid w:val="00AF7E2B"/>
    <w:rsid w:val="00B0052C"/>
    <w:rsid w:val="00B02650"/>
    <w:rsid w:val="00B02A0A"/>
    <w:rsid w:val="00B02F8D"/>
    <w:rsid w:val="00B03577"/>
    <w:rsid w:val="00B04246"/>
    <w:rsid w:val="00B106EB"/>
    <w:rsid w:val="00B117A0"/>
    <w:rsid w:val="00B11F92"/>
    <w:rsid w:val="00B156B9"/>
    <w:rsid w:val="00B15984"/>
    <w:rsid w:val="00B1612B"/>
    <w:rsid w:val="00B161E6"/>
    <w:rsid w:val="00B16D00"/>
    <w:rsid w:val="00B20DAB"/>
    <w:rsid w:val="00B215CC"/>
    <w:rsid w:val="00B21B70"/>
    <w:rsid w:val="00B21CAD"/>
    <w:rsid w:val="00B2303F"/>
    <w:rsid w:val="00B23E22"/>
    <w:rsid w:val="00B24524"/>
    <w:rsid w:val="00B24860"/>
    <w:rsid w:val="00B25099"/>
    <w:rsid w:val="00B2559B"/>
    <w:rsid w:val="00B31893"/>
    <w:rsid w:val="00B31E95"/>
    <w:rsid w:val="00B327C3"/>
    <w:rsid w:val="00B340BB"/>
    <w:rsid w:val="00B349A9"/>
    <w:rsid w:val="00B35B90"/>
    <w:rsid w:val="00B37C6E"/>
    <w:rsid w:val="00B404F9"/>
    <w:rsid w:val="00B429F4"/>
    <w:rsid w:val="00B43DD7"/>
    <w:rsid w:val="00B43F8C"/>
    <w:rsid w:val="00B46D5E"/>
    <w:rsid w:val="00B46F7F"/>
    <w:rsid w:val="00B51B09"/>
    <w:rsid w:val="00B52551"/>
    <w:rsid w:val="00B52A45"/>
    <w:rsid w:val="00B55A49"/>
    <w:rsid w:val="00B56E95"/>
    <w:rsid w:val="00B6037F"/>
    <w:rsid w:val="00B60939"/>
    <w:rsid w:val="00B60B16"/>
    <w:rsid w:val="00B61992"/>
    <w:rsid w:val="00B63C89"/>
    <w:rsid w:val="00B66308"/>
    <w:rsid w:val="00B67398"/>
    <w:rsid w:val="00B70BF6"/>
    <w:rsid w:val="00B7199F"/>
    <w:rsid w:val="00B75859"/>
    <w:rsid w:val="00B758E8"/>
    <w:rsid w:val="00B8216F"/>
    <w:rsid w:val="00B850EB"/>
    <w:rsid w:val="00B86CFA"/>
    <w:rsid w:val="00B8706A"/>
    <w:rsid w:val="00B90192"/>
    <w:rsid w:val="00B90C76"/>
    <w:rsid w:val="00B90E61"/>
    <w:rsid w:val="00B918F8"/>
    <w:rsid w:val="00B91F42"/>
    <w:rsid w:val="00B9270B"/>
    <w:rsid w:val="00B943F9"/>
    <w:rsid w:val="00B94FD5"/>
    <w:rsid w:val="00B9556B"/>
    <w:rsid w:val="00B955A8"/>
    <w:rsid w:val="00B97CC3"/>
    <w:rsid w:val="00B97FA5"/>
    <w:rsid w:val="00BA0987"/>
    <w:rsid w:val="00BA14F1"/>
    <w:rsid w:val="00BA6AFF"/>
    <w:rsid w:val="00BA6DF2"/>
    <w:rsid w:val="00BB0433"/>
    <w:rsid w:val="00BB0A5E"/>
    <w:rsid w:val="00BB21DF"/>
    <w:rsid w:val="00BB24DC"/>
    <w:rsid w:val="00BB2606"/>
    <w:rsid w:val="00BB2A4A"/>
    <w:rsid w:val="00BB4793"/>
    <w:rsid w:val="00BB49DF"/>
    <w:rsid w:val="00BB502E"/>
    <w:rsid w:val="00BB52BE"/>
    <w:rsid w:val="00BB5F33"/>
    <w:rsid w:val="00BB7A40"/>
    <w:rsid w:val="00BB7F99"/>
    <w:rsid w:val="00BC048E"/>
    <w:rsid w:val="00BC0DD6"/>
    <w:rsid w:val="00BC1C8F"/>
    <w:rsid w:val="00BC23BD"/>
    <w:rsid w:val="00BC2B1F"/>
    <w:rsid w:val="00BC2D94"/>
    <w:rsid w:val="00BC42B5"/>
    <w:rsid w:val="00BC551B"/>
    <w:rsid w:val="00BC64BF"/>
    <w:rsid w:val="00BC69CC"/>
    <w:rsid w:val="00BD1611"/>
    <w:rsid w:val="00BD1E45"/>
    <w:rsid w:val="00BD2091"/>
    <w:rsid w:val="00BD23D6"/>
    <w:rsid w:val="00BD4800"/>
    <w:rsid w:val="00BD6002"/>
    <w:rsid w:val="00BD69D4"/>
    <w:rsid w:val="00BE0AB1"/>
    <w:rsid w:val="00BE227D"/>
    <w:rsid w:val="00BE34C1"/>
    <w:rsid w:val="00BE561D"/>
    <w:rsid w:val="00BE6D07"/>
    <w:rsid w:val="00BF11D9"/>
    <w:rsid w:val="00BF7EA2"/>
    <w:rsid w:val="00C006D6"/>
    <w:rsid w:val="00C011DF"/>
    <w:rsid w:val="00C03219"/>
    <w:rsid w:val="00C03D6C"/>
    <w:rsid w:val="00C0463B"/>
    <w:rsid w:val="00C06355"/>
    <w:rsid w:val="00C07E97"/>
    <w:rsid w:val="00C121A7"/>
    <w:rsid w:val="00C126CA"/>
    <w:rsid w:val="00C17920"/>
    <w:rsid w:val="00C17966"/>
    <w:rsid w:val="00C207CD"/>
    <w:rsid w:val="00C2437F"/>
    <w:rsid w:val="00C25B7B"/>
    <w:rsid w:val="00C26F62"/>
    <w:rsid w:val="00C270FC"/>
    <w:rsid w:val="00C31574"/>
    <w:rsid w:val="00C32EC0"/>
    <w:rsid w:val="00C363DF"/>
    <w:rsid w:val="00C403AF"/>
    <w:rsid w:val="00C41B05"/>
    <w:rsid w:val="00C451F8"/>
    <w:rsid w:val="00C45FBB"/>
    <w:rsid w:val="00C4657D"/>
    <w:rsid w:val="00C50B2D"/>
    <w:rsid w:val="00C51691"/>
    <w:rsid w:val="00C5191F"/>
    <w:rsid w:val="00C51AED"/>
    <w:rsid w:val="00C52F0D"/>
    <w:rsid w:val="00C53DD5"/>
    <w:rsid w:val="00C60AC8"/>
    <w:rsid w:val="00C616B6"/>
    <w:rsid w:val="00C61A1C"/>
    <w:rsid w:val="00C63281"/>
    <w:rsid w:val="00C6373E"/>
    <w:rsid w:val="00C63843"/>
    <w:rsid w:val="00C65542"/>
    <w:rsid w:val="00C66E51"/>
    <w:rsid w:val="00C70169"/>
    <w:rsid w:val="00C72CA0"/>
    <w:rsid w:val="00C809AD"/>
    <w:rsid w:val="00C80BFE"/>
    <w:rsid w:val="00C8182F"/>
    <w:rsid w:val="00C81C5C"/>
    <w:rsid w:val="00C81CD2"/>
    <w:rsid w:val="00C8210D"/>
    <w:rsid w:val="00C82363"/>
    <w:rsid w:val="00C8247D"/>
    <w:rsid w:val="00C831A6"/>
    <w:rsid w:val="00C86D43"/>
    <w:rsid w:val="00C8796C"/>
    <w:rsid w:val="00C87E54"/>
    <w:rsid w:val="00C92BAC"/>
    <w:rsid w:val="00C9318A"/>
    <w:rsid w:val="00C93E72"/>
    <w:rsid w:val="00C9454D"/>
    <w:rsid w:val="00C94BDA"/>
    <w:rsid w:val="00CA1DB1"/>
    <w:rsid w:val="00CA2071"/>
    <w:rsid w:val="00CA240B"/>
    <w:rsid w:val="00CA2679"/>
    <w:rsid w:val="00CA3EC5"/>
    <w:rsid w:val="00CB0280"/>
    <w:rsid w:val="00CB0E7C"/>
    <w:rsid w:val="00CB340B"/>
    <w:rsid w:val="00CB79A0"/>
    <w:rsid w:val="00CB7CDB"/>
    <w:rsid w:val="00CB7F97"/>
    <w:rsid w:val="00CC254B"/>
    <w:rsid w:val="00CC3AB7"/>
    <w:rsid w:val="00CC4302"/>
    <w:rsid w:val="00CC6137"/>
    <w:rsid w:val="00CC6608"/>
    <w:rsid w:val="00CD1F3B"/>
    <w:rsid w:val="00CD7DB9"/>
    <w:rsid w:val="00CE0D30"/>
    <w:rsid w:val="00CE254C"/>
    <w:rsid w:val="00CE3DC8"/>
    <w:rsid w:val="00CE461A"/>
    <w:rsid w:val="00CE71C2"/>
    <w:rsid w:val="00CF0EEF"/>
    <w:rsid w:val="00CF43BD"/>
    <w:rsid w:val="00CF5D5E"/>
    <w:rsid w:val="00CF5E20"/>
    <w:rsid w:val="00CF6AB1"/>
    <w:rsid w:val="00CF7A5E"/>
    <w:rsid w:val="00D0167B"/>
    <w:rsid w:val="00D01726"/>
    <w:rsid w:val="00D05E7C"/>
    <w:rsid w:val="00D0708F"/>
    <w:rsid w:val="00D072EF"/>
    <w:rsid w:val="00D1016C"/>
    <w:rsid w:val="00D104F4"/>
    <w:rsid w:val="00D12F4D"/>
    <w:rsid w:val="00D13376"/>
    <w:rsid w:val="00D13A22"/>
    <w:rsid w:val="00D1534E"/>
    <w:rsid w:val="00D22197"/>
    <w:rsid w:val="00D24A9C"/>
    <w:rsid w:val="00D24F66"/>
    <w:rsid w:val="00D315DD"/>
    <w:rsid w:val="00D316BF"/>
    <w:rsid w:val="00D32EAA"/>
    <w:rsid w:val="00D33454"/>
    <w:rsid w:val="00D35022"/>
    <w:rsid w:val="00D3568F"/>
    <w:rsid w:val="00D36D80"/>
    <w:rsid w:val="00D377C7"/>
    <w:rsid w:val="00D4050F"/>
    <w:rsid w:val="00D411DF"/>
    <w:rsid w:val="00D445DA"/>
    <w:rsid w:val="00D448F3"/>
    <w:rsid w:val="00D46C9B"/>
    <w:rsid w:val="00D47604"/>
    <w:rsid w:val="00D50803"/>
    <w:rsid w:val="00D51D7B"/>
    <w:rsid w:val="00D51F8D"/>
    <w:rsid w:val="00D522A4"/>
    <w:rsid w:val="00D528DD"/>
    <w:rsid w:val="00D54033"/>
    <w:rsid w:val="00D54761"/>
    <w:rsid w:val="00D549BB"/>
    <w:rsid w:val="00D55F9E"/>
    <w:rsid w:val="00D56ABE"/>
    <w:rsid w:val="00D61907"/>
    <w:rsid w:val="00D634F2"/>
    <w:rsid w:val="00D6714B"/>
    <w:rsid w:val="00D720B9"/>
    <w:rsid w:val="00D73A1C"/>
    <w:rsid w:val="00D75A80"/>
    <w:rsid w:val="00D7681D"/>
    <w:rsid w:val="00D76B0D"/>
    <w:rsid w:val="00D7770E"/>
    <w:rsid w:val="00D812DD"/>
    <w:rsid w:val="00D81506"/>
    <w:rsid w:val="00D8207A"/>
    <w:rsid w:val="00D841FA"/>
    <w:rsid w:val="00D85C50"/>
    <w:rsid w:val="00D869CF"/>
    <w:rsid w:val="00D874C5"/>
    <w:rsid w:val="00D9601E"/>
    <w:rsid w:val="00D963E5"/>
    <w:rsid w:val="00D969AF"/>
    <w:rsid w:val="00DA32C7"/>
    <w:rsid w:val="00DA6DA5"/>
    <w:rsid w:val="00DA6FFA"/>
    <w:rsid w:val="00DB00C3"/>
    <w:rsid w:val="00DB0218"/>
    <w:rsid w:val="00DB0CA8"/>
    <w:rsid w:val="00DB3411"/>
    <w:rsid w:val="00DB49BD"/>
    <w:rsid w:val="00DB66E8"/>
    <w:rsid w:val="00DB6F59"/>
    <w:rsid w:val="00DC150F"/>
    <w:rsid w:val="00DC177C"/>
    <w:rsid w:val="00DC5477"/>
    <w:rsid w:val="00DC6056"/>
    <w:rsid w:val="00DC6833"/>
    <w:rsid w:val="00DC6CF6"/>
    <w:rsid w:val="00DD0BE4"/>
    <w:rsid w:val="00DD44C2"/>
    <w:rsid w:val="00DE0B8F"/>
    <w:rsid w:val="00DE3193"/>
    <w:rsid w:val="00DE484B"/>
    <w:rsid w:val="00DE5ECF"/>
    <w:rsid w:val="00DE602C"/>
    <w:rsid w:val="00DE75FD"/>
    <w:rsid w:val="00DF1524"/>
    <w:rsid w:val="00DF1850"/>
    <w:rsid w:val="00DF2AED"/>
    <w:rsid w:val="00DF3D43"/>
    <w:rsid w:val="00DF48F8"/>
    <w:rsid w:val="00DF589D"/>
    <w:rsid w:val="00E00623"/>
    <w:rsid w:val="00E01B8F"/>
    <w:rsid w:val="00E01FDA"/>
    <w:rsid w:val="00E03A37"/>
    <w:rsid w:val="00E04CD6"/>
    <w:rsid w:val="00E058A1"/>
    <w:rsid w:val="00E05B16"/>
    <w:rsid w:val="00E05F23"/>
    <w:rsid w:val="00E05F88"/>
    <w:rsid w:val="00E05FD7"/>
    <w:rsid w:val="00E068E4"/>
    <w:rsid w:val="00E074A5"/>
    <w:rsid w:val="00E174C1"/>
    <w:rsid w:val="00E175C7"/>
    <w:rsid w:val="00E17F64"/>
    <w:rsid w:val="00E20417"/>
    <w:rsid w:val="00E205DF"/>
    <w:rsid w:val="00E20ABD"/>
    <w:rsid w:val="00E20C9A"/>
    <w:rsid w:val="00E21723"/>
    <w:rsid w:val="00E21FA6"/>
    <w:rsid w:val="00E2265C"/>
    <w:rsid w:val="00E24A9F"/>
    <w:rsid w:val="00E27D7F"/>
    <w:rsid w:val="00E32229"/>
    <w:rsid w:val="00E4072E"/>
    <w:rsid w:val="00E40BD9"/>
    <w:rsid w:val="00E40F45"/>
    <w:rsid w:val="00E410BE"/>
    <w:rsid w:val="00E431CC"/>
    <w:rsid w:val="00E4332F"/>
    <w:rsid w:val="00E43638"/>
    <w:rsid w:val="00E45B43"/>
    <w:rsid w:val="00E52A3C"/>
    <w:rsid w:val="00E53BD1"/>
    <w:rsid w:val="00E6053D"/>
    <w:rsid w:val="00E61F8E"/>
    <w:rsid w:val="00E629E3"/>
    <w:rsid w:val="00E62BFF"/>
    <w:rsid w:val="00E63156"/>
    <w:rsid w:val="00E64C1E"/>
    <w:rsid w:val="00E66245"/>
    <w:rsid w:val="00E67B0B"/>
    <w:rsid w:val="00E726CF"/>
    <w:rsid w:val="00E77CE6"/>
    <w:rsid w:val="00E81953"/>
    <w:rsid w:val="00E82329"/>
    <w:rsid w:val="00E82D05"/>
    <w:rsid w:val="00E83E99"/>
    <w:rsid w:val="00E8444B"/>
    <w:rsid w:val="00E84E9E"/>
    <w:rsid w:val="00E86197"/>
    <w:rsid w:val="00E91C6D"/>
    <w:rsid w:val="00E91CE0"/>
    <w:rsid w:val="00E92B06"/>
    <w:rsid w:val="00E92B23"/>
    <w:rsid w:val="00E95D89"/>
    <w:rsid w:val="00E9674A"/>
    <w:rsid w:val="00EA15FE"/>
    <w:rsid w:val="00EA2590"/>
    <w:rsid w:val="00EA4568"/>
    <w:rsid w:val="00EA48A7"/>
    <w:rsid w:val="00EA7314"/>
    <w:rsid w:val="00EB1381"/>
    <w:rsid w:val="00EB154D"/>
    <w:rsid w:val="00EB1661"/>
    <w:rsid w:val="00EB17B6"/>
    <w:rsid w:val="00EB34C6"/>
    <w:rsid w:val="00EB3578"/>
    <w:rsid w:val="00EB3C60"/>
    <w:rsid w:val="00EB460C"/>
    <w:rsid w:val="00EB4CDA"/>
    <w:rsid w:val="00EB67A6"/>
    <w:rsid w:val="00EB7BF1"/>
    <w:rsid w:val="00EC014E"/>
    <w:rsid w:val="00EC0DAB"/>
    <w:rsid w:val="00EC10D5"/>
    <w:rsid w:val="00EC2C64"/>
    <w:rsid w:val="00EC3B0A"/>
    <w:rsid w:val="00EC4C5F"/>
    <w:rsid w:val="00EC63D5"/>
    <w:rsid w:val="00EC6FA8"/>
    <w:rsid w:val="00EC7ACD"/>
    <w:rsid w:val="00ED02F5"/>
    <w:rsid w:val="00ED0888"/>
    <w:rsid w:val="00ED4595"/>
    <w:rsid w:val="00ED4C96"/>
    <w:rsid w:val="00ED52ED"/>
    <w:rsid w:val="00ED6E26"/>
    <w:rsid w:val="00ED6F94"/>
    <w:rsid w:val="00EE1821"/>
    <w:rsid w:val="00EE2270"/>
    <w:rsid w:val="00EE3144"/>
    <w:rsid w:val="00EE77A3"/>
    <w:rsid w:val="00F016A9"/>
    <w:rsid w:val="00F03E9C"/>
    <w:rsid w:val="00F05035"/>
    <w:rsid w:val="00F10393"/>
    <w:rsid w:val="00F119CE"/>
    <w:rsid w:val="00F150B4"/>
    <w:rsid w:val="00F16561"/>
    <w:rsid w:val="00F23D0E"/>
    <w:rsid w:val="00F26616"/>
    <w:rsid w:val="00F27BD4"/>
    <w:rsid w:val="00F30C1B"/>
    <w:rsid w:val="00F338BF"/>
    <w:rsid w:val="00F3654E"/>
    <w:rsid w:val="00F36937"/>
    <w:rsid w:val="00F36D3E"/>
    <w:rsid w:val="00F37589"/>
    <w:rsid w:val="00F37DFB"/>
    <w:rsid w:val="00F37E11"/>
    <w:rsid w:val="00F403BC"/>
    <w:rsid w:val="00F4134E"/>
    <w:rsid w:val="00F417CB"/>
    <w:rsid w:val="00F41EDC"/>
    <w:rsid w:val="00F42355"/>
    <w:rsid w:val="00F42F45"/>
    <w:rsid w:val="00F431B4"/>
    <w:rsid w:val="00F436A2"/>
    <w:rsid w:val="00F45988"/>
    <w:rsid w:val="00F46014"/>
    <w:rsid w:val="00F46B80"/>
    <w:rsid w:val="00F47066"/>
    <w:rsid w:val="00F50C95"/>
    <w:rsid w:val="00F52716"/>
    <w:rsid w:val="00F52795"/>
    <w:rsid w:val="00F52F31"/>
    <w:rsid w:val="00F60900"/>
    <w:rsid w:val="00F6145A"/>
    <w:rsid w:val="00F61815"/>
    <w:rsid w:val="00F624C0"/>
    <w:rsid w:val="00F6251E"/>
    <w:rsid w:val="00F630CB"/>
    <w:rsid w:val="00F6329B"/>
    <w:rsid w:val="00F67D78"/>
    <w:rsid w:val="00F70B13"/>
    <w:rsid w:val="00F7484E"/>
    <w:rsid w:val="00F757CC"/>
    <w:rsid w:val="00F75BC3"/>
    <w:rsid w:val="00F76C52"/>
    <w:rsid w:val="00F778C9"/>
    <w:rsid w:val="00F8309F"/>
    <w:rsid w:val="00F83949"/>
    <w:rsid w:val="00F872BD"/>
    <w:rsid w:val="00F8790C"/>
    <w:rsid w:val="00F9101F"/>
    <w:rsid w:val="00F915B7"/>
    <w:rsid w:val="00F9355B"/>
    <w:rsid w:val="00F94E47"/>
    <w:rsid w:val="00F978F5"/>
    <w:rsid w:val="00FA08E0"/>
    <w:rsid w:val="00FA37AB"/>
    <w:rsid w:val="00FA5DD0"/>
    <w:rsid w:val="00FA6713"/>
    <w:rsid w:val="00FA719B"/>
    <w:rsid w:val="00FB1350"/>
    <w:rsid w:val="00FB1A3C"/>
    <w:rsid w:val="00FB4B0A"/>
    <w:rsid w:val="00FB4B74"/>
    <w:rsid w:val="00FB5601"/>
    <w:rsid w:val="00FB6645"/>
    <w:rsid w:val="00FB75A8"/>
    <w:rsid w:val="00FC19FE"/>
    <w:rsid w:val="00FC24AE"/>
    <w:rsid w:val="00FC4DE2"/>
    <w:rsid w:val="00FC54DC"/>
    <w:rsid w:val="00FC7337"/>
    <w:rsid w:val="00FD071D"/>
    <w:rsid w:val="00FD1CFE"/>
    <w:rsid w:val="00FD27B5"/>
    <w:rsid w:val="00FD3480"/>
    <w:rsid w:val="00FD42CE"/>
    <w:rsid w:val="00FD5167"/>
    <w:rsid w:val="00FD5218"/>
    <w:rsid w:val="00FD5424"/>
    <w:rsid w:val="00FD6097"/>
    <w:rsid w:val="00FE466A"/>
    <w:rsid w:val="00FE4C5B"/>
    <w:rsid w:val="00FE50D3"/>
    <w:rsid w:val="00FF0EF1"/>
    <w:rsid w:val="00FF1476"/>
    <w:rsid w:val="00FF7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17409"/>
    <o:shapelayout v:ext="edit">
      <o:idmap v:ext="edit" data="1"/>
    </o:shapelayout>
  </w:shapeDefaults>
  <w:decimalSymbol w:val="."/>
  <w:listSeparator w:val=","/>
  <w15:chartTrackingRefBased/>
  <w15:docId w15:val="{BA2EFAB4-AB3D-4B26-A63B-4568AF8BD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2B5"/>
    <w:pPr>
      <w:autoSpaceDE w:val="0"/>
      <w:autoSpaceDN w:val="0"/>
    </w:pPr>
    <w:rPr>
      <w:sz w:val="24"/>
      <w:szCs w:val="24"/>
    </w:rPr>
  </w:style>
  <w:style w:type="paragraph" w:styleId="Heading1">
    <w:name w:val="heading 1"/>
    <w:basedOn w:val="Normal"/>
    <w:next w:val="Normal"/>
    <w:qFormat/>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pPr>
      <w:keepNext/>
      <w:tabs>
        <w:tab w:val="left" w:pos="1260"/>
      </w:tabs>
      <w:spacing w:line="480" w:lineRule="auto"/>
      <w:ind w:firstLine="720"/>
      <w:jc w:val="both"/>
      <w:outlineLvl w:val="1"/>
    </w:pPr>
    <w:rPr>
      <w:b/>
      <w:bCs/>
    </w:rPr>
  </w:style>
  <w:style w:type="paragraph" w:styleId="Heading3">
    <w:name w:val="heading 3"/>
    <w:basedOn w:val="Normal"/>
    <w:next w:val="Normal"/>
    <w:qFormat/>
    <w:pPr>
      <w:keepNext/>
      <w:tabs>
        <w:tab w:val="left" w:pos="1260"/>
      </w:tabs>
      <w:spacing w:line="480" w:lineRule="auto"/>
      <w:ind w:firstLine="720"/>
      <w:jc w:val="center"/>
      <w:outlineLvl w:val="2"/>
    </w:pPr>
    <w:rPr>
      <w:b/>
      <w:bCs/>
    </w:rPr>
  </w:style>
  <w:style w:type="paragraph" w:styleId="Heading4">
    <w:name w:val="heading 4"/>
    <w:basedOn w:val="Normal"/>
    <w:next w:val="Normal"/>
    <w:qFormat/>
    <w:pPr>
      <w:keepNext/>
      <w:tabs>
        <w:tab w:val="left" w:pos="1260"/>
      </w:tabs>
      <w:spacing w:line="480" w:lineRule="auto"/>
      <w:ind w:left="540" w:hanging="540"/>
      <w:jc w:val="center"/>
      <w:outlineLvl w:val="3"/>
    </w:pPr>
    <w:rPr>
      <w:b/>
      <w:bCs/>
    </w:rPr>
  </w:style>
  <w:style w:type="paragraph" w:styleId="Heading5">
    <w:name w:val="heading 5"/>
    <w:basedOn w:val="Normal"/>
    <w:next w:val="Normal"/>
    <w:qFormat/>
    <w:pPr>
      <w:keepNext/>
      <w:spacing w:line="480" w:lineRule="auto"/>
      <w:jc w:val="center"/>
      <w:outlineLvl w:val="4"/>
    </w:pPr>
    <w:rPr>
      <w:b/>
      <w:bCs/>
    </w:rPr>
  </w:style>
  <w:style w:type="paragraph" w:styleId="Heading6">
    <w:name w:val="heading 6"/>
    <w:basedOn w:val="Normal"/>
    <w:next w:val="Normal"/>
    <w:qFormat/>
    <w:pPr>
      <w:keepNext/>
      <w:tabs>
        <w:tab w:val="left" w:pos="1260"/>
      </w:tabs>
      <w:spacing w:line="480" w:lineRule="auto"/>
      <w:jc w:val="center"/>
      <w:outlineLvl w:val="5"/>
    </w:pPr>
    <w:rPr>
      <w:b/>
      <w:bCs/>
      <w:sz w:val="20"/>
      <w:szCs w:val="20"/>
    </w:rPr>
  </w:style>
  <w:style w:type="paragraph" w:styleId="Heading7">
    <w:name w:val="heading 7"/>
    <w:basedOn w:val="Normal"/>
    <w:next w:val="Normal"/>
    <w:qFormat/>
    <w:pPr>
      <w:keepNext/>
      <w:tabs>
        <w:tab w:val="left" w:pos="1260"/>
      </w:tabs>
      <w:jc w:val="right"/>
      <w:outlineLvl w:val="6"/>
    </w:pPr>
    <w:rPr>
      <w:sz w:val="20"/>
      <w:szCs w:val="20"/>
    </w:rPr>
  </w:style>
  <w:style w:type="paragraph" w:styleId="Heading8">
    <w:name w:val="heading 8"/>
    <w:basedOn w:val="Normal"/>
    <w:next w:val="Normal"/>
    <w:qFormat/>
    <w:pPr>
      <w:keepNext/>
      <w:tabs>
        <w:tab w:val="left" w:pos="1260"/>
      </w:tabs>
      <w:spacing w:line="480" w:lineRule="auto"/>
      <w:jc w:val="both"/>
      <w:outlineLvl w:val="7"/>
    </w:pPr>
    <w:rPr>
      <w:b/>
      <w:bCs/>
      <w:u w:val="single"/>
      <w:lang w:val="fr-FR"/>
    </w:rPr>
  </w:style>
  <w:style w:type="paragraph" w:styleId="Heading9">
    <w:name w:val="heading 9"/>
    <w:basedOn w:val="Normal"/>
    <w:next w:val="Normal"/>
    <w:qFormat/>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rFonts w:ascii="Times New Roman" w:hAnsi="Times New Roman" w:cs="Times New Roman"/>
      <w:sz w:val="24"/>
      <w:szCs w:val="24"/>
    </w:rPr>
  </w:style>
  <w:style w:type="character" w:styleId="LineNumber">
    <w:name w:val="line number"/>
    <w:rPr>
      <w:rFonts w:ascii="Times New Roman" w:hAnsi="Times New Roman" w:cs="Times New Roman"/>
      <w:sz w:val="24"/>
      <w:szCs w:val="24"/>
    </w:rPr>
  </w:style>
  <w:style w:type="paragraph" w:styleId="BodyText2">
    <w:name w:val="Body Text 2"/>
    <w:basedOn w:val="Normal"/>
    <w:link w:val="BodyText2Char"/>
    <w:pPr>
      <w:spacing w:line="480" w:lineRule="auto"/>
      <w:jc w:val="both"/>
    </w:pPr>
  </w:style>
  <w:style w:type="paragraph" w:styleId="BodyTextIndent2">
    <w:name w:val="Body Text Indent 2"/>
    <w:basedOn w:val="Normal"/>
    <w:pPr>
      <w:tabs>
        <w:tab w:val="left" w:pos="1260"/>
      </w:tabs>
      <w:spacing w:line="480" w:lineRule="auto"/>
      <w:ind w:left="540" w:hanging="540"/>
      <w:jc w:val="both"/>
    </w:pPr>
  </w:style>
  <w:style w:type="paragraph" w:styleId="BodyTextIndent3">
    <w:name w:val="Body Text Indent 3"/>
    <w:basedOn w:val="Normal"/>
    <w:pPr>
      <w:tabs>
        <w:tab w:val="left" w:pos="1260"/>
      </w:tabs>
      <w:spacing w:line="480" w:lineRule="auto"/>
      <w:ind w:firstLine="720"/>
      <w:jc w:val="both"/>
    </w:pPr>
    <w:rPr>
      <w:b/>
      <w:bCs/>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fn,f"/>
    <w:basedOn w:val="Normal"/>
    <w:link w:val="FootnoteTextChar"/>
    <w:uiPriority w:val="99"/>
    <w:qFormat/>
    <w:rPr>
      <w:sz w:val="20"/>
      <w:szCs w:val="20"/>
    </w:rPr>
  </w:style>
  <w:style w:type="character" w:styleId="FootnoteReference">
    <w:name w:val="footnote reference"/>
    <w:aliases w:val="Style 24,o,fr,Style 17,Style 11,Style 28,Style 8,Style 13,Style 12,Style 15,Style 9,o1,fr1,o2,fr2,o3,fr3,Style 18,(NECG) Footnote Reference,Style 20,Style 7,Style 19,Style 3,Style 16,Styl,Style 39,Style 30,Style 6"/>
    <w:uiPriority w:val="99"/>
    <w:qFormat/>
    <w:rPr>
      <w:rFonts w:cs="Times New Roman"/>
      <w:vertAlign w:val="superscript"/>
    </w:rPr>
  </w:style>
  <w:style w:type="paragraph" w:styleId="BodyText">
    <w:name w:val="Body Text"/>
    <w:basedOn w:val="Normal"/>
    <w:link w:val="BodyTextChar"/>
    <w:pPr>
      <w:spacing w:line="360" w:lineRule="auto"/>
      <w:jc w:val="center"/>
    </w:pPr>
    <w:rPr>
      <w:b/>
      <w:bCs/>
    </w:rPr>
  </w:style>
  <w:style w:type="paragraph" w:styleId="DocumentMap">
    <w:name w:val="Document Map"/>
    <w:basedOn w:val="Normal"/>
    <w:semiHidden/>
    <w:pPr>
      <w:shd w:val="clear" w:color="auto" w:fill="000080"/>
    </w:pPr>
    <w:rPr>
      <w:rFonts w:ascii="Tahoma" w:hAnsi="Tahoma" w:cs="Tahoma"/>
    </w:rPr>
  </w:style>
  <w:style w:type="paragraph" w:customStyle="1" w:styleId="TestBody">
    <w:name w:val="Test Body"/>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pPr>
      <w:numPr>
        <w:numId w:val="1"/>
      </w:numPr>
    </w:pPr>
  </w:style>
  <w:style w:type="paragraph" w:styleId="BalloonText">
    <w:name w:val="Balloon Text"/>
    <w:basedOn w:val="Normal"/>
    <w:semiHidden/>
    <w:rsid w:val="0038498D"/>
    <w:rPr>
      <w:rFonts w:ascii="Tahoma" w:hAnsi="Tahoma" w:cs="Tahoma"/>
      <w:sz w:val="16"/>
      <w:szCs w:val="16"/>
    </w:rPr>
  </w:style>
  <w:style w:type="character" w:styleId="CommentReference">
    <w:name w:val="annotation reference"/>
    <w:uiPriority w:val="99"/>
    <w:semiHidden/>
    <w:rsid w:val="009C2C43"/>
    <w:rPr>
      <w:sz w:val="16"/>
      <w:szCs w:val="16"/>
    </w:rPr>
  </w:style>
  <w:style w:type="paragraph" w:styleId="CommentText">
    <w:name w:val="annotation text"/>
    <w:basedOn w:val="Normal"/>
    <w:link w:val="CommentTextChar"/>
    <w:uiPriority w:val="99"/>
    <w:semiHidden/>
    <w:rsid w:val="009C2C43"/>
    <w:rPr>
      <w:sz w:val="20"/>
      <w:szCs w:val="20"/>
    </w:rPr>
  </w:style>
  <w:style w:type="paragraph" w:styleId="CommentSubject">
    <w:name w:val="annotation subject"/>
    <w:basedOn w:val="CommentText"/>
    <w:next w:val="CommentText"/>
    <w:semiHidden/>
    <w:rsid w:val="009C2C43"/>
    <w:rPr>
      <w:b/>
      <w:bCs/>
    </w:rPr>
  </w:style>
  <w:style w:type="paragraph" w:styleId="BodyTextIndent">
    <w:name w:val="Body Text Indent"/>
    <w:basedOn w:val="Normal"/>
    <w:rsid w:val="00E074A5"/>
    <w:pPr>
      <w:spacing w:after="120"/>
      <w:ind w:left="360"/>
    </w:pPr>
  </w:style>
  <w:style w:type="table" w:styleId="TableGrid">
    <w:name w:val="Table Grid"/>
    <w:basedOn w:val="TableNormal"/>
    <w:rsid w:val="009D0D69"/>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next w:val="Normal"/>
    <w:link w:val="questionChar"/>
    <w:rsid w:val="00A922E8"/>
    <w:pPr>
      <w:autoSpaceDE/>
      <w:autoSpaceDN/>
      <w:spacing w:before="240" w:after="120" w:line="480" w:lineRule="auto"/>
      <w:ind w:left="720" w:hanging="720"/>
    </w:pPr>
    <w:rPr>
      <w:rFonts w:eastAsia="SimSun"/>
      <w:b/>
      <w:bCs/>
      <w:lang w:eastAsia="zh-CN"/>
    </w:rPr>
  </w:style>
  <w:style w:type="character" w:customStyle="1" w:styleId="questionChar">
    <w:name w:val="question Char"/>
    <w:link w:val="question"/>
    <w:rsid w:val="00A922E8"/>
    <w:rPr>
      <w:rFonts w:eastAsia="SimSun"/>
      <w:b/>
      <w:bCs/>
      <w:sz w:val="24"/>
      <w:szCs w:val="24"/>
      <w:lang w:val="en-US" w:eastAsia="zh-CN" w:bidi="ar-SA"/>
    </w:rPr>
  </w:style>
  <w:style w:type="character" w:customStyle="1" w:styleId="BodyText2Char">
    <w:name w:val="Body Text 2 Char"/>
    <w:link w:val="BodyText2"/>
    <w:rsid w:val="00D01726"/>
    <w:rPr>
      <w:sz w:val="24"/>
      <w:szCs w:val="24"/>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rsid w:val="00A82AC9"/>
  </w:style>
  <w:style w:type="paragraph" w:customStyle="1" w:styleId="WARateCase">
    <w:name w:val="WA Rate Case"/>
    <w:basedOn w:val="Normal"/>
    <w:link w:val="WARateCaseChar"/>
    <w:qFormat/>
    <w:rsid w:val="003662C2"/>
    <w:pPr>
      <w:autoSpaceDE/>
      <w:autoSpaceDN/>
      <w:spacing w:line="480" w:lineRule="auto"/>
    </w:pPr>
    <w:rPr>
      <w:rFonts w:ascii="Calibri" w:eastAsia="Calibri" w:hAnsi="Calibri"/>
      <w:b/>
      <w:sz w:val="22"/>
      <w:szCs w:val="22"/>
    </w:rPr>
  </w:style>
  <w:style w:type="character" w:customStyle="1" w:styleId="WARateCaseChar">
    <w:name w:val="WA Rate Case Char"/>
    <w:link w:val="WARateCase"/>
    <w:rsid w:val="003662C2"/>
    <w:rPr>
      <w:rFonts w:ascii="Calibri" w:eastAsia="Calibri" w:hAnsi="Calibri" w:cs="Times New Roman"/>
      <w:b/>
      <w:sz w:val="22"/>
      <w:szCs w:val="22"/>
    </w:rPr>
  </w:style>
  <w:style w:type="character" w:customStyle="1" w:styleId="CommentTextChar">
    <w:name w:val="Comment Text Char"/>
    <w:basedOn w:val="DefaultParagraphFont"/>
    <w:link w:val="CommentText"/>
    <w:uiPriority w:val="99"/>
    <w:semiHidden/>
    <w:rsid w:val="001639C1"/>
  </w:style>
  <w:style w:type="paragraph" w:styleId="EndnoteText">
    <w:name w:val="endnote text"/>
    <w:basedOn w:val="Normal"/>
    <w:link w:val="EndnoteTextChar"/>
    <w:rsid w:val="005317EE"/>
    <w:rPr>
      <w:sz w:val="20"/>
      <w:szCs w:val="20"/>
    </w:rPr>
  </w:style>
  <w:style w:type="character" w:customStyle="1" w:styleId="EndnoteTextChar">
    <w:name w:val="Endnote Text Char"/>
    <w:basedOn w:val="DefaultParagraphFont"/>
    <w:link w:val="EndnoteText"/>
    <w:rsid w:val="005317EE"/>
  </w:style>
  <w:style w:type="character" w:styleId="EndnoteReference">
    <w:name w:val="endnote reference"/>
    <w:rsid w:val="005317EE"/>
    <w:rPr>
      <w:vertAlign w:val="superscript"/>
    </w:rPr>
  </w:style>
  <w:style w:type="character" w:customStyle="1" w:styleId="BodyTextChar">
    <w:name w:val="Body Text Char"/>
    <w:link w:val="BodyText"/>
    <w:rsid w:val="00450317"/>
    <w:rPr>
      <w:b/>
      <w:bCs/>
      <w:sz w:val="24"/>
      <w:szCs w:val="24"/>
    </w:rPr>
  </w:style>
  <w:style w:type="paragraph" w:styleId="NormalWeb">
    <w:name w:val="Normal (Web)"/>
    <w:basedOn w:val="Normal"/>
    <w:uiPriority w:val="99"/>
    <w:unhideWhenUsed/>
    <w:rsid w:val="00742B15"/>
    <w:pPr>
      <w:autoSpaceDE/>
      <w:autoSpaceDN/>
      <w:spacing w:before="100" w:beforeAutospacing="1" w:after="100" w:afterAutospacing="1"/>
    </w:pPr>
  </w:style>
  <w:style w:type="paragraph" w:styleId="TOCHeading">
    <w:name w:val="TOC Heading"/>
    <w:basedOn w:val="Heading1"/>
    <w:next w:val="Normal"/>
    <w:uiPriority w:val="39"/>
    <w:unhideWhenUsed/>
    <w:qFormat/>
    <w:rsid w:val="000D5FC9"/>
    <w:pPr>
      <w:keepLines/>
      <w:tabs>
        <w:tab w:val="clear" w:pos="720"/>
        <w:tab w:val="clear" w:pos="5040"/>
        <w:tab w:val="clear" w:pos="6480"/>
        <w:tab w:val="clear" w:pos="7920"/>
      </w:tabs>
      <w:autoSpaceDE/>
      <w:autoSpaceDN/>
      <w:spacing w:before="240" w:line="259" w:lineRule="auto"/>
      <w:jc w:val="left"/>
      <w:outlineLvl w:val="9"/>
    </w:pPr>
    <w:rPr>
      <w:rFonts w:ascii="Calibri Light" w:hAnsi="Calibri Light"/>
      <w:b w:val="0"/>
      <w:bCs w:val="0"/>
      <w:color w:val="2E74B5"/>
      <w:sz w:val="32"/>
      <w:szCs w:val="32"/>
    </w:rPr>
  </w:style>
  <w:style w:type="paragraph" w:styleId="TOC1">
    <w:name w:val="toc 1"/>
    <w:basedOn w:val="Normal"/>
    <w:next w:val="Normal"/>
    <w:autoRedefine/>
    <w:uiPriority w:val="39"/>
    <w:rsid w:val="00894BB5"/>
    <w:pPr>
      <w:tabs>
        <w:tab w:val="decimal" w:pos="0"/>
        <w:tab w:val="left" w:pos="660"/>
        <w:tab w:val="right" w:leader="dot" w:pos="9350"/>
      </w:tabs>
    </w:pPr>
  </w:style>
  <w:style w:type="character" w:styleId="Hyperlink">
    <w:name w:val="Hyperlink"/>
    <w:uiPriority w:val="99"/>
    <w:unhideWhenUsed/>
    <w:rsid w:val="000D5FC9"/>
    <w:rPr>
      <w:color w:val="0563C1"/>
      <w:u w:val="single"/>
    </w:rPr>
  </w:style>
  <w:style w:type="paragraph" w:styleId="TOC2">
    <w:name w:val="toc 2"/>
    <w:basedOn w:val="Normal"/>
    <w:next w:val="Normal"/>
    <w:autoRedefine/>
    <w:uiPriority w:val="39"/>
    <w:rsid w:val="000D5FC9"/>
    <w:pPr>
      <w:ind w:left="240"/>
    </w:pPr>
  </w:style>
  <w:style w:type="paragraph" w:styleId="TOC3">
    <w:name w:val="toc 3"/>
    <w:basedOn w:val="Normal"/>
    <w:next w:val="Normal"/>
    <w:autoRedefine/>
    <w:uiPriority w:val="39"/>
    <w:unhideWhenUsed/>
    <w:rsid w:val="00B46D5E"/>
    <w:pPr>
      <w:autoSpaceDE/>
      <w:autoSpaceDN/>
      <w:spacing w:after="100" w:line="259" w:lineRule="auto"/>
      <w:ind w:left="440"/>
    </w:pPr>
    <w:rPr>
      <w:rFonts w:ascii="Calibri" w:hAnsi="Calibri"/>
      <w:sz w:val="22"/>
      <w:szCs w:val="22"/>
    </w:rPr>
  </w:style>
  <w:style w:type="paragraph" w:styleId="NoSpacing">
    <w:name w:val="No Spacing"/>
    <w:uiPriority w:val="1"/>
    <w:qFormat/>
    <w:rsid w:val="00D46C9B"/>
    <w:rPr>
      <w:rFonts w:eastAsia="Calibri"/>
      <w:sz w:val="24"/>
      <w:szCs w:val="24"/>
    </w:rPr>
  </w:style>
  <w:style w:type="character" w:styleId="Emphasis">
    <w:name w:val="Emphasis"/>
    <w:qFormat/>
    <w:rsid w:val="00A449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23828">
      <w:bodyDiv w:val="1"/>
      <w:marLeft w:val="0"/>
      <w:marRight w:val="0"/>
      <w:marTop w:val="0"/>
      <w:marBottom w:val="0"/>
      <w:divBdr>
        <w:top w:val="none" w:sz="0" w:space="0" w:color="auto"/>
        <w:left w:val="none" w:sz="0" w:space="0" w:color="auto"/>
        <w:bottom w:val="none" w:sz="0" w:space="0" w:color="auto"/>
        <w:right w:val="none" w:sz="0" w:space="0" w:color="auto"/>
      </w:divBdr>
    </w:div>
    <w:div w:id="696077381">
      <w:bodyDiv w:val="1"/>
      <w:marLeft w:val="0"/>
      <w:marRight w:val="0"/>
      <w:marTop w:val="0"/>
      <w:marBottom w:val="0"/>
      <w:divBdr>
        <w:top w:val="none" w:sz="0" w:space="0" w:color="auto"/>
        <w:left w:val="none" w:sz="0" w:space="0" w:color="auto"/>
        <w:bottom w:val="none" w:sz="0" w:space="0" w:color="auto"/>
        <w:right w:val="none" w:sz="0" w:space="0" w:color="auto"/>
      </w:divBdr>
    </w:div>
    <w:div w:id="1020818513">
      <w:bodyDiv w:val="1"/>
      <w:marLeft w:val="0"/>
      <w:marRight w:val="0"/>
      <w:marTop w:val="0"/>
      <w:marBottom w:val="0"/>
      <w:divBdr>
        <w:top w:val="none" w:sz="0" w:space="0" w:color="auto"/>
        <w:left w:val="none" w:sz="0" w:space="0" w:color="auto"/>
        <w:bottom w:val="none" w:sz="0" w:space="0" w:color="auto"/>
        <w:right w:val="none" w:sz="0" w:space="0" w:color="auto"/>
      </w:divBdr>
    </w:div>
    <w:div w:id="1294023234">
      <w:bodyDiv w:val="1"/>
      <w:marLeft w:val="0"/>
      <w:marRight w:val="0"/>
      <w:marTop w:val="0"/>
      <w:marBottom w:val="0"/>
      <w:divBdr>
        <w:top w:val="none" w:sz="0" w:space="0" w:color="auto"/>
        <w:left w:val="none" w:sz="0" w:space="0" w:color="auto"/>
        <w:bottom w:val="none" w:sz="0" w:space="0" w:color="auto"/>
        <w:right w:val="none" w:sz="0" w:space="0" w:color="auto"/>
      </w:divBdr>
    </w:div>
    <w:div w:id="1439251668">
      <w:bodyDiv w:val="1"/>
      <w:marLeft w:val="0"/>
      <w:marRight w:val="0"/>
      <w:marTop w:val="0"/>
      <w:marBottom w:val="0"/>
      <w:divBdr>
        <w:top w:val="none" w:sz="0" w:space="0" w:color="auto"/>
        <w:left w:val="none" w:sz="0" w:space="0" w:color="auto"/>
        <w:bottom w:val="none" w:sz="0" w:space="0" w:color="auto"/>
        <w:right w:val="none" w:sz="0" w:space="0" w:color="auto"/>
      </w:divBdr>
    </w:div>
    <w:div w:id="1685551789">
      <w:bodyDiv w:val="1"/>
      <w:marLeft w:val="0"/>
      <w:marRight w:val="0"/>
      <w:marTop w:val="0"/>
      <w:marBottom w:val="0"/>
      <w:divBdr>
        <w:top w:val="none" w:sz="0" w:space="0" w:color="auto"/>
        <w:left w:val="none" w:sz="0" w:space="0" w:color="auto"/>
        <w:bottom w:val="none" w:sz="0" w:space="0" w:color="auto"/>
        <w:right w:val="none" w:sz="0" w:space="0" w:color="auto"/>
      </w:divBdr>
    </w:div>
    <w:div w:id="1722246136">
      <w:bodyDiv w:val="1"/>
      <w:marLeft w:val="0"/>
      <w:marRight w:val="0"/>
      <w:marTop w:val="0"/>
      <w:marBottom w:val="0"/>
      <w:divBdr>
        <w:top w:val="none" w:sz="0" w:space="0" w:color="auto"/>
        <w:left w:val="none" w:sz="0" w:space="0" w:color="auto"/>
        <w:bottom w:val="none" w:sz="0" w:space="0" w:color="auto"/>
        <w:right w:val="none" w:sz="0" w:space="0" w:color="auto"/>
      </w:divBdr>
    </w:div>
    <w:div w:id="1937714155">
      <w:bodyDiv w:val="1"/>
      <w:marLeft w:val="0"/>
      <w:marRight w:val="0"/>
      <w:marTop w:val="0"/>
      <w:marBottom w:val="0"/>
      <w:divBdr>
        <w:top w:val="none" w:sz="0" w:space="0" w:color="auto"/>
        <w:left w:val="none" w:sz="0" w:space="0" w:color="auto"/>
        <w:bottom w:val="none" w:sz="0" w:space="0" w:color="auto"/>
        <w:right w:val="none" w:sz="0" w:space="0" w:color="auto"/>
      </w:divBdr>
    </w:div>
    <w:div w:id="204448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gif"/><Relationship Id="rId18" Type="http://schemas.openxmlformats.org/officeDocument/2006/relationships/image" Target="media/image7.emf"/><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gif"/><Relationship Id="rId17" Type="http://schemas.openxmlformats.org/officeDocument/2006/relationships/image" Target="media/image6.emf"/><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4.gif"/><Relationship Id="rId23" Type="http://schemas.openxmlformats.org/officeDocument/2006/relationships/customXml" Target="../customXml/item2.xml"/><Relationship Id="rId10" Type="http://schemas.openxmlformats.org/officeDocument/2006/relationships/header" Target="header2.xml"/><Relationship Id="rId19" Type="http://schemas.openxmlformats.org/officeDocument/2006/relationships/image" Target="media/image8.gi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gi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2016-09-19T07:00:00+00:00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6760F5E-8E4E-4281-B1E6-1772939A4F20}">
  <ds:schemaRefs>
    <ds:schemaRef ds:uri="http://schemas.openxmlformats.org/officeDocument/2006/bibliography"/>
  </ds:schemaRefs>
</ds:datastoreItem>
</file>

<file path=customXml/itemProps2.xml><?xml version="1.0" encoding="utf-8"?>
<ds:datastoreItem xmlns:ds="http://schemas.openxmlformats.org/officeDocument/2006/customXml" ds:itemID="{BB0F40BD-F68F-4B4E-B1F9-E0200747E73A}"/>
</file>

<file path=customXml/itemProps3.xml><?xml version="1.0" encoding="utf-8"?>
<ds:datastoreItem xmlns:ds="http://schemas.openxmlformats.org/officeDocument/2006/customXml" ds:itemID="{B650615F-2936-481C-9241-83EE79C91268}"/>
</file>

<file path=customXml/itemProps4.xml><?xml version="1.0" encoding="utf-8"?>
<ds:datastoreItem xmlns:ds="http://schemas.openxmlformats.org/officeDocument/2006/customXml" ds:itemID="{953D681D-8925-4637-9BB4-7CA208A7B023}"/>
</file>

<file path=customXml/itemProps5.xml><?xml version="1.0" encoding="utf-8"?>
<ds:datastoreItem xmlns:ds="http://schemas.openxmlformats.org/officeDocument/2006/customXml" ds:itemID="{E1E0542B-8D65-4A47-A539-642230FC9CE5}"/>
</file>

<file path=docProps/app.xml><?xml version="1.0" encoding="utf-8"?>
<Properties xmlns="http://schemas.openxmlformats.org/officeDocument/2006/extended-properties" xmlns:vt="http://schemas.openxmlformats.org/officeDocument/2006/docPropsVTypes">
  <Template>Normal</Template>
  <TotalTime>9</TotalTime>
  <Pages>21</Pages>
  <Words>3590</Words>
  <Characters>20463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24005</CharactersWithSpaces>
  <SharedDoc>false</SharedDoc>
  <HLinks>
    <vt:vector size="54" baseType="variant">
      <vt:variant>
        <vt:i4>1245244</vt:i4>
      </vt:variant>
      <vt:variant>
        <vt:i4>50</vt:i4>
      </vt:variant>
      <vt:variant>
        <vt:i4>0</vt:i4>
      </vt:variant>
      <vt:variant>
        <vt:i4>5</vt:i4>
      </vt:variant>
      <vt:variant>
        <vt:lpwstr/>
      </vt:variant>
      <vt:variant>
        <vt:lpwstr>_Toc461196058</vt:lpwstr>
      </vt:variant>
      <vt:variant>
        <vt:i4>1245244</vt:i4>
      </vt:variant>
      <vt:variant>
        <vt:i4>44</vt:i4>
      </vt:variant>
      <vt:variant>
        <vt:i4>0</vt:i4>
      </vt:variant>
      <vt:variant>
        <vt:i4>5</vt:i4>
      </vt:variant>
      <vt:variant>
        <vt:lpwstr/>
      </vt:variant>
      <vt:variant>
        <vt:lpwstr>_Toc461196057</vt:lpwstr>
      </vt:variant>
      <vt:variant>
        <vt:i4>1245244</vt:i4>
      </vt:variant>
      <vt:variant>
        <vt:i4>38</vt:i4>
      </vt:variant>
      <vt:variant>
        <vt:i4>0</vt:i4>
      </vt:variant>
      <vt:variant>
        <vt:i4>5</vt:i4>
      </vt:variant>
      <vt:variant>
        <vt:lpwstr/>
      </vt:variant>
      <vt:variant>
        <vt:lpwstr>_Toc461196056</vt:lpwstr>
      </vt:variant>
      <vt:variant>
        <vt:i4>1245244</vt:i4>
      </vt:variant>
      <vt:variant>
        <vt:i4>32</vt:i4>
      </vt:variant>
      <vt:variant>
        <vt:i4>0</vt:i4>
      </vt:variant>
      <vt:variant>
        <vt:i4>5</vt:i4>
      </vt:variant>
      <vt:variant>
        <vt:lpwstr/>
      </vt:variant>
      <vt:variant>
        <vt:lpwstr>_Toc461196055</vt:lpwstr>
      </vt:variant>
      <vt:variant>
        <vt:i4>1245244</vt:i4>
      </vt:variant>
      <vt:variant>
        <vt:i4>26</vt:i4>
      </vt:variant>
      <vt:variant>
        <vt:i4>0</vt:i4>
      </vt:variant>
      <vt:variant>
        <vt:i4>5</vt:i4>
      </vt:variant>
      <vt:variant>
        <vt:lpwstr/>
      </vt:variant>
      <vt:variant>
        <vt:lpwstr>_Toc461196054</vt:lpwstr>
      </vt:variant>
      <vt:variant>
        <vt:i4>1245244</vt:i4>
      </vt:variant>
      <vt:variant>
        <vt:i4>20</vt:i4>
      </vt:variant>
      <vt:variant>
        <vt:i4>0</vt:i4>
      </vt:variant>
      <vt:variant>
        <vt:i4>5</vt:i4>
      </vt:variant>
      <vt:variant>
        <vt:lpwstr/>
      </vt:variant>
      <vt:variant>
        <vt:lpwstr>_Toc461196053</vt:lpwstr>
      </vt:variant>
      <vt:variant>
        <vt:i4>1245244</vt:i4>
      </vt:variant>
      <vt:variant>
        <vt:i4>14</vt:i4>
      </vt:variant>
      <vt:variant>
        <vt:i4>0</vt:i4>
      </vt:variant>
      <vt:variant>
        <vt:i4>5</vt:i4>
      </vt:variant>
      <vt:variant>
        <vt:lpwstr/>
      </vt:variant>
      <vt:variant>
        <vt:lpwstr>_Toc461196052</vt:lpwstr>
      </vt:variant>
      <vt:variant>
        <vt:i4>1245244</vt:i4>
      </vt:variant>
      <vt:variant>
        <vt:i4>8</vt:i4>
      </vt:variant>
      <vt:variant>
        <vt:i4>0</vt:i4>
      </vt:variant>
      <vt:variant>
        <vt:i4>5</vt:i4>
      </vt:variant>
      <vt:variant>
        <vt:lpwstr/>
      </vt:variant>
      <vt:variant>
        <vt:lpwstr>_Toc461196051</vt:lpwstr>
      </vt:variant>
      <vt:variant>
        <vt:i4>1245244</vt:i4>
      </vt:variant>
      <vt:variant>
        <vt:i4>2</vt:i4>
      </vt:variant>
      <vt:variant>
        <vt:i4>0</vt:i4>
      </vt:variant>
      <vt:variant>
        <vt:i4>5</vt:i4>
      </vt:variant>
      <vt:variant>
        <vt:lpwstr/>
      </vt:variant>
      <vt:variant>
        <vt:lpwstr>_Toc461196050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cp:lastModifiedBy>Machado, David</cp:lastModifiedBy>
  <cp:revision>6</cp:revision>
  <cp:lastPrinted>2016-09-15T19:05:00Z</cp:lastPrinted>
  <dcterms:created xsi:type="dcterms:W3CDTF">2016-09-15T18:15:00Z</dcterms:created>
  <dcterms:modified xsi:type="dcterms:W3CDTF">2016-09-16T17:21:00Z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0x0101006E56B4D1795A2E4DB2F0B01679ED314A00D83ED465A26668459AA6DC672056AAD1</vt:lpwstr>
  </property>
  <property fmtid="{D5CDD505-2E9C-101B-9397-08002B2CF9AE}" pid="4" name="_docset_NoMedatataSyncRequired">
    <vt:lpwstr>False</vt:lpwstr>
  </property>
</Properties>
</file>