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D" w:rsidRDefault="00BF7E7D">
      <w:pPr>
        <w:pStyle w:val="Header"/>
        <w:tabs>
          <w:tab w:val="clear" w:pos="4320"/>
          <w:tab w:val="clear" w:pos="8640"/>
        </w:tabs>
        <w:spacing w:line="20" w:lineRule="exact"/>
        <w:sectPr w:rsidR="00BF7E7D">
          <w:headerReference w:type="default" r:id="rId9"/>
          <w:pgSz w:w="12240" w:h="15840"/>
          <w:pgMar w:top="1974" w:right="1627" w:bottom="720" w:left="1627" w:header="720" w:footer="720" w:gutter="0"/>
          <w:cols w:space="720"/>
          <w:docGrid w:linePitch="360"/>
        </w:sectPr>
      </w:pPr>
    </w:p>
    <w:p w:rsidR="00BF7E7D" w:rsidRDefault="00BF7E7D"/>
    <w:p w:rsidR="00450EA2" w:rsidRPr="00ED0511" w:rsidRDefault="00450EA2" w:rsidP="00450EA2"/>
    <w:p w:rsidR="00450EA2" w:rsidRPr="00ED0511" w:rsidRDefault="0048451F" w:rsidP="00450EA2">
      <w:r>
        <w:t>J</w:t>
      </w:r>
      <w:r w:rsidR="003811C7">
        <w:t>anuary 6, 2015</w:t>
      </w:r>
    </w:p>
    <w:p w:rsidR="00450EA2" w:rsidRPr="00ED0511" w:rsidRDefault="00450EA2" w:rsidP="00450EA2"/>
    <w:p w:rsidR="00450EA2" w:rsidRDefault="00450EA2" w:rsidP="00450EA2"/>
    <w:p w:rsidR="00D74CA1" w:rsidRPr="00D74CA1" w:rsidRDefault="00D74CA1" w:rsidP="00450EA2">
      <w:pPr>
        <w:rPr>
          <w:i/>
        </w:rPr>
      </w:pPr>
      <w:r w:rsidRPr="00D74CA1">
        <w:rPr>
          <w:i/>
        </w:rPr>
        <w:t>Via Web Portal</w:t>
      </w:r>
    </w:p>
    <w:p w:rsidR="00450EA2" w:rsidRPr="00ED0511" w:rsidRDefault="00450EA2" w:rsidP="00450EA2"/>
    <w:p w:rsidR="00450EA2" w:rsidRPr="00ED0511" w:rsidRDefault="00450EA2" w:rsidP="00450EA2">
      <w:r>
        <w:t>Steven King</w:t>
      </w:r>
    </w:p>
    <w:p w:rsidR="00450EA2" w:rsidRPr="00ED0511" w:rsidRDefault="00450EA2" w:rsidP="00450EA2">
      <w:r w:rsidRPr="00ED0511">
        <w:t>Executive Director and Secretary</w:t>
      </w:r>
    </w:p>
    <w:p w:rsidR="00450EA2" w:rsidRPr="00ED0511" w:rsidRDefault="00450EA2" w:rsidP="00450EA2">
      <w:r w:rsidRPr="00ED0511">
        <w:t>Washington Utilities and Transportation Commission</w:t>
      </w:r>
    </w:p>
    <w:p w:rsidR="00450EA2" w:rsidRPr="00ED0511" w:rsidRDefault="00450EA2" w:rsidP="00450EA2">
      <w:r w:rsidRPr="00ED0511">
        <w:t>1300 S. Evergreen Park Drive SW</w:t>
      </w:r>
    </w:p>
    <w:p w:rsidR="00450EA2" w:rsidRPr="00ED0511" w:rsidRDefault="00450EA2" w:rsidP="00450EA2">
      <w:r w:rsidRPr="00ED0511">
        <w:t>P.O. Box 47250</w:t>
      </w:r>
    </w:p>
    <w:p w:rsidR="00450EA2" w:rsidRPr="00ED0511" w:rsidRDefault="00450EA2" w:rsidP="00450EA2">
      <w:r w:rsidRPr="00ED0511">
        <w:t>Olympia, WA 98504-7250</w:t>
      </w:r>
    </w:p>
    <w:p w:rsidR="00450EA2" w:rsidRPr="00ED0511" w:rsidRDefault="00450EA2" w:rsidP="00450EA2"/>
    <w:p w:rsidR="00450EA2" w:rsidRPr="00ED0511" w:rsidRDefault="00450EA2" w:rsidP="00450EA2"/>
    <w:p w:rsidR="00450EA2" w:rsidRDefault="00450EA2" w:rsidP="00450EA2">
      <w:pPr>
        <w:tabs>
          <w:tab w:val="left" w:pos="540"/>
        </w:tabs>
        <w:rPr>
          <w:b/>
        </w:rPr>
      </w:pPr>
      <w:r w:rsidRPr="003625F0">
        <w:rPr>
          <w:b/>
        </w:rPr>
        <w:t xml:space="preserve">Re:  </w:t>
      </w:r>
      <w:r>
        <w:rPr>
          <w:b/>
        </w:rPr>
        <w:tab/>
      </w:r>
      <w:r w:rsidRPr="0083386C">
        <w:rPr>
          <w:b/>
        </w:rPr>
        <w:t>Docket U</w:t>
      </w:r>
      <w:r w:rsidR="0048451F">
        <w:rPr>
          <w:b/>
        </w:rPr>
        <w:t>T</w:t>
      </w:r>
      <w:r w:rsidRPr="0083386C">
        <w:rPr>
          <w:b/>
        </w:rPr>
        <w:t>-</w:t>
      </w:r>
      <w:r>
        <w:rPr>
          <w:b/>
        </w:rPr>
        <w:t>1</w:t>
      </w:r>
      <w:r w:rsidR="00D74CA1">
        <w:rPr>
          <w:b/>
        </w:rPr>
        <w:t>40</w:t>
      </w:r>
      <w:r w:rsidR="0048451F">
        <w:rPr>
          <w:b/>
        </w:rPr>
        <w:t>680</w:t>
      </w:r>
    </w:p>
    <w:p w:rsidR="00450EA2" w:rsidRPr="00ED0511" w:rsidRDefault="00450EA2" w:rsidP="00450EA2"/>
    <w:p w:rsidR="00450EA2" w:rsidRDefault="00450EA2" w:rsidP="00450EA2">
      <w:r w:rsidRPr="00ED0511">
        <w:t xml:space="preserve">Enclosed for filing are </w:t>
      </w:r>
      <w:r>
        <w:t xml:space="preserve">comments by </w:t>
      </w:r>
      <w:r w:rsidRPr="005E5D9B">
        <w:t>AT&amp;T Corp., New Cingular Wireless PCS, LLC, and Teleport Communications America, Inc.</w:t>
      </w:r>
      <w:r w:rsidRPr="003C1A28">
        <w:t xml:space="preserve"> (collectively “AT&amp;T”)</w:t>
      </w:r>
      <w:r>
        <w:t xml:space="preserve"> </w:t>
      </w:r>
      <w:r w:rsidR="002C77F1">
        <w:t xml:space="preserve">in </w:t>
      </w:r>
      <w:r>
        <w:t xml:space="preserve">the above mentioned docket.  </w:t>
      </w:r>
    </w:p>
    <w:p w:rsidR="00450EA2" w:rsidRPr="00ED0511" w:rsidRDefault="00450EA2" w:rsidP="00450EA2"/>
    <w:p w:rsidR="00450EA2" w:rsidRPr="00ED0511" w:rsidRDefault="00450EA2" w:rsidP="00450EA2">
      <w:r w:rsidRPr="00ED0511">
        <w:t xml:space="preserve">Sincerely, </w:t>
      </w:r>
    </w:p>
    <w:p w:rsidR="00450EA2" w:rsidRDefault="00450EA2" w:rsidP="00450EA2">
      <w:pPr>
        <w:rPr>
          <w:noProof/>
        </w:rPr>
      </w:pPr>
    </w:p>
    <w:p w:rsidR="00A30666" w:rsidRDefault="00A30666" w:rsidP="00450EA2">
      <w:pPr>
        <w:rPr>
          <w:noProof/>
        </w:rPr>
      </w:pPr>
    </w:p>
    <w:p w:rsidR="00A30666" w:rsidRPr="00ED0511" w:rsidRDefault="00A30666" w:rsidP="00450EA2"/>
    <w:p w:rsidR="008B6A08" w:rsidRDefault="008B6A08" w:rsidP="00A71E48">
      <w:pPr>
        <w:tabs>
          <w:tab w:val="left" w:pos="3870"/>
        </w:tabs>
        <w:rPr>
          <w:u w:val="single"/>
        </w:rPr>
      </w:pPr>
      <w:r>
        <w:rPr>
          <w:u w:val="single"/>
        </w:rPr>
        <w:t>/s/</w:t>
      </w:r>
      <w:r w:rsidR="00A71E48">
        <w:rPr>
          <w:u w:val="single"/>
        </w:rPr>
        <w:tab/>
      </w:r>
    </w:p>
    <w:p w:rsidR="00450EA2" w:rsidRDefault="00450EA2" w:rsidP="00450EA2">
      <w:r>
        <w:t>Cynthia Manheim</w:t>
      </w:r>
    </w:p>
    <w:p w:rsidR="00450EA2" w:rsidRDefault="00450EA2" w:rsidP="00450EA2">
      <w:r>
        <w:t>General Attorney</w:t>
      </w:r>
    </w:p>
    <w:p w:rsidR="00450EA2" w:rsidRDefault="00450EA2" w:rsidP="00450EA2"/>
    <w:p w:rsidR="00450EA2" w:rsidRDefault="00450EA2" w:rsidP="00450EA2">
      <w:r>
        <w:br w:type="page"/>
      </w:r>
    </w:p>
    <w:p w:rsidR="009A5230" w:rsidRDefault="009A5230" w:rsidP="002B539B">
      <w:pPr>
        <w:jc w:val="center"/>
        <w:rPr>
          <w:b/>
          <w:bCs/>
        </w:rPr>
        <w:sectPr w:rsidR="009A5230" w:rsidSect="00684C5C">
          <w:headerReference w:type="default" r:id="rId10"/>
          <w:footerReference w:type="default" r:id="rId11"/>
          <w:type w:val="continuous"/>
          <w:pgSz w:w="12240" w:h="15840"/>
          <w:pgMar w:top="1974" w:right="1627" w:bottom="720" w:left="1627" w:header="720" w:footer="720" w:gutter="0"/>
          <w:cols w:space="720"/>
          <w:docGrid w:linePitch="360"/>
        </w:sectPr>
      </w:pPr>
    </w:p>
    <w:p w:rsidR="00D74CA1" w:rsidRPr="006D3362" w:rsidRDefault="00D74CA1" w:rsidP="00D74CA1">
      <w:pPr>
        <w:jc w:val="center"/>
        <w:rPr>
          <w:b/>
          <w:bCs/>
        </w:rPr>
      </w:pPr>
      <w:r>
        <w:rPr>
          <w:b/>
          <w:bCs/>
        </w:rPr>
        <w:lastRenderedPageBreak/>
        <w:t>BEFOR</w:t>
      </w:r>
      <w:r w:rsidRPr="006D3362">
        <w:rPr>
          <w:b/>
          <w:bCs/>
        </w:rPr>
        <w:t xml:space="preserve">E THE WASHINGTON </w:t>
      </w:r>
    </w:p>
    <w:p w:rsidR="00D74CA1" w:rsidRPr="006D3362" w:rsidRDefault="00D74CA1" w:rsidP="00D74CA1">
      <w:pPr>
        <w:jc w:val="center"/>
      </w:pPr>
      <w:r w:rsidRPr="006D3362">
        <w:rPr>
          <w:b/>
          <w:bCs/>
        </w:rPr>
        <w:t>UTILITIES AND TRANSPORTATION COMMISSION</w:t>
      </w:r>
    </w:p>
    <w:p w:rsidR="00D74CA1" w:rsidRPr="006D3362" w:rsidRDefault="00D74CA1" w:rsidP="00D74CA1">
      <w:pPr>
        <w:jc w:val="center"/>
      </w:pPr>
    </w:p>
    <w:p w:rsidR="00D74CA1" w:rsidRPr="006D3362" w:rsidRDefault="00D74CA1" w:rsidP="00D74CA1">
      <w:pPr>
        <w:jc w:val="center"/>
      </w:pPr>
    </w:p>
    <w:tbl>
      <w:tblPr>
        <w:tblW w:w="0" w:type="auto"/>
        <w:tblLook w:val="0000" w:firstRow="0" w:lastRow="0" w:firstColumn="0" w:lastColumn="0" w:noHBand="0" w:noVBand="0"/>
      </w:tblPr>
      <w:tblGrid>
        <w:gridCol w:w="4296"/>
        <w:gridCol w:w="296"/>
        <w:gridCol w:w="4342"/>
      </w:tblGrid>
      <w:tr w:rsidR="00D74CA1" w:rsidRPr="006D3362" w:rsidTr="00F80C87">
        <w:tc>
          <w:tcPr>
            <w:tcW w:w="4218" w:type="dxa"/>
          </w:tcPr>
          <w:p w:rsidR="0048451F" w:rsidRDefault="0048451F" w:rsidP="0048451F">
            <w:r>
              <w:t>Rulemaking to consider amending rules in WAC 480-120, Telephone Companies, WAC 480-121, Registration and Competitive Classification of Telecommunications Companies, WAC 480-122, Washington Telephone Assistance Program, WAC 480-123, Universal Service, WAC 480-140, Commission General – Budgets, and WAC 480-143, Commission General – Transfers of Property, due to competitive changes within the telecommunications to meet consumer, commission and industry requirements no longer applicable under the existing WAC rules</w:t>
            </w:r>
          </w:p>
          <w:p w:rsidR="00D74CA1" w:rsidRPr="004B2425" w:rsidRDefault="00D74CA1" w:rsidP="00F80C87">
            <w:r>
              <w:t>__________________________________</w:t>
            </w:r>
          </w:p>
        </w:tc>
        <w:tc>
          <w:tcPr>
            <w:tcW w:w="296" w:type="dxa"/>
          </w:tcPr>
          <w:p w:rsidR="00D74CA1" w:rsidRPr="004B2425" w:rsidRDefault="00D74CA1" w:rsidP="00F80C87">
            <w:pPr>
              <w:ind w:left="-156"/>
              <w:jc w:val="center"/>
            </w:pPr>
            <w:r w:rsidRPr="004B2425">
              <w:t>)</w:t>
            </w:r>
          </w:p>
          <w:p w:rsidR="00D74CA1" w:rsidRDefault="00D74CA1" w:rsidP="00F80C87">
            <w:pPr>
              <w:ind w:left="-156"/>
              <w:jc w:val="center"/>
            </w:pPr>
            <w:r w:rsidRPr="004B2425">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ind w:left="-156"/>
              <w:jc w:val="center"/>
            </w:pPr>
            <w:r>
              <w:t>)</w:t>
            </w:r>
          </w:p>
          <w:p w:rsidR="0048451F" w:rsidRDefault="0048451F" w:rsidP="00F80C87">
            <w:pPr>
              <w:ind w:left="-156"/>
              <w:jc w:val="center"/>
            </w:pPr>
            <w:r>
              <w:t>)</w:t>
            </w:r>
          </w:p>
          <w:p w:rsidR="0048451F" w:rsidRDefault="0048451F" w:rsidP="00F80C87">
            <w:pPr>
              <w:ind w:left="-156"/>
              <w:jc w:val="center"/>
            </w:pPr>
            <w:r>
              <w:t>)</w:t>
            </w:r>
          </w:p>
          <w:p w:rsidR="0048451F" w:rsidRDefault="0048451F" w:rsidP="00F80C87">
            <w:pPr>
              <w:ind w:left="-156"/>
              <w:jc w:val="center"/>
            </w:pPr>
            <w:r>
              <w:t>)</w:t>
            </w:r>
          </w:p>
          <w:p w:rsidR="0048451F" w:rsidRDefault="0048451F" w:rsidP="00F80C87">
            <w:pPr>
              <w:ind w:left="-156"/>
              <w:jc w:val="center"/>
            </w:pPr>
            <w:r>
              <w:t>)</w:t>
            </w:r>
          </w:p>
          <w:p w:rsidR="0048451F" w:rsidRDefault="0048451F" w:rsidP="00F80C87">
            <w:pPr>
              <w:ind w:left="-156"/>
              <w:jc w:val="center"/>
            </w:pPr>
            <w:r>
              <w:t>)</w:t>
            </w:r>
          </w:p>
          <w:p w:rsidR="0048451F" w:rsidRDefault="0048451F" w:rsidP="00F80C87">
            <w:pPr>
              <w:ind w:left="-156"/>
              <w:jc w:val="center"/>
            </w:pPr>
            <w:r>
              <w:t>)</w:t>
            </w:r>
          </w:p>
          <w:p w:rsidR="0048451F" w:rsidRDefault="0048451F" w:rsidP="00F80C87">
            <w:pPr>
              <w:ind w:left="-156"/>
              <w:jc w:val="center"/>
            </w:pPr>
            <w:r>
              <w:t>)</w:t>
            </w:r>
          </w:p>
          <w:p w:rsidR="0048451F" w:rsidRDefault="0048451F" w:rsidP="00F80C87">
            <w:pPr>
              <w:ind w:left="-156"/>
              <w:jc w:val="center"/>
            </w:pPr>
            <w:r>
              <w:t>)</w:t>
            </w:r>
          </w:p>
          <w:p w:rsidR="0048451F" w:rsidRDefault="0048451F" w:rsidP="00F80C87">
            <w:pPr>
              <w:ind w:left="-156"/>
              <w:jc w:val="center"/>
            </w:pPr>
            <w:r>
              <w:t>)</w:t>
            </w:r>
          </w:p>
          <w:p w:rsidR="0048451F" w:rsidRDefault="0048451F" w:rsidP="00F80C87">
            <w:pPr>
              <w:ind w:left="-156"/>
              <w:jc w:val="center"/>
            </w:pPr>
            <w:r>
              <w:t>)</w:t>
            </w:r>
          </w:p>
          <w:p w:rsidR="0048451F" w:rsidRDefault="0048451F" w:rsidP="00F80C87">
            <w:pPr>
              <w:ind w:left="-156"/>
              <w:jc w:val="center"/>
            </w:pPr>
            <w:r>
              <w:t>)</w:t>
            </w:r>
          </w:p>
          <w:p w:rsidR="00D74CA1" w:rsidRDefault="00D74CA1" w:rsidP="00F80C87">
            <w:pPr>
              <w:jc w:val="center"/>
            </w:pPr>
          </w:p>
          <w:p w:rsidR="00D74CA1" w:rsidRPr="004B2425" w:rsidRDefault="00D74CA1" w:rsidP="00F80C87">
            <w:pPr>
              <w:jc w:val="center"/>
            </w:pPr>
          </w:p>
        </w:tc>
        <w:tc>
          <w:tcPr>
            <w:tcW w:w="4342" w:type="dxa"/>
          </w:tcPr>
          <w:p w:rsidR="00D74CA1" w:rsidRDefault="00D74CA1" w:rsidP="00F80C87">
            <w:pPr>
              <w:rPr>
                <w:b/>
              </w:rPr>
            </w:pPr>
          </w:p>
          <w:p w:rsidR="00D74CA1" w:rsidRDefault="00D74CA1" w:rsidP="00F80C87">
            <w:pPr>
              <w:rPr>
                <w:b/>
              </w:rPr>
            </w:pPr>
            <w:r w:rsidRPr="0083386C">
              <w:rPr>
                <w:b/>
              </w:rPr>
              <w:t>Docket U</w:t>
            </w:r>
            <w:r w:rsidR="0048451F">
              <w:rPr>
                <w:b/>
              </w:rPr>
              <w:t>T</w:t>
            </w:r>
            <w:r w:rsidRPr="0083386C">
              <w:rPr>
                <w:b/>
              </w:rPr>
              <w:t>-</w:t>
            </w:r>
            <w:r>
              <w:rPr>
                <w:b/>
              </w:rPr>
              <w:t>1406</w:t>
            </w:r>
            <w:r w:rsidR="0048451F">
              <w:rPr>
                <w:b/>
              </w:rPr>
              <w:t>80</w:t>
            </w:r>
          </w:p>
          <w:p w:rsidR="00D74CA1" w:rsidRPr="001737CD" w:rsidRDefault="00D74CA1" w:rsidP="00F80C87">
            <w:pPr>
              <w:rPr>
                <w:b/>
              </w:rPr>
            </w:pPr>
          </w:p>
        </w:tc>
      </w:tr>
    </w:tbl>
    <w:p w:rsidR="00A87444" w:rsidRDefault="00A87444" w:rsidP="00D74CA1">
      <w:pPr>
        <w:jc w:val="center"/>
        <w:rPr>
          <w:b/>
          <w:u w:val="single"/>
        </w:rPr>
      </w:pPr>
    </w:p>
    <w:p w:rsidR="00D74CA1" w:rsidRPr="006D3362" w:rsidRDefault="00D74CA1" w:rsidP="00D74CA1">
      <w:pPr>
        <w:jc w:val="center"/>
        <w:rPr>
          <w:b/>
          <w:u w:val="single"/>
        </w:rPr>
      </w:pPr>
      <w:r>
        <w:rPr>
          <w:b/>
          <w:u w:val="single"/>
        </w:rPr>
        <w:t>COMMENTS OF AT&amp;T</w:t>
      </w:r>
    </w:p>
    <w:p w:rsidR="00D74CA1" w:rsidRDefault="00D74CA1" w:rsidP="00D74CA1"/>
    <w:p w:rsidR="00D74CA1" w:rsidRDefault="00D74CA1" w:rsidP="00D74CA1">
      <w:pPr>
        <w:spacing w:line="480" w:lineRule="auto"/>
        <w:ind w:firstLine="720"/>
      </w:pPr>
      <w:r w:rsidRPr="00EB0DB0">
        <w:t xml:space="preserve">In response to the notice of opportunity to </w:t>
      </w:r>
      <w:r w:rsidR="008535CF">
        <w:t xml:space="preserve">submit </w:t>
      </w:r>
      <w:r w:rsidRPr="00EB0DB0">
        <w:t xml:space="preserve">written comments </w:t>
      </w:r>
      <w:r w:rsidR="008535CF">
        <w:t xml:space="preserve">on proposed rules and notice of proposed rule adoption hearing </w:t>
      </w:r>
      <w:r w:rsidRPr="00EB0DB0">
        <w:t xml:space="preserve">by the Washington Utilities and Transportation Commission on </w:t>
      </w:r>
      <w:r w:rsidR="007F5270">
        <w:t xml:space="preserve">December </w:t>
      </w:r>
      <w:r w:rsidR="008535CF">
        <w:t>5</w:t>
      </w:r>
      <w:r w:rsidR="007F5270">
        <w:t xml:space="preserve">, </w:t>
      </w:r>
      <w:r>
        <w:t>2014</w:t>
      </w:r>
      <w:r w:rsidRPr="00EB0DB0">
        <w:t xml:space="preserve">, AT&amp;T </w:t>
      </w:r>
      <w:r>
        <w:t>Corp., New Cingular Wireless PCS, LLC, and Teleport Communications America, Inc.</w:t>
      </w:r>
      <w:r w:rsidRPr="00EB0DB0">
        <w:t xml:space="preserve"> (</w:t>
      </w:r>
      <w:r>
        <w:t xml:space="preserve">collectively </w:t>
      </w:r>
      <w:r w:rsidRPr="00EB0DB0">
        <w:t>“AT&amp;T”) hereby submit the following comments.</w:t>
      </w:r>
    </w:p>
    <w:p w:rsidR="00D74CA1" w:rsidRPr="001D6C99" w:rsidRDefault="00D74CA1" w:rsidP="006A0872">
      <w:pPr>
        <w:pStyle w:val="ListParagraph"/>
        <w:numPr>
          <w:ilvl w:val="0"/>
          <w:numId w:val="26"/>
        </w:numPr>
        <w:spacing w:line="480" w:lineRule="auto"/>
        <w:rPr>
          <w:rFonts w:ascii="Times New Roman" w:hAnsi="Times New Roman" w:cs="Times New Roman"/>
          <w:b/>
          <w:sz w:val="24"/>
          <w:szCs w:val="24"/>
        </w:rPr>
      </w:pPr>
      <w:r w:rsidRPr="001D6C99">
        <w:rPr>
          <w:rFonts w:ascii="Times New Roman" w:hAnsi="Times New Roman" w:cs="Times New Roman"/>
          <w:b/>
          <w:sz w:val="24"/>
          <w:szCs w:val="24"/>
        </w:rPr>
        <w:t>Introduction</w:t>
      </w:r>
    </w:p>
    <w:p w:rsidR="003211FE" w:rsidRDefault="00D74CA1" w:rsidP="003211FE">
      <w:pPr>
        <w:spacing w:line="480" w:lineRule="auto"/>
        <w:ind w:firstLine="720"/>
      </w:pPr>
      <w:r>
        <w:t>AT&amp;T appreciates the opportunity to submit comments in this rulemaking proceeding</w:t>
      </w:r>
      <w:r w:rsidR="001D6C99">
        <w:t xml:space="preserve">.  </w:t>
      </w:r>
      <w:r w:rsidR="007F5270">
        <w:t xml:space="preserve">AT&amp;T </w:t>
      </w:r>
      <w:r w:rsidR="001D6C99">
        <w:t xml:space="preserve">has only limited suggested modifications to the current proposed rules.  </w:t>
      </w:r>
    </w:p>
    <w:p w:rsidR="006A0872" w:rsidRPr="006A0872" w:rsidRDefault="006A0872" w:rsidP="006A0872">
      <w:pPr>
        <w:pStyle w:val="ListParagraph"/>
        <w:numPr>
          <w:ilvl w:val="0"/>
          <w:numId w:val="26"/>
        </w:numPr>
        <w:spacing w:line="480" w:lineRule="auto"/>
        <w:rPr>
          <w:rFonts w:ascii="Times New Roman" w:hAnsi="Times New Roman" w:cs="Times New Roman"/>
          <w:b/>
          <w:sz w:val="24"/>
          <w:szCs w:val="24"/>
        </w:rPr>
      </w:pPr>
      <w:r w:rsidRPr="006A0872">
        <w:rPr>
          <w:rFonts w:ascii="Times New Roman" w:hAnsi="Times New Roman" w:cs="Times New Roman"/>
          <w:b/>
          <w:sz w:val="24"/>
          <w:szCs w:val="24"/>
        </w:rPr>
        <w:t xml:space="preserve"> Suggested Modifications</w:t>
      </w:r>
      <w:r>
        <w:rPr>
          <w:rFonts w:ascii="Times New Roman" w:hAnsi="Times New Roman" w:cs="Times New Roman"/>
          <w:b/>
          <w:sz w:val="24"/>
          <w:szCs w:val="24"/>
        </w:rPr>
        <w:t xml:space="preserve"> to Proposed Rules</w:t>
      </w:r>
    </w:p>
    <w:p w:rsidR="003211FE" w:rsidRPr="006A0872" w:rsidRDefault="006A0872" w:rsidP="006A0872">
      <w:pPr>
        <w:pStyle w:val="ListParagraph"/>
        <w:numPr>
          <w:ilvl w:val="0"/>
          <w:numId w:val="25"/>
        </w:numPr>
        <w:spacing w:after="0" w:line="240" w:lineRule="auto"/>
        <w:ind w:left="2074"/>
        <w:contextualSpacing w:val="0"/>
        <w:rPr>
          <w:rFonts w:ascii="Times New Roman" w:hAnsi="Times New Roman" w:cs="Times New Roman"/>
          <w:b/>
          <w:sz w:val="24"/>
          <w:szCs w:val="24"/>
        </w:rPr>
      </w:pPr>
      <w:r w:rsidRPr="006A0872">
        <w:rPr>
          <w:rFonts w:ascii="Times New Roman" w:hAnsi="Times New Roman" w:cs="Times New Roman"/>
          <w:b/>
          <w:sz w:val="24"/>
          <w:szCs w:val="24"/>
        </w:rPr>
        <w:t xml:space="preserve">Suggested Modification to </w:t>
      </w:r>
      <w:r w:rsidR="003211FE" w:rsidRPr="006A0872">
        <w:rPr>
          <w:rFonts w:ascii="Times New Roman" w:hAnsi="Times New Roman" w:cs="Times New Roman"/>
          <w:b/>
          <w:sz w:val="24"/>
          <w:szCs w:val="24"/>
        </w:rPr>
        <w:t>WAC 480-123-070(1)(a) and WAC 480-123-080</w:t>
      </w:r>
    </w:p>
    <w:p w:rsidR="006A0872" w:rsidRPr="006A0872" w:rsidRDefault="006A0872" w:rsidP="006A0872">
      <w:pPr>
        <w:pStyle w:val="ListParagraph"/>
        <w:spacing w:after="0" w:line="240" w:lineRule="auto"/>
        <w:ind w:left="2074"/>
        <w:contextualSpacing w:val="0"/>
        <w:rPr>
          <w:rFonts w:ascii="Times New Roman" w:hAnsi="Times New Roman" w:cs="Times New Roman"/>
          <w:sz w:val="24"/>
          <w:szCs w:val="24"/>
          <w:u w:val="single"/>
        </w:rPr>
      </w:pPr>
    </w:p>
    <w:p w:rsidR="003211FE" w:rsidRDefault="008535CF" w:rsidP="003211FE">
      <w:pPr>
        <w:spacing w:line="480" w:lineRule="auto"/>
        <w:ind w:firstLine="360"/>
      </w:pPr>
      <w:r>
        <w:lastRenderedPageBreak/>
        <w:t xml:space="preserve">As the </w:t>
      </w:r>
      <w:r w:rsidR="003211FE">
        <w:t xml:space="preserve">Commission </w:t>
      </w:r>
      <w:r>
        <w:t xml:space="preserve">has not adopted </w:t>
      </w:r>
      <w:r w:rsidR="003211FE">
        <w:t xml:space="preserve">AT&amp;T’s </w:t>
      </w:r>
      <w:r>
        <w:t>previous</w:t>
      </w:r>
      <w:r w:rsidR="001D6C99">
        <w:t xml:space="preserve"> </w:t>
      </w:r>
      <w:r w:rsidR="003211FE">
        <w:t>suggest</w:t>
      </w:r>
      <w:r w:rsidR="001D6C99">
        <w:t xml:space="preserve">ion </w:t>
      </w:r>
      <w:r w:rsidR="003211FE">
        <w:t xml:space="preserve">to eliminate the </w:t>
      </w:r>
      <w:r w:rsidR="00A525AA">
        <w:t>Washington</w:t>
      </w:r>
      <w:r>
        <w:t xml:space="preserve">-specific </w:t>
      </w:r>
      <w:r w:rsidR="00A525AA">
        <w:t xml:space="preserve">reporting </w:t>
      </w:r>
      <w:r w:rsidR="003211FE">
        <w:t xml:space="preserve">requirements </w:t>
      </w:r>
      <w:r w:rsidR="00A525AA">
        <w:t xml:space="preserve">and instead rely on the </w:t>
      </w:r>
      <w:r w:rsidR="003211FE">
        <w:t>Form 481</w:t>
      </w:r>
      <w:r>
        <w:t xml:space="preserve"> that all </w:t>
      </w:r>
      <w:r w:rsidR="001D6C99">
        <w:t>eligible telecommunications carriers (“</w:t>
      </w:r>
      <w:r>
        <w:t>ETCs</w:t>
      </w:r>
      <w:r w:rsidR="001D6C99">
        <w:t>”)</w:t>
      </w:r>
      <w:r>
        <w:t xml:space="preserve"> are required to file with the state</w:t>
      </w:r>
      <w:r w:rsidR="003211FE">
        <w:t xml:space="preserve">, AT&amp;T is concerned about the addition of the following sentence </w:t>
      </w:r>
      <w:r w:rsidR="001D6C99">
        <w:t xml:space="preserve">to </w:t>
      </w:r>
      <w:r w:rsidR="003211FE">
        <w:t>WAC 480-123-070(1)(a) and -080:</w:t>
      </w:r>
    </w:p>
    <w:p w:rsidR="003211FE" w:rsidRDefault="006A0872" w:rsidP="003211FE">
      <w:pPr>
        <w:ind w:left="1440"/>
      </w:pPr>
      <w:r>
        <w:t>…</w:t>
      </w:r>
      <w:r w:rsidR="003211FE">
        <w:t xml:space="preserve">The report must include the Company’s </w:t>
      </w:r>
      <w:r>
        <w:t xml:space="preserve">[budgeted] </w:t>
      </w:r>
      <w:r w:rsidR="003211FE">
        <w:t>gross capital expenditures and maintenance expense for the pre</w:t>
      </w:r>
      <w:r>
        <w:t xml:space="preserve">ceding </w:t>
      </w:r>
      <w:r w:rsidR="003211FE">
        <w:t xml:space="preserve">[coming] calendar year along with a description of major projects and affected exchanges. </w:t>
      </w:r>
    </w:p>
    <w:p w:rsidR="006A0872" w:rsidRDefault="006A0872" w:rsidP="003211FE">
      <w:pPr>
        <w:spacing w:line="480" w:lineRule="auto"/>
        <w:ind w:firstLine="360"/>
      </w:pPr>
      <w:bookmarkStart w:id="0" w:name="_GoBack"/>
      <w:bookmarkEnd w:id="0"/>
    </w:p>
    <w:p w:rsidR="003211FE" w:rsidRDefault="003211FE" w:rsidP="003211FE">
      <w:pPr>
        <w:spacing w:line="480" w:lineRule="auto"/>
        <w:ind w:firstLine="360"/>
      </w:pPr>
      <w:r>
        <w:t>AT&amp;T recommends deleting this sentence as it could be read to require reporting on capital expenditure</w:t>
      </w:r>
      <w:r w:rsidR="00A525AA">
        <w:t>s</w:t>
      </w:r>
      <w:r>
        <w:t xml:space="preserve"> and maintenance expense</w:t>
      </w:r>
      <w:r w:rsidR="00A525AA">
        <w:t>s</w:t>
      </w:r>
      <w:r>
        <w:t xml:space="preserve"> beyond the federal high cost support </w:t>
      </w:r>
      <w:r w:rsidR="00A525AA">
        <w:t xml:space="preserve">received by the ETC.  </w:t>
      </w:r>
      <w:r>
        <w:t>Alternatively, this sentence should be limited to the expenditures (capital and operating expense) made with the federal high-co</w:t>
      </w:r>
      <w:r w:rsidR="006A0872">
        <w:t xml:space="preserve">st support received by the ETC.  Another alternative would be to limit this sentence </w:t>
      </w:r>
      <w:r w:rsidR="00AE4E58">
        <w:t xml:space="preserve">so that it only applies </w:t>
      </w:r>
      <w:r w:rsidR="006A0872">
        <w:t xml:space="preserve">to local exchange carriers (“LECs”).  The Commission does not have general jurisdiction over wireless carriers and does not have the ability to review general capital expenditures and maintenance expenses that are not related to universal service support.  AT&amp;T, however, supports the requirement to provide </w:t>
      </w:r>
      <w:r w:rsidR="00857D0B">
        <w:t>detailed information on capital expenditures and maintenance expense related to</w:t>
      </w:r>
      <w:r w:rsidR="001D6C99">
        <w:t xml:space="preserve"> the receipt of federal </w:t>
      </w:r>
      <w:r w:rsidR="00857D0B">
        <w:t>universal service support.</w:t>
      </w:r>
    </w:p>
    <w:p w:rsidR="003211FE" w:rsidRPr="00D84C71" w:rsidRDefault="00D84C71" w:rsidP="00857D0B">
      <w:pPr>
        <w:pStyle w:val="ListParagraph"/>
        <w:numPr>
          <w:ilvl w:val="0"/>
          <w:numId w:val="25"/>
        </w:numPr>
        <w:spacing w:line="480" w:lineRule="auto"/>
        <w:rPr>
          <w:rFonts w:ascii="Times New Roman" w:eastAsia="Times New Roman" w:hAnsi="Times New Roman" w:cs="Times New Roman"/>
          <w:b/>
          <w:sz w:val="24"/>
          <w:szCs w:val="24"/>
        </w:rPr>
      </w:pPr>
      <w:r>
        <w:rPr>
          <w:rFonts w:ascii="Times New Roman" w:hAnsi="Times New Roman" w:cs="Times New Roman"/>
          <w:b/>
          <w:sz w:val="24"/>
          <w:szCs w:val="24"/>
          <w:u w:val="single"/>
        </w:rPr>
        <w:t>Clean-ups:</w:t>
      </w:r>
      <w:r w:rsidR="00857D0B" w:rsidRPr="00D84C71">
        <w:rPr>
          <w:rFonts w:ascii="Times New Roman" w:eastAsia="Times New Roman" w:hAnsi="Times New Roman" w:cs="Times New Roman"/>
          <w:b/>
          <w:sz w:val="24"/>
          <w:szCs w:val="24"/>
        </w:rPr>
        <w:t xml:space="preserve"> </w:t>
      </w:r>
    </w:p>
    <w:p w:rsidR="003211FE" w:rsidRDefault="00857D0B" w:rsidP="00857D0B">
      <w:pPr>
        <w:pStyle w:val="ListParagraph"/>
        <w:numPr>
          <w:ilvl w:val="0"/>
          <w:numId w:val="29"/>
        </w:numPr>
      </w:pPr>
      <w:r>
        <w:rPr>
          <w:rFonts w:ascii="Times New Roman" w:hAnsi="Times New Roman" w:cs="Times New Roman"/>
          <w:sz w:val="24"/>
          <w:szCs w:val="24"/>
        </w:rPr>
        <w:t>480-120-439</w:t>
      </w:r>
      <w:r w:rsidR="00D84C71">
        <w:rPr>
          <w:rFonts w:ascii="Times New Roman" w:hAnsi="Times New Roman" w:cs="Times New Roman"/>
          <w:sz w:val="24"/>
          <w:szCs w:val="24"/>
        </w:rPr>
        <w:t>(1)</w:t>
      </w:r>
      <w:r>
        <w:rPr>
          <w:rFonts w:ascii="Times New Roman" w:hAnsi="Times New Roman" w:cs="Times New Roman"/>
          <w:sz w:val="24"/>
          <w:szCs w:val="24"/>
        </w:rPr>
        <w:t xml:space="preserve"> should be revised to reflect the repeal of 480-120-105 and -112.  </w:t>
      </w:r>
    </w:p>
    <w:p w:rsidR="003211FE" w:rsidRDefault="00857D0B" w:rsidP="00857D0B">
      <w:pPr>
        <w:ind w:left="1080"/>
      </w:pPr>
      <w:r>
        <w:t>All companies must retain, for at least three years f</w:t>
      </w:r>
      <w:r w:rsidR="009E1455">
        <w:t>r</w:t>
      </w:r>
      <w:r>
        <w:t>om the date they are created, all records that would be relevant, in the event of a complaint or investigation, to a determination of the company’s compliance with</w:t>
      </w:r>
      <w:r w:rsidR="009E1455">
        <w:t xml:space="preserve"> </w:t>
      </w:r>
      <w:r>
        <w:t>th</w:t>
      </w:r>
      <w:r w:rsidR="009E1455">
        <w:t>e</w:t>
      </w:r>
      <w:r>
        <w:t xml:space="preserve"> service quality standards established by </w:t>
      </w:r>
      <w:r w:rsidRPr="009E1455">
        <w:rPr>
          <w:strike/>
        </w:rPr>
        <w:t xml:space="preserve">WAC 480-120-105 (Company performance standards for installation or </w:t>
      </w:r>
      <w:r w:rsidR="009E1455" w:rsidRPr="009E1455">
        <w:rPr>
          <w:strike/>
        </w:rPr>
        <w:t xml:space="preserve">activation </w:t>
      </w:r>
      <w:r w:rsidRPr="009E1455">
        <w:rPr>
          <w:strike/>
        </w:rPr>
        <w:t>of acces</w:t>
      </w:r>
      <w:r w:rsidR="009E1455" w:rsidRPr="009E1455">
        <w:rPr>
          <w:strike/>
        </w:rPr>
        <w:t>s</w:t>
      </w:r>
      <w:r w:rsidRPr="009E1455">
        <w:rPr>
          <w:strike/>
        </w:rPr>
        <w:t xml:space="preserve"> lines), 480-120-112 (Company performance for orders for </w:t>
      </w:r>
      <w:proofErr w:type="spellStart"/>
      <w:r w:rsidRPr="009E1455">
        <w:rPr>
          <w:strike/>
        </w:rPr>
        <w:t>non</w:t>
      </w:r>
      <w:r w:rsidR="009E1455" w:rsidRPr="009E1455">
        <w:rPr>
          <w:strike/>
        </w:rPr>
        <w:t>b</w:t>
      </w:r>
      <w:r w:rsidRPr="009E1455">
        <w:rPr>
          <w:strike/>
        </w:rPr>
        <w:t>asic</w:t>
      </w:r>
      <w:proofErr w:type="spellEnd"/>
      <w:r w:rsidRPr="009E1455">
        <w:rPr>
          <w:strike/>
        </w:rPr>
        <w:t xml:space="preserve"> services),</w:t>
      </w:r>
      <w:r>
        <w:t xml:space="preserve"> 480-120-133 (Response time for calls to business office or repair center during regular business hours), 480-120-401 (Network performance standards), 480-120-411 (Network maintenance), and 480-120-440 (Repair standards for service interruptions and impairments, excluding major outages). </w:t>
      </w:r>
    </w:p>
    <w:p w:rsidR="009E1455" w:rsidRDefault="009E1455" w:rsidP="00857D0B">
      <w:pPr>
        <w:ind w:left="1080"/>
      </w:pPr>
    </w:p>
    <w:p w:rsidR="009E1455" w:rsidRDefault="00D84C71" w:rsidP="009E1455">
      <w:pPr>
        <w:pStyle w:val="ListParagraph"/>
        <w:numPr>
          <w:ilvl w:val="0"/>
          <w:numId w:val="29"/>
        </w:numPr>
        <w:rPr>
          <w:rFonts w:ascii="Times New Roman" w:hAnsi="Times New Roman" w:cs="Times New Roman"/>
          <w:sz w:val="24"/>
          <w:szCs w:val="24"/>
        </w:rPr>
      </w:pPr>
      <w:r w:rsidRPr="00D84C71">
        <w:rPr>
          <w:rFonts w:ascii="Times New Roman" w:hAnsi="Times New Roman" w:cs="Times New Roman"/>
          <w:sz w:val="24"/>
          <w:szCs w:val="24"/>
        </w:rPr>
        <w:t>480-</w:t>
      </w:r>
      <w:r>
        <w:rPr>
          <w:rFonts w:ascii="Times New Roman" w:hAnsi="Times New Roman" w:cs="Times New Roman"/>
          <w:sz w:val="24"/>
          <w:szCs w:val="24"/>
        </w:rPr>
        <w:t xml:space="preserve">120-439(2) (previously 480-120-439(5)) should be revised to reflect the change to the numbering of this section.  </w:t>
      </w:r>
    </w:p>
    <w:p w:rsidR="00D84C71" w:rsidRPr="00D84C71" w:rsidRDefault="00D84C71" w:rsidP="00D84C71">
      <w:pPr>
        <w:ind w:left="840"/>
      </w:pPr>
      <w:r>
        <w:t xml:space="preserve">Notwithstanding subsections (1) </w:t>
      </w:r>
      <w:r w:rsidRPr="00D84C71">
        <w:rPr>
          <w:strike/>
        </w:rPr>
        <w:t>and (2)</w:t>
      </w:r>
      <w:r>
        <w:t xml:space="preserve"> of this section, any company experiencing a major outage that lasts more than forty-eight hours must provide a major outage report to the commission within ten business days of the major outage...</w:t>
      </w:r>
    </w:p>
    <w:p w:rsidR="003211FE" w:rsidRDefault="003211FE" w:rsidP="003211FE">
      <w:pPr>
        <w:ind w:left="720"/>
      </w:pPr>
    </w:p>
    <w:p w:rsidR="003211FE" w:rsidRDefault="003211FE" w:rsidP="003211FE">
      <w:pPr>
        <w:ind w:left="720"/>
      </w:pPr>
    </w:p>
    <w:p w:rsidR="00A3004E" w:rsidRPr="00D84C71" w:rsidRDefault="00A3004E" w:rsidP="00A3004E">
      <w:pPr>
        <w:ind w:left="360"/>
        <w:rPr>
          <w:b/>
        </w:rPr>
      </w:pPr>
    </w:p>
    <w:p w:rsidR="00D74CA1" w:rsidRPr="00D84C71" w:rsidRDefault="00D74CA1" w:rsidP="00D84C71">
      <w:pPr>
        <w:pStyle w:val="ListParagraph"/>
        <w:numPr>
          <w:ilvl w:val="0"/>
          <w:numId w:val="26"/>
        </w:numPr>
        <w:rPr>
          <w:rFonts w:ascii="Times New Roman" w:hAnsi="Times New Roman" w:cs="Times New Roman"/>
          <w:b/>
          <w:sz w:val="24"/>
          <w:szCs w:val="24"/>
        </w:rPr>
      </w:pPr>
      <w:r w:rsidRPr="00D84C71">
        <w:rPr>
          <w:rFonts w:ascii="Times New Roman" w:hAnsi="Times New Roman" w:cs="Times New Roman"/>
          <w:b/>
          <w:sz w:val="24"/>
          <w:szCs w:val="24"/>
        </w:rPr>
        <w:t xml:space="preserve">Conclusion </w:t>
      </w:r>
    </w:p>
    <w:p w:rsidR="00D74CA1" w:rsidRDefault="00D74CA1" w:rsidP="00D74CA1">
      <w:pPr>
        <w:spacing w:line="480" w:lineRule="auto"/>
        <w:ind w:firstLine="720"/>
      </w:pPr>
      <w:r>
        <w:t xml:space="preserve">AT&amp;T commends the Commission for </w:t>
      </w:r>
      <w:r w:rsidR="00A87444">
        <w:t xml:space="preserve">considering changes to existing rules that would address competitive changes within the telecommunications to meet consumer, commission and industry requirements that are no longer applicable.   </w:t>
      </w:r>
      <w:r>
        <w:t xml:space="preserve">  </w:t>
      </w:r>
    </w:p>
    <w:p w:rsidR="00D74CA1" w:rsidRDefault="00D74CA1" w:rsidP="00D74CA1">
      <w:pPr>
        <w:spacing w:line="480" w:lineRule="auto"/>
        <w:ind w:firstLine="720"/>
      </w:pPr>
    </w:p>
    <w:p w:rsidR="00D74CA1" w:rsidRDefault="00D74CA1" w:rsidP="00D74CA1">
      <w:pPr>
        <w:spacing w:line="480" w:lineRule="auto"/>
        <w:ind w:firstLine="720"/>
      </w:pPr>
      <w:r>
        <w:tab/>
        <w:t xml:space="preserve"> </w:t>
      </w:r>
      <w:r w:rsidRPr="006D3362">
        <w:t xml:space="preserve">Submitted this </w:t>
      </w:r>
      <w:r w:rsidR="00D84C71">
        <w:t>6</w:t>
      </w:r>
      <w:r>
        <w:t xml:space="preserve">th </w:t>
      </w:r>
      <w:r w:rsidRPr="006D3362">
        <w:t xml:space="preserve">day of </w:t>
      </w:r>
      <w:r w:rsidR="00A87444">
        <w:t>J</w:t>
      </w:r>
      <w:r w:rsidR="00D84C71">
        <w:t>anuary,</w:t>
      </w:r>
      <w:r>
        <w:t xml:space="preserve"> 201</w:t>
      </w:r>
      <w:r w:rsidR="00D84C71">
        <w:t>5</w:t>
      </w:r>
      <w:r>
        <w:t xml:space="preserve"> </w:t>
      </w:r>
      <w:r w:rsidRPr="006D3362">
        <w:tab/>
      </w:r>
      <w:r w:rsidRPr="006D3362">
        <w:tab/>
      </w:r>
    </w:p>
    <w:p w:rsidR="00D74CA1" w:rsidRPr="006D3362" w:rsidRDefault="00D74CA1" w:rsidP="00D74CA1">
      <w:pPr>
        <w:spacing w:line="480" w:lineRule="auto"/>
        <w:ind w:firstLine="720"/>
      </w:pPr>
    </w:p>
    <w:p w:rsidR="00D74CA1" w:rsidRPr="003625F0" w:rsidRDefault="00D74CA1" w:rsidP="00D74CA1">
      <w:pPr>
        <w:tabs>
          <w:tab w:val="left" w:pos="7290"/>
        </w:tabs>
        <w:ind w:left="3420"/>
        <w:rPr>
          <w:u w:val="single"/>
        </w:rPr>
      </w:pPr>
      <w:r>
        <w:rPr>
          <w:u w:val="single"/>
        </w:rPr>
        <w:t>/s/</w:t>
      </w:r>
      <w:r>
        <w:rPr>
          <w:u w:val="single"/>
        </w:rPr>
        <w:tab/>
      </w:r>
    </w:p>
    <w:p w:rsidR="00D74CA1" w:rsidRPr="006D3362" w:rsidRDefault="00D74CA1" w:rsidP="00D74CA1">
      <w:pPr>
        <w:ind w:left="3420"/>
      </w:pPr>
      <w:r>
        <w:t>By:  Cynthia Manheim, WSBA# 26524</w:t>
      </w:r>
    </w:p>
    <w:p w:rsidR="00D74CA1" w:rsidRPr="006D3362" w:rsidRDefault="00D74CA1" w:rsidP="00D74CA1">
      <w:pPr>
        <w:ind w:left="3420"/>
      </w:pPr>
      <w:proofErr w:type="gramStart"/>
      <w:r>
        <w:t xml:space="preserve">Representing </w:t>
      </w:r>
      <w:r w:rsidRPr="003826E6">
        <w:t xml:space="preserve">AT&amp;T </w:t>
      </w:r>
      <w:r>
        <w:t>Corp</w:t>
      </w:r>
      <w:r w:rsidRPr="003826E6">
        <w:t>., New Cingular Wireless PCS, LLC,</w:t>
      </w:r>
      <w:r>
        <w:t xml:space="preserve"> </w:t>
      </w:r>
      <w:r w:rsidRPr="003826E6">
        <w:t>and T</w:t>
      </w:r>
      <w:r>
        <w:t>eleport Communications America, Inc.</w:t>
      </w:r>
      <w:proofErr w:type="gramEnd"/>
    </w:p>
    <w:p w:rsidR="00D74CA1" w:rsidRPr="006D3362" w:rsidRDefault="00D74CA1" w:rsidP="00D74CA1">
      <w:pPr>
        <w:ind w:left="3420"/>
      </w:pPr>
      <w:r w:rsidRPr="006D3362">
        <w:t>PO Box 97061</w:t>
      </w:r>
    </w:p>
    <w:p w:rsidR="00D74CA1" w:rsidRPr="006D3362" w:rsidRDefault="00D74CA1" w:rsidP="00D74CA1">
      <w:pPr>
        <w:ind w:left="3420"/>
      </w:pPr>
      <w:r w:rsidRPr="006D3362">
        <w:t>16331 NE 72nd Way</w:t>
      </w:r>
    </w:p>
    <w:p w:rsidR="00D74CA1" w:rsidRPr="006D3362" w:rsidRDefault="00D74CA1" w:rsidP="00D74CA1">
      <w:pPr>
        <w:ind w:left="3420"/>
      </w:pPr>
      <w:r w:rsidRPr="006D3362">
        <w:t>Redmond, WA  98073-9761</w:t>
      </w:r>
    </w:p>
    <w:p w:rsidR="00D74CA1" w:rsidRPr="006D3362" w:rsidRDefault="00D74CA1" w:rsidP="00D74CA1">
      <w:pPr>
        <w:ind w:left="3420"/>
      </w:pPr>
      <w:r w:rsidRPr="006D3362">
        <w:t>Telephone:  (425) 580-8112</w:t>
      </w:r>
    </w:p>
    <w:p w:rsidR="00D74CA1" w:rsidRPr="006D3362" w:rsidRDefault="00D74CA1" w:rsidP="00D74CA1">
      <w:pPr>
        <w:ind w:left="3420"/>
      </w:pPr>
      <w:r>
        <w:t>Facsimile: (425) 580-8652</w:t>
      </w:r>
    </w:p>
    <w:p w:rsidR="00D74CA1" w:rsidRDefault="00D74CA1" w:rsidP="00D74CA1">
      <w:pPr>
        <w:ind w:left="3420"/>
      </w:pPr>
      <w:r w:rsidRPr="006D3362">
        <w:t xml:space="preserve">Email: </w:t>
      </w:r>
      <w:hyperlink r:id="rId12" w:history="1">
        <w:r w:rsidRPr="006D3362">
          <w:rPr>
            <w:rStyle w:val="Hyperlink"/>
          </w:rPr>
          <w:t>cindy.manheim@att.com</w:t>
        </w:r>
      </w:hyperlink>
    </w:p>
    <w:p w:rsidR="002B539B" w:rsidRPr="00ED0511" w:rsidRDefault="002B539B" w:rsidP="00D74CA1">
      <w:pPr>
        <w:jc w:val="center"/>
      </w:pPr>
    </w:p>
    <w:sectPr w:rsidR="002B539B" w:rsidRPr="00ED0511" w:rsidSect="009A5230">
      <w:footerReference w:type="default" r:id="rId13"/>
      <w:pgSz w:w="12240" w:h="15840"/>
      <w:pgMar w:top="1440" w:right="1627" w:bottom="720" w:left="162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913" w:rsidRDefault="00082913">
      <w:r>
        <w:separator/>
      </w:r>
    </w:p>
  </w:endnote>
  <w:endnote w:type="continuationSeparator" w:id="0">
    <w:p w:rsidR="00082913" w:rsidRDefault="0008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6"/>
      <w:docPartObj>
        <w:docPartGallery w:val="Page Numbers (Bottom of Page)"/>
        <w:docPartUnique/>
      </w:docPartObj>
    </w:sdtPr>
    <w:sdtEndPr/>
    <w:sdtContent>
      <w:p w:rsidR="003625F0" w:rsidRDefault="00FC0EA7">
        <w:pPr>
          <w:pStyle w:val="Footer"/>
          <w:jc w:val="center"/>
        </w:pPr>
      </w:p>
    </w:sdtContent>
  </w:sdt>
  <w:p w:rsidR="003625F0" w:rsidRDefault="0036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9"/>
      <w:docPartObj>
        <w:docPartGallery w:val="Page Numbers (Bottom of Page)"/>
        <w:docPartUnique/>
      </w:docPartObj>
    </w:sdtPr>
    <w:sdtEndPr/>
    <w:sdtContent>
      <w:p w:rsidR="003625F0" w:rsidRDefault="005E5D9B">
        <w:pPr>
          <w:pStyle w:val="Footer"/>
          <w:jc w:val="center"/>
        </w:pPr>
        <w:r>
          <w:fldChar w:fldCharType="begin"/>
        </w:r>
        <w:r>
          <w:instrText xml:space="preserve"> PAGE   \* MERGEFORMAT </w:instrText>
        </w:r>
        <w:r>
          <w:fldChar w:fldCharType="separate"/>
        </w:r>
        <w:r w:rsidR="00FC0EA7">
          <w:rPr>
            <w:noProof/>
          </w:rPr>
          <w:t>1</w:t>
        </w:r>
        <w:r>
          <w:rPr>
            <w:noProof/>
          </w:rPr>
          <w:fldChar w:fldCharType="end"/>
        </w:r>
      </w:p>
    </w:sdtContent>
  </w:sdt>
  <w:p w:rsidR="003625F0" w:rsidRDefault="0036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913" w:rsidRDefault="00082913">
      <w:r>
        <w:separator/>
      </w:r>
    </w:p>
  </w:footnote>
  <w:footnote w:type="continuationSeparator" w:id="0">
    <w:p w:rsidR="00082913" w:rsidRDefault="00082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BA784E">
    <w:pPr>
      <w:pStyle w:val="Header"/>
      <w:ind w:right="-554"/>
    </w:pPr>
    <w:r>
      <w:rPr>
        <w:noProof/>
        <w:sz w:val="20"/>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-3810</wp:posOffset>
              </wp:positionV>
              <wp:extent cx="1600200" cy="87884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FC0EA7">
                          <w:pPr>
                            <w:spacing w:line="200" w:lineRule="exact"/>
                            <w:rPr>
                              <w:rFonts w:ascii="Arial" w:hAnsi="Arial" w:cs="Arial"/>
                              <w:sz w:val="16"/>
                              <w:szCs w:val="16"/>
                            </w:rPr>
                          </w:pPr>
                          <w:hyperlink r:id="rId1" w:history="1">
                            <w:r w:rsidR="003C1A28" w:rsidRPr="008716ED">
                              <w:rPr>
                                <w:rStyle w:val="Hyperlink"/>
                                <w:rFonts w:ascii="Arial" w:hAnsi="Arial" w:cs="Arial"/>
                                <w:sz w:val="16"/>
                                <w:szCs w:val="16"/>
                              </w:rPr>
                              <w:t>cindy.manheim@att.com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3pt;width:126pt;height: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WfrQIAAKk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" filled="f" stroked="f">
              <v:textbox inset="0,0,0,0">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082913">
                    <w:pPr>
                      <w:spacing w:line="200" w:lineRule="exact"/>
                      <w:rPr>
                        <w:rFonts w:ascii="Arial" w:hAnsi="Arial" w:cs="Arial"/>
                        <w:sz w:val="16"/>
                        <w:szCs w:val="16"/>
                      </w:rPr>
                    </w:pPr>
                    <w:hyperlink r:id="rId2" w:history="1">
                      <w:r w:rsidR="003C1A28" w:rsidRPr="008716ED">
                        <w:rPr>
                          <w:rStyle w:val="Hyperlink"/>
                          <w:rFonts w:ascii="Arial" w:hAnsi="Arial" w:cs="Arial"/>
                          <w:sz w:val="16"/>
                          <w:szCs w:val="16"/>
                        </w:rPr>
                        <w:t>cindy.manheim@att.com</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-3810</wp:posOffset>
              </wp:positionV>
              <wp:extent cx="1428750" cy="73342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4pt;margin-top:-.3pt;width:11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3C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" filled="f" stroked="f">
              <v:textbox inset="0,0,0,0">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v:textbox>
            </v:shape>
          </w:pict>
        </mc:Fallback>
      </mc:AlternateContent>
    </w:r>
    <w:r w:rsidR="003625F0">
      <w:rPr>
        <w:noProof/>
        <w:sz w:val="20"/>
      </w:rPr>
      <w:drawing>
        <wp:anchor distT="0" distB="0" distL="114300" distR="114300" simplePos="0" relativeHeight="251656192"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 name="Picture 1"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_color_logo600"/>
                  <pic:cNvPicPr>
                    <a:picLocks noChangeAspect="1" noChangeArrowheads="1"/>
                  </pic:cNvPicPr>
                </pic:nvPicPr>
                <pic:blipFill>
                  <a:blip r:embed="rId3"/>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362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E2"/>
    <w:multiLevelType w:val="hybridMultilevel"/>
    <w:tmpl w:val="C25E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A2EBD"/>
    <w:multiLevelType w:val="hybridMultilevel"/>
    <w:tmpl w:val="5A6AE9BE"/>
    <w:lvl w:ilvl="0" w:tplc="35CC2B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D55C7E"/>
    <w:multiLevelType w:val="hybridMultilevel"/>
    <w:tmpl w:val="64E6318A"/>
    <w:lvl w:ilvl="0" w:tplc="8D8A854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0149D"/>
    <w:multiLevelType w:val="hybridMultilevel"/>
    <w:tmpl w:val="CD14F328"/>
    <w:lvl w:ilvl="0" w:tplc="EF2AC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B61A0"/>
    <w:multiLevelType w:val="hybridMultilevel"/>
    <w:tmpl w:val="82E4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609C6"/>
    <w:multiLevelType w:val="hybridMultilevel"/>
    <w:tmpl w:val="158CFD0C"/>
    <w:lvl w:ilvl="0" w:tplc="74649CE0">
      <w:start w:val="1"/>
      <w:numFmt w:val="decimal"/>
      <w:pStyle w:val="ParaNum"/>
      <w:lvlText w:val="%1."/>
      <w:lvlJc w:val="left"/>
      <w:pPr>
        <w:tabs>
          <w:tab w:val="num" w:pos="1482"/>
        </w:tabs>
        <w:ind w:left="0" w:firstLine="720"/>
      </w:pPr>
      <w:rPr>
        <w:rFonts w:ascii="Times New Roman" w:hAnsi="Times New Roman" w:cs="Times New Roman" w:hint="default"/>
        <w:b w:val="0"/>
        <w:i w:val="0"/>
        <w:strike w:val="0"/>
        <w:dstrike w:val="0"/>
        <w:color w:val="000000"/>
        <w:u w:val="none"/>
        <w:effect w:val="none"/>
      </w:rPr>
    </w:lvl>
    <w:lvl w:ilvl="1" w:tplc="35904AA4">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14E9642A"/>
    <w:multiLevelType w:val="hybridMultilevel"/>
    <w:tmpl w:val="61009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D3080"/>
    <w:multiLevelType w:val="hybridMultilevel"/>
    <w:tmpl w:val="61F69C72"/>
    <w:lvl w:ilvl="0" w:tplc="50C05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9451DF"/>
    <w:multiLevelType w:val="hybridMultilevel"/>
    <w:tmpl w:val="508ECBFC"/>
    <w:lvl w:ilvl="0" w:tplc="72A6D7B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681EFE"/>
    <w:multiLevelType w:val="hybridMultilevel"/>
    <w:tmpl w:val="5C324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3D768E"/>
    <w:multiLevelType w:val="hybridMultilevel"/>
    <w:tmpl w:val="1EB2DD98"/>
    <w:lvl w:ilvl="0" w:tplc="82E4C23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E36795E"/>
    <w:multiLevelType w:val="hybridMultilevel"/>
    <w:tmpl w:val="40988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317FBF"/>
    <w:multiLevelType w:val="hybridMultilevel"/>
    <w:tmpl w:val="436AB5E4"/>
    <w:lvl w:ilvl="0" w:tplc="B3BA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76E3F"/>
    <w:multiLevelType w:val="hybridMultilevel"/>
    <w:tmpl w:val="7366AC24"/>
    <w:lvl w:ilvl="0" w:tplc="217034B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14172D"/>
    <w:multiLevelType w:val="hybridMultilevel"/>
    <w:tmpl w:val="A84E2CB4"/>
    <w:lvl w:ilvl="0" w:tplc="54406E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31F2D9F"/>
    <w:multiLevelType w:val="hybridMultilevel"/>
    <w:tmpl w:val="195EA1F2"/>
    <w:lvl w:ilvl="0" w:tplc="0F8CD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A6CA6"/>
    <w:multiLevelType w:val="hybridMultilevel"/>
    <w:tmpl w:val="D3806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18D4CB7"/>
    <w:multiLevelType w:val="hybridMultilevel"/>
    <w:tmpl w:val="6D26B606"/>
    <w:lvl w:ilvl="0" w:tplc="BF16247E">
      <w:start w:val="1"/>
      <w:numFmt w:val="upperRoman"/>
      <w:lvlText w:val="%1."/>
      <w:lvlJc w:val="left"/>
      <w:pPr>
        <w:ind w:left="840" w:hanging="720"/>
      </w:pPr>
      <w:rPr>
        <w:rFonts w:hint="default"/>
        <w:b w:val="0"/>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nsid w:val="56C21B0D"/>
    <w:multiLevelType w:val="hybridMultilevel"/>
    <w:tmpl w:val="FFD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7B5A3A"/>
    <w:multiLevelType w:val="hybridMultilevel"/>
    <w:tmpl w:val="1F2C65B0"/>
    <w:lvl w:ilvl="0" w:tplc="74C2D4C4">
      <w:start w:val="1"/>
      <w:numFmt w:val="lowerLetter"/>
      <w:lvlText w:val="%1."/>
      <w:lvlJc w:val="left"/>
      <w:pPr>
        <w:ind w:left="2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CD5D69"/>
    <w:multiLevelType w:val="hybridMultilevel"/>
    <w:tmpl w:val="625868D2"/>
    <w:lvl w:ilvl="0" w:tplc="C53632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191433"/>
    <w:multiLevelType w:val="hybridMultilevel"/>
    <w:tmpl w:val="C434AE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A5067"/>
    <w:multiLevelType w:val="hybridMultilevel"/>
    <w:tmpl w:val="CB146BDE"/>
    <w:lvl w:ilvl="0" w:tplc="2AA0B9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33946"/>
    <w:multiLevelType w:val="hybridMultilevel"/>
    <w:tmpl w:val="9DB4685E"/>
    <w:lvl w:ilvl="0" w:tplc="718EE4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7"/>
  </w:num>
  <w:num w:numId="4">
    <w:abstractNumId w:val="3"/>
  </w:num>
  <w:num w:numId="5">
    <w:abstractNumId w:val="14"/>
  </w:num>
  <w:num w:numId="6">
    <w:abstractNumId w:val="11"/>
  </w:num>
  <w:num w:numId="7">
    <w:abstractNumId w:val="26"/>
  </w:num>
  <w:num w:numId="8">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num>
  <w:num w:numId="11">
    <w:abstractNumId w:val="7"/>
  </w:num>
  <w:num w:numId="12">
    <w:abstractNumId w:val="13"/>
  </w:num>
  <w:num w:numId="13">
    <w:abstractNumId w:val="2"/>
  </w:num>
  <w:num w:numId="14">
    <w:abstractNumId w:val="15"/>
  </w:num>
  <w:num w:numId="15">
    <w:abstractNumId w:val="8"/>
  </w:num>
  <w:num w:numId="16">
    <w:abstractNumId w:val="9"/>
  </w:num>
  <w:num w:numId="17">
    <w:abstractNumId w:val="5"/>
  </w:num>
  <w:num w:numId="18">
    <w:abstractNumId w:val="22"/>
  </w:num>
  <w:num w:numId="19">
    <w:abstractNumId w:val="20"/>
  </w:num>
  <w:num w:numId="20">
    <w:abstractNumId w:val="25"/>
  </w:num>
  <w:num w:numId="21">
    <w:abstractNumId w:val="1"/>
  </w:num>
  <w:num w:numId="22">
    <w:abstractNumId w:val="18"/>
  </w:num>
  <w:num w:numId="23">
    <w:abstractNumId w:val="23"/>
  </w:num>
  <w:num w:numId="24">
    <w:abstractNumId w:val="4"/>
  </w:num>
  <w:num w:numId="25">
    <w:abstractNumId w:val="21"/>
  </w:num>
  <w:num w:numId="26">
    <w:abstractNumId w:val="19"/>
  </w:num>
  <w:num w:numId="27">
    <w:abstractNumId w:val="6"/>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2F"/>
    <w:rsid w:val="00027624"/>
    <w:rsid w:val="00032EDE"/>
    <w:rsid w:val="00037644"/>
    <w:rsid w:val="0004034A"/>
    <w:rsid w:val="00044741"/>
    <w:rsid w:val="0004686D"/>
    <w:rsid w:val="000541AB"/>
    <w:rsid w:val="00082913"/>
    <w:rsid w:val="000863BF"/>
    <w:rsid w:val="000B79FF"/>
    <w:rsid w:val="000C06CF"/>
    <w:rsid w:val="001001F8"/>
    <w:rsid w:val="0010246D"/>
    <w:rsid w:val="0017162C"/>
    <w:rsid w:val="00176321"/>
    <w:rsid w:val="00183B50"/>
    <w:rsid w:val="001853F4"/>
    <w:rsid w:val="001A4B7B"/>
    <w:rsid w:val="001C2C6C"/>
    <w:rsid w:val="001C7B8E"/>
    <w:rsid w:val="001D6C99"/>
    <w:rsid w:val="002120CC"/>
    <w:rsid w:val="00233021"/>
    <w:rsid w:val="0024015C"/>
    <w:rsid w:val="00242D60"/>
    <w:rsid w:val="0024610E"/>
    <w:rsid w:val="0025468F"/>
    <w:rsid w:val="002904E7"/>
    <w:rsid w:val="00295712"/>
    <w:rsid w:val="002B539B"/>
    <w:rsid w:val="002C1638"/>
    <w:rsid w:val="002C77F1"/>
    <w:rsid w:val="002F1380"/>
    <w:rsid w:val="002F1AB1"/>
    <w:rsid w:val="002F327F"/>
    <w:rsid w:val="003211FE"/>
    <w:rsid w:val="003436F4"/>
    <w:rsid w:val="0034595F"/>
    <w:rsid w:val="003625F0"/>
    <w:rsid w:val="003811C7"/>
    <w:rsid w:val="003826E6"/>
    <w:rsid w:val="00387EAB"/>
    <w:rsid w:val="003B257E"/>
    <w:rsid w:val="003C1A28"/>
    <w:rsid w:val="00401464"/>
    <w:rsid w:val="00417BD5"/>
    <w:rsid w:val="00423BCA"/>
    <w:rsid w:val="00433EA8"/>
    <w:rsid w:val="00450EA2"/>
    <w:rsid w:val="00464D6E"/>
    <w:rsid w:val="00464D84"/>
    <w:rsid w:val="0048451F"/>
    <w:rsid w:val="00497F06"/>
    <w:rsid w:val="004B1B5E"/>
    <w:rsid w:val="004B2425"/>
    <w:rsid w:val="004B2FCC"/>
    <w:rsid w:val="004B3F8E"/>
    <w:rsid w:val="004E7C29"/>
    <w:rsid w:val="004F2D30"/>
    <w:rsid w:val="00500E22"/>
    <w:rsid w:val="00525A85"/>
    <w:rsid w:val="0053255F"/>
    <w:rsid w:val="00575EAB"/>
    <w:rsid w:val="005914B0"/>
    <w:rsid w:val="00596E04"/>
    <w:rsid w:val="005B10F4"/>
    <w:rsid w:val="005B1D7A"/>
    <w:rsid w:val="005D0799"/>
    <w:rsid w:val="005E5D9B"/>
    <w:rsid w:val="00623CD9"/>
    <w:rsid w:val="006270A0"/>
    <w:rsid w:val="00632C60"/>
    <w:rsid w:val="006365B6"/>
    <w:rsid w:val="00640241"/>
    <w:rsid w:val="00676ED6"/>
    <w:rsid w:val="00684C5C"/>
    <w:rsid w:val="006A0872"/>
    <w:rsid w:val="006C49F8"/>
    <w:rsid w:val="006D5A78"/>
    <w:rsid w:val="006E774D"/>
    <w:rsid w:val="006F02E2"/>
    <w:rsid w:val="00723B37"/>
    <w:rsid w:val="00740C3B"/>
    <w:rsid w:val="0076365B"/>
    <w:rsid w:val="007925EC"/>
    <w:rsid w:val="007975B0"/>
    <w:rsid w:val="007D453D"/>
    <w:rsid w:val="007E180B"/>
    <w:rsid w:val="007F4A0D"/>
    <w:rsid w:val="007F5270"/>
    <w:rsid w:val="007F6DAE"/>
    <w:rsid w:val="0083386C"/>
    <w:rsid w:val="0084229B"/>
    <w:rsid w:val="00852185"/>
    <w:rsid w:val="008535CF"/>
    <w:rsid w:val="00857D0B"/>
    <w:rsid w:val="00862AFB"/>
    <w:rsid w:val="00870B53"/>
    <w:rsid w:val="00881628"/>
    <w:rsid w:val="00895031"/>
    <w:rsid w:val="008A5DA8"/>
    <w:rsid w:val="008B4B0B"/>
    <w:rsid w:val="008B5C39"/>
    <w:rsid w:val="008B6A08"/>
    <w:rsid w:val="008D2554"/>
    <w:rsid w:val="008D41F5"/>
    <w:rsid w:val="008F7DF9"/>
    <w:rsid w:val="00900996"/>
    <w:rsid w:val="00924A87"/>
    <w:rsid w:val="00930A08"/>
    <w:rsid w:val="009421AF"/>
    <w:rsid w:val="00976449"/>
    <w:rsid w:val="009A5230"/>
    <w:rsid w:val="009D0C66"/>
    <w:rsid w:val="009D3707"/>
    <w:rsid w:val="009E1455"/>
    <w:rsid w:val="00A053A7"/>
    <w:rsid w:val="00A13980"/>
    <w:rsid w:val="00A3004E"/>
    <w:rsid w:val="00A30666"/>
    <w:rsid w:val="00A31302"/>
    <w:rsid w:val="00A33D64"/>
    <w:rsid w:val="00A525AA"/>
    <w:rsid w:val="00A71E48"/>
    <w:rsid w:val="00A82757"/>
    <w:rsid w:val="00A87444"/>
    <w:rsid w:val="00A97347"/>
    <w:rsid w:val="00AB58B8"/>
    <w:rsid w:val="00AC5A6D"/>
    <w:rsid w:val="00AE3358"/>
    <w:rsid w:val="00AE4E58"/>
    <w:rsid w:val="00B13D84"/>
    <w:rsid w:val="00B54367"/>
    <w:rsid w:val="00B62119"/>
    <w:rsid w:val="00B6338E"/>
    <w:rsid w:val="00BA63E1"/>
    <w:rsid w:val="00BA784E"/>
    <w:rsid w:val="00BD4E2D"/>
    <w:rsid w:val="00BE2E2D"/>
    <w:rsid w:val="00BF21DB"/>
    <w:rsid w:val="00BF7E7D"/>
    <w:rsid w:val="00C30771"/>
    <w:rsid w:val="00C5304D"/>
    <w:rsid w:val="00C83F3C"/>
    <w:rsid w:val="00C85E3C"/>
    <w:rsid w:val="00C9354B"/>
    <w:rsid w:val="00CA571F"/>
    <w:rsid w:val="00CC55CD"/>
    <w:rsid w:val="00CE092F"/>
    <w:rsid w:val="00CF7F9F"/>
    <w:rsid w:val="00D022EF"/>
    <w:rsid w:val="00D063CD"/>
    <w:rsid w:val="00D1255F"/>
    <w:rsid w:val="00D13269"/>
    <w:rsid w:val="00D142D5"/>
    <w:rsid w:val="00D226BC"/>
    <w:rsid w:val="00D3338E"/>
    <w:rsid w:val="00D346CA"/>
    <w:rsid w:val="00D36A3A"/>
    <w:rsid w:val="00D73972"/>
    <w:rsid w:val="00D74CA1"/>
    <w:rsid w:val="00D77B5F"/>
    <w:rsid w:val="00D84C71"/>
    <w:rsid w:val="00D9173C"/>
    <w:rsid w:val="00DA0120"/>
    <w:rsid w:val="00DA46E4"/>
    <w:rsid w:val="00DA7536"/>
    <w:rsid w:val="00DB1492"/>
    <w:rsid w:val="00DB5F6E"/>
    <w:rsid w:val="00DD630D"/>
    <w:rsid w:val="00E262D6"/>
    <w:rsid w:val="00E342C3"/>
    <w:rsid w:val="00E35C5A"/>
    <w:rsid w:val="00E40087"/>
    <w:rsid w:val="00E6077D"/>
    <w:rsid w:val="00ED0511"/>
    <w:rsid w:val="00EE0888"/>
    <w:rsid w:val="00F15777"/>
    <w:rsid w:val="00F30DE1"/>
    <w:rsid w:val="00F50D63"/>
    <w:rsid w:val="00F6397B"/>
    <w:rsid w:val="00F66D8E"/>
    <w:rsid w:val="00F70151"/>
    <w:rsid w:val="00F803EB"/>
    <w:rsid w:val="00F84EF1"/>
    <w:rsid w:val="00FA34EF"/>
    <w:rsid w:val="00FA4D61"/>
    <w:rsid w:val="00FA703F"/>
    <w:rsid w:val="00FC0EA7"/>
    <w:rsid w:val="00FE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7144">
      <w:bodyDiv w:val="1"/>
      <w:marLeft w:val="0"/>
      <w:marRight w:val="0"/>
      <w:marTop w:val="0"/>
      <w:marBottom w:val="0"/>
      <w:divBdr>
        <w:top w:val="none" w:sz="0" w:space="0" w:color="auto"/>
        <w:left w:val="none" w:sz="0" w:space="0" w:color="auto"/>
        <w:bottom w:val="none" w:sz="0" w:space="0" w:color="auto"/>
        <w:right w:val="none" w:sz="0" w:space="0" w:color="auto"/>
      </w:divBdr>
    </w:div>
    <w:div w:id="1233857176">
      <w:bodyDiv w:val="1"/>
      <w:marLeft w:val="0"/>
      <w:marRight w:val="0"/>
      <w:marTop w:val="0"/>
      <w:marBottom w:val="0"/>
      <w:divBdr>
        <w:top w:val="none" w:sz="0" w:space="0" w:color="auto"/>
        <w:left w:val="none" w:sz="0" w:space="0" w:color="auto"/>
        <w:bottom w:val="none" w:sz="0" w:space="0" w:color="auto"/>
        <w:right w:val="none" w:sz="0" w:space="0" w:color="auto"/>
      </w:divBdr>
    </w:div>
    <w:div w:id="1794906152">
      <w:bodyDiv w:val="1"/>
      <w:marLeft w:val="0"/>
      <w:marRight w:val="0"/>
      <w:marTop w:val="0"/>
      <w:marBottom w:val="0"/>
      <w:divBdr>
        <w:top w:val="none" w:sz="0" w:space="0" w:color="auto"/>
        <w:left w:val="none" w:sz="0" w:space="0" w:color="auto"/>
        <w:bottom w:val="none" w:sz="0" w:space="0" w:color="auto"/>
        <w:right w:val="none" w:sz="0" w:space="0" w:color="auto"/>
      </w:divBdr>
    </w:div>
    <w:div w:id="21042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ndy.manheim@att.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ndy.manheim@att.com" TargetMode="External"/><Relationship Id="rId1" Type="http://schemas.openxmlformats.org/officeDocument/2006/relationships/hyperlink" Target="mailto:cindy.manheim@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2015-01-06T08:00:00+00:00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6B05B6F-329A-4DB6-9E5F-CF35FD9722C4}"/>
</file>

<file path=customXml/itemProps2.xml><?xml version="1.0" encoding="utf-8"?>
<ds:datastoreItem xmlns:ds="http://schemas.openxmlformats.org/officeDocument/2006/customXml" ds:itemID="{5C03F06A-65B9-4D4B-9D5F-62DDF8A2A845}"/>
</file>

<file path=customXml/itemProps3.xml><?xml version="1.0" encoding="utf-8"?>
<ds:datastoreItem xmlns:ds="http://schemas.openxmlformats.org/officeDocument/2006/customXml" ds:itemID="{9CA531E8-2FCF-4CBD-B9E1-0BE2F9CF269A}"/>
</file>

<file path=customXml/itemProps4.xml><?xml version="1.0" encoding="utf-8"?>
<ds:datastoreItem xmlns:ds="http://schemas.openxmlformats.org/officeDocument/2006/customXml" ds:itemID="{6A819F38-FBC1-4B59-BDDC-D4D8FC267EC2}"/>
</file>

<file path=customXml/itemProps5.xml><?xml version="1.0" encoding="utf-8"?>
<ds:datastoreItem xmlns:ds="http://schemas.openxmlformats.org/officeDocument/2006/customXml" ds:itemID="{00AF1B97-E0EF-4B51-83A9-39A9302DDBF7}"/>
</file>

<file path=docProps/app.xml><?xml version="1.0" encoding="utf-8"?>
<Properties xmlns="http://schemas.openxmlformats.org/officeDocument/2006/extended-properties" xmlns:vt="http://schemas.openxmlformats.org/officeDocument/2006/docPropsVTypes">
  <Template>MA Letterhead.dot</Template>
  <TotalTime>1</TotalTime>
  <Pages>4</Pages>
  <Words>691</Words>
  <Characters>4306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4988</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Mary Anne Allen</dc:creator>
  <cp:lastModifiedBy>David Collier</cp:lastModifiedBy>
  <cp:revision>2</cp:revision>
  <cp:lastPrinted>2014-05-05T17:45:00Z</cp:lastPrinted>
  <dcterms:created xsi:type="dcterms:W3CDTF">2015-01-06T22:52:00Z</dcterms:created>
  <dcterms:modified xsi:type="dcterms:W3CDTF">2015-01-06T22:52:00Z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0x0101006E56B4D1795A2E4DB2F0B01679ED314A000B1D4F0AC375624F8C67FD848F75F22A</vt:lpwstr>
  </property>
  <property fmtid="{D5CDD505-2E9C-101B-9397-08002B2CF9AE}" pid="4" name="_docset_NoMedatataSyncRequired">
    <vt:lpwstr>False</vt:lpwstr>
  </property>
</Properties>
</file>