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7096"/>
      </w:tblGrid>
      <w:tr w:rsidR="008C6BDB" w:rsidRPr="00B34E9C">
        <w:tc>
          <w:tcPr>
            <w:tcW w:w="7672" w:type="dxa"/>
            <w:tcMar>
              <w:top w:w="216" w:type="dxa"/>
              <w:left w:w="115" w:type="dxa"/>
              <w:bottom w:w="216" w:type="dxa"/>
              <w:right w:w="115" w:type="dxa"/>
            </w:tcMar>
          </w:tcPr>
          <w:p w:rsidR="008C6BDB" w:rsidRPr="00B34E9C" w:rsidRDefault="008C6BDB" w:rsidP="00B15B2E">
            <w:pPr>
              <w:pStyle w:val="NoSpacing"/>
              <w:rPr>
                <w:rFonts w:ascii="Times New Roman" w:hAnsi="Times New Roman" w:cs="Times New Roman"/>
                <w:sz w:val="40"/>
                <w:szCs w:val="40"/>
              </w:rPr>
            </w:pPr>
            <w:bookmarkStart w:id="0" w:name="_Toc234046346"/>
            <w:bookmarkStart w:id="1" w:name="_Toc165107947"/>
            <w:bookmarkStart w:id="2" w:name="_Ref165107126"/>
            <w:r w:rsidRPr="00B34E9C">
              <w:rPr>
                <w:rFonts w:ascii="Times New Roman" w:hAnsi="Times New Roman" w:cs="Times New Roman"/>
                <w:sz w:val="40"/>
                <w:szCs w:val="40"/>
                <w:lang w:eastAsia="ja-JP"/>
              </w:rPr>
              <w:t>Pacifi</w:t>
            </w:r>
            <w:r w:rsidR="00B15B2E">
              <w:rPr>
                <w:rFonts w:ascii="Times New Roman" w:hAnsi="Times New Roman" w:cs="Times New Roman"/>
                <w:sz w:val="40"/>
                <w:szCs w:val="40"/>
                <w:lang w:eastAsia="ja-JP"/>
              </w:rPr>
              <w:t>c Power</w:t>
            </w:r>
          </w:p>
        </w:tc>
      </w:tr>
      <w:tr w:rsidR="008C6BDB" w:rsidRPr="00B34E9C" w:rsidTr="0081268D">
        <w:trPr>
          <w:trHeight w:val="4518"/>
        </w:trPr>
        <w:tc>
          <w:tcPr>
            <w:tcW w:w="7672" w:type="dxa"/>
          </w:tcPr>
          <w:p w:rsidR="008C6BDB" w:rsidRPr="00B34E9C" w:rsidRDefault="006B4284" w:rsidP="00594CCE">
            <w:pPr>
              <w:pStyle w:val="NoSpacing"/>
              <w:rPr>
                <w:rFonts w:ascii="Times New Roman" w:hAnsi="Times New Roman" w:cs="Times New Roman"/>
                <w:color w:val="4F81BD"/>
                <w:sz w:val="80"/>
                <w:szCs w:val="80"/>
              </w:rPr>
            </w:pPr>
            <w:r w:rsidRPr="00B34E9C">
              <w:rPr>
                <w:rFonts w:ascii="Times New Roman" w:hAnsi="Times New Roman" w:cs="Times New Roman"/>
                <w:color w:val="4F81BD"/>
                <w:sz w:val="80"/>
                <w:szCs w:val="80"/>
              </w:rPr>
              <w:t>20</w:t>
            </w:r>
            <w:r w:rsidR="00D506E0" w:rsidRPr="00B34E9C">
              <w:rPr>
                <w:rFonts w:ascii="Times New Roman" w:hAnsi="Times New Roman" w:cs="Times New Roman"/>
                <w:color w:val="4F81BD"/>
                <w:sz w:val="80"/>
                <w:szCs w:val="80"/>
              </w:rPr>
              <w:t>10</w:t>
            </w:r>
            <w:r w:rsidRPr="00B34E9C">
              <w:rPr>
                <w:rFonts w:ascii="Times New Roman" w:hAnsi="Times New Roman" w:cs="Times New Roman"/>
                <w:color w:val="4F81BD"/>
                <w:sz w:val="80"/>
                <w:szCs w:val="80"/>
              </w:rPr>
              <w:t xml:space="preserve"> </w:t>
            </w:r>
            <w:r w:rsidR="008C6BDB" w:rsidRPr="00B34E9C">
              <w:rPr>
                <w:rFonts w:ascii="Times New Roman" w:hAnsi="Times New Roman" w:cs="Times New Roman"/>
                <w:color w:val="4F81BD"/>
                <w:sz w:val="80"/>
                <w:szCs w:val="80"/>
              </w:rPr>
              <w:t xml:space="preserve">Annual </w:t>
            </w:r>
            <w:r w:rsidR="00594CCE" w:rsidRPr="00B34E9C">
              <w:rPr>
                <w:rFonts w:ascii="Times New Roman" w:hAnsi="Times New Roman" w:cs="Times New Roman"/>
                <w:color w:val="4F81BD"/>
                <w:sz w:val="80"/>
                <w:szCs w:val="80"/>
              </w:rPr>
              <w:t>Report on Conservation Acquisition</w:t>
            </w:r>
            <w:r w:rsidR="008C6BDB" w:rsidRPr="00B34E9C">
              <w:rPr>
                <w:rFonts w:ascii="Times New Roman" w:hAnsi="Times New Roman" w:cs="Times New Roman"/>
                <w:color w:val="4F81BD"/>
                <w:sz w:val="80"/>
                <w:szCs w:val="80"/>
              </w:rPr>
              <w:t xml:space="preserve"> - Washington</w:t>
            </w:r>
          </w:p>
        </w:tc>
      </w:tr>
      <w:tr w:rsidR="008C6BDB" w:rsidRPr="00B34E9C">
        <w:tc>
          <w:tcPr>
            <w:tcW w:w="7672" w:type="dxa"/>
            <w:tcMar>
              <w:top w:w="216" w:type="dxa"/>
              <w:left w:w="115" w:type="dxa"/>
              <w:bottom w:w="216" w:type="dxa"/>
              <w:right w:w="115" w:type="dxa"/>
            </w:tcMar>
          </w:tcPr>
          <w:p w:rsidR="008C6BDB" w:rsidRPr="00B34E9C" w:rsidRDefault="008C6BDB" w:rsidP="004D6826">
            <w:pPr>
              <w:pStyle w:val="NoSpacing"/>
              <w:rPr>
                <w:rFonts w:ascii="Times New Roman" w:hAnsi="Times New Roman" w:cs="Times New Roman"/>
                <w:sz w:val="32"/>
                <w:szCs w:val="32"/>
              </w:rPr>
            </w:pPr>
            <w:r w:rsidRPr="00B34E9C">
              <w:rPr>
                <w:rFonts w:ascii="Times New Roman" w:hAnsi="Times New Roman" w:cs="Times New Roman"/>
                <w:sz w:val="32"/>
                <w:szCs w:val="32"/>
              </w:rPr>
              <w:t xml:space="preserve">     </w:t>
            </w:r>
          </w:p>
        </w:tc>
      </w:tr>
    </w:tbl>
    <w:p w:rsidR="008C6BDB" w:rsidRPr="00B34E9C" w:rsidRDefault="008C6BDB"/>
    <w:p w:rsidR="008C6BDB" w:rsidRPr="00B34E9C" w:rsidRDefault="008C6BDB"/>
    <w:tbl>
      <w:tblPr>
        <w:tblpPr w:leftFromText="187" w:rightFromText="187" w:horzAnchor="margin" w:tblpXSpec="center" w:tblpYSpec="bottom"/>
        <w:tblW w:w="4000" w:type="pct"/>
        <w:tblLook w:val="00A0"/>
      </w:tblPr>
      <w:tblGrid>
        <w:gridCol w:w="7096"/>
      </w:tblGrid>
      <w:tr w:rsidR="008C6BDB" w:rsidRPr="00B34E9C">
        <w:tc>
          <w:tcPr>
            <w:tcW w:w="7672" w:type="dxa"/>
            <w:tcMar>
              <w:top w:w="216" w:type="dxa"/>
              <w:left w:w="115" w:type="dxa"/>
              <w:bottom w:w="216" w:type="dxa"/>
              <w:right w:w="115" w:type="dxa"/>
            </w:tcMar>
          </w:tcPr>
          <w:p w:rsidR="008C6BDB" w:rsidRPr="00B34E9C" w:rsidRDefault="008C6BDB">
            <w:pPr>
              <w:pStyle w:val="NoSpacing"/>
              <w:rPr>
                <w:rFonts w:ascii="Times New Roman" w:hAnsi="Times New Roman" w:cs="Times New Roman"/>
                <w:color w:val="4F81BD"/>
              </w:rPr>
            </w:pPr>
          </w:p>
          <w:p w:rsidR="008C6BDB" w:rsidRPr="00B34E9C" w:rsidRDefault="008C6BDB">
            <w:pPr>
              <w:pStyle w:val="NoSpacing"/>
              <w:rPr>
                <w:rFonts w:ascii="Times New Roman" w:hAnsi="Times New Roman" w:cs="Times New Roman"/>
                <w:color w:val="4F81BD"/>
              </w:rPr>
            </w:pPr>
          </w:p>
        </w:tc>
      </w:tr>
    </w:tbl>
    <w:p w:rsidR="008C6BDB" w:rsidRPr="00B34E9C" w:rsidRDefault="008C6BDB"/>
    <w:p w:rsidR="008C6BDB" w:rsidRPr="00B34E9C" w:rsidRDefault="008C6BDB">
      <w:pPr>
        <w:spacing w:after="200" w:line="276" w:lineRule="auto"/>
        <w:rPr>
          <w:b/>
          <w:bCs/>
          <w:kern w:val="32"/>
          <w:sz w:val="32"/>
          <w:szCs w:val="32"/>
        </w:rPr>
      </w:pPr>
      <w:r w:rsidRPr="00B34E9C">
        <w:br w:type="page"/>
      </w:r>
    </w:p>
    <w:p w:rsidR="008C6BDB" w:rsidRPr="00B34E9C" w:rsidRDefault="008C6BDB">
      <w:pPr>
        <w:pStyle w:val="TOCHeading"/>
        <w:rPr>
          <w:rFonts w:ascii="Times New Roman" w:eastAsia="MS Mincho" w:hAnsi="Times New Roman" w:cs="Times New Roman"/>
          <w:b w:val="0"/>
          <w:bCs w:val="0"/>
          <w:color w:val="auto"/>
          <w:sz w:val="24"/>
          <w:szCs w:val="24"/>
          <w:lang w:eastAsia="ja-JP"/>
        </w:rPr>
      </w:pPr>
    </w:p>
    <w:p w:rsidR="008C6BDB" w:rsidRPr="00B34E9C" w:rsidRDefault="00864DCF">
      <w:pPr>
        <w:pStyle w:val="TOCHeading"/>
        <w:rPr>
          <w:rFonts w:ascii="Times New Roman" w:hAnsi="Times New Roman" w:cs="Times New Roman"/>
          <w:color w:val="auto"/>
          <w:sz w:val="32"/>
          <w:szCs w:val="32"/>
        </w:rPr>
      </w:pPr>
      <w:r w:rsidRPr="00B34E9C">
        <w:rPr>
          <w:rFonts w:ascii="Times New Roman" w:hAnsi="Times New Roman" w:cs="Times New Roman"/>
          <w:color w:val="auto"/>
          <w:sz w:val="32"/>
          <w:szCs w:val="32"/>
        </w:rPr>
        <w:t>Table of Contents</w:t>
      </w:r>
    </w:p>
    <w:p w:rsidR="00E24391" w:rsidRPr="00B34E9C" w:rsidRDefault="00E24391">
      <w:pPr>
        <w:pStyle w:val="TOC1"/>
        <w:tabs>
          <w:tab w:val="right" w:leader="dot" w:pos="8630"/>
        </w:tabs>
        <w:rPr>
          <w:sz w:val="28"/>
          <w:szCs w:val="28"/>
        </w:rPr>
      </w:pPr>
    </w:p>
    <w:p w:rsidR="00E24391" w:rsidRPr="00B34E9C" w:rsidRDefault="00757789">
      <w:pPr>
        <w:pStyle w:val="TOC1"/>
        <w:tabs>
          <w:tab w:val="right" w:leader="dot" w:pos="8630"/>
        </w:tabs>
        <w:rPr>
          <w:rFonts w:eastAsiaTheme="minorEastAsia"/>
          <w:noProof/>
          <w:sz w:val="28"/>
          <w:szCs w:val="28"/>
          <w:lang w:eastAsia="en-US"/>
        </w:rPr>
      </w:pPr>
      <w:r w:rsidRPr="00B34E9C">
        <w:rPr>
          <w:sz w:val="28"/>
          <w:szCs w:val="28"/>
        </w:rPr>
        <w:fldChar w:fldCharType="begin"/>
      </w:r>
      <w:r w:rsidR="007765CC" w:rsidRPr="00B34E9C">
        <w:rPr>
          <w:sz w:val="28"/>
          <w:szCs w:val="28"/>
        </w:rPr>
        <w:instrText xml:space="preserve"> TOC \o "1-1" \h \z \u </w:instrText>
      </w:r>
      <w:r w:rsidRPr="00B34E9C">
        <w:rPr>
          <w:sz w:val="28"/>
          <w:szCs w:val="28"/>
        </w:rPr>
        <w:fldChar w:fldCharType="separate"/>
      </w:r>
      <w:hyperlink w:anchor="_Toc289064239" w:history="1">
        <w:r w:rsidR="00E24391" w:rsidRPr="00B34E9C">
          <w:rPr>
            <w:rStyle w:val="Hyperlink"/>
            <w:noProof/>
            <w:sz w:val="28"/>
            <w:szCs w:val="28"/>
          </w:rPr>
          <w:t>Introduction</w:t>
        </w:r>
        <w:r w:rsidR="00E24391" w:rsidRPr="00B34E9C">
          <w:rPr>
            <w:noProof/>
            <w:webHidden/>
            <w:sz w:val="28"/>
            <w:szCs w:val="28"/>
          </w:rPr>
          <w:tab/>
        </w:r>
        <w:r w:rsidRPr="00B34E9C">
          <w:rPr>
            <w:noProof/>
            <w:webHidden/>
            <w:sz w:val="28"/>
            <w:szCs w:val="28"/>
          </w:rPr>
          <w:fldChar w:fldCharType="begin"/>
        </w:r>
        <w:r w:rsidR="00E24391" w:rsidRPr="00B34E9C">
          <w:rPr>
            <w:noProof/>
            <w:webHidden/>
            <w:sz w:val="28"/>
            <w:szCs w:val="28"/>
          </w:rPr>
          <w:instrText xml:space="preserve"> PAGEREF _Toc289064239 \h </w:instrText>
        </w:r>
        <w:r w:rsidRPr="00B34E9C">
          <w:rPr>
            <w:noProof/>
            <w:webHidden/>
            <w:sz w:val="28"/>
            <w:szCs w:val="28"/>
          </w:rPr>
        </w:r>
        <w:r w:rsidRPr="00B34E9C">
          <w:rPr>
            <w:noProof/>
            <w:webHidden/>
            <w:sz w:val="28"/>
            <w:szCs w:val="28"/>
          </w:rPr>
          <w:fldChar w:fldCharType="separate"/>
        </w:r>
        <w:r w:rsidR="00F50C69">
          <w:rPr>
            <w:noProof/>
            <w:webHidden/>
            <w:sz w:val="28"/>
            <w:szCs w:val="28"/>
          </w:rPr>
          <w:t>4</w:t>
        </w:r>
        <w:r w:rsidRPr="00B34E9C">
          <w:rPr>
            <w:noProof/>
            <w:webHidden/>
            <w:sz w:val="28"/>
            <w:szCs w:val="28"/>
          </w:rPr>
          <w:fldChar w:fldCharType="end"/>
        </w:r>
      </w:hyperlink>
    </w:p>
    <w:p w:rsidR="00E24391" w:rsidRPr="00B34E9C" w:rsidRDefault="00757789">
      <w:pPr>
        <w:pStyle w:val="TOC1"/>
        <w:tabs>
          <w:tab w:val="right" w:leader="dot" w:pos="8630"/>
        </w:tabs>
        <w:rPr>
          <w:rFonts w:eastAsiaTheme="minorEastAsia"/>
          <w:noProof/>
          <w:sz w:val="28"/>
          <w:szCs w:val="28"/>
          <w:lang w:eastAsia="en-US"/>
        </w:rPr>
      </w:pPr>
      <w:hyperlink w:anchor="_Toc289064240" w:history="1">
        <w:r w:rsidR="00E24391" w:rsidRPr="00B34E9C">
          <w:rPr>
            <w:rStyle w:val="Hyperlink"/>
            <w:noProof/>
            <w:sz w:val="28"/>
            <w:szCs w:val="28"/>
          </w:rPr>
          <w:t>Advisory Group Meetings and Communications</w:t>
        </w:r>
        <w:r w:rsidR="00E24391" w:rsidRPr="00B34E9C">
          <w:rPr>
            <w:noProof/>
            <w:webHidden/>
            <w:sz w:val="28"/>
            <w:szCs w:val="28"/>
          </w:rPr>
          <w:tab/>
        </w:r>
        <w:r w:rsidRPr="00B34E9C">
          <w:rPr>
            <w:noProof/>
            <w:webHidden/>
            <w:sz w:val="28"/>
            <w:szCs w:val="28"/>
          </w:rPr>
          <w:fldChar w:fldCharType="begin"/>
        </w:r>
        <w:r w:rsidR="00E24391" w:rsidRPr="00B34E9C">
          <w:rPr>
            <w:noProof/>
            <w:webHidden/>
            <w:sz w:val="28"/>
            <w:szCs w:val="28"/>
          </w:rPr>
          <w:instrText xml:space="preserve"> PAGEREF _Toc289064240 \h </w:instrText>
        </w:r>
        <w:r w:rsidRPr="00B34E9C">
          <w:rPr>
            <w:noProof/>
            <w:webHidden/>
            <w:sz w:val="28"/>
            <w:szCs w:val="28"/>
          </w:rPr>
        </w:r>
        <w:r w:rsidRPr="00B34E9C">
          <w:rPr>
            <w:noProof/>
            <w:webHidden/>
            <w:sz w:val="28"/>
            <w:szCs w:val="28"/>
          </w:rPr>
          <w:fldChar w:fldCharType="separate"/>
        </w:r>
        <w:r w:rsidR="00F50C69">
          <w:rPr>
            <w:noProof/>
            <w:webHidden/>
            <w:sz w:val="28"/>
            <w:szCs w:val="28"/>
          </w:rPr>
          <w:t>5</w:t>
        </w:r>
        <w:r w:rsidRPr="00B34E9C">
          <w:rPr>
            <w:noProof/>
            <w:webHidden/>
            <w:sz w:val="28"/>
            <w:szCs w:val="28"/>
          </w:rPr>
          <w:fldChar w:fldCharType="end"/>
        </w:r>
      </w:hyperlink>
    </w:p>
    <w:p w:rsidR="00E24391" w:rsidRPr="00B34E9C" w:rsidRDefault="00757789">
      <w:pPr>
        <w:pStyle w:val="TOC1"/>
        <w:tabs>
          <w:tab w:val="right" w:leader="dot" w:pos="8630"/>
        </w:tabs>
        <w:rPr>
          <w:rFonts w:eastAsiaTheme="minorEastAsia"/>
          <w:noProof/>
          <w:sz w:val="28"/>
          <w:szCs w:val="28"/>
          <w:lang w:eastAsia="en-US"/>
        </w:rPr>
      </w:pPr>
      <w:hyperlink w:anchor="_Toc289064241" w:history="1">
        <w:r w:rsidR="00E24391" w:rsidRPr="00B34E9C">
          <w:rPr>
            <w:rStyle w:val="Hyperlink"/>
            <w:noProof/>
            <w:sz w:val="28"/>
            <w:szCs w:val="28"/>
          </w:rPr>
          <w:t>D</w:t>
        </w:r>
        <w:r w:rsidR="00B15B2E">
          <w:rPr>
            <w:rStyle w:val="Hyperlink"/>
            <w:noProof/>
            <w:sz w:val="28"/>
            <w:szCs w:val="28"/>
          </w:rPr>
          <w:t xml:space="preserve">emand-side Management </w:t>
        </w:r>
        <w:r w:rsidR="00E24391" w:rsidRPr="00B34E9C">
          <w:rPr>
            <w:rStyle w:val="Hyperlink"/>
            <w:noProof/>
            <w:sz w:val="28"/>
            <w:szCs w:val="28"/>
          </w:rPr>
          <w:t>Filings</w:t>
        </w:r>
        <w:r w:rsidR="00E24391" w:rsidRPr="00B34E9C">
          <w:rPr>
            <w:noProof/>
            <w:webHidden/>
            <w:sz w:val="28"/>
            <w:szCs w:val="28"/>
          </w:rPr>
          <w:tab/>
        </w:r>
        <w:r w:rsidR="00A54217" w:rsidRPr="00B34E9C">
          <w:rPr>
            <w:noProof/>
            <w:webHidden/>
            <w:sz w:val="28"/>
            <w:szCs w:val="28"/>
          </w:rPr>
          <w:t>6</w:t>
        </w:r>
      </w:hyperlink>
    </w:p>
    <w:p w:rsidR="00E24391" w:rsidRPr="00B34E9C" w:rsidRDefault="00757789">
      <w:pPr>
        <w:pStyle w:val="TOC1"/>
        <w:tabs>
          <w:tab w:val="right" w:leader="dot" w:pos="8630"/>
        </w:tabs>
        <w:rPr>
          <w:rFonts w:eastAsiaTheme="minorEastAsia"/>
          <w:noProof/>
          <w:sz w:val="28"/>
          <w:szCs w:val="28"/>
          <w:lang w:eastAsia="en-US"/>
        </w:rPr>
      </w:pPr>
      <w:hyperlink w:anchor="_Toc289064242" w:history="1">
        <w:r w:rsidR="00E24391" w:rsidRPr="00B34E9C">
          <w:rPr>
            <w:rStyle w:val="Hyperlink"/>
            <w:noProof/>
            <w:sz w:val="28"/>
            <w:szCs w:val="28"/>
          </w:rPr>
          <w:t>2010 Performance and Activity</w:t>
        </w:r>
        <w:r w:rsidR="00E24391" w:rsidRPr="00B34E9C">
          <w:rPr>
            <w:noProof/>
            <w:webHidden/>
            <w:sz w:val="28"/>
            <w:szCs w:val="28"/>
          </w:rPr>
          <w:tab/>
        </w:r>
        <w:r w:rsidRPr="00B34E9C">
          <w:rPr>
            <w:noProof/>
            <w:webHidden/>
            <w:sz w:val="28"/>
            <w:szCs w:val="28"/>
          </w:rPr>
          <w:fldChar w:fldCharType="begin"/>
        </w:r>
        <w:r w:rsidR="00E24391" w:rsidRPr="00B34E9C">
          <w:rPr>
            <w:noProof/>
            <w:webHidden/>
            <w:sz w:val="28"/>
            <w:szCs w:val="28"/>
          </w:rPr>
          <w:instrText xml:space="preserve"> PAGEREF _Toc289064242 \h </w:instrText>
        </w:r>
        <w:r w:rsidRPr="00B34E9C">
          <w:rPr>
            <w:noProof/>
            <w:webHidden/>
            <w:sz w:val="28"/>
            <w:szCs w:val="28"/>
          </w:rPr>
        </w:r>
        <w:r w:rsidRPr="00B34E9C">
          <w:rPr>
            <w:noProof/>
            <w:webHidden/>
            <w:sz w:val="28"/>
            <w:szCs w:val="28"/>
          </w:rPr>
          <w:fldChar w:fldCharType="separate"/>
        </w:r>
        <w:r w:rsidR="00F50C69">
          <w:rPr>
            <w:noProof/>
            <w:webHidden/>
            <w:sz w:val="28"/>
            <w:szCs w:val="28"/>
          </w:rPr>
          <w:t>7</w:t>
        </w:r>
        <w:r w:rsidRPr="00B34E9C">
          <w:rPr>
            <w:noProof/>
            <w:webHidden/>
            <w:sz w:val="28"/>
            <w:szCs w:val="28"/>
          </w:rPr>
          <w:fldChar w:fldCharType="end"/>
        </w:r>
      </w:hyperlink>
    </w:p>
    <w:p w:rsidR="00E24391" w:rsidRPr="00B34E9C" w:rsidRDefault="00757789">
      <w:pPr>
        <w:pStyle w:val="TOC1"/>
        <w:tabs>
          <w:tab w:val="right" w:leader="dot" w:pos="8630"/>
        </w:tabs>
        <w:rPr>
          <w:rFonts w:eastAsiaTheme="minorEastAsia"/>
          <w:noProof/>
          <w:sz w:val="28"/>
          <w:szCs w:val="28"/>
          <w:lang w:eastAsia="en-US"/>
        </w:rPr>
      </w:pPr>
      <w:hyperlink w:anchor="_Toc289064243" w:history="1">
        <w:r w:rsidR="00E24391" w:rsidRPr="00B34E9C">
          <w:rPr>
            <w:rStyle w:val="Hyperlink"/>
            <w:noProof/>
            <w:sz w:val="28"/>
            <w:szCs w:val="28"/>
          </w:rPr>
          <w:t>2010 Business Plan Budget compared to Actual</w:t>
        </w:r>
        <w:r w:rsidR="00E24391" w:rsidRPr="00B34E9C">
          <w:rPr>
            <w:noProof/>
            <w:webHidden/>
            <w:sz w:val="28"/>
            <w:szCs w:val="28"/>
          </w:rPr>
          <w:tab/>
        </w:r>
        <w:r w:rsidRPr="00B34E9C">
          <w:rPr>
            <w:noProof/>
            <w:webHidden/>
            <w:sz w:val="28"/>
            <w:szCs w:val="28"/>
          </w:rPr>
          <w:fldChar w:fldCharType="begin"/>
        </w:r>
        <w:r w:rsidR="00E24391" w:rsidRPr="00B34E9C">
          <w:rPr>
            <w:noProof/>
            <w:webHidden/>
            <w:sz w:val="28"/>
            <w:szCs w:val="28"/>
          </w:rPr>
          <w:instrText xml:space="preserve"> PAGEREF _Toc289064243 \h </w:instrText>
        </w:r>
        <w:r w:rsidRPr="00B34E9C">
          <w:rPr>
            <w:noProof/>
            <w:webHidden/>
            <w:sz w:val="28"/>
            <w:szCs w:val="28"/>
          </w:rPr>
        </w:r>
        <w:r w:rsidRPr="00B34E9C">
          <w:rPr>
            <w:noProof/>
            <w:webHidden/>
            <w:sz w:val="28"/>
            <w:szCs w:val="28"/>
          </w:rPr>
          <w:fldChar w:fldCharType="separate"/>
        </w:r>
        <w:r w:rsidR="00F50C69">
          <w:rPr>
            <w:noProof/>
            <w:webHidden/>
            <w:sz w:val="28"/>
            <w:szCs w:val="28"/>
          </w:rPr>
          <w:t>9</w:t>
        </w:r>
        <w:r w:rsidRPr="00B34E9C">
          <w:rPr>
            <w:noProof/>
            <w:webHidden/>
            <w:sz w:val="28"/>
            <w:szCs w:val="28"/>
          </w:rPr>
          <w:fldChar w:fldCharType="end"/>
        </w:r>
      </w:hyperlink>
    </w:p>
    <w:p w:rsidR="00E24391" w:rsidRPr="00B34E9C" w:rsidRDefault="00757789">
      <w:pPr>
        <w:pStyle w:val="TOC1"/>
        <w:tabs>
          <w:tab w:val="right" w:leader="dot" w:pos="8630"/>
        </w:tabs>
        <w:rPr>
          <w:rFonts w:eastAsiaTheme="minorEastAsia"/>
          <w:noProof/>
          <w:sz w:val="28"/>
          <w:szCs w:val="28"/>
          <w:lang w:eastAsia="en-US"/>
        </w:rPr>
      </w:pPr>
      <w:hyperlink w:anchor="_Toc289064244" w:history="1">
        <w:r w:rsidR="00E24391" w:rsidRPr="00B34E9C">
          <w:rPr>
            <w:rStyle w:val="Hyperlink"/>
            <w:noProof/>
            <w:sz w:val="28"/>
            <w:szCs w:val="28"/>
          </w:rPr>
          <w:t>Residential Energy Efficiency Programs and Activity</w:t>
        </w:r>
        <w:r w:rsidR="00E24391" w:rsidRPr="00B34E9C">
          <w:rPr>
            <w:noProof/>
            <w:webHidden/>
            <w:sz w:val="28"/>
            <w:szCs w:val="28"/>
          </w:rPr>
          <w:tab/>
        </w:r>
        <w:r w:rsidRPr="00B34E9C">
          <w:rPr>
            <w:noProof/>
            <w:webHidden/>
            <w:sz w:val="28"/>
            <w:szCs w:val="28"/>
          </w:rPr>
          <w:fldChar w:fldCharType="begin"/>
        </w:r>
        <w:r w:rsidR="00E24391" w:rsidRPr="00B34E9C">
          <w:rPr>
            <w:noProof/>
            <w:webHidden/>
            <w:sz w:val="28"/>
            <w:szCs w:val="28"/>
          </w:rPr>
          <w:instrText xml:space="preserve"> PAGEREF _Toc289064244 \h </w:instrText>
        </w:r>
        <w:r w:rsidRPr="00B34E9C">
          <w:rPr>
            <w:noProof/>
            <w:webHidden/>
            <w:sz w:val="28"/>
            <w:szCs w:val="28"/>
          </w:rPr>
        </w:r>
        <w:r w:rsidRPr="00B34E9C">
          <w:rPr>
            <w:noProof/>
            <w:webHidden/>
            <w:sz w:val="28"/>
            <w:szCs w:val="28"/>
          </w:rPr>
          <w:fldChar w:fldCharType="separate"/>
        </w:r>
        <w:r w:rsidR="00F50C69">
          <w:rPr>
            <w:noProof/>
            <w:webHidden/>
            <w:sz w:val="28"/>
            <w:szCs w:val="28"/>
          </w:rPr>
          <w:t>10</w:t>
        </w:r>
        <w:r w:rsidRPr="00B34E9C">
          <w:rPr>
            <w:noProof/>
            <w:webHidden/>
            <w:sz w:val="28"/>
            <w:szCs w:val="28"/>
          </w:rPr>
          <w:fldChar w:fldCharType="end"/>
        </w:r>
      </w:hyperlink>
    </w:p>
    <w:p w:rsidR="00E24391" w:rsidRPr="00B34E9C" w:rsidRDefault="00757789">
      <w:pPr>
        <w:pStyle w:val="TOC1"/>
        <w:tabs>
          <w:tab w:val="right" w:leader="dot" w:pos="8630"/>
        </w:tabs>
        <w:rPr>
          <w:rFonts w:eastAsiaTheme="minorEastAsia"/>
          <w:noProof/>
          <w:sz w:val="28"/>
          <w:szCs w:val="28"/>
          <w:lang w:eastAsia="en-US"/>
        </w:rPr>
      </w:pPr>
      <w:hyperlink w:anchor="_Toc289064245" w:history="1">
        <w:r w:rsidR="00E24391" w:rsidRPr="00B34E9C">
          <w:rPr>
            <w:rStyle w:val="Hyperlink"/>
            <w:noProof/>
            <w:sz w:val="28"/>
            <w:szCs w:val="28"/>
          </w:rPr>
          <w:t>Non-Residential Energy Efficiency Programs and Activity</w:t>
        </w:r>
        <w:r w:rsidR="00E24391" w:rsidRPr="00B34E9C">
          <w:rPr>
            <w:noProof/>
            <w:webHidden/>
            <w:sz w:val="28"/>
            <w:szCs w:val="28"/>
          </w:rPr>
          <w:tab/>
        </w:r>
        <w:r w:rsidR="00A54217" w:rsidRPr="00B34E9C">
          <w:rPr>
            <w:noProof/>
            <w:webHidden/>
            <w:sz w:val="28"/>
            <w:szCs w:val="28"/>
          </w:rPr>
          <w:t>18</w:t>
        </w:r>
      </w:hyperlink>
    </w:p>
    <w:p w:rsidR="00E24391" w:rsidRPr="00B34E9C" w:rsidRDefault="00757789">
      <w:pPr>
        <w:pStyle w:val="TOC1"/>
        <w:tabs>
          <w:tab w:val="right" w:leader="dot" w:pos="8630"/>
        </w:tabs>
        <w:rPr>
          <w:rFonts w:eastAsiaTheme="minorEastAsia"/>
          <w:noProof/>
          <w:sz w:val="28"/>
          <w:szCs w:val="28"/>
          <w:lang w:eastAsia="en-US"/>
        </w:rPr>
      </w:pPr>
      <w:hyperlink w:anchor="_Toc289064246" w:history="1">
        <w:r w:rsidR="00E24391" w:rsidRPr="00B34E9C">
          <w:rPr>
            <w:rStyle w:val="Hyperlink"/>
            <w:noProof/>
            <w:sz w:val="28"/>
            <w:szCs w:val="28"/>
          </w:rPr>
          <w:t>Overall Portfolio Expenditures and Results:</w:t>
        </w:r>
        <w:r w:rsidR="00E24391" w:rsidRPr="00B34E9C">
          <w:rPr>
            <w:noProof/>
            <w:webHidden/>
            <w:sz w:val="28"/>
            <w:szCs w:val="28"/>
          </w:rPr>
          <w:tab/>
        </w:r>
        <w:r w:rsidR="00AF4078">
          <w:rPr>
            <w:noProof/>
            <w:webHidden/>
            <w:sz w:val="28"/>
            <w:szCs w:val="28"/>
          </w:rPr>
          <w:t>25</w:t>
        </w:r>
      </w:hyperlink>
    </w:p>
    <w:p w:rsidR="00E24391" w:rsidRPr="00B34E9C" w:rsidRDefault="00757789">
      <w:pPr>
        <w:pStyle w:val="TOC1"/>
        <w:tabs>
          <w:tab w:val="right" w:leader="dot" w:pos="8630"/>
        </w:tabs>
        <w:rPr>
          <w:rFonts w:eastAsiaTheme="minorEastAsia"/>
          <w:noProof/>
          <w:sz w:val="28"/>
          <w:szCs w:val="28"/>
          <w:lang w:eastAsia="en-US"/>
        </w:rPr>
      </w:pPr>
      <w:hyperlink w:anchor="_Toc289064247" w:history="1">
        <w:r w:rsidR="00E24391" w:rsidRPr="00B34E9C">
          <w:rPr>
            <w:rStyle w:val="Hyperlink"/>
            <w:noProof/>
            <w:sz w:val="28"/>
            <w:szCs w:val="28"/>
          </w:rPr>
          <w:t>System Benefit Charge Balancing Account Summary</w:t>
        </w:r>
        <w:r w:rsidR="00E24391" w:rsidRPr="00B34E9C">
          <w:rPr>
            <w:noProof/>
            <w:webHidden/>
            <w:sz w:val="28"/>
            <w:szCs w:val="28"/>
          </w:rPr>
          <w:tab/>
        </w:r>
        <w:r w:rsidR="00AF4078">
          <w:rPr>
            <w:noProof/>
            <w:webHidden/>
            <w:sz w:val="28"/>
            <w:szCs w:val="28"/>
          </w:rPr>
          <w:t>26</w:t>
        </w:r>
      </w:hyperlink>
    </w:p>
    <w:p w:rsidR="00E24391" w:rsidRPr="00B34E9C" w:rsidRDefault="00757789">
      <w:pPr>
        <w:pStyle w:val="TOC1"/>
        <w:tabs>
          <w:tab w:val="right" w:leader="dot" w:pos="8630"/>
        </w:tabs>
        <w:rPr>
          <w:rFonts w:eastAsiaTheme="minorEastAsia"/>
          <w:noProof/>
          <w:sz w:val="28"/>
          <w:szCs w:val="28"/>
          <w:lang w:eastAsia="en-US"/>
        </w:rPr>
      </w:pPr>
      <w:hyperlink w:anchor="_Toc289064248" w:history="1">
        <w:r w:rsidR="00E24391" w:rsidRPr="00B34E9C">
          <w:rPr>
            <w:rStyle w:val="Hyperlink"/>
            <w:noProof/>
            <w:sz w:val="28"/>
            <w:szCs w:val="28"/>
          </w:rPr>
          <w:t>Cost Effectiveness</w:t>
        </w:r>
        <w:r w:rsidR="00E24391" w:rsidRPr="00B34E9C">
          <w:rPr>
            <w:noProof/>
            <w:webHidden/>
            <w:sz w:val="28"/>
            <w:szCs w:val="28"/>
          </w:rPr>
          <w:tab/>
        </w:r>
        <w:r w:rsidR="00AF4078">
          <w:rPr>
            <w:noProof/>
            <w:webHidden/>
            <w:sz w:val="28"/>
            <w:szCs w:val="28"/>
          </w:rPr>
          <w:t>28</w:t>
        </w:r>
      </w:hyperlink>
    </w:p>
    <w:p w:rsidR="00E24391" w:rsidRPr="00B34E9C" w:rsidRDefault="00757789">
      <w:pPr>
        <w:pStyle w:val="TOC1"/>
        <w:tabs>
          <w:tab w:val="right" w:leader="dot" w:pos="8630"/>
        </w:tabs>
        <w:rPr>
          <w:rFonts w:eastAsiaTheme="minorEastAsia"/>
          <w:noProof/>
          <w:sz w:val="22"/>
          <w:szCs w:val="22"/>
          <w:lang w:eastAsia="en-US"/>
        </w:rPr>
      </w:pPr>
      <w:hyperlink w:anchor="_Toc289064249" w:history="1">
        <w:r w:rsidR="00E24391" w:rsidRPr="00B34E9C">
          <w:rPr>
            <w:rStyle w:val="Hyperlink"/>
            <w:noProof/>
            <w:sz w:val="28"/>
            <w:szCs w:val="28"/>
          </w:rPr>
          <w:t>Appendices:</w:t>
        </w:r>
        <w:r w:rsidR="00E24391" w:rsidRPr="00B34E9C">
          <w:rPr>
            <w:noProof/>
            <w:webHidden/>
            <w:sz w:val="28"/>
            <w:szCs w:val="28"/>
          </w:rPr>
          <w:tab/>
        </w:r>
        <w:r w:rsidR="00AF4078">
          <w:rPr>
            <w:noProof/>
            <w:webHidden/>
            <w:sz w:val="28"/>
            <w:szCs w:val="28"/>
          </w:rPr>
          <w:t>30</w:t>
        </w:r>
      </w:hyperlink>
    </w:p>
    <w:p w:rsidR="007765CC" w:rsidRPr="00B34E9C" w:rsidRDefault="00757789" w:rsidP="007765CC">
      <w:pPr>
        <w:rPr>
          <w:sz w:val="28"/>
          <w:szCs w:val="28"/>
        </w:rPr>
      </w:pPr>
      <w:r w:rsidRPr="00B34E9C">
        <w:rPr>
          <w:sz w:val="28"/>
          <w:szCs w:val="28"/>
        </w:rPr>
        <w:fldChar w:fldCharType="end"/>
      </w: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7765CC" w:rsidRPr="00B34E9C" w:rsidRDefault="007765CC" w:rsidP="007765CC">
      <w:pPr>
        <w:rPr>
          <w:sz w:val="28"/>
          <w:szCs w:val="28"/>
        </w:rPr>
      </w:pPr>
    </w:p>
    <w:p w:rsidR="00E24391" w:rsidRPr="00B34E9C" w:rsidRDefault="00E24391" w:rsidP="007765CC">
      <w:pPr>
        <w:rPr>
          <w:b/>
          <w:sz w:val="36"/>
          <w:szCs w:val="36"/>
        </w:rPr>
      </w:pPr>
    </w:p>
    <w:p w:rsidR="007765CC" w:rsidRPr="00B34E9C" w:rsidRDefault="00864DCF" w:rsidP="00594CCE">
      <w:pPr>
        <w:rPr>
          <w:b/>
          <w:sz w:val="32"/>
          <w:szCs w:val="32"/>
        </w:rPr>
      </w:pPr>
      <w:r w:rsidRPr="00B34E9C">
        <w:rPr>
          <w:b/>
          <w:sz w:val="32"/>
          <w:szCs w:val="32"/>
        </w:rPr>
        <w:lastRenderedPageBreak/>
        <w:t>Table of Tables</w:t>
      </w:r>
    </w:p>
    <w:p w:rsidR="007765CC" w:rsidRPr="00B34E9C" w:rsidRDefault="007765CC" w:rsidP="007765CC">
      <w:pPr>
        <w:rPr>
          <w:lang w:eastAsia="en-US"/>
        </w:rPr>
      </w:pPr>
    </w:p>
    <w:p w:rsidR="00064106" w:rsidRPr="00B34E9C" w:rsidRDefault="00064106" w:rsidP="007765CC">
      <w:pPr>
        <w:pStyle w:val="TOC1"/>
        <w:tabs>
          <w:tab w:val="right" w:leader="dot" w:pos="8630"/>
        </w:tabs>
      </w:pPr>
    </w:p>
    <w:p w:rsidR="007765CC" w:rsidRPr="00B34E9C" w:rsidRDefault="00757789" w:rsidP="007765CC">
      <w:pPr>
        <w:pStyle w:val="TOC1"/>
        <w:tabs>
          <w:tab w:val="right" w:leader="dot" w:pos="8630"/>
        </w:tabs>
        <w:rPr>
          <w:rFonts w:eastAsiaTheme="minorEastAsia"/>
          <w:noProof/>
          <w:sz w:val="28"/>
          <w:szCs w:val="28"/>
          <w:lang w:eastAsia="en-US"/>
        </w:rPr>
      </w:pPr>
      <w:hyperlink w:anchor="_Toc288484120" w:history="1">
        <w:r w:rsidR="00C81E4D" w:rsidRPr="00B34E9C">
          <w:rPr>
            <w:rStyle w:val="Hyperlink"/>
            <w:noProof/>
            <w:color w:val="auto"/>
            <w:sz w:val="28"/>
            <w:szCs w:val="28"/>
            <w:u w:val="none"/>
          </w:rPr>
          <w:t>Table 1:  2010 Total Portfolio Performance</w:t>
        </w:r>
        <w:r w:rsidR="007765CC" w:rsidRPr="00B34E9C">
          <w:rPr>
            <w:noProof/>
            <w:webHidden/>
            <w:sz w:val="28"/>
            <w:szCs w:val="28"/>
          </w:rPr>
          <w:tab/>
        </w:r>
        <w:r w:rsidR="00C81E4D" w:rsidRPr="00B34E9C">
          <w:rPr>
            <w:noProof/>
            <w:webHidden/>
            <w:sz w:val="28"/>
            <w:szCs w:val="28"/>
          </w:rPr>
          <w:t>4</w:t>
        </w:r>
      </w:hyperlink>
    </w:p>
    <w:p w:rsidR="007765CC" w:rsidRPr="00B34E9C" w:rsidRDefault="00757789" w:rsidP="007765CC">
      <w:pPr>
        <w:pStyle w:val="TOC1"/>
        <w:tabs>
          <w:tab w:val="right" w:leader="dot" w:pos="8630"/>
        </w:tabs>
        <w:rPr>
          <w:rFonts w:eastAsiaTheme="minorEastAsia"/>
          <w:noProof/>
          <w:sz w:val="28"/>
          <w:szCs w:val="28"/>
          <w:lang w:eastAsia="en-US"/>
        </w:rPr>
      </w:pPr>
      <w:hyperlink w:anchor="_Toc288484121" w:history="1">
        <w:r w:rsidR="00C81E4D" w:rsidRPr="00B34E9C">
          <w:rPr>
            <w:rStyle w:val="Hyperlink"/>
            <w:noProof/>
            <w:color w:val="auto"/>
            <w:sz w:val="28"/>
            <w:szCs w:val="28"/>
            <w:u w:val="none"/>
          </w:rPr>
          <w:t>Table 2:  2010 Performance and Activity</w:t>
        </w:r>
        <w:r w:rsidR="007765CC" w:rsidRPr="00B34E9C">
          <w:rPr>
            <w:noProof/>
            <w:webHidden/>
            <w:sz w:val="28"/>
            <w:szCs w:val="28"/>
          </w:rPr>
          <w:tab/>
        </w:r>
        <w:r w:rsidR="005003A0" w:rsidRPr="00B34E9C">
          <w:rPr>
            <w:noProof/>
            <w:webHidden/>
            <w:sz w:val="28"/>
            <w:szCs w:val="28"/>
          </w:rPr>
          <w:t>7</w:t>
        </w:r>
      </w:hyperlink>
    </w:p>
    <w:p w:rsidR="007765CC" w:rsidRPr="00B34E9C" w:rsidRDefault="00C81E4D" w:rsidP="007765CC">
      <w:pPr>
        <w:pStyle w:val="TOC1"/>
        <w:tabs>
          <w:tab w:val="right" w:leader="dot" w:pos="8630"/>
        </w:tabs>
        <w:rPr>
          <w:rFonts w:eastAsiaTheme="minorEastAsia"/>
          <w:noProof/>
          <w:sz w:val="28"/>
          <w:szCs w:val="28"/>
          <w:lang w:eastAsia="en-US"/>
        </w:rPr>
      </w:pPr>
      <w:r w:rsidRPr="00B34E9C">
        <w:rPr>
          <w:rStyle w:val="Hyperlink"/>
          <w:noProof/>
          <w:color w:val="auto"/>
          <w:sz w:val="28"/>
          <w:szCs w:val="28"/>
          <w:u w:val="none"/>
        </w:rPr>
        <w:t>Table 3:  Washington Budget compared to Actual</w:t>
      </w:r>
      <w:hyperlink w:anchor="_Toc288484122" w:history="1">
        <w:r w:rsidR="007765CC" w:rsidRPr="00B34E9C">
          <w:rPr>
            <w:noProof/>
            <w:webHidden/>
            <w:sz w:val="28"/>
            <w:szCs w:val="28"/>
          </w:rPr>
          <w:tab/>
        </w:r>
        <w:r w:rsidR="005003A0" w:rsidRPr="00B34E9C">
          <w:rPr>
            <w:noProof/>
            <w:webHidden/>
            <w:sz w:val="28"/>
            <w:szCs w:val="28"/>
          </w:rPr>
          <w:t>9</w:t>
        </w:r>
      </w:hyperlink>
    </w:p>
    <w:p w:rsidR="007765CC" w:rsidRPr="00B34E9C" w:rsidRDefault="00C81E4D" w:rsidP="007765CC">
      <w:pPr>
        <w:pStyle w:val="TOC1"/>
        <w:tabs>
          <w:tab w:val="right" w:leader="dot" w:pos="8630"/>
        </w:tabs>
        <w:rPr>
          <w:rFonts w:eastAsiaTheme="minorEastAsia"/>
          <w:noProof/>
          <w:sz w:val="28"/>
          <w:szCs w:val="28"/>
          <w:lang w:eastAsia="en-US"/>
        </w:rPr>
      </w:pPr>
      <w:r w:rsidRPr="00B34E9C">
        <w:rPr>
          <w:rStyle w:val="Hyperlink"/>
          <w:noProof/>
          <w:color w:val="auto"/>
          <w:sz w:val="28"/>
          <w:szCs w:val="28"/>
          <w:u w:val="none"/>
        </w:rPr>
        <w:t xml:space="preserve">Table 4:  </w:t>
      </w:r>
      <w:hyperlink w:anchor="_Toc288484123" w:history="1">
        <w:r w:rsidRPr="00B34E9C">
          <w:rPr>
            <w:rStyle w:val="Hyperlink"/>
            <w:noProof/>
            <w:color w:val="auto"/>
            <w:sz w:val="28"/>
            <w:szCs w:val="28"/>
            <w:u w:val="none"/>
          </w:rPr>
          <w:t>2010 Home Energy Savings Program Performance</w:t>
        </w:r>
        <w:r w:rsidR="007765CC" w:rsidRPr="00B34E9C">
          <w:rPr>
            <w:noProof/>
            <w:webHidden/>
            <w:sz w:val="28"/>
            <w:szCs w:val="28"/>
          </w:rPr>
          <w:tab/>
        </w:r>
        <w:r w:rsidR="005003A0" w:rsidRPr="00B34E9C">
          <w:rPr>
            <w:noProof/>
            <w:webHidden/>
            <w:sz w:val="28"/>
            <w:szCs w:val="28"/>
          </w:rPr>
          <w:t>10</w:t>
        </w:r>
      </w:hyperlink>
    </w:p>
    <w:p w:rsidR="007765CC" w:rsidRPr="00B34E9C" w:rsidRDefault="00C81E4D" w:rsidP="007765CC">
      <w:pPr>
        <w:pStyle w:val="TOC1"/>
        <w:tabs>
          <w:tab w:val="right" w:leader="dot" w:pos="8630"/>
        </w:tabs>
        <w:rPr>
          <w:rFonts w:eastAsiaTheme="minorEastAsia"/>
          <w:noProof/>
          <w:sz w:val="28"/>
          <w:szCs w:val="28"/>
          <w:lang w:eastAsia="en-US"/>
        </w:rPr>
      </w:pPr>
      <w:r w:rsidRPr="00B34E9C">
        <w:rPr>
          <w:rStyle w:val="Hyperlink"/>
          <w:noProof/>
          <w:color w:val="auto"/>
          <w:sz w:val="28"/>
          <w:szCs w:val="28"/>
          <w:u w:val="none"/>
        </w:rPr>
        <w:t xml:space="preserve">Table 5:  </w:t>
      </w:r>
      <w:hyperlink w:anchor="_Toc288484124" w:history="1">
        <w:r w:rsidRPr="00B34E9C">
          <w:rPr>
            <w:rStyle w:val="Hyperlink"/>
            <w:noProof/>
            <w:color w:val="auto"/>
            <w:sz w:val="28"/>
            <w:szCs w:val="28"/>
            <w:u w:val="none"/>
          </w:rPr>
          <w:t>2010 Home Energy Savings Measure Performance</w:t>
        </w:r>
        <w:r w:rsidR="007765CC" w:rsidRPr="00B34E9C">
          <w:rPr>
            <w:noProof/>
            <w:webHidden/>
            <w:sz w:val="28"/>
            <w:szCs w:val="28"/>
          </w:rPr>
          <w:tab/>
        </w:r>
        <w:r w:rsidR="005003A0" w:rsidRPr="00B34E9C">
          <w:rPr>
            <w:noProof/>
            <w:webHidden/>
            <w:sz w:val="28"/>
            <w:szCs w:val="28"/>
          </w:rPr>
          <w:t>11</w:t>
        </w:r>
      </w:hyperlink>
    </w:p>
    <w:p w:rsidR="007765CC" w:rsidRPr="00B34E9C" w:rsidRDefault="00C81E4D" w:rsidP="007765CC">
      <w:pPr>
        <w:pStyle w:val="TOC1"/>
        <w:tabs>
          <w:tab w:val="right" w:leader="dot" w:pos="8630"/>
        </w:tabs>
        <w:rPr>
          <w:rFonts w:eastAsiaTheme="minorEastAsia"/>
          <w:noProof/>
          <w:sz w:val="28"/>
          <w:szCs w:val="28"/>
          <w:lang w:eastAsia="en-US"/>
        </w:rPr>
      </w:pPr>
      <w:r w:rsidRPr="00B34E9C">
        <w:rPr>
          <w:rStyle w:val="Hyperlink"/>
          <w:noProof/>
          <w:color w:val="auto"/>
          <w:sz w:val="28"/>
          <w:szCs w:val="28"/>
          <w:u w:val="none"/>
        </w:rPr>
        <w:t xml:space="preserve">Table 6:  </w:t>
      </w:r>
      <w:hyperlink w:anchor="_Toc288484125" w:history="1">
        <w:r w:rsidRPr="00B34E9C">
          <w:rPr>
            <w:rStyle w:val="Hyperlink"/>
            <w:noProof/>
            <w:color w:val="auto"/>
            <w:sz w:val="28"/>
            <w:szCs w:val="28"/>
            <w:u w:val="none"/>
          </w:rPr>
          <w:t xml:space="preserve">2010 </w:t>
        </w:r>
        <w:r w:rsidR="00A559BF" w:rsidRPr="00B34E9C">
          <w:rPr>
            <w:rStyle w:val="Hyperlink"/>
            <w:noProof/>
            <w:color w:val="auto"/>
            <w:sz w:val="28"/>
            <w:szCs w:val="28"/>
            <w:u w:val="none"/>
          </w:rPr>
          <w:t>See ya later, refrigerator®</w:t>
        </w:r>
        <w:r w:rsidRPr="00B34E9C">
          <w:rPr>
            <w:rStyle w:val="Hyperlink"/>
            <w:noProof/>
            <w:color w:val="auto"/>
            <w:sz w:val="28"/>
            <w:szCs w:val="28"/>
            <w:u w:val="none"/>
          </w:rPr>
          <w:t xml:space="preserve"> Program Performance</w:t>
        </w:r>
        <w:r w:rsidR="007765CC" w:rsidRPr="00B34E9C">
          <w:rPr>
            <w:noProof/>
            <w:webHidden/>
            <w:sz w:val="28"/>
            <w:szCs w:val="28"/>
          </w:rPr>
          <w:tab/>
        </w:r>
        <w:r w:rsidR="005003A0" w:rsidRPr="00B34E9C">
          <w:rPr>
            <w:noProof/>
            <w:webHidden/>
            <w:sz w:val="28"/>
            <w:szCs w:val="28"/>
          </w:rPr>
          <w:t>13</w:t>
        </w:r>
      </w:hyperlink>
    </w:p>
    <w:p w:rsidR="007765CC" w:rsidRPr="00B34E9C" w:rsidRDefault="00757789" w:rsidP="007765CC">
      <w:pPr>
        <w:pStyle w:val="TOC1"/>
        <w:tabs>
          <w:tab w:val="right" w:leader="dot" w:pos="8630"/>
        </w:tabs>
        <w:rPr>
          <w:rFonts w:eastAsiaTheme="minorEastAsia"/>
          <w:noProof/>
          <w:sz w:val="28"/>
          <w:szCs w:val="28"/>
          <w:lang w:eastAsia="en-US"/>
        </w:rPr>
      </w:pPr>
      <w:hyperlink w:anchor="_Toc288484126" w:history="1">
        <w:r w:rsidR="00C81E4D" w:rsidRPr="00B34E9C">
          <w:rPr>
            <w:rStyle w:val="Hyperlink"/>
            <w:noProof/>
            <w:color w:val="auto"/>
            <w:sz w:val="28"/>
            <w:szCs w:val="28"/>
            <w:u w:val="none"/>
          </w:rPr>
          <w:t xml:space="preserve">Table 7:  </w:t>
        </w:r>
        <w:r w:rsidR="00A559BF" w:rsidRPr="00B34E9C">
          <w:rPr>
            <w:rStyle w:val="Hyperlink"/>
            <w:noProof/>
            <w:color w:val="auto"/>
            <w:sz w:val="28"/>
            <w:szCs w:val="28"/>
            <w:u w:val="none"/>
          </w:rPr>
          <w:t>See ya later, refrigerator®</w:t>
        </w:r>
        <w:r w:rsidR="00C81E4D" w:rsidRPr="00B34E9C">
          <w:rPr>
            <w:rStyle w:val="Hyperlink"/>
            <w:noProof/>
            <w:color w:val="auto"/>
            <w:sz w:val="28"/>
            <w:szCs w:val="28"/>
            <w:u w:val="none"/>
          </w:rPr>
          <w:t xml:space="preserve"> 2010 Results</w:t>
        </w:r>
        <w:r w:rsidR="007765CC" w:rsidRPr="00B34E9C">
          <w:rPr>
            <w:noProof/>
            <w:webHidden/>
            <w:sz w:val="28"/>
            <w:szCs w:val="28"/>
          </w:rPr>
          <w:tab/>
        </w:r>
        <w:r w:rsidR="005003A0" w:rsidRPr="00B34E9C">
          <w:rPr>
            <w:noProof/>
            <w:webHidden/>
            <w:sz w:val="28"/>
            <w:szCs w:val="28"/>
          </w:rPr>
          <w:t>13</w:t>
        </w:r>
      </w:hyperlink>
    </w:p>
    <w:p w:rsidR="007765CC" w:rsidRPr="00B34E9C" w:rsidRDefault="00757789" w:rsidP="007765CC">
      <w:pPr>
        <w:pStyle w:val="TOC1"/>
        <w:tabs>
          <w:tab w:val="right" w:leader="dot" w:pos="8630"/>
        </w:tabs>
        <w:rPr>
          <w:rFonts w:eastAsiaTheme="minorEastAsia"/>
          <w:noProof/>
          <w:sz w:val="28"/>
          <w:szCs w:val="28"/>
          <w:lang w:eastAsia="en-US"/>
        </w:rPr>
      </w:pPr>
      <w:hyperlink w:anchor="_Toc288484127" w:history="1">
        <w:r w:rsidR="00C81E4D" w:rsidRPr="00B34E9C">
          <w:rPr>
            <w:rStyle w:val="Hyperlink"/>
            <w:noProof/>
            <w:color w:val="auto"/>
            <w:sz w:val="28"/>
            <w:szCs w:val="28"/>
            <w:u w:val="none"/>
          </w:rPr>
          <w:t>Table 8</w:t>
        </w:r>
        <w:r w:rsidR="007765CC" w:rsidRPr="00B34E9C">
          <w:rPr>
            <w:rStyle w:val="Hyperlink"/>
            <w:noProof/>
            <w:color w:val="auto"/>
            <w:sz w:val="28"/>
            <w:szCs w:val="28"/>
            <w:u w:val="none"/>
          </w:rPr>
          <w:t>:</w:t>
        </w:r>
        <w:r w:rsidR="00C81E4D" w:rsidRPr="00B34E9C">
          <w:rPr>
            <w:rStyle w:val="Hyperlink"/>
            <w:noProof/>
            <w:color w:val="auto"/>
            <w:sz w:val="28"/>
            <w:szCs w:val="28"/>
            <w:u w:val="none"/>
          </w:rPr>
          <w:t xml:space="preserve">  Low Income Weatherization Performance</w:t>
        </w:r>
        <w:r w:rsidR="007765CC" w:rsidRPr="00B34E9C">
          <w:rPr>
            <w:noProof/>
            <w:webHidden/>
            <w:sz w:val="28"/>
            <w:szCs w:val="28"/>
          </w:rPr>
          <w:tab/>
        </w:r>
        <w:r w:rsidR="005003A0" w:rsidRPr="00B34E9C">
          <w:rPr>
            <w:noProof/>
            <w:webHidden/>
            <w:sz w:val="28"/>
            <w:szCs w:val="28"/>
          </w:rPr>
          <w:t>15</w:t>
        </w:r>
      </w:hyperlink>
    </w:p>
    <w:p w:rsidR="007765CC" w:rsidRPr="00B34E9C" w:rsidRDefault="00757789" w:rsidP="007765CC">
      <w:pPr>
        <w:pStyle w:val="TOC1"/>
        <w:tabs>
          <w:tab w:val="right" w:leader="dot" w:pos="8630"/>
        </w:tabs>
        <w:rPr>
          <w:rFonts w:eastAsiaTheme="minorEastAsia"/>
          <w:noProof/>
          <w:sz w:val="28"/>
          <w:szCs w:val="28"/>
          <w:lang w:eastAsia="en-US"/>
        </w:rPr>
      </w:pPr>
      <w:hyperlink w:anchor="_Toc288484128" w:history="1">
        <w:r w:rsidR="00C81E4D" w:rsidRPr="00B34E9C">
          <w:rPr>
            <w:rStyle w:val="Hyperlink"/>
            <w:noProof/>
            <w:color w:val="auto"/>
            <w:sz w:val="28"/>
            <w:szCs w:val="28"/>
            <w:u w:val="none"/>
          </w:rPr>
          <w:t>Table 9:  Energy Education Performance</w:t>
        </w:r>
        <w:r w:rsidR="007765CC" w:rsidRPr="00B34E9C">
          <w:rPr>
            <w:noProof/>
            <w:webHidden/>
            <w:sz w:val="28"/>
            <w:szCs w:val="28"/>
          </w:rPr>
          <w:tab/>
        </w:r>
        <w:r w:rsidR="005003A0" w:rsidRPr="00B34E9C">
          <w:rPr>
            <w:noProof/>
            <w:webHidden/>
            <w:sz w:val="28"/>
            <w:szCs w:val="28"/>
          </w:rPr>
          <w:t>16</w:t>
        </w:r>
      </w:hyperlink>
    </w:p>
    <w:p w:rsidR="007765CC" w:rsidRPr="00B34E9C" w:rsidRDefault="00757789" w:rsidP="007765CC">
      <w:pPr>
        <w:pStyle w:val="TOC1"/>
        <w:tabs>
          <w:tab w:val="right" w:leader="dot" w:pos="8630"/>
        </w:tabs>
        <w:rPr>
          <w:rFonts w:eastAsiaTheme="minorEastAsia"/>
          <w:noProof/>
          <w:sz w:val="28"/>
          <w:szCs w:val="28"/>
          <w:lang w:eastAsia="en-US"/>
        </w:rPr>
      </w:pPr>
      <w:hyperlink w:anchor="_Toc288484129" w:history="1">
        <w:r w:rsidR="00C81E4D" w:rsidRPr="00B34E9C">
          <w:rPr>
            <w:rStyle w:val="Hyperlink"/>
            <w:noProof/>
            <w:color w:val="auto"/>
            <w:sz w:val="28"/>
            <w:szCs w:val="28"/>
            <w:u w:val="none"/>
          </w:rPr>
          <w:t>Table 10: 2010 FinAnswer Express Program Performance</w:t>
        </w:r>
        <w:r w:rsidR="007765CC" w:rsidRPr="00B34E9C">
          <w:rPr>
            <w:noProof/>
            <w:webHidden/>
            <w:sz w:val="28"/>
            <w:szCs w:val="28"/>
          </w:rPr>
          <w:tab/>
        </w:r>
      </w:hyperlink>
      <w:r w:rsidR="00A54217" w:rsidRPr="00B34E9C">
        <w:rPr>
          <w:rStyle w:val="Hyperlink"/>
          <w:noProof/>
          <w:color w:val="auto"/>
          <w:sz w:val="28"/>
          <w:szCs w:val="28"/>
          <w:u w:val="none"/>
        </w:rPr>
        <w:t>18</w:t>
      </w:r>
    </w:p>
    <w:p w:rsidR="007F26DB" w:rsidRPr="00B34E9C" w:rsidRDefault="00757789" w:rsidP="007F26DB">
      <w:pPr>
        <w:pStyle w:val="TOC1"/>
        <w:tabs>
          <w:tab w:val="right" w:leader="dot" w:pos="8630"/>
        </w:tabs>
        <w:rPr>
          <w:rFonts w:eastAsiaTheme="minorEastAsia"/>
          <w:noProof/>
          <w:sz w:val="28"/>
          <w:szCs w:val="28"/>
          <w:lang w:eastAsia="en-US"/>
        </w:rPr>
      </w:pPr>
      <w:hyperlink w:anchor="_Toc288484126" w:history="1">
        <w:r w:rsidR="007F26DB" w:rsidRPr="00B34E9C">
          <w:rPr>
            <w:rStyle w:val="Hyperlink"/>
            <w:noProof/>
            <w:color w:val="auto"/>
            <w:sz w:val="28"/>
            <w:szCs w:val="28"/>
            <w:u w:val="none"/>
          </w:rPr>
          <w:t>Table 11: FinAnswer Express Savings by Measure Type</w:t>
        </w:r>
        <w:r w:rsidR="007F26DB" w:rsidRPr="00B34E9C">
          <w:rPr>
            <w:noProof/>
            <w:webHidden/>
            <w:sz w:val="28"/>
            <w:szCs w:val="28"/>
          </w:rPr>
          <w:tab/>
        </w:r>
      </w:hyperlink>
      <w:r w:rsidR="005003A0" w:rsidRPr="00B34E9C">
        <w:rPr>
          <w:rStyle w:val="Hyperlink"/>
          <w:noProof/>
          <w:color w:val="auto"/>
          <w:sz w:val="28"/>
          <w:szCs w:val="28"/>
          <w:u w:val="none"/>
        </w:rPr>
        <w:t>1</w:t>
      </w:r>
      <w:r w:rsidR="00A54217" w:rsidRPr="00B34E9C">
        <w:rPr>
          <w:rStyle w:val="Hyperlink"/>
          <w:noProof/>
          <w:color w:val="auto"/>
          <w:sz w:val="28"/>
          <w:szCs w:val="28"/>
          <w:u w:val="none"/>
        </w:rPr>
        <w:t>9</w:t>
      </w:r>
    </w:p>
    <w:p w:rsidR="007F26DB" w:rsidRPr="00B34E9C" w:rsidRDefault="00757789" w:rsidP="007F26DB">
      <w:pPr>
        <w:pStyle w:val="TOC1"/>
        <w:tabs>
          <w:tab w:val="right" w:leader="dot" w:pos="8630"/>
        </w:tabs>
        <w:rPr>
          <w:rFonts w:eastAsiaTheme="minorEastAsia"/>
          <w:noProof/>
          <w:sz w:val="28"/>
          <w:szCs w:val="28"/>
          <w:lang w:eastAsia="en-US"/>
        </w:rPr>
      </w:pPr>
      <w:hyperlink w:anchor="_Toc288484127" w:history="1">
        <w:r w:rsidR="007F26DB" w:rsidRPr="00B34E9C">
          <w:rPr>
            <w:rStyle w:val="Hyperlink"/>
            <w:noProof/>
            <w:color w:val="auto"/>
            <w:sz w:val="28"/>
            <w:szCs w:val="28"/>
            <w:u w:val="none"/>
          </w:rPr>
          <w:t xml:space="preserve">Table 12: 2010 Energy FinAnswer Program Performance </w:t>
        </w:r>
        <w:r w:rsidR="007F26DB" w:rsidRPr="00B34E9C">
          <w:rPr>
            <w:noProof/>
            <w:webHidden/>
            <w:sz w:val="28"/>
            <w:szCs w:val="28"/>
          </w:rPr>
          <w:tab/>
        </w:r>
        <w:r w:rsidR="00AF4078">
          <w:rPr>
            <w:noProof/>
            <w:webHidden/>
            <w:sz w:val="28"/>
            <w:szCs w:val="28"/>
          </w:rPr>
          <w:t>23</w:t>
        </w:r>
      </w:hyperlink>
    </w:p>
    <w:p w:rsidR="007F26DB" w:rsidRPr="00B34E9C" w:rsidRDefault="00757789" w:rsidP="007F26DB">
      <w:pPr>
        <w:pStyle w:val="TOC1"/>
        <w:tabs>
          <w:tab w:val="right" w:leader="dot" w:pos="8630"/>
        </w:tabs>
        <w:rPr>
          <w:rFonts w:eastAsiaTheme="minorEastAsia"/>
          <w:noProof/>
          <w:sz w:val="28"/>
          <w:szCs w:val="28"/>
          <w:lang w:eastAsia="en-US"/>
        </w:rPr>
      </w:pPr>
      <w:hyperlink w:anchor="_Toc288484128" w:history="1">
        <w:r w:rsidR="007F26DB" w:rsidRPr="00B34E9C">
          <w:rPr>
            <w:rStyle w:val="Hyperlink"/>
            <w:noProof/>
            <w:color w:val="auto"/>
            <w:sz w:val="28"/>
            <w:szCs w:val="28"/>
            <w:u w:val="none"/>
          </w:rPr>
          <w:t>Table 13: Energy FinAnswer Savings by Measure Type</w:t>
        </w:r>
        <w:r w:rsidR="007F26DB" w:rsidRPr="00B34E9C">
          <w:rPr>
            <w:noProof/>
            <w:webHidden/>
            <w:sz w:val="28"/>
            <w:szCs w:val="28"/>
          </w:rPr>
          <w:tab/>
        </w:r>
        <w:r w:rsidR="00AF4078">
          <w:rPr>
            <w:noProof/>
            <w:webHidden/>
            <w:sz w:val="28"/>
            <w:szCs w:val="28"/>
          </w:rPr>
          <w:t>23</w:t>
        </w:r>
      </w:hyperlink>
    </w:p>
    <w:p w:rsidR="007F26DB" w:rsidRPr="00B34E9C" w:rsidRDefault="00757789" w:rsidP="007F26DB">
      <w:pPr>
        <w:pStyle w:val="TOC1"/>
        <w:tabs>
          <w:tab w:val="right" w:leader="dot" w:pos="8630"/>
        </w:tabs>
        <w:rPr>
          <w:rFonts w:eastAsiaTheme="minorEastAsia"/>
          <w:noProof/>
          <w:sz w:val="28"/>
          <w:szCs w:val="28"/>
          <w:lang w:eastAsia="en-US"/>
        </w:rPr>
      </w:pPr>
      <w:hyperlink w:anchor="_Toc288484129" w:history="1">
        <w:r w:rsidR="007F26DB" w:rsidRPr="00B34E9C">
          <w:rPr>
            <w:rStyle w:val="Hyperlink"/>
            <w:noProof/>
            <w:color w:val="auto"/>
            <w:sz w:val="28"/>
            <w:szCs w:val="28"/>
            <w:u w:val="none"/>
          </w:rPr>
          <w:t>Table 14: System Benefit Charge Balancing Account Summary</w:t>
        </w:r>
        <w:r w:rsidR="007F26DB" w:rsidRPr="00B34E9C">
          <w:rPr>
            <w:noProof/>
            <w:webHidden/>
            <w:sz w:val="28"/>
            <w:szCs w:val="28"/>
          </w:rPr>
          <w:tab/>
        </w:r>
        <w:r w:rsidR="00AF4078">
          <w:rPr>
            <w:noProof/>
            <w:webHidden/>
            <w:sz w:val="28"/>
            <w:szCs w:val="28"/>
          </w:rPr>
          <w:t>26</w:t>
        </w:r>
      </w:hyperlink>
    </w:p>
    <w:p w:rsidR="009B456B" w:rsidRPr="00B34E9C" w:rsidRDefault="00757789" w:rsidP="009B456B">
      <w:pPr>
        <w:pStyle w:val="TOC1"/>
        <w:tabs>
          <w:tab w:val="right" w:leader="dot" w:pos="8630"/>
        </w:tabs>
        <w:rPr>
          <w:rFonts w:eastAsiaTheme="minorEastAsia"/>
          <w:noProof/>
          <w:sz w:val="28"/>
          <w:szCs w:val="28"/>
          <w:lang w:eastAsia="en-US"/>
        </w:rPr>
      </w:pPr>
      <w:hyperlink w:anchor="_Toc288484128" w:history="1">
        <w:r w:rsidR="009B456B" w:rsidRPr="00B34E9C">
          <w:rPr>
            <w:rStyle w:val="Hyperlink"/>
            <w:noProof/>
            <w:color w:val="auto"/>
            <w:sz w:val="28"/>
            <w:szCs w:val="28"/>
            <w:u w:val="none"/>
          </w:rPr>
          <w:t>Table 15: Portfolio and Sector Cost Effectiveness Summary</w:t>
        </w:r>
        <w:r w:rsidR="009B456B" w:rsidRPr="00B34E9C">
          <w:rPr>
            <w:noProof/>
            <w:webHidden/>
            <w:sz w:val="28"/>
            <w:szCs w:val="28"/>
          </w:rPr>
          <w:tab/>
        </w:r>
        <w:r w:rsidR="00AF4078">
          <w:rPr>
            <w:noProof/>
            <w:webHidden/>
            <w:sz w:val="28"/>
            <w:szCs w:val="28"/>
          </w:rPr>
          <w:t>29</w:t>
        </w:r>
      </w:hyperlink>
    </w:p>
    <w:p w:rsidR="007F26DB" w:rsidRPr="00B34E9C" w:rsidRDefault="00757789" w:rsidP="009B456B">
      <w:pPr>
        <w:pStyle w:val="TOC1"/>
        <w:tabs>
          <w:tab w:val="right" w:leader="dot" w:pos="8630"/>
        </w:tabs>
        <w:rPr>
          <w:rFonts w:eastAsiaTheme="minorEastAsia"/>
          <w:noProof/>
          <w:sz w:val="28"/>
          <w:szCs w:val="28"/>
          <w:lang w:eastAsia="en-US"/>
        </w:rPr>
      </w:pPr>
      <w:hyperlink w:anchor="_Toc288484129" w:history="1"/>
    </w:p>
    <w:p w:rsidR="008C6BDB" w:rsidRPr="00B34E9C" w:rsidRDefault="008C6BDB">
      <w:pPr>
        <w:spacing w:after="200" w:line="276" w:lineRule="auto"/>
        <w:rPr>
          <w:b/>
          <w:bCs/>
          <w:kern w:val="32"/>
          <w:sz w:val="32"/>
          <w:szCs w:val="32"/>
        </w:rPr>
      </w:pPr>
      <w:r w:rsidRPr="00B34E9C">
        <w:br w:type="page"/>
      </w:r>
    </w:p>
    <w:p w:rsidR="008C6BDB" w:rsidRPr="00B34E9C" w:rsidRDefault="008C6BDB" w:rsidP="002810D1">
      <w:pPr>
        <w:pStyle w:val="Heading1"/>
        <w:jc w:val="both"/>
        <w:rPr>
          <w:rFonts w:ascii="Times New Roman" w:hAnsi="Times New Roman" w:cs="Times New Roman"/>
        </w:rPr>
      </w:pPr>
      <w:bookmarkStart w:id="3" w:name="_Toc288484120"/>
      <w:bookmarkStart w:id="4" w:name="_Toc289064239"/>
      <w:bookmarkEnd w:id="0"/>
      <w:bookmarkEnd w:id="1"/>
      <w:bookmarkEnd w:id="2"/>
      <w:r w:rsidRPr="00B34E9C">
        <w:rPr>
          <w:rFonts w:ascii="Times New Roman" w:hAnsi="Times New Roman" w:cs="Times New Roman"/>
        </w:rPr>
        <w:t>Introduction</w:t>
      </w:r>
      <w:bookmarkEnd w:id="3"/>
      <w:bookmarkEnd w:id="4"/>
    </w:p>
    <w:p w:rsidR="008C6BDB" w:rsidRPr="00B34E9C" w:rsidRDefault="008C6BDB" w:rsidP="002810D1">
      <w:pPr>
        <w:jc w:val="both"/>
      </w:pPr>
    </w:p>
    <w:p w:rsidR="008C6BDB" w:rsidRPr="00B34E9C" w:rsidRDefault="008C6BDB" w:rsidP="002810D1">
      <w:pPr>
        <w:jc w:val="both"/>
      </w:pPr>
      <w:r w:rsidRPr="00B34E9C">
        <w:t xml:space="preserve">PacifiCorp </w:t>
      </w:r>
      <w:r w:rsidR="00E0147F" w:rsidRPr="00B34E9C">
        <w:t>(</w:t>
      </w:r>
      <w:r w:rsidR="00594CCE" w:rsidRPr="00B34E9C">
        <w:t xml:space="preserve">or </w:t>
      </w:r>
      <w:r w:rsidR="00E0147F" w:rsidRPr="00B34E9C">
        <w:t xml:space="preserve">the “Company”) </w:t>
      </w:r>
      <w:r w:rsidRPr="00B34E9C">
        <w:t xml:space="preserve">works with its customers to reduce the need for investment in supply side resources and infrastructure by reducing energy and peak consumption through cost-effective energy efficiency programs. </w:t>
      </w:r>
    </w:p>
    <w:p w:rsidR="008C6BDB" w:rsidRPr="00B34E9C" w:rsidRDefault="008C6BDB" w:rsidP="002810D1">
      <w:pPr>
        <w:jc w:val="both"/>
      </w:pPr>
    </w:p>
    <w:p w:rsidR="008C6BDB" w:rsidRPr="00B34E9C" w:rsidRDefault="00E0147F" w:rsidP="002810D1">
      <w:pPr>
        <w:jc w:val="both"/>
      </w:pPr>
      <w:r w:rsidRPr="00B34E9C">
        <w:t xml:space="preserve">The Company </w:t>
      </w:r>
      <w:r w:rsidR="008C6BDB" w:rsidRPr="00B34E9C">
        <w:t>currently offers six energy efficiency programs</w:t>
      </w:r>
      <w:r w:rsidR="00594CCE" w:rsidRPr="00B34E9C">
        <w:t xml:space="preserve"> in Washington</w:t>
      </w:r>
      <w:r w:rsidR="008C6BDB" w:rsidRPr="00B34E9C">
        <w:t xml:space="preserve"> approved by the Washington Utilities and Transportation Commission (“Commission”)</w:t>
      </w:r>
      <w:r w:rsidR="00594CCE" w:rsidRPr="00B34E9C">
        <w:t>,</w:t>
      </w:r>
      <w:r w:rsidR="0045100F" w:rsidRPr="00B34E9C">
        <w:t xml:space="preserve"> as well as receives energy savings and market transformation benefits through </w:t>
      </w:r>
      <w:r w:rsidR="0093517A">
        <w:t>its</w:t>
      </w:r>
      <w:r w:rsidR="0093517A" w:rsidRPr="00B34E9C">
        <w:t xml:space="preserve"> </w:t>
      </w:r>
      <w:r w:rsidR="0045100F" w:rsidRPr="00B34E9C">
        <w:t>affiliation with the Northwest Energy Efficiency Alliance (“NEEA”)</w:t>
      </w:r>
      <w:r w:rsidRPr="00B34E9C">
        <w:t xml:space="preserve">. The </w:t>
      </w:r>
      <w:r w:rsidR="008C6BDB" w:rsidRPr="00B34E9C">
        <w:t>expenditures associated with these programs</w:t>
      </w:r>
      <w:r w:rsidRPr="00B34E9C">
        <w:t xml:space="preserve"> are</w:t>
      </w:r>
      <w:r w:rsidR="008C6BDB" w:rsidRPr="00B34E9C">
        <w:t xml:space="preserve"> recovered through the System Benefits Charge, Schedule 191</w:t>
      </w:r>
      <w:r w:rsidR="00594CCE" w:rsidRPr="00B34E9C">
        <w:t xml:space="preserve"> (“Schedule 191”)</w:t>
      </w:r>
      <w:r w:rsidR="008C6BDB" w:rsidRPr="00B34E9C">
        <w:t>.</w:t>
      </w:r>
    </w:p>
    <w:p w:rsidR="008C6BDB" w:rsidRPr="00B34E9C" w:rsidRDefault="008C6BDB" w:rsidP="002810D1">
      <w:pPr>
        <w:jc w:val="both"/>
      </w:pPr>
    </w:p>
    <w:p w:rsidR="00E0147F" w:rsidRPr="00B34E9C" w:rsidRDefault="008C6BDB" w:rsidP="00E0147F">
      <w:pPr>
        <w:jc w:val="both"/>
      </w:pPr>
      <w:r w:rsidRPr="00B34E9C">
        <w:t>This report provides details on program results and activities, expenditures and Schedule 191 revenue for the performance period from January 1, 20</w:t>
      </w:r>
      <w:r w:rsidR="00D506E0" w:rsidRPr="00B34E9C">
        <w:t>10</w:t>
      </w:r>
      <w:r w:rsidRPr="00B34E9C">
        <w:t xml:space="preserve"> through December 31, 20</w:t>
      </w:r>
      <w:r w:rsidR="00D506E0" w:rsidRPr="00B34E9C">
        <w:t>10</w:t>
      </w:r>
      <w:r w:rsidRPr="00B34E9C">
        <w:t xml:space="preserve">. </w:t>
      </w:r>
      <w:r w:rsidR="00E0147F" w:rsidRPr="00B34E9C">
        <w:t xml:space="preserve">As shown in Table 1 below, in 2010 the Company acquired resources through its energy efficiency program activity totaling </w:t>
      </w:r>
      <w:r w:rsidR="00976ECA" w:rsidRPr="00B34E9C">
        <w:t>41,727,271</w:t>
      </w:r>
      <w:r w:rsidR="00E0147F" w:rsidRPr="00B34E9C">
        <w:rPr>
          <w:color w:val="000000"/>
        </w:rPr>
        <w:t xml:space="preserve"> </w:t>
      </w:r>
      <w:r w:rsidR="00E0147F" w:rsidRPr="00B34E9C">
        <w:t>kWh/year or 4.</w:t>
      </w:r>
      <w:r w:rsidR="00976ECA" w:rsidRPr="00B34E9C">
        <w:t>76</w:t>
      </w:r>
      <w:r w:rsidR="00E0147F" w:rsidRPr="00B34E9C">
        <w:t xml:space="preserve"> </w:t>
      </w:r>
      <w:proofErr w:type="spellStart"/>
      <w:r w:rsidR="00E0147F" w:rsidRPr="00B34E9C">
        <w:t>aMW</w:t>
      </w:r>
      <w:proofErr w:type="spellEnd"/>
      <w:r w:rsidR="00E0147F" w:rsidRPr="00B34E9C">
        <w:rPr>
          <w:b/>
          <w:bCs/>
        </w:rPr>
        <w:t xml:space="preserve"> </w:t>
      </w:r>
      <w:r w:rsidR="00E0147F" w:rsidRPr="00B34E9C">
        <w:t>in Washington (at generation).  Overall</w:t>
      </w:r>
      <w:r w:rsidR="00B8407B" w:rsidRPr="00B34E9C">
        <w:t>,</w:t>
      </w:r>
      <w:r w:rsidR="00E0147F" w:rsidRPr="00B34E9C">
        <w:t xml:space="preserve"> the programs achieved a total resource cost</w:t>
      </w:r>
      <w:r w:rsidR="00B8407B" w:rsidRPr="00B34E9C">
        <w:t xml:space="preserve"> test result,</w:t>
      </w:r>
      <w:r w:rsidR="00E0147F" w:rsidRPr="00B34E9C">
        <w:t xml:space="preserve"> adjusted by 10</w:t>
      </w:r>
      <w:r w:rsidR="002B49A1" w:rsidRPr="00B34E9C">
        <w:t xml:space="preserve"> percent</w:t>
      </w:r>
      <w:r w:rsidR="00A6483F">
        <w:t xml:space="preserve"> and inclusive of quantifiable non-energy benefits</w:t>
      </w:r>
      <w:r w:rsidR="00E0147F" w:rsidRPr="00B34E9C">
        <w:t xml:space="preserve"> of </w:t>
      </w:r>
      <w:r w:rsidR="003B1F7F">
        <w:t>2</w:t>
      </w:r>
      <w:r w:rsidR="00E0147F" w:rsidRPr="00B34E9C">
        <w:t>.</w:t>
      </w:r>
      <w:r w:rsidR="003B1F7F">
        <w:t>889</w:t>
      </w:r>
      <w:r w:rsidR="00E0147F" w:rsidRPr="00B34E9C">
        <w:t xml:space="preserve">. </w:t>
      </w:r>
    </w:p>
    <w:p w:rsidR="008C6BDB" w:rsidRPr="00B34E9C" w:rsidRDefault="008C6BDB" w:rsidP="002810D1">
      <w:pPr>
        <w:jc w:val="both"/>
      </w:pPr>
    </w:p>
    <w:p w:rsidR="008C6BDB" w:rsidRPr="00B34E9C" w:rsidRDefault="008C6BDB" w:rsidP="002810D1">
      <w:pPr>
        <w:jc w:val="both"/>
      </w:pPr>
    </w:p>
    <w:p w:rsidR="008C6BDB" w:rsidRPr="00B34E9C" w:rsidRDefault="008C6BDB" w:rsidP="005C43FC">
      <w:pPr>
        <w:jc w:val="center"/>
        <w:rPr>
          <w:b/>
          <w:bCs/>
        </w:rPr>
      </w:pPr>
      <w:r w:rsidRPr="00B34E9C">
        <w:rPr>
          <w:b/>
          <w:bCs/>
        </w:rPr>
        <w:t>Table 1</w:t>
      </w:r>
    </w:p>
    <w:p w:rsidR="008C6BDB" w:rsidRPr="00B34E9C" w:rsidRDefault="009248A0" w:rsidP="0062137B">
      <w:pPr>
        <w:jc w:val="center"/>
      </w:pPr>
      <w:r w:rsidRPr="009248A0">
        <w:rPr>
          <w:noProof/>
          <w:lang w:eastAsia="en-US"/>
        </w:rPr>
        <w:drawing>
          <wp:inline distT="0" distB="0" distL="0" distR="0">
            <wp:extent cx="5486400" cy="15820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1582016"/>
                    </a:xfrm>
                    <a:prstGeom prst="rect">
                      <a:avLst/>
                    </a:prstGeom>
                    <a:noFill/>
                    <a:ln w="9525">
                      <a:noFill/>
                      <a:miter lim="800000"/>
                      <a:headEnd/>
                      <a:tailEnd/>
                    </a:ln>
                  </pic:spPr>
                </pic:pic>
              </a:graphicData>
            </a:graphic>
          </wp:inline>
        </w:drawing>
      </w:r>
    </w:p>
    <w:p w:rsidR="008C6BDB" w:rsidRPr="00B34E9C" w:rsidRDefault="008C6BDB">
      <w:pPr>
        <w:jc w:val="both"/>
      </w:pPr>
    </w:p>
    <w:p w:rsidR="00DB597D" w:rsidRPr="00B34E9C" w:rsidRDefault="00DB597D">
      <w:pPr>
        <w:jc w:val="both"/>
      </w:pPr>
    </w:p>
    <w:p w:rsidR="000825A1" w:rsidRPr="00B34E9C" w:rsidRDefault="000825A1">
      <w:pPr>
        <w:jc w:val="both"/>
      </w:pPr>
    </w:p>
    <w:p w:rsidR="008C6BDB" w:rsidRPr="00B34E9C" w:rsidRDefault="008C6BDB">
      <w:pPr>
        <w:jc w:val="both"/>
      </w:pPr>
    </w:p>
    <w:p w:rsidR="008C6BDB" w:rsidRPr="00B34E9C" w:rsidRDefault="008C6BDB">
      <w:pPr>
        <w:spacing w:after="200" w:line="276" w:lineRule="auto"/>
        <w:jc w:val="both"/>
        <w:rPr>
          <w:b/>
          <w:bCs/>
          <w:u w:val="single"/>
        </w:rPr>
      </w:pPr>
      <w:r w:rsidRPr="00B34E9C">
        <w:rPr>
          <w:b/>
          <w:bCs/>
          <w:u w:val="single"/>
        </w:rPr>
        <w:br w:type="page"/>
      </w:r>
    </w:p>
    <w:p w:rsidR="008C6BDB" w:rsidRPr="00B34E9C" w:rsidRDefault="008C6BDB" w:rsidP="00413179">
      <w:pPr>
        <w:pStyle w:val="Heading1"/>
        <w:jc w:val="both"/>
        <w:rPr>
          <w:rFonts w:ascii="Times New Roman" w:hAnsi="Times New Roman" w:cs="Times New Roman"/>
        </w:rPr>
      </w:pPr>
      <w:bookmarkStart w:id="5" w:name="_Toc288484121"/>
      <w:bookmarkStart w:id="6" w:name="_Toc289064240"/>
      <w:r w:rsidRPr="00B34E9C">
        <w:rPr>
          <w:rFonts w:ascii="Times New Roman" w:hAnsi="Times New Roman" w:cs="Times New Roman"/>
        </w:rPr>
        <w:t>Advisory Group Meetings and Communications</w:t>
      </w:r>
      <w:bookmarkEnd w:id="5"/>
      <w:bookmarkEnd w:id="6"/>
    </w:p>
    <w:p w:rsidR="008C6BDB" w:rsidRPr="00B34E9C" w:rsidRDefault="008C6BDB">
      <w:pPr>
        <w:jc w:val="both"/>
      </w:pPr>
    </w:p>
    <w:p w:rsidR="008C6BDB" w:rsidRPr="00B34E9C" w:rsidRDefault="008C6BDB">
      <w:pPr>
        <w:jc w:val="both"/>
      </w:pPr>
      <w:r w:rsidRPr="00B34E9C">
        <w:t>PacifiCorp established the Washington Demand</w:t>
      </w:r>
      <w:r w:rsidR="003A348C" w:rsidRPr="00B34E9C">
        <w:t>-s</w:t>
      </w:r>
      <w:r w:rsidRPr="00B34E9C">
        <w:t xml:space="preserve">ide Management Advisory Group (“DSM Advisory Group”) in 2000. The </w:t>
      </w:r>
      <w:r w:rsidR="00674601" w:rsidRPr="00B34E9C">
        <w:t>DSM Advisory G</w:t>
      </w:r>
      <w:r w:rsidRPr="00B34E9C">
        <w:t>roup includes representatives from a variety of constituent organizations and represents the interests of various customer segments. PacifiCorp met and/or communicated with the DSM Advisory Group on several occasions during</w:t>
      </w:r>
      <w:r w:rsidR="00674601" w:rsidRPr="00B34E9C">
        <w:t xml:space="preserve"> 2010</w:t>
      </w:r>
      <w:r w:rsidRPr="00B34E9C">
        <w:t xml:space="preserve">.  </w:t>
      </w:r>
      <w:r w:rsidR="00E0147F" w:rsidRPr="00B34E9C">
        <w:t xml:space="preserve">Subject matter and meetings were </w:t>
      </w:r>
      <w:r w:rsidRPr="00B34E9C">
        <w:t xml:space="preserve">as follows: </w:t>
      </w:r>
    </w:p>
    <w:p w:rsidR="008C6BDB" w:rsidRPr="00B34E9C" w:rsidRDefault="008C6BDB">
      <w:pPr>
        <w:jc w:val="both"/>
      </w:pPr>
    </w:p>
    <w:p w:rsidR="00E0147F" w:rsidRPr="00B34E9C" w:rsidRDefault="00E0147F" w:rsidP="00CB3356">
      <w:pPr>
        <w:jc w:val="both"/>
        <w:rPr>
          <w:b/>
        </w:rPr>
      </w:pPr>
    </w:p>
    <w:tbl>
      <w:tblPr>
        <w:tblStyle w:val="TableGrid"/>
        <w:tblW w:w="0" w:type="auto"/>
        <w:tblLook w:val="04A0"/>
      </w:tblPr>
      <w:tblGrid>
        <w:gridCol w:w="2718"/>
        <w:gridCol w:w="6138"/>
      </w:tblGrid>
      <w:tr w:rsidR="00E0147F" w:rsidRPr="00B34E9C" w:rsidTr="00E0147F">
        <w:tc>
          <w:tcPr>
            <w:tcW w:w="2718" w:type="dxa"/>
          </w:tcPr>
          <w:p w:rsidR="004F0990" w:rsidRPr="00B34E9C" w:rsidRDefault="00E0147F">
            <w:pPr>
              <w:jc w:val="center"/>
              <w:rPr>
                <w:b/>
              </w:rPr>
            </w:pPr>
            <w:r w:rsidRPr="00B34E9C">
              <w:rPr>
                <w:b/>
              </w:rPr>
              <w:t>Date</w:t>
            </w:r>
          </w:p>
        </w:tc>
        <w:tc>
          <w:tcPr>
            <w:tcW w:w="6138" w:type="dxa"/>
          </w:tcPr>
          <w:p w:rsidR="004F0990" w:rsidRPr="00B34E9C" w:rsidRDefault="00E0147F">
            <w:pPr>
              <w:jc w:val="center"/>
              <w:rPr>
                <w:b/>
              </w:rPr>
            </w:pPr>
            <w:r w:rsidRPr="00B34E9C">
              <w:rPr>
                <w:b/>
              </w:rPr>
              <w:t>Specific Topics</w:t>
            </w:r>
          </w:p>
        </w:tc>
      </w:tr>
      <w:tr w:rsidR="00E0147F" w:rsidRPr="00B34E9C" w:rsidTr="00E0147F">
        <w:tc>
          <w:tcPr>
            <w:tcW w:w="2718" w:type="dxa"/>
          </w:tcPr>
          <w:p w:rsidR="00E0147F" w:rsidRPr="00B34E9C" w:rsidRDefault="00D737F5" w:rsidP="00CB3356">
            <w:pPr>
              <w:jc w:val="both"/>
            </w:pPr>
            <w:r w:rsidRPr="00B34E9C">
              <w:t>March 19</w:t>
            </w:r>
          </w:p>
        </w:tc>
        <w:tc>
          <w:tcPr>
            <w:tcW w:w="6138" w:type="dxa"/>
          </w:tcPr>
          <w:p w:rsidR="00E0147F" w:rsidRPr="00B34E9C" w:rsidRDefault="00E0147F" w:rsidP="00CB3356">
            <w:pPr>
              <w:jc w:val="both"/>
              <w:rPr>
                <w:b/>
              </w:rPr>
            </w:pPr>
            <w:r w:rsidRPr="00B34E9C">
              <w:t>Schedule by which open issues regarding the Company’s 10-year potential and biennial target would be addressed</w:t>
            </w:r>
          </w:p>
        </w:tc>
      </w:tr>
      <w:tr w:rsidR="00E0147F" w:rsidRPr="00B34E9C" w:rsidTr="00E0147F">
        <w:tc>
          <w:tcPr>
            <w:tcW w:w="2718" w:type="dxa"/>
          </w:tcPr>
          <w:p w:rsidR="00E0147F" w:rsidRPr="00B34E9C" w:rsidRDefault="00D737F5" w:rsidP="00CB3356">
            <w:pPr>
              <w:jc w:val="both"/>
            </w:pPr>
            <w:r w:rsidRPr="00B34E9C">
              <w:t>April 8</w:t>
            </w:r>
          </w:p>
        </w:tc>
        <w:tc>
          <w:tcPr>
            <w:tcW w:w="6138" w:type="dxa"/>
          </w:tcPr>
          <w:p w:rsidR="00E0147F" w:rsidRPr="00B34E9C" w:rsidRDefault="00E0147F" w:rsidP="003A348C">
            <w:pPr>
              <w:jc w:val="both"/>
              <w:rPr>
                <w:b/>
              </w:rPr>
            </w:pPr>
            <w:r w:rsidRPr="00B34E9C">
              <w:t>Issues and open items</w:t>
            </w:r>
            <w:r w:rsidR="00674601" w:rsidRPr="00B34E9C">
              <w:t xml:space="preserve"> raised by parties</w:t>
            </w:r>
            <w:r w:rsidRPr="00B34E9C">
              <w:t xml:space="preserve"> concerning the I-937 report</w:t>
            </w:r>
          </w:p>
        </w:tc>
      </w:tr>
      <w:tr w:rsidR="00E0147F" w:rsidRPr="00B34E9C" w:rsidTr="00E0147F">
        <w:tc>
          <w:tcPr>
            <w:tcW w:w="2718" w:type="dxa"/>
          </w:tcPr>
          <w:p w:rsidR="00E0147F" w:rsidRPr="00B34E9C" w:rsidRDefault="00D737F5" w:rsidP="00CB3356">
            <w:pPr>
              <w:jc w:val="both"/>
            </w:pPr>
            <w:r w:rsidRPr="00B34E9C">
              <w:t>April 26</w:t>
            </w:r>
          </w:p>
        </w:tc>
        <w:tc>
          <w:tcPr>
            <w:tcW w:w="6138" w:type="dxa"/>
          </w:tcPr>
          <w:p w:rsidR="00E0147F" w:rsidRPr="00B34E9C" w:rsidRDefault="00E0147F" w:rsidP="00CB3356">
            <w:pPr>
              <w:jc w:val="both"/>
              <w:rPr>
                <w:b/>
              </w:rPr>
            </w:pPr>
            <w:r w:rsidRPr="00B34E9C">
              <w:t>The revised version of the 2010 – 2011 biennial conservation target report reflecting comments received from parties since it was originally filed with the Commission on January 29, 2010</w:t>
            </w:r>
          </w:p>
        </w:tc>
      </w:tr>
      <w:tr w:rsidR="00E0147F" w:rsidRPr="00B34E9C" w:rsidTr="00E0147F">
        <w:tc>
          <w:tcPr>
            <w:tcW w:w="2718" w:type="dxa"/>
          </w:tcPr>
          <w:p w:rsidR="00E0147F" w:rsidRPr="00B34E9C" w:rsidRDefault="00D737F5" w:rsidP="00CB3356">
            <w:pPr>
              <w:jc w:val="both"/>
            </w:pPr>
            <w:r w:rsidRPr="00B34E9C">
              <w:t>May 13</w:t>
            </w:r>
          </w:p>
        </w:tc>
        <w:tc>
          <w:tcPr>
            <w:tcW w:w="6138" w:type="dxa"/>
          </w:tcPr>
          <w:p w:rsidR="00E0147F" w:rsidRPr="00B34E9C" w:rsidRDefault="00E0147F" w:rsidP="00CB3356">
            <w:pPr>
              <w:jc w:val="both"/>
              <w:rPr>
                <w:b/>
              </w:rPr>
            </w:pPr>
            <w:r w:rsidRPr="00B34E9C">
              <w:t>Adjustment to the distribution efficiency targets included in the Company’s 2010 – 2011 biennial target</w:t>
            </w:r>
          </w:p>
        </w:tc>
      </w:tr>
      <w:tr w:rsidR="00E0147F" w:rsidRPr="00B34E9C" w:rsidTr="00E0147F">
        <w:tc>
          <w:tcPr>
            <w:tcW w:w="2718" w:type="dxa"/>
          </w:tcPr>
          <w:p w:rsidR="00E0147F" w:rsidRPr="00B34E9C" w:rsidRDefault="00D737F5" w:rsidP="00CB3356">
            <w:pPr>
              <w:jc w:val="both"/>
            </w:pPr>
            <w:r w:rsidRPr="00B34E9C">
              <w:t>May 18</w:t>
            </w:r>
          </w:p>
        </w:tc>
        <w:tc>
          <w:tcPr>
            <w:tcW w:w="6138" w:type="dxa"/>
          </w:tcPr>
          <w:p w:rsidR="00E0147F" w:rsidRPr="00B34E9C" w:rsidRDefault="00E0147F" w:rsidP="00CB3356">
            <w:pPr>
              <w:jc w:val="both"/>
              <w:rPr>
                <w:b/>
              </w:rPr>
            </w:pPr>
            <w:r w:rsidRPr="00B34E9C">
              <w:t>The Company’s I-937 report and next steps</w:t>
            </w:r>
          </w:p>
        </w:tc>
      </w:tr>
      <w:tr w:rsidR="00E0147F" w:rsidRPr="00B34E9C" w:rsidTr="00E0147F">
        <w:tc>
          <w:tcPr>
            <w:tcW w:w="2718" w:type="dxa"/>
          </w:tcPr>
          <w:p w:rsidR="00015D20" w:rsidRPr="00B34E9C" w:rsidRDefault="00D737F5" w:rsidP="00CB3356">
            <w:pPr>
              <w:jc w:val="both"/>
            </w:pPr>
            <w:r w:rsidRPr="00B34E9C">
              <w:t>May 19 – June 28</w:t>
            </w:r>
          </w:p>
        </w:tc>
        <w:tc>
          <w:tcPr>
            <w:tcW w:w="6138" w:type="dxa"/>
          </w:tcPr>
          <w:p w:rsidR="00E0147F" w:rsidRPr="00B34E9C" w:rsidRDefault="00015D20" w:rsidP="00CB3356">
            <w:pPr>
              <w:jc w:val="both"/>
              <w:rPr>
                <w:b/>
              </w:rPr>
            </w:pPr>
            <w:r w:rsidRPr="00B34E9C">
              <w:t>Continue discussions on the Company’s I-937 report and a conditions list</w:t>
            </w:r>
          </w:p>
        </w:tc>
      </w:tr>
      <w:tr w:rsidR="00015D20" w:rsidRPr="00B34E9C" w:rsidTr="00E0147F">
        <w:tc>
          <w:tcPr>
            <w:tcW w:w="2718" w:type="dxa"/>
          </w:tcPr>
          <w:p w:rsidR="00015D20" w:rsidRPr="00B34E9C" w:rsidRDefault="00015D20" w:rsidP="00CB3356">
            <w:pPr>
              <w:jc w:val="both"/>
            </w:pPr>
            <w:r w:rsidRPr="00B34E9C">
              <w:t>October 12</w:t>
            </w:r>
          </w:p>
        </w:tc>
        <w:tc>
          <w:tcPr>
            <w:tcW w:w="6138" w:type="dxa"/>
          </w:tcPr>
          <w:p w:rsidR="004F0990" w:rsidRPr="00B34E9C" w:rsidRDefault="00015D20">
            <w:pPr>
              <w:jc w:val="both"/>
              <w:rPr>
                <w:sz w:val="22"/>
                <w:szCs w:val="22"/>
              </w:rPr>
            </w:pPr>
            <w:r w:rsidRPr="00B34E9C">
              <w:t xml:space="preserve">Review of the 2011 DSM Business Plan Update </w:t>
            </w:r>
          </w:p>
        </w:tc>
      </w:tr>
    </w:tbl>
    <w:p w:rsidR="00E0147F" w:rsidRPr="00B34E9C" w:rsidRDefault="00E0147F" w:rsidP="00CB3356">
      <w:pPr>
        <w:jc w:val="both"/>
        <w:rPr>
          <w:b/>
        </w:rPr>
      </w:pPr>
    </w:p>
    <w:p w:rsidR="007569FB" w:rsidRPr="00B34E9C" w:rsidRDefault="00D737F5" w:rsidP="00CB3356">
      <w:pPr>
        <w:jc w:val="both"/>
        <w:rPr>
          <w:u w:val="single"/>
        </w:rPr>
      </w:pPr>
      <w:r w:rsidRPr="00B34E9C">
        <w:rPr>
          <w:u w:val="single"/>
        </w:rPr>
        <w:t xml:space="preserve">Program </w:t>
      </w:r>
      <w:r w:rsidR="001453DC" w:rsidRPr="00B34E9C">
        <w:rPr>
          <w:u w:val="single"/>
        </w:rPr>
        <w:t>change related meeting dates and topics</w:t>
      </w:r>
    </w:p>
    <w:p w:rsidR="007569FB" w:rsidRPr="00B34E9C" w:rsidRDefault="007569FB" w:rsidP="00CB3356">
      <w:pPr>
        <w:jc w:val="both"/>
      </w:pPr>
    </w:p>
    <w:tbl>
      <w:tblPr>
        <w:tblStyle w:val="TableGrid"/>
        <w:tblW w:w="0" w:type="auto"/>
        <w:tblLook w:val="04A0"/>
      </w:tblPr>
      <w:tblGrid>
        <w:gridCol w:w="2718"/>
        <w:gridCol w:w="6138"/>
      </w:tblGrid>
      <w:tr w:rsidR="00015D20" w:rsidRPr="00B34E9C" w:rsidTr="0045100F">
        <w:tc>
          <w:tcPr>
            <w:tcW w:w="2718" w:type="dxa"/>
          </w:tcPr>
          <w:p w:rsidR="00015D20" w:rsidRPr="00B34E9C" w:rsidRDefault="00015D20" w:rsidP="0045100F">
            <w:pPr>
              <w:jc w:val="center"/>
              <w:rPr>
                <w:b/>
              </w:rPr>
            </w:pPr>
            <w:r w:rsidRPr="00B34E9C">
              <w:rPr>
                <w:b/>
              </w:rPr>
              <w:t>Date</w:t>
            </w:r>
          </w:p>
        </w:tc>
        <w:tc>
          <w:tcPr>
            <w:tcW w:w="6138" w:type="dxa"/>
          </w:tcPr>
          <w:p w:rsidR="00015D20" w:rsidRPr="00B34E9C" w:rsidRDefault="00015D20" w:rsidP="0045100F">
            <w:pPr>
              <w:jc w:val="center"/>
              <w:rPr>
                <w:b/>
              </w:rPr>
            </w:pPr>
            <w:r w:rsidRPr="00B34E9C">
              <w:rPr>
                <w:b/>
              </w:rPr>
              <w:t>Specific Topics</w:t>
            </w:r>
          </w:p>
        </w:tc>
      </w:tr>
      <w:tr w:rsidR="00015D20" w:rsidRPr="00B34E9C" w:rsidTr="0045100F">
        <w:tc>
          <w:tcPr>
            <w:tcW w:w="2718" w:type="dxa"/>
          </w:tcPr>
          <w:p w:rsidR="00015D20" w:rsidRPr="00B34E9C" w:rsidRDefault="00015D20" w:rsidP="0045100F">
            <w:pPr>
              <w:jc w:val="both"/>
            </w:pPr>
            <w:r w:rsidRPr="00B34E9C">
              <w:t>September 23</w:t>
            </w:r>
          </w:p>
        </w:tc>
        <w:tc>
          <w:tcPr>
            <w:tcW w:w="6138" w:type="dxa"/>
          </w:tcPr>
          <w:p w:rsidR="00015D20" w:rsidRPr="00B34E9C" w:rsidRDefault="00015D20" w:rsidP="0045100F">
            <w:pPr>
              <w:jc w:val="both"/>
              <w:rPr>
                <w:b/>
              </w:rPr>
            </w:pPr>
            <w:r w:rsidRPr="00B34E9C">
              <w:t>Planned changes to the FinAnswer Express program</w:t>
            </w:r>
          </w:p>
        </w:tc>
      </w:tr>
      <w:tr w:rsidR="00015D20" w:rsidRPr="00B34E9C" w:rsidTr="0045100F">
        <w:tc>
          <w:tcPr>
            <w:tcW w:w="2718" w:type="dxa"/>
          </w:tcPr>
          <w:p w:rsidR="00015D20" w:rsidRPr="00B34E9C" w:rsidRDefault="00015D20" w:rsidP="0045100F">
            <w:pPr>
              <w:jc w:val="both"/>
            </w:pPr>
            <w:r w:rsidRPr="00B34E9C">
              <w:t>October 12</w:t>
            </w:r>
          </w:p>
        </w:tc>
        <w:tc>
          <w:tcPr>
            <w:tcW w:w="6138" w:type="dxa"/>
          </w:tcPr>
          <w:p w:rsidR="00015D20" w:rsidRPr="00B34E9C" w:rsidRDefault="00015D20" w:rsidP="0045100F">
            <w:pPr>
              <w:jc w:val="both"/>
              <w:rPr>
                <w:b/>
              </w:rPr>
            </w:pPr>
            <w:r w:rsidRPr="00B34E9C">
              <w:t>Planned changes to the Home Energy Savings Program</w:t>
            </w:r>
          </w:p>
        </w:tc>
      </w:tr>
    </w:tbl>
    <w:p w:rsidR="00015D20" w:rsidRPr="00B34E9C" w:rsidRDefault="00015D20" w:rsidP="00CB3356">
      <w:pPr>
        <w:jc w:val="both"/>
        <w:rPr>
          <w:b/>
        </w:rPr>
      </w:pPr>
    </w:p>
    <w:p w:rsidR="00A54217" w:rsidRPr="00B34E9C" w:rsidRDefault="00A54217" w:rsidP="00413179">
      <w:pPr>
        <w:pStyle w:val="Heading1"/>
        <w:jc w:val="both"/>
        <w:rPr>
          <w:rFonts w:ascii="Times New Roman" w:hAnsi="Times New Roman" w:cs="Times New Roman"/>
          <w:color w:val="000000" w:themeColor="text1"/>
        </w:rPr>
      </w:pPr>
      <w:bookmarkStart w:id="7" w:name="_Toc288484122"/>
      <w:bookmarkStart w:id="8" w:name="_Toc289064241"/>
    </w:p>
    <w:p w:rsidR="00A54217" w:rsidRPr="00B34E9C" w:rsidRDefault="00A54217" w:rsidP="00413179">
      <w:pPr>
        <w:pStyle w:val="Heading1"/>
        <w:jc w:val="both"/>
        <w:rPr>
          <w:rFonts w:ascii="Times New Roman" w:hAnsi="Times New Roman" w:cs="Times New Roman"/>
          <w:color w:val="000000" w:themeColor="text1"/>
        </w:rPr>
      </w:pPr>
    </w:p>
    <w:p w:rsidR="00A54217" w:rsidRPr="00B34E9C" w:rsidRDefault="00A54217" w:rsidP="00413179">
      <w:pPr>
        <w:pStyle w:val="Heading1"/>
        <w:jc w:val="both"/>
        <w:rPr>
          <w:rFonts w:ascii="Times New Roman" w:hAnsi="Times New Roman" w:cs="Times New Roman"/>
          <w:color w:val="000000" w:themeColor="text1"/>
        </w:rPr>
      </w:pPr>
    </w:p>
    <w:p w:rsidR="00A54217" w:rsidRPr="00B34E9C" w:rsidRDefault="00A54217" w:rsidP="00A54217"/>
    <w:p w:rsidR="002624C1" w:rsidRDefault="002624C1" w:rsidP="00413179">
      <w:pPr>
        <w:pStyle w:val="Heading1"/>
        <w:jc w:val="both"/>
        <w:rPr>
          <w:rFonts w:ascii="Times New Roman" w:hAnsi="Times New Roman" w:cs="Times New Roman"/>
          <w:color w:val="000000" w:themeColor="text1"/>
        </w:rPr>
      </w:pPr>
    </w:p>
    <w:p w:rsidR="00B34E9C" w:rsidRDefault="00B34E9C" w:rsidP="00B34E9C"/>
    <w:p w:rsidR="00B34E9C" w:rsidRPr="00B34E9C" w:rsidRDefault="00B34E9C" w:rsidP="00B34E9C"/>
    <w:p w:rsidR="008C6BDB" w:rsidRPr="00B34E9C" w:rsidRDefault="008C6BDB" w:rsidP="00413179">
      <w:pPr>
        <w:pStyle w:val="Heading1"/>
        <w:jc w:val="both"/>
        <w:rPr>
          <w:rFonts w:ascii="Times New Roman" w:hAnsi="Times New Roman" w:cs="Times New Roman"/>
          <w:color w:val="000000" w:themeColor="text1"/>
        </w:rPr>
      </w:pPr>
      <w:r w:rsidRPr="00B34E9C">
        <w:rPr>
          <w:rFonts w:ascii="Times New Roman" w:hAnsi="Times New Roman" w:cs="Times New Roman"/>
          <w:color w:val="000000" w:themeColor="text1"/>
        </w:rPr>
        <w:t>D</w:t>
      </w:r>
      <w:r w:rsidR="007E170E">
        <w:rPr>
          <w:rFonts w:ascii="Times New Roman" w:hAnsi="Times New Roman" w:cs="Times New Roman"/>
          <w:color w:val="000000" w:themeColor="text1"/>
        </w:rPr>
        <w:t>emand-side Management</w:t>
      </w:r>
      <w:r w:rsidRPr="00B34E9C">
        <w:rPr>
          <w:rFonts w:ascii="Times New Roman" w:hAnsi="Times New Roman" w:cs="Times New Roman"/>
          <w:color w:val="000000" w:themeColor="text1"/>
        </w:rPr>
        <w:t xml:space="preserve"> Filings</w:t>
      </w:r>
      <w:bookmarkEnd w:id="7"/>
      <w:bookmarkEnd w:id="8"/>
    </w:p>
    <w:p w:rsidR="008C6BDB" w:rsidRPr="00B34E9C" w:rsidRDefault="008C6BDB">
      <w:pPr>
        <w:jc w:val="both"/>
      </w:pPr>
    </w:p>
    <w:p w:rsidR="00015D20" w:rsidRPr="00B34E9C" w:rsidRDefault="008C6BDB">
      <w:pPr>
        <w:jc w:val="both"/>
      </w:pPr>
      <w:r w:rsidRPr="00B34E9C">
        <w:t xml:space="preserve">The Company made several </w:t>
      </w:r>
      <w:r w:rsidR="001453DC" w:rsidRPr="00B34E9C">
        <w:t xml:space="preserve">DSM related </w:t>
      </w:r>
      <w:r w:rsidRPr="00B34E9C">
        <w:t>filings with the Commission during calendar year 20</w:t>
      </w:r>
      <w:r w:rsidR="007569FB" w:rsidRPr="00B34E9C">
        <w:t>10</w:t>
      </w:r>
      <w:r w:rsidRPr="00B34E9C">
        <w:t xml:space="preserve">.  The dates of the filings with descriptions are included below. </w:t>
      </w:r>
    </w:p>
    <w:p w:rsidR="008C6BDB" w:rsidRPr="00B34E9C" w:rsidRDefault="008C6BDB">
      <w:pPr>
        <w:jc w:val="both"/>
      </w:pPr>
    </w:p>
    <w:p w:rsidR="00015D20" w:rsidRPr="00B34E9C" w:rsidRDefault="00015D20">
      <w:pPr>
        <w:jc w:val="both"/>
      </w:pPr>
    </w:p>
    <w:tbl>
      <w:tblPr>
        <w:tblStyle w:val="TableGrid"/>
        <w:tblW w:w="0" w:type="auto"/>
        <w:tblLook w:val="04A0"/>
      </w:tblPr>
      <w:tblGrid>
        <w:gridCol w:w="2718"/>
        <w:gridCol w:w="6138"/>
      </w:tblGrid>
      <w:tr w:rsidR="00015D20" w:rsidRPr="00B34E9C" w:rsidTr="0045100F">
        <w:tc>
          <w:tcPr>
            <w:tcW w:w="2718" w:type="dxa"/>
          </w:tcPr>
          <w:p w:rsidR="00015D20" w:rsidRPr="00B34E9C" w:rsidRDefault="00015D20" w:rsidP="0045100F">
            <w:pPr>
              <w:jc w:val="center"/>
              <w:rPr>
                <w:b/>
              </w:rPr>
            </w:pPr>
            <w:r w:rsidRPr="00B34E9C">
              <w:rPr>
                <w:b/>
              </w:rPr>
              <w:t>Date</w:t>
            </w:r>
          </w:p>
        </w:tc>
        <w:tc>
          <w:tcPr>
            <w:tcW w:w="6138" w:type="dxa"/>
          </w:tcPr>
          <w:p w:rsidR="00015D20" w:rsidRPr="00B34E9C" w:rsidRDefault="00015D20" w:rsidP="0045100F">
            <w:pPr>
              <w:jc w:val="center"/>
              <w:rPr>
                <w:b/>
              </w:rPr>
            </w:pPr>
            <w:r w:rsidRPr="00B34E9C">
              <w:rPr>
                <w:b/>
              </w:rPr>
              <w:t>Filing Information/Request</w:t>
            </w:r>
          </w:p>
        </w:tc>
      </w:tr>
      <w:tr w:rsidR="00015D20" w:rsidRPr="00B34E9C" w:rsidTr="0045100F">
        <w:tc>
          <w:tcPr>
            <w:tcW w:w="2718" w:type="dxa"/>
          </w:tcPr>
          <w:p w:rsidR="00015D20" w:rsidRPr="00B34E9C" w:rsidRDefault="00015D20" w:rsidP="0045100F">
            <w:pPr>
              <w:jc w:val="both"/>
            </w:pPr>
            <w:r w:rsidRPr="00B34E9C">
              <w:t>January 29</w:t>
            </w:r>
          </w:p>
        </w:tc>
        <w:tc>
          <w:tcPr>
            <w:tcW w:w="6138" w:type="dxa"/>
          </w:tcPr>
          <w:p w:rsidR="004F0990" w:rsidRPr="00B34E9C" w:rsidRDefault="00015D20" w:rsidP="003A348C">
            <w:pPr>
              <w:jc w:val="both"/>
              <w:rPr>
                <w:b/>
              </w:rPr>
            </w:pPr>
            <w:r w:rsidRPr="00B34E9C">
              <w:t xml:space="preserve">The </w:t>
            </w:r>
            <w:r w:rsidR="003A348C" w:rsidRPr="00B34E9C">
              <w:t>C</w:t>
            </w:r>
            <w:r w:rsidRPr="00B34E9C">
              <w:t>ompany’s ten-year achievable conservation potential</w:t>
            </w:r>
            <w:r w:rsidR="003A348C" w:rsidRPr="00B34E9C">
              <w:t>,</w:t>
            </w:r>
            <w:r w:rsidRPr="00B34E9C">
              <w:t xml:space="preserve"> its biennial conservation target for 2010 and 2011 and a description of the process used in the development of the targets and potential </w:t>
            </w:r>
          </w:p>
        </w:tc>
      </w:tr>
      <w:tr w:rsidR="00015D20" w:rsidRPr="00B34E9C" w:rsidTr="0045100F">
        <w:tc>
          <w:tcPr>
            <w:tcW w:w="2718" w:type="dxa"/>
          </w:tcPr>
          <w:p w:rsidR="00015D20" w:rsidRPr="00B34E9C" w:rsidRDefault="00015D20" w:rsidP="0045100F">
            <w:pPr>
              <w:jc w:val="both"/>
            </w:pPr>
            <w:r w:rsidRPr="00B34E9C">
              <w:t>February 12</w:t>
            </w:r>
          </w:p>
        </w:tc>
        <w:tc>
          <w:tcPr>
            <w:tcW w:w="6138" w:type="dxa"/>
          </w:tcPr>
          <w:p w:rsidR="004F0990" w:rsidRPr="00B34E9C" w:rsidRDefault="00015D20">
            <w:pPr>
              <w:jc w:val="both"/>
              <w:rPr>
                <w:b/>
              </w:rPr>
            </w:pPr>
            <w:r w:rsidRPr="00B34E9C">
              <w:t>Annual report for 2009 on DSM expenditures and SBC collections</w:t>
            </w:r>
          </w:p>
        </w:tc>
      </w:tr>
      <w:tr w:rsidR="00015D20" w:rsidRPr="00B34E9C" w:rsidTr="0045100F">
        <w:tc>
          <w:tcPr>
            <w:tcW w:w="2718" w:type="dxa"/>
          </w:tcPr>
          <w:p w:rsidR="00015D20" w:rsidRPr="00B34E9C" w:rsidRDefault="00015D20" w:rsidP="0045100F">
            <w:pPr>
              <w:jc w:val="both"/>
            </w:pPr>
            <w:r w:rsidRPr="00B34E9C">
              <w:t>July 2</w:t>
            </w:r>
          </w:p>
        </w:tc>
        <w:tc>
          <w:tcPr>
            <w:tcW w:w="6138" w:type="dxa"/>
          </w:tcPr>
          <w:p w:rsidR="004F0990" w:rsidRPr="00B34E9C" w:rsidRDefault="00015D20" w:rsidP="003A348C">
            <w:pPr>
              <w:jc w:val="both"/>
              <w:rPr>
                <w:b/>
              </w:rPr>
            </w:pPr>
            <w:r w:rsidRPr="00B34E9C">
              <w:t xml:space="preserve">Revised report reflecting the comments of parties which identified the </w:t>
            </w:r>
            <w:r w:rsidR="003A348C" w:rsidRPr="00B34E9C">
              <w:t>C</w:t>
            </w:r>
            <w:r w:rsidRPr="00B34E9C">
              <w:t xml:space="preserve">ompany’s ten-year achievable conservation potential and its biennial conservation target for 2010 and 2011 </w:t>
            </w:r>
          </w:p>
        </w:tc>
      </w:tr>
      <w:tr w:rsidR="00015D20" w:rsidRPr="00B34E9C" w:rsidTr="0045100F">
        <w:tc>
          <w:tcPr>
            <w:tcW w:w="2718" w:type="dxa"/>
          </w:tcPr>
          <w:p w:rsidR="00015D20" w:rsidRPr="00B34E9C" w:rsidRDefault="00015D20" w:rsidP="0045100F">
            <w:pPr>
              <w:jc w:val="both"/>
            </w:pPr>
            <w:r w:rsidRPr="00B34E9C">
              <w:t>August 13</w:t>
            </w:r>
          </w:p>
        </w:tc>
        <w:tc>
          <w:tcPr>
            <w:tcW w:w="6138" w:type="dxa"/>
          </w:tcPr>
          <w:p w:rsidR="00015D20" w:rsidRPr="00B34E9C" w:rsidRDefault="00015D20" w:rsidP="0045100F">
            <w:pPr>
              <w:jc w:val="both"/>
              <w:rPr>
                <w:b/>
              </w:rPr>
            </w:pPr>
            <w:r w:rsidRPr="00B34E9C">
              <w:t>Semi-annual report containing DSM expenditures and SBC collections from Jan 2010 to June 2010</w:t>
            </w:r>
          </w:p>
        </w:tc>
      </w:tr>
      <w:tr w:rsidR="00015D20" w:rsidRPr="00B34E9C" w:rsidTr="0045100F">
        <w:tc>
          <w:tcPr>
            <w:tcW w:w="2718" w:type="dxa"/>
          </w:tcPr>
          <w:p w:rsidR="00015D20" w:rsidRPr="00B34E9C" w:rsidRDefault="00015D20" w:rsidP="0045100F">
            <w:pPr>
              <w:jc w:val="both"/>
            </w:pPr>
            <w:r w:rsidRPr="00B34E9C">
              <w:t>November 1</w:t>
            </w:r>
          </w:p>
        </w:tc>
        <w:tc>
          <w:tcPr>
            <w:tcW w:w="6138" w:type="dxa"/>
          </w:tcPr>
          <w:p w:rsidR="00015D20" w:rsidRPr="00B34E9C" w:rsidRDefault="00015D20" w:rsidP="0045100F">
            <w:pPr>
              <w:jc w:val="both"/>
              <w:rPr>
                <w:b/>
              </w:rPr>
            </w:pPr>
            <w:r w:rsidRPr="00B34E9C">
              <w:t>Updated 2010/2011 Washington DSM business plan</w:t>
            </w:r>
          </w:p>
        </w:tc>
      </w:tr>
    </w:tbl>
    <w:p w:rsidR="008C6BDB" w:rsidRDefault="008C6BDB">
      <w:pPr>
        <w:jc w:val="both"/>
      </w:pPr>
    </w:p>
    <w:p w:rsidR="00F50C69" w:rsidRDefault="00F50C69">
      <w:pPr>
        <w:jc w:val="both"/>
      </w:pPr>
    </w:p>
    <w:p w:rsidR="00F50C69" w:rsidRPr="00B34E9C" w:rsidRDefault="00F50C69">
      <w:pPr>
        <w:jc w:val="both"/>
      </w:pPr>
    </w:p>
    <w:p w:rsidR="00CB3356" w:rsidRPr="00B34E9C" w:rsidRDefault="00CB3356" w:rsidP="00CB3356"/>
    <w:p w:rsidR="00CB3356" w:rsidRPr="00B34E9C" w:rsidRDefault="00864DCF" w:rsidP="00CB3356">
      <w:pPr>
        <w:rPr>
          <w:b/>
          <w:sz w:val="32"/>
          <w:szCs w:val="32"/>
        </w:rPr>
      </w:pPr>
      <w:r w:rsidRPr="00B34E9C">
        <w:rPr>
          <w:b/>
          <w:sz w:val="32"/>
          <w:szCs w:val="32"/>
        </w:rPr>
        <w:t>Tariff mod</w:t>
      </w:r>
      <w:r w:rsidR="00F50C69">
        <w:rPr>
          <w:b/>
          <w:sz w:val="32"/>
          <w:szCs w:val="32"/>
        </w:rPr>
        <w:t>ification occurring during 2010</w:t>
      </w:r>
    </w:p>
    <w:p w:rsidR="00CB3356" w:rsidRPr="00B34E9C" w:rsidRDefault="00CB3356" w:rsidP="00CB3356"/>
    <w:p w:rsidR="001E05FF" w:rsidRPr="00B34E9C" w:rsidRDefault="001E05FF" w:rsidP="001E05FF">
      <w:pPr>
        <w:jc w:val="both"/>
      </w:pPr>
      <w:r w:rsidRPr="00B34E9C">
        <w:t xml:space="preserve">Modifications to the FinAnswer Express program were </w:t>
      </w:r>
      <w:r w:rsidR="005675FF" w:rsidRPr="00B34E9C">
        <w:t>discussed with the DSM Advisory Group on September 23.</w:t>
      </w:r>
      <w:r w:rsidRPr="00B34E9C">
        <w:t xml:space="preserve"> The notification of the changes was posted on the Company’s website</w:t>
      </w:r>
      <w:r w:rsidR="005675FF" w:rsidRPr="00B34E9C">
        <w:t xml:space="preserve"> on</w:t>
      </w:r>
      <w:r w:rsidRPr="00B34E9C">
        <w:t xml:space="preserve"> October 6 and the changes became effective on November 20. The changes were primarily to update the program to align with changes in codes, standards, and specifications.  </w:t>
      </w:r>
    </w:p>
    <w:p w:rsidR="00CB3356" w:rsidRPr="00B34E9C" w:rsidRDefault="00CB3356" w:rsidP="00CB3356"/>
    <w:p w:rsidR="00C27914" w:rsidRPr="00B34E9C" w:rsidRDefault="008C6BDB" w:rsidP="00413179">
      <w:pPr>
        <w:pStyle w:val="Heading1"/>
        <w:jc w:val="both"/>
        <w:rPr>
          <w:rFonts w:ascii="Times New Roman" w:hAnsi="Times New Roman" w:cs="Times New Roman"/>
        </w:rPr>
      </w:pPr>
      <w:r w:rsidRPr="00B34E9C">
        <w:rPr>
          <w:rFonts w:ascii="Times New Roman" w:hAnsi="Times New Roman" w:cs="Times New Roman"/>
        </w:rPr>
        <w:br w:type="page"/>
      </w:r>
      <w:bookmarkStart w:id="9" w:name="_Toc234046347"/>
      <w:bookmarkStart w:id="10" w:name="_Toc288484123"/>
      <w:bookmarkStart w:id="11" w:name="_Toc289064242"/>
      <w:r w:rsidR="00C27914" w:rsidRPr="00B34E9C">
        <w:rPr>
          <w:rFonts w:ascii="Times New Roman" w:hAnsi="Times New Roman" w:cs="Times New Roman"/>
        </w:rPr>
        <w:t>20</w:t>
      </w:r>
      <w:r w:rsidR="00FD3AC1" w:rsidRPr="00B34E9C">
        <w:rPr>
          <w:rFonts w:ascii="Times New Roman" w:hAnsi="Times New Roman" w:cs="Times New Roman"/>
        </w:rPr>
        <w:t>10</w:t>
      </w:r>
      <w:r w:rsidR="00C27914" w:rsidRPr="00B34E9C">
        <w:rPr>
          <w:rFonts w:ascii="Times New Roman" w:hAnsi="Times New Roman" w:cs="Times New Roman"/>
        </w:rPr>
        <w:t xml:space="preserve"> Performance </w:t>
      </w:r>
      <w:bookmarkEnd w:id="9"/>
      <w:r w:rsidR="00413179" w:rsidRPr="00B34E9C">
        <w:rPr>
          <w:rFonts w:ascii="Times New Roman" w:hAnsi="Times New Roman" w:cs="Times New Roman"/>
        </w:rPr>
        <w:t>and Activity</w:t>
      </w:r>
      <w:bookmarkEnd w:id="10"/>
      <w:bookmarkEnd w:id="11"/>
    </w:p>
    <w:p w:rsidR="008C6BDB" w:rsidRPr="00B34E9C" w:rsidRDefault="008C6BDB" w:rsidP="002810D1">
      <w:pPr>
        <w:jc w:val="both"/>
      </w:pPr>
    </w:p>
    <w:p w:rsidR="008C6BDB" w:rsidRPr="00B34E9C" w:rsidRDefault="008C6BDB" w:rsidP="002810D1">
      <w:pPr>
        <w:jc w:val="both"/>
      </w:pPr>
      <w:r w:rsidRPr="00B34E9C">
        <w:t>In 20</w:t>
      </w:r>
      <w:r w:rsidR="009B6E2F" w:rsidRPr="00B34E9C">
        <w:t>10</w:t>
      </w:r>
      <w:r w:rsidRPr="00B34E9C">
        <w:t>, PacifiCorp achieved total savings of</w:t>
      </w:r>
      <w:r w:rsidRPr="00B34E9C">
        <w:rPr>
          <w:b/>
          <w:bCs/>
        </w:rPr>
        <w:t xml:space="preserve"> </w:t>
      </w:r>
      <w:proofErr w:type="gramStart"/>
      <w:r w:rsidR="000467FE" w:rsidRPr="00B34E9C">
        <w:rPr>
          <w:b/>
          <w:bCs/>
        </w:rPr>
        <w:t>41,727,271</w:t>
      </w:r>
      <w:r w:rsidR="00FD3AC1" w:rsidRPr="00B34E9C">
        <w:rPr>
          <w:b/>
          <w:bCs/>
        </w:rPr>
        <w:t xml:space="preserve"> </w:t>
      </w:r>
      <w:r w:rsidRPr="00B34E9C">
        <w:rPr>
          <w:b/>
          <w:bCs/>
        </w:rPr>
        <w:t>kWh/year</w:t>
      </w:r>
      <w:r w:rsidR="00E8462C" w:rsidRPr="00B34E9C">
        <w:rPr>
          <w:b/>
          <w:bCs/>
        </w:rPr>
        <w:t>,</w:t>
      </w:r>
      <w:proofErr w:type="gramEnd"/>
      <w:r w:rsidRPr="00B34E9C">
        <w:rPr>
          <w:b/>
          <w:bCs/>
        </w:rPr>
        <w:t xml:space="preserve"> or 4.</w:t>
      </w:r>
      <w:r w:rsidR="000467FE" w:rsidRPr="00B34E9C">
        <w:rPr>
          <w:b/>
          <w:bCs/>
        </w:rPr>
        <w:t>76</w:t>
      </w:r>
      <w:r w:rsidRPr="00B34E9C">
        <w:rPr>
          <w:b/>
          <w:bCs/>
        </w:rPr>
        <w:t xml:space="preserve"> </w:t>
      </w:r>
      <w:proofErr w:type="spellStart"/>
      <w:r w:rsidRPr="00B34E9C">
        <w:rPr>
          <w:b/>
          <w:bCs/>
        </w:rPr>
        <w:t>aMW</w:t>
      </w:r>
      <w:proofErr w:type="spellEnd"/>
      <w:r w:rsidRPr="00B34E9C">
        <w:rPr>
          <w:b/>
          <w:bCs/>
        </w:rPr>
        <w:t xml:space="preserve"> </w:t>
      </w:r>
      <w:r w:rsidRPr="00B34E9C">
        <w:t xml:space="preserve">in the State of Washington (at generation).  Table </w:t>
      </w:r>
      <w:r w:rsidR="000F50EE" w:rsidRPr="00B34E9C">
        <w:t>2</w:t>
      </w:r>
      <w:r w:rsidRPr="00B34E9C">
        <w:t xml:space="preserve"> below shows savings by program and by sector</w:t>
      </w:r>
      <w:r w:rsidRPr="00B34E9C">
        <w:rPr>
          <w:rStyle w:val="FootnoteReference"/>
        </w:rPr>
        <w:footnoteReference w:id="1"/>
      </w:r>
      <w:r w:rsidRPr="00B34E9C">
        <w:t>.</w:t>
      </w:r>
    </w:p>
    <w:p w:rsidR="008C6BDB" w:rsidRPr="00B34E9C" w:rsidRDefault="008C6BDB" w:rsidP="002810D1">
      <w:pPr>
        <w:jc w:val="both"/>
      </w:pPr>
    </w:p>
    <w:p w:rsidR="008C6BDB" w:rsidRPr="00B34E9C" w:rsidRDefault="008C6BDB">
      <w:pPr>
        <w:pStyle w:val="tabletitle"/>
      </w:pPr>
      <w:bookmarkStart w:id="12" w:name="_Toc233606217"/>
      <w:bookmarkStart w:id="13" w:name="_Toc288483637"/>
      <w:r w:rsidRPr="00B34E9C">
        <w:t>T</w:t>
      </w:r>
      <w:r w:rsidR="00FD3AC1" w:rsidRPr="00B34E9C">
        <w:t>able 2 – 2010</w:t>
      </w:r>
      <w:r w:rsidRPr="00B34E9C">
        <w:t xml:space="preserve"> Performance</w:t>
      </w:r>
      <w:bookmarkEnd w:id="12"/>
      <w:r w:rsidRPr="00B34E9C">
        <w:rPr>
          <w:rStyle w:val="FootnoteReference"/>
        </w:rPr>
        <w:footnoteReference w:id="2"/>
      </w:r>
      <w:bookmarkEnd w:id="13"/>
    </w:p>
    <w:p w:rsidR="00DD7048" w:rsidRPr="00B34E9C" w:rsidRDefault="00DD7048" w:rsidP="00DE5C48">
      <w:pPr>
        <w:rPr>
          <w:b/>
          <w:bCs/>
          <w:u w:val="single"/>
        </w:rPr>
      </w:pPr>
    </w:p>
    <w:p w:rsidR="000825A1" w:rsidRPr="00B34E9C" w:rsidRDefault="00555241" w:rsidP="000825A1">
      <w:pPr>
        <w:rPr>
          <w:b/>
          <w:bCs/>
          <w:u w:val="single"/>
        </w:rPr>
      </w:pPr>
      <w:r w:rsidRPr="00555241">
        <w:rPr>
          <w:noProof/>
          <w:lang w:eastAsia="en-US"/>
        </w:rPr>
        <w:drawing>
          <wp:inline distT="0" distB="0" distL="0" distR="0">
            <wp:extent cx="5486400" cy="4399069"/>
            <wp:effectExtent l="1905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5486400" cy="4399069"/>
                    </a:xfrm>
                    <a:prstGeom prst="rect">
                      <a:avLst/>
                    </a:prstGeom>
                    <a:noFill/>
                    <a:ln w="9525">
                      <a:noFill/>
                      <a:miter lim="800000"/>
                      <a:headEnd/>
                      <a:tailEnd/>
                    </a:ln>
                  </pic:spPr>
                </pic:pic>
              </a:graphicData>
            </a:graphic>
          </wp:inline>
        </w:drawing>
      </w:r>
    </w:p>
    <w:p w:rsidR="000825A1" w:rsidRPr="00B34E9C" w:rsidRDefault="000825A1" w:rsidP="000825A1">
      <w:pPr>
        <w:rPr>
          <w:b/>
          <w:bCs/>
          <w:u w:val="single"/>
        </w:rPr>
      </w:pPr>
    </w:p>
    <w:p w:rsidR="005435F3" w:rsidRPr="00B34E9C" w:rsidRDefault="005435F3" w:rsidP="000825A1">
      <w:pPr>
        <w:rPr>
          <w:b/>
          <w:bCs/>
        </w:rPr>
      </w:pPr>
    </w:p>
    <w:p w:rsidR="005435F3" w:rsidRDefault="005435F3" w:rsidP="000825A1">
      <w:pPr>
        <w:rPr>
          <w:b/>
          <w:bCs/>
        </w:rPr>
      </w:pPr>
    </w:p>
    <w:p w:rsidR="00555241" w:rsidRPr="00B34E9C" w:rsidRDefault="00555241" w:rsidP="000825A1">
      <w:pPr>
        <w:rPr>
          <w:b/>
          <w:bCs/>
        </w:rPr>
      </w:pPr>
    </w:p>
    <w:p w:rsidR="008C6BDB" w:rsidRPr="00B34E9C" w:rsidRDefault="00864DCF" w:rsidP="000825A1">
      <w:pPr>
        <w:rPr>
          <w:b/>
          <w:bCs/>
        </w:rPr>
      </w:pPr>
      <w:r w:rsidRPr="00B34E9C">
        <w:rPr>
          <w:b/>
          <w:bCs/>
        </w:rPr>
        <w:t>Major Trends and Activities</w:t>
      </w:r>
    </w:p>
    <w:p w:rsidR="008C6BDB" w:rsidRPr="00B34E9C" w:rsidRDefault="008C6BDB">
      <w:pPr>
        <w:jc w:val="both"/>
      </w:pPr>
    </w:p>
    <w:p w:rsidR="00354B2F" w:rsidRPr="0024323A" w:rsidRDefault="00354B2F" w:rsidP="00354B2F">
      <w:pPr>
        <w:jc w:val="both"/>
      </w:pPr>
      <w:r w:rsidRPr="00B34E9C">
        <w:t xml:space="preserve">In 2010, the Company realized a decrease in overall energy efficiency savings of </w:t>
      </w:r>
      <w:r w:rsidR="00587C0A" w:rsidRPr="00B34E9C">
        <w:t>11</w:t>
      </w:r>
      <w:r w:rsidRPr="00B34E9C">
        <w:t xml:space="preserve"> percent compared to 2009. At a sector leve</w:t>
      </w:r>
      <w:r w:rsidR="00782745" w:rsidRPr="00B34E9C">
        <w:t>l</w:t>
      </w:r>
      <w:r w:rsidRPr="00B34E9C">
        <w:t xml:space="preserve">, the residential sector savings decreased </w:t>
      </w:r>
      <w:r w:rsidR="00E87BD1" w:rsidRPr="00B34E9C">
        <w:t>3</w:t>
      </w:r>
      <w:r w:rsidRPr="00B34E9C">
        <w:t xml:space="preserve"> percent on a kWh/year basis compared to 2009. The commercial sector delivered approximately </w:t>
      </w:r>
      <w:r w:rsidR="00E87BD1" w:rsidRPr="00B34E9C">
        <w:t>88</w:t>
      </w:r>
      <w:r w:rsidRPr="00B34E9C">
        <w:t xml:space="preserve"> percent more kWh/year savings than in 2009. </w:t>
      </w:r>
      <w:r w:rsidR="0024323A" w:rsidRPr="0024323A">
        <w:t>The industrial savings decreased 44 percent in 2010 compared to 2009</w:t>
      </w:r>
    </w:p>
    <w:p w:rsidR="00354B2F" w:rsidRPr="00B34E9C" w:rsidRDefault="00354B2F" w:rsidP="00354B2F">
      <w:pPr>
        <w:jc w:val="both"/>
      </w:pPr>
    </w:p>
    <w:p w:rsidR="009A18D4" w:rsidRDefault="00354B2F" w:rsidP="00354B2F">
      <w:pPr>
        <w:jc w:val="both"/>
      </w:pPr>
      <w:r w:rsidRPr="00B34E9C">
        <w:t xml:space="preserve">Expenditures related to program delivery </w:t>
      </w:r>
      <w:r w:rsidR="00E87BD1" w:rsidRPr="00B34E9C">
        <w:t>increased</w:t>
      </w:r>
      <w:r w:rsidRPr="00B34E9C">
        <w:t xml:space="preserve"> in 2010 as compared to 2009. Overall portfolio expenditures </w:t>
      </w:r>
      <w:r w:rsidR="00623BA0" w:rsidRPr="00B34E9C">
        <w:t>in</w:t>
      </w:r>
      <w:r w:rsidRPr="00B34E9C">
        <w:t>creased by 1</w:t>
      </w:r>
      <w:r w:rsidR="00AE652C" w:rsidRPr="00B34E9C">
        <w:t>6</w:t>
      </w:r>
      <w:r w:rsidRPr="00B34E9C">
        <w:t xml:space="preserve"> percent compared to 2009, energy efficiency programs </w:t>
      </w:r>
      <w:r w:rsidR="00623BA0" w:rsidRPr="00B34E9C">
        <w:t>in</w:t>
      </w:r>
      <w:r w:rsidRPr="00B34E9C">
        <w:t xml:space="preserve">creased </w:t>
      </w:r>
      <w:r w:rsidR="00623BA0" w:rsidRPr="00B34E9C">
        <w:t>8</w:t>
      </w:r>
      <w:r w:rsidRPr="00B34E9C">
        <w:t xml:space="preserve"> percent and </w:t>
      </w:r>
      <w:r w:rsidR="00623BA0" w:rsidRPr="00B34E9C">
        <w:t xml:space="preserve">NEEA expenditures increased 78 percent in 2010 compared to 2009. </w:t>
      </w:r>
      <w:r w:rsidRPr="00B34E9C">
        <w:t xml:space="preserve"> At a sector level, residential energy efficiency expenditures </w:t>
      </w:r>
      <w:r w:rsidR="00623BA0" w:rsidRPr="00B34E9C">
        <w:t>in</w:t>
      </w:r>
      <w:r w:rsidRPr="00B34E9C">
        <w:t xml:space="preserve">creased by </w:t>
      </w:r>
      <w:r w:rsidR="00623BA0" w:rsidRPr="00B34E9C">
        <w:t>7</w:t>
      </w:r>
      <w:r w:rsidRPr="00B34E9C">
        <w:t xml:space="preserve"> percent while expenditures for commercial increased by </w:t>
      </w:r>
      <w:r w:rsidR="00D47CDE" w:rsidRPr="00B34E9C">
        <w:t>70</w:t>
      </w:r>
      <w:r w:rsidRPr="00B34E9C">
        <w:t xml:space="preserve"> percent and industrial decreased by </w:t>
      </w:r>
      <w:r w:rsidR="00623BA0" w:rsidRPr="00B34E9C">
        <w:t>1</w:t>
      </w:r>
      <w:r w:rsidRPr="00B34E9C">
        <w:t>3 percent.</w:t>
      </w:r>
    </w:p>
    <w:p w:rsidR="0024323A" w:rsidRDefault="0024323A" w:rsidP="00354B2F">
      <w:pPr>
        <w:jc w:val="both"/>
      </w:pPr>
    </w:p>
    <w:p w:rsidR="0024323A" w:rsidRPr="0024323A" w:rsidRDefault="0024323A" w:rsidP="0024323A">
      <w:pPr>
        <w:jc w:val="both"/>
      </w:pPr>
      <w:r w:rsidRPr="0024323A">
        <w:t xml:space="preserve">The increase in commercial savings and expenditures was primarily driven from one lighting project.  The industrial savings decrease was impacted by the economic downturn.  </w:t>
      </w:r>
    </w:p>
    <w:p w:rsidR="0024323A" w:rsidRPr="00B34E9C" w:rsidRDefault="0024323A" w:rsidP="00354B2F">
      <w:pPr>
        <w:jc w:val="both"/>
      </w:pPr>
    </w:p>
    <w:p w:rsidR="008C6BDB" w:rsidRPr="00B34E9C" w:rsidRDefault="008C6BDB" w:rsidP="00952A6B">
      <w:pPr>
        <w:jc w:val="both"/>
      </w:pPr>
    </w:p>
    <w:p w:rsidR="008C6BDB" w:rsidRPr="00B34E9C" w:rsidRDefault="008C6BDB">
      <w:pPr>
        <w:jc w:val="both"/>
        <w:rPr>
          <w:b/>
        </w:rPr>
      </w:pPr>
      <w:r w:rsidRPr="00B34E9C">
        <w:rPr>
          <w:b/>
        </w:rPr>
        <w:t>Program Evaluations</w:t>
      </w:r>
    </w:p>
    <w:p w:rsidR="001357FB" w:rsidRPr="00B34E9C" w:rsidRDefault="001357FB">
      <w:pPr>
        <w:jc w:val="both"/>
      </w:pPr>
    </w:p>
    <w:p w:rsidR="00163304" w:rsidRDefault="008C6BDB">
      <w:pPr>
        <w:jc w:val="both"/>
      </w:pPr>
      <w:r w:rsidRPr="00B34E9C">
        <w:t xml:space="preserve">In </w:t>
      </w:r>
      <w:r w:rsidR="00FD3AC1" w:rsidRPr="00B34E9C">
        <w:t>2010</w:t>
      </w:r>
      <w:r w:rsidRPr="00B34E9C">
        <w:t xml:space="preserve">, the Company </w:t>
      </w:r>
      <w:r w:rsidR="00FD3AC1" w:rsidRPr="00B34E9C">
        <w:t>completed</w:t>
      </w:r>
      <w:r w:rsidRPr="00B34E9C">
        <w:t xml:space="preserve"> process and impact evaluations for</w:t>
      </w:r>
      <w:r w:rsidR="00E07D79" w:rsidRPr="00B34E9C">
        <w:t xml:space="preserve"> the</w:t>
      </w:r>
      <w:r w:rsidRPr="00B34E9C">
        <w:t xml:space="preserve"> Home Energy Savings, See </w:t>
      </w:r>
      <w:proofErr w:type="spellStart"/>
      <w:r w:rsidR="00A559BF" w:rsidRPr="00B34E9C">
        <w:t>y</w:t>
      </w:r>
      <w:r w:rsidRPr="00B34E9C">
        <w:t>a</w:t>
      </w:r>
      <w:proofErr w:type="spellEnd"/>
      <w:r w:rsidRPr="00B34E9C">
        <w:t xml:space="preserve"> </w:t>
      </w:r>
      <w:r w:rsidR="00A559BF" w:rsidRPr="00B34E9C">
        <w:t>l</w:t>
      </w:r>
      <w:r w:rsidRPr="00B34E9C">
        <w:t>ater</w:t>
      </w:r>
      <w:r w:rsidR="00A559BF" w:rsidRPr="00B34E9C">
        <w:t>,</w:t>
      </w:r>
      <w:r w:rsidRPr="00B34E9C">
        <w:t xml:space="preserve"> </w:t>
      </w:r>
      <w:r w:rsidR="00A559BF" w:rsidRPr="00B34E9C">
        <w:t>r</w:t>
      </w:r>
      <w:r w:rsidRPr="00B34E9C">
        <w:t>efrigerator</w:t>
      </w:r>
      <w:r w:rsidR="00AF4536" w:rsidRPr="00B34E9C">
        <w:rPr>
          <w:b/>
          <w:bCs/>
          <w:color w:val="333333"/>
          <w:sz w:val="18"/>
          <w:szCs w:val="18"/>
        </w:rPr>
        <w:t>®</w:t>
      </w:r>
      <w:r w:rsidRPr="00B34E9C">
        <w:t>, Energy FinAnswer and FinAnswer Express programs in Washington</w:t>
      </w:r>
      <w:r w:rsidR="00C409BE" w:rsidRPr="00B34E9C">
        <w:t>.</w:t>
      </w:r>
      <w:r w:rsidRPr="00B34E9C">
        <w:t xml:space="preserve">  The results of these evaluations</w:t>
      </w:r>
      <w:r w:rsidR="009F7E13" w:rsidRPr="00B34E9C">
        <w:t xml:space="preserve"> are available on PacifiCorp’s website at </w:t>
      </w:r>
      <w:hyperlink r:id="rId9" w:history="1">
        <w:r w:rsidR="009F7E13" w:rsidRPr="00B34E9C">
          <w:rPr>
            <w:rStyle w:val="Hyperlink"/>
          </w:rPr>
          <w:t>http://www.pacificorp.com/es/dsm/washington.html</w:t>
        </w:r>
      </w:hyperlink>
      <w:r w:rsidR="00B15B2E">
        <w:t xml:space="preserve">. </w:t>
      </w:r>
    </w:p>
    <w:p w:rsidR="00B15B2E" w:rsidRDefault="00B15B2E">
      <w:pPr>
        <w:jc w:val="both"/>
      </w:pPr>
    </w:p>
    <w:p w:rsidR="00B15B2E" w:rsidRDefault="00B15B2E">
      <w:pPr>
        <w:jc w:val="both"/>
      </w:pPr>
      <w:r>
        <w:t xml:space="preserve">In 2010 the Company </w:t>
      </w:r>
      <w:r w:rsidR="007E170E">
        <w:t>spent $</w:t>
      </w:r>
      <w:r w:rsidR="0081268D">
        <w:t>671,890</w:t>
      </w:r>
      <w:r>
        <w:t xml:space="preserve"> on </w:t>
      </w:r>
      <w:r w:rsidR="007E170E">
        <w:t>third-party program impact and process evaluations</w:t>
      </w:r>
      <w:r w:rsidR="0081268D">
        <w:t xml:space="preserve"> which </w:t>
      </w:r>
      <w:r w:rsidR="007E170E">
        <w:t xml:space="preserve">represented </w:t>
      </w:r>
      <w:r w:rsidR="0081268D">
        <w:t>8.7</w:t>
      </w:r>
      <w:r w:rsidR="007E170E">
        <w:t xml:space="preserve"> percent of the 2010 annual program expenditures. While the costs exceeded the targeted 4-6 percent spending on Evaluation, Measurement and Verification (EM&amp;V)</w:t>
      </w:r>
      <w:r w:rsidR="0081268D">
        <w:t>,</w:t>
      </w:r>
      <w:r w:rsidR="007E170E">
        <w:t xml:space="preserve"> the 2010 evaluation activity represents multi-program and year evaluation work conducted to bring the Company’s program evaluations up-to-date and current. The Company’s scheduled 2011 EM&amp;V activity reflects a more scheduled approach in EM&amp;V planning and expenditures going forward. </w:t>
      </w:r>
    </w:p>
    <w:p w:rsidR="0081268D" w:rsidRPr="00B34E9C" w:rsidRDefault="0081268D">
      <w:pPr>
        <w:jc w:val="both"/>
        <w:sectPr w:rsidR="0081268D" w:rsidRPr="00B34E9C" w:rsidSect="001230B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p>
    <w:p w:rsidR="00163304" w:rsidRPr="00B34E9C" w:rsidRDefault="00163304" w:rsidP="00163304">
      <w:pPr>
        <w:pStyle w:val="Heading1"/>
        <w:rPr>
          <w:rFonts w:ascii="Times New Roman" w:hAnsi="Times New Roman" w:cs="Times New Roman"/>
        </w:rPr>
      </w:pPr>
      <w:bookmarkStart w:id="14" w:name="_Toc288484124"/>
      <w:bookmarkStart w:id="15" w:name="_Toc289064243"/>
      <w:r w:rsidRPr="00B34E9C">
        <w:rPr>
          <w:rFonts w:ascii="Times New Roman" w:hAnsi="Times New Roman" w:cs="Times New Roman"/>
        </w:rPr>
        <w:t xml:space="preserve">2010 </w:t>
      </w:r>
      <w:r w:rsidR="000F0807" w:rsidRPr="00B34E9C">
        <w:rPr>
          <w:rFonts w:ascii="Times New Roman" w:hAnsi="Times New Roman" w:cs="Times New Roman"/>
        </w:rPr>
        <w:t>Business Plan Budget c</w:t>
      </w:r>
      <w:r w:rsidRPr="00B34E9C">
        <w:rPr>
          <w:rFonts w:ascii="Times New Roman" w:hAnsi="Times New Roman" w:cs="Times New Roman"/>
        </w:rPr>
        <w:t xml:space="preserve">ompared to </w:t>
      </w:r>
      <w:bookmarkEnd w:id="14"/>
      <w:r w:rsidR="000F0807" w:rsidRPr="00B34E9C">
        <w:rPr>
          <w:rFonts w:ascii="Times New Roman" w:hAnsi="Times New Roman" w:cs="Times New Roman"/>
        </w:rPr>
        <w:t>Actual</w:t>
      </w:r>
      <w:bookmarkEnd w:id="15"/>
      <w:r w:rsidRPr="00B34E9C">
        <w:rPr>
          <w:rFonts w:ascii="Times New Roman" w:hAnsi="Times New Roman" w:cs="Times New Roman"/>
        </w:rPr>
        <w:t xml:space="preserve"> </w:t>
      </w:r>
    </w:p>
    <w:p w:rsidR="00163304" w:rsidRPr="00B34E9C" w:rsidRDefault="00163304" w:rsidP="00163304">
      <w:r w:rsidRPr="00B34E9C">
        <w:t>The Company</w:t>
      </w:r>
      <w:r w:rsidR="00655D1A" w:rsidRPr="00B34E9C">
        <w:t>,</w:t>
      </w:r>
      <w:r w:rsidRPr="00B34E9C">
        <w:t xml:space="preserve"> </w:t>
      </w:r>
      <w:r w:rsidR="00C516E9" w:rsidRPr="00B34E9C">
        <w:t>consistent</w:t>
      </w:r>
      <w:r w:rsidRPr="00B34E9C">
        <w:t xml:space="preserve"> with requirements under Docket UE-100170, Order 02, </w:t>
      </w:r>
      <w:r w:rsidR="007707C4" w:rsidRPr="00B34E9C">
        <w:t>Ordering Paragraph</w:t>
      </w:r>
      <w:r w:rsidRPr="00B34E9C">
        <w:t xml:space="preserve"> (8)(c)</w:t>
      </w:r>
      <w:r w:rsidR="00655D1A" w:rsidRPr="00B34E9C">
        <w:t>,</w:t>
      </w:r>
      <w:r w:rsidR="007707C4" w:rsidRPr="00B34E9C">
        <w:t xml:space="preserve"> </w:t>
      </w:r>
      <w:r w:rsidRPr="00B34E9C">
        <w:t>provide</w:t>
      </w:r>
      <w:r w:rsidR="007707C4" w:rsidRPr="00B34E9C">
        <w:t>s</w:t>
      </w:r>
      <w:r w:rsidRPr="00B34E9C">
        <w:t xml:space="preserve"> Table </w:t>
      </w:r>
      <w:r w:rsidR="000F50EE" w:rsidRPr="00B34E9C">
        <w:t>3</w:t>
      </w:r>
      <w:r w:rsidRPr="00B34E9C">
        <w:t xml:space="preserve"> </w:t>
      </w:r>
      <w:r w:rsidR="00882294" w:rsidRPr="00B34E9C">
        <w:t xml:space="preserve">which </w:t>
      </w:r>
      <w:r w:rsidRPr="00B34E9C">
        <w:t>compar</w:t>
      </w:r>
      <w:r w:rsidR="00882294" w:rsidRPr="00B34E9C">
        <w:t>es</w:t>
      </w:r>
      <w:r w:rsidRPr="00B34E9C">
        <w:t xml:space="preserve"> </w:t>
      </w:r>
      <w:r w:rsidR="00882294" w:rsidRPr="00B34E9C">
        <w:t xml:space="preserve">the Company’s July </w:t>
      </w:r>
      <w:r w:rsidRPr="00B34E9C">
        <w:t xml:space="preserve">2010 </w:t>
      </w:r>
      <w:r w:rsidR="000E5172" w:rsidRPr="00B34E9C">
        <w:t xml:space="preserve">business plan </w:t>
      </w:r>
      <w:r w:rsidRPr="00B34E9C">
        <w:t>budget to actual</w:t>
      </w:r>
      <w:r w:rsidR="00882294" w:rsidRPr="00B34E9C">
        <w:t xml:space="preserve"> 2010 program performance</w:t>
      </w:r>
      <w:r w:rsidRPr="00B34E9C">
        <w:t>.</w:t>
      </w:r>
    </w:p>
    <w:p w:rsidR="00163304" w:rsidRPr="00B34E9C" w:rsidRDefault="00163304" w:rsidP="00163304">
      <w:pPr>
        <w:jc w:val="both"/>
      </w:pPr>
    </w:p>
    <w:p w:rsidR="006775A9" w:rsidRPr="00B34E9C" w:rsidRDefault="00163304" w:rsidP="00163304">
      <w:pPr>
        <w:jc w:val="both"/>
      </w:pPr>
      <w:r w:rsidRPr="00B34E9C">
        <w:t xml:space="preserve">In 2010, the Company delivered </w:t>
      </w:r>
      <w:r w:rsidR="006775A9" w:rsidRPr="00B34E9C">
        <w:t xml:space="preserve">41,727,271 </w:t>
      </w:r>
      <w:r w:rsidR="00882294" w:rsidRPr="00B34E9C">
        <w:t>kWh</w:t>
      </w:r>
      <w:r w:rsidR="006775A9" w:rsidRPr="00B34E9C">
        <w:t xml:space="preserve"> in first year energy savings against the 2010 business plan forecast savings of 38,039,856 kWh, a positive variance of approximately 9.7 percent.  </w:t>
      </w:r>
    </w:p>
    <w:p w:rsidR="006775A9" w:rsidRPr="00B34E9C" w:rsidRDefault="006775A9" w:rsidP="00163304">
      <w:pPr>
        <w:jc w:val="both"/>
      </w:pPr>
    </w:p>
    <w:p w:rsidR="000F0807" w:rsidRPr="00B34E9C" w:rsidRDefault="00903DF7" w:rsidP="00903DF7">
      <w:pPr>
        <w:jc w:val="center"/>
        <w:rPr>
          <w:b/>
          <w:sz w:val="28"/>
          <w:szCs w:val="28"/>
        </w:rPr>
      </w:pPr>
      <w:r w:rsidRPr="00B34E9C">
        <w:rPr>
          <w:b/>
          <w:sz w:val="28"/>
          <w:szCs w:val="28"/>
        </w:rPr>
        <w:t>Table 3</w:t>
      </w:r>
    </w:p>
    <w:p w:rsidR="000B4E14" w:rsidRPr="00B34E9C" w:rsidRDefault="0024323A">
      <w:pPr>
        <w:jc w:val="both"/>
        <w:sectPr w:rsidR="000B4E14" w:rsidRPr="00B34E9C" w:rsidSect="00163304">
          <w:pgSz w:w="15840" w:h="12240" w:orient="landscape"/>
          <w:pgMar w:top="720" w:right="720" w:bottom="720" w:left="720" w:header="720" w:footer="720" w:gutter="0"/>
          <w:cols w:space="720"/>
          <w:docGrid w:linePitch="360"/>
        </w:sectPr>
      </w:pPr>
      <w:r w:rsidRPr="0024323A">
        <w:rPr>
          <w:noProof/>
          <w:lang w:eastAsia="en-US"/>
        </w:rPr>
        <w:drawing>
          <wp:inline distT="0" distB="0" distL="0" distR="0">
            <wp:extent cx="9144000" cy="4772025"/>
            <wp:effectExtent l="19050" t="0" r="0" b="0"/>
            <wp:docPr id="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9144000" cy="4772025"/>
                    </a:xfrm>
                    <a:prstGeom prst="rect">
                      <a:avLst/>
                    </a:prstGeom>
                    <a:noFill/>
                    <a:ln w="9525">
                      <a:noFill/>
                      <a:miter lim="800000"/>
                      <a:headEnd/>
                      <a:tailEnd/>
                    </a:ln>
                  </pic:spPr>
                </pic:pic>
              </a:graphicData>
            </a:graphic>
          </wp:inline>
        </w:drawing>
      </w:r>
    </w:p>
    <w:p w:rsidR="008C6BDB" w:rsidRPr="00B34E9C" w:rsidRDefault="008C6BDB">
      <w:pPr>
        <w:pStyle w:val="Heading1"/>
        <w:jc w:val="both"/>
        <w:rPr>
          <w:rFonts w:ascii="Times New Roman" w:hAnsi="Times New Roman" w:cs="Times New Roman"/>
        </w:rPr>
      </w:pPr>
      <w:bookmarkStart w:id="16" w:name="_Toc288484125"/>
      <w:bookmarkStart w:id="17" w:name="_Toc289064244"/>
      <w:r w:rsidRPr="00B34E9C">
        <w:rPr>
          <w:rFonts w:ascii="Times New Roman" w:hAnsi="Times New Roman" w:cs="Times New Roman"/>
        </w:rPr>
        <w:t>Residential Energy Efficiency Programs and Activity</w:t>
      </w:r>
      <w:bookmarkEnd w:id="16"/>
      <w:bookmarkEnd w:id="17"/>
    </w:p>
    <w:p w:rsidR="008C6BDB" w:rsidRPr="00B34E9C" w:rsidRDefault="008C6BDB">
      <w:pPr>
        <w:jc w:val="both"/>
      </w:pPr>
    </w:p>
    <w:p w:rsidR="0042432E" w:rsidRPr="00B34E9C" w:rsidRDefault="0042432E" w:rsidP="0042432E">
      <w:pPr>
        <w:jc w:val="both"/>
        <w:rPr>
          <w:b/>
          <w:bCs/>
        </w:rPr>
      </w:pPr>
      <w:r w:rsidRPr="00B34E9C">
        <w:rPr>
          <w:b/>
          <w:bCs/>
        </w:rPr>
        <w:t>Home Energy Savings Incentive Program (Schedule 118)</w:t>
      </w:r>
    </w:p>
    <w:p w:rsidR="0042432E" w:rsidRPr="00B34E9C" w:rsidRDefault="0042432E" w:rsidP="0042432E">
      <w:pPr>
        <w:tabs>
          <w:tab w:val="left" w:pos="-1080"/>
        </w:tabs>
        <w:jc w:val="both"/>
      </w:pPr>
    </w:p>
    <w:p w:rsidR="0042432E" w:rsidRPr="00B34E9C" w:rsidRDefault="0042432E" w:rsidP="0042432E">
      <w:pPr>
        <w:tabs>
          <w:tab w:val="left" w:pos="-1080"/>
        </w:tabs>
        <w:jc w:val="both"/>
      </w:pPr>
      <w:r w:rsidRPr="00B34E9C">
        <w:t>The Home Energy Saving</w:t>
      </w:r>
      <w:r w:rsidR="006B451D" w:rsidRPr="00B34E9C">
        <w:t>s</w:t>
      </w:r>
      <w:r w:rsidRPr="00B34E9C">
        <w:t xml:space="preserve"> program</w:t>
      </w:r>
      <w:r w:rsidR="006B451D" w:rsidRPr="00B34E9C">
        <w:t>, Schedule 118 (“Schedule 118”)</w:t>
      </w:r>
      <w:r w:rsidRPr="00B34E9C">
        <w:t xml:space="preserve"> was first approved in 2006 and provides a broad framework to deliver incentives for more efficient products and services for Washington residential customers with a new or existing home, multi-family unit or manufactured home. </w:t>
      </w:r>
      <w:r w:rsidR="006B451D" w:rsidRPr="00B34E9C">
        <w:t>The Company uses a third party to administer t</w:t>
      </w:r>
      <w:r w:rsidRPr="00B34E9C">
        <w:t>h</w:t>
      </w:r>
      <w:r w:rsidR="006B451D" w:rsidRPr="00B34E9C">
        <w:t>is</w:t>
      </w:r>
      <w:r w:rsidRPr="00B34E9C">
        <w:t xml:space="preserve"> program. Schedule 118 and the program web site at </w:t>
      </w:r>
      <w:hyperlink r:id="rId17" w:history="1">
        <w:r w:rsidR="002F37D2" w:rsidRPr="00B34E9C">
          <w:rPr>
            <w:rStyle w:val="Hyperlink"/>
          </w:rPr>
          <w:t>www.homeenergysavings.net</w:t>
        </w:r>
      </w:hyperlink>
      <w:r w:rsidR="002F37D2" w:rsidRPr="00B34E9C">
        <w:t xml:space="preserve"> </w:t>
      </w:r>
      <w:r w:rsidRPr="00B34E9C">
        <w:t xml:space="preserve">operate in tandem to inform customers and contractors of the offerings and qualifications for incentives. </w:t>
      </w:r>
    </w:p>
    <w:p w:rsidR="0042432E" w:rsidRPr="00B34E9C" w:rsidRDefault="0042432E" w:rsidP="0042432E">
      <w:pPr>
        <w:tabs>
          <w:tab w:val="left" w:pos="-1080"/>
        </w:tabs>
        <w:jc w:val="both"/>
      </w:pPr>
      <w:r w:rsidRPr="00B34E9C">
        <w:t xml:space="preserve"> </w:t>
      </w:r>
    </w:p>
    <w:p w:rsidR="0042432E" w:rsidRPr="00B34E9C" w:rsidRDefault="0042432E" w:rsidP="0042432E">
      <w:pPr>
        <w:tabs>
          <w:tab w:val="left" w:pos="-1080"/>
        </w:tabs>
        <w:jc w:val="both"/>
      </w:pPr>
      <w:r w:rsidRPr="00B34E9C">
        <w:t>Measures eligible for incentives include clothes washers, clothes washer recycling, refrigerators, water heaters, dishwashers, lighting (both compact fluorescent lamps (“CFL</w:t>
      </w:r>
      <w:r w:rsidR="006B451D" w:rsidRPr="00B34E9C">
        <w:t>s</w:t>
      </w:r>
      <w:r w:rsidRPr="00B34E9C">
        <w:t xml:space="preserve">”) and fixtures), heating and cooling equipment and services, insulation, windows and miscellaneous equipment such as ceiling fans. In addition, the program includes a Builder Option Package as well as stand-alone measures for new homes.  </w:t>
      </w:r>
    </w:p>
    <w:p w:rsidR="0042432E" w:rsidRPr="00B34E9C" w:rsidRDefault="0042432E" w:rsidP="0042432E">
      <w:pPr>
        <w:tabs>
          <w:tab w:val="left" w:pos="-1080"/>
        </w:tabs>
        <w:jc w:val="both"/>
      </w:pPr>
    </w:p>
    <w:p w:rsidR="0042432E" w:rsidRPr="00B34E9C" w:rsidRDefault="0042432E" w:rsidP="0042432E">
      <w:pPr>
        <w:tabs>
          <w:tab w:val="left" w:pos="-1080"/>
        </w:tabs>
        <w:jc w:val="both"/>
      </w:pPr>
      <w:r w:rsidRPr="00B34E9C">
        <w:t>Incentives are provided in two ways: post-purchase delivery to the customer for the majority of measures and through a manufacturer buy-down for CFLs. Buy-downs result in lower retail prices for customers at the point of purchase as opposed to post-purchase incentives that customers must submit an application to receive.</w:t>
      </w:r>
    </w:p>
    <w:p w:rsidR="0042432E" w:rsidRPr="00B34E9C" w:rsidRDefault="0042432E" w:rsidP="0042432E">
      <w:pPr>
        <w:tabs>
          <w:tab w:val="left" w:pos="-1080"/>
        </w:tabs>
        <w:jc w:val="both"/>
      </w:pPr>
    </w:p>
    <w:p w:rsidR="0042432E" w:rsidRPr="00B34E9C" w:rsidRDefault="0042432E" w:rsidP="0042432E">
      <w:pPr>
        <w:tabs>
          <w:tab w:val="left" w:pos="-1080"/>
        </w:tabs>
        <w:jc w:val="both"/>
      </w:pPr>
      <w:r w:rsidRPr="00B34E9C">
        <w:t xml:space="preserve">Program results for 2010 are provided in Table </w:t>
      </w:r>
      <w:r w:rsidR="002F37D2" w:rsidRPr="00B34E9C">
        <w:t>4</w:t>
      </w:r>
      <w:r w:rsidRPr="00B34E9C">
        <w:t xml:space="preserve"> below.    </w:t>
      </w:r>
    </w:p>
    <w:p w:rsidR="0042432E" w:rsidRPr="00B34E9C" w:rsidRDefault="0042432E" w:rsidP="0042432E"/>
    <w:p w:rsidR="0042432E" w:rsidRPr="00B34E9C" w:rsidRDefault="0042432E" w:rsidP="0042432E">
      <w:pPr>
        <w:jc w:val="center"/>
        <w:rPr>
          <w:b/>
          <w:bCs/>
        </w:rPr>
      </w:pPr>
      <w:r w:rsidRPr="00B34E9C">
        <w:rPr>
          <w:b/>
          <w:bCs/>
        </w:rPr>
        <w:t xml:space="preserve">Table </w:t>
      </w:r>
      <w:r w:rsidR="00903DF7" w:rsidRPr="00B34E9C">
        <w:rPr>
          <w:b/>
          <w:bCs/>
        </w:rPr>
        <w:t>4</w:t>
      </w:r>
    </w:p>
    <w:p w:rsidR="0042432E" w:rsidRPr="00B34E9C" w:rsidRDefault="00B251D0" w:rsidP="0042432E">
      <w:pPr>
        <w:jc w:val="center"/>
      </w:pPr>
      <w:r w:rsidRPr="00B251D0">
        <w:rPr>
          <w:noProof/>
          <w:lang w:eastAsia="en-US"/>
        </w:rPr>
        <w:drawing>
          <wp:inline distT="0" distB="0" distL="0" distR="0">
            <wp:extent cx="5486400" cy="17207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486400" cy="1720770"/>
                    </a:xfrm>
                    <a:prstGeom prst="rect">
                      <a:avLst/>
                    </a:prstGeom>
                    <a:noFill/>
                    <a:ln w="9525">
                      <a:noFill/>
                      <a:miter lim="800000"/>
                      <a:headEnd/>
                      <a:tailEnd/>
                    </a:ln>
                  </pic:spPr>
                </pic:pic>
              </a:graphicData>
            </a:graphic>
          </wp:inline>
        </w:drawing>
      </w:r>
    </w:p>
    <w:p w:rsidR="0042432E" w:rsidRPr="00B34E9C" w:rsidRDefault="0042432E" w:rsidP="0042432E"/>
    <w:p w:rsidR="002F37D2" w:rsidRPr="00B34E9C" w:rsidRDefault="002F37D2" w:rsidP="0042432E">
      <w:pPr>
        <w:jc w:val="both"/>
      </w:pPr>
    </w:p>
    <w:p w:rsidR="0042432E" w:rsidRPr="00B34E9C" w:rsidRDefault="0042432E" w:rsidP="0042432E">
      <w:pPr>
        <w:jc w:val="both"/>
        <w:rPr>
          <w:b/>
        </w:rPr>
      </w:pPr>
      <w:r w:rsidRPr="00B34E9C">
        <w:rPr>
          <w:b/>
        </w:rPr>
        <w:t>2010 Program Performance</w:t>
      </w:r>
    </w:p>
    <w:p w:rsidR="0042432E" w:rsidRPr="00B34E9C" w:rsidRDefault="0042432E" w:rsidP="0042432E">
      <w:pPr>
        <w:jc w:val="both"/>
      </w:pPr>
    </w:p>
    <w:p w:rsidR="0042432E" w:rsidRPr="00B34E9C" w:rsidRDefault="0042432E" w:rsidP="0042432E">
      <w:pPr>
        <w:jc w:val="both"/>
      </w:pPr>
      <w:r w:rsidRPr="00B34E9C">
        <w:t xml:space="preserve">Details of 2010 measure level participation and savings are provided on the following table. </w:t>
      </w:r>
    </w:p>
    <w:p w:rsidR="0042432E" w:rsidRPr="00B34E9C" w:rsidRDefault="0042432E" w:rsidP="0042432E">
      <w:pPr>
        <w:spacing w:after="200" w:line="276" w:lineRule="auto"/>
      </w:pPr>
      <w:r w:rsidRPr="00B34E9C">
        <w:br w:type="page"/>
      </w:r>
    </w:p>
    <w:p w:rsidR="0042432E" w:rsidRPr="00B34E9C" w:rsidRDefault="0042432E" w:rsidP="0042432E">
      <w:pPr>
        <w:jc w:val="center"/>
        <w:rPr>
          <w:b/>
          <w:bCs/>
        </w:rPr>
      </w:pPr>
      <w:r w:rsidRPr="00B34E9C">
        <w:rPr>
          <w:b/>
          <w:bCs/>
        </w:rPr>
        <w:t xml:space="preserve">Table </w:t>
      </w:r>
      <w:r w:rsidR="00903DF7" w:rsidRPr="00B34E9C">
        <w:rPr>
          <w:b/>
          <w:bCs/>
        </w:rPr>
        <w:t>5</w:t>
      </w:r>
      <w:r w:rsidR="00134374" w:rsidRPr="00B34E9C">
        <w:rPr>
          <w:rStyle w:val="FootnoteReference"/>
          <w:b/>
          <w:bCs/>
        </w:rPr>
        <w:footnoteReference w:id="3"/>
      </w:r>
    </w:p>
    <w:p w:rsidR="0042432E" w:rsidRPr="00B34E9C" w:rsidRDefault="000B4E14" w:rsidP="0042432E">
      <w:r w:rsidRPr="000B4E14">
        <w:rPr>
          <w:noProof/>
          <w:lang w:eastAsia="en-US"/>
        </w:rPr>
        <w:drawing>
          <wp:inline distT="0" distB="0" distL="0" distR="0">
            <wp:extent cx="5486400" cy="7566268"/>
            <wp:effectExtent l="19050" t="0" r="0" b="0"/>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5486400" cy="7566268"/>
                    </a:xfrm>
                    <a:prstGeom prst="rect">
                      <a:avLst/>
                    </a:prstGeom>
                    <a:noFill/>
                    <a:ln w="9525">
                      <a:noFill/>
                      <a:miter lim="800000"/>
                      <a:headEnd/>
                      <a:tailEnd/>
                    </a:ln>
                  </pic:spPr>
                </pic:pic>
              </a:graphicData>
            </a:graphic>
          </wp:inline>
        </w:drawing>
      </w:r>
    </w:p>
    <w:p w:rsidR="0042432E" w:rsidRPr="00B34E9C" w:rsidRDefault="0042432E" w:rsidP="0042432E">
      <w:pPr>
        <w:jc w:val="both"/>
      </w:pPr>
      <w:r w:rsidRPr="00B34E9C">
        <w:rPr>
          <w:highlight w:val="yellow"/>
        </w:rPr>
        <w:br w:type="page"/>
      </w:r>
      <w:r w:rsidRPr="00B34E9C">
        <w:rPr>
          <w:b/>
        </w:rPr>
        <w:t>Program Changes</w:t>
      </w:r>
    </w:p>
    <w:p w:rsidR="0042432E" w:rsidRPr="00B34E9C" w:rsidRDefault="0042432E" w:rsidP="0042432E">
      <w:pPr>
        <w:jc w:val="both"/>
      </w:pPr>
    </w:p>
    <w:p w:rsidR="0042432E" w:rsidRPr="00B34E9C" w:rsidRDefault="0042432E" w:rsidP="0042432E">
      <w:pPr>
        <w:jc w:val="both"/>
      </w:pPr>
      <w:r w:rsidRPr="00B34E9C">
        <w:t>No program changes were implemented in 2010. The Company is planning to propose several changes to the program in 2011. The expected changes include:</w:t>
      </w:r>
    </w:p>
    <w:p w:rsidR="0042432E" w:rsidRPr="00B34E9C" w:rsidRDefault="0042432E" w:rsidP="0042432E">
      <w:pPr>
        <w:jc w:val="both"/>
      </w:pPr>
    </w:p>
    <w:p w:rsidR="0042432E" w:rsidRPr="00B34E9C" w:rsidRDefault="0042432E" w:rsidP="0042432E">
      <w:pPr>
        <w:pStyle w:val="ListParagraph"/>
        <w:numPr>
          <w:ilvl w:val="0"/>
          <w:numId w:val="24"/>
        </w:numPr>
        <w:jc w:val="both"/>
      </w:pPr>
      <w:r w:rsidRPr="00B34E9C">
        <w:t xml:space="preserve">Addition of ductless heat pumps (single-head) for existing homes and ductless heat pumps (multi-head) for new homes, </w:t>
      </w:r>
    </w:p>
    <w:p w:rsidR="0042432E" w:rsidRPr="00B34E9C" w:rsidRDefault="0042432E" w:rsidP="0042432E">
      <w:pPr>
        <w:pStyle w:val="ListParagraph"/>
        <w:numPr>
          <w:ilvl w:val="0"/>
          <w:numId w:val="24"/>
        </w:numPr>
        <w:jc w:val="both"/>
      </w:pPr>
      <w:r w:rsidRPr="00B34E9C">
        <w:t>Incentive and equipment modifications to several existing measures,</w:t>
      </w:r>
    </w:p>
    <w:p w:rsidR="0042432E" w:rsidRPr="00B34E9C" w:rsidRDefault="0042432E" w:rsidP="0042432E">
      <w:pPr>
        <w:pStyle w:val="ListParagraph"/>
        <w:numPr>
          <w:ilvl w:val="0"/>
          <w:numId w:val="24"/>
        </w:numPr>
        <w:jc w:val="both"/>
      </w:pPr>
      <w:r w:rsidRPr="00B34E9C">
        <w:t>Changing CFL offerings to remove multi-pack categories,</w:t>
      </w:r>
    </w:p>
    <w:p w:rsidR="0042432E" w:rsidRPr="00B34E9C" w:rsidRDefault="0042432E" w:rsidP="0042432E">
      <w:pPr>
        <w:pStyle w:val="ListParagraph"/>
        <w:numPr>
          <w:ilvl w:val="0"/>
          <w:numId w:val="24"/>
        </w:numPr>
        <w:jc w:val="both"/>
      </w:pPr>
      <w:r w:rsidRPr="00B34E9C">
        <w:t>Updating savings for several measures to reflect current Regional Te</w:t>
      </w:r>
      <w:r w:rsidR="002F37D2" w:rsidRPr="00B34E9C">
        <w:t>chnical Forum (RTF) savings</w:t>
      </w:r>
      <w:r w:rsidR="00A559BF" w:rsidRPr="00B34E9C">
        <w:t>, and</w:t>
      </w:r>
    </w:p>
    <w:p w:rsidR="0042432E" w:rsidRPr="00B34E9C" w:rsidRDefault="0042432E" w:rsidP="0042432E">
      <w:pPr>
        <w:pStyle w:val="ListParagraph"/>
        <w:numPr>
          <w:ilvl w:val="0"/>
          <w:numId w:val="24"/>
        </w:numPr>
        <w:jc w:val="both"/>
      </w:pPr>
      <w:r w:rsidRPr="00B34E9C">
        <w:t>Realigning some measures with Northwest Energy Efficiency Alliance (NEEA) specifications.</w:t>
      </w:r>
    </w:p>
    <w:p w:rsidR="0042432E" w:rsidRPr="00B34E9C" w:rsidRDefault="0042432E" w:rsidP="0042432E">
      <w:pPr>
        <w:pStyle w:val="ListParagraph"/>
        <w:jc w:val="both"/>
        <w:rPr>
          <w:highlight w:val="yellow"/>
        </w:rPr>
      </w:pPr>
    </w:p>
    <w:p w:rsidR="0042432E" w:rsidRPr="00B34E9C" w:rsidRDefault="0042432E" w:rsidP="0042432E">
      <w:pPr>
        <w:jc w:val="both"/>
      </w:pPr>
      <w:r w:rsidRPr="00B34E9C">
        <w:rPr>
          <w:b/>
        </w:rPr>
        <w:t>Program Evaluations</w:t>
      </w:r>
    </w:p>
    <w:p w:rsidR="0042432E" w:rsidRPr="00B34E9C" w:rsidRDefault="0042432E" w:rsidP="0042432E">
      <w:pPr>
        <w:jc w:val="both"/>
      </w:pPr>
    </w:p>
    <w:p w:rsidR="0042432E" w:rsidRPr="00B34E9C" w:rsidRDefault="0042432E" w:rsidP="0042432E">
      <w:r w:rsidRPr="00B34E9C">
        <w:t>Process and impact evaluations were completed in 2010 for the Home Energy Savings program for years 2006-2008. The results of these evaluations are available on PacifiCorp’s website</w:t>
      </w:r>
      <w:r w:rsidR="002F37D2" w:rsidRPr="00B34E9C">
        <w:t xml:space="preserve"> </w:t>
      </w:r>
      <w:r w:rsidRPr="00B34E9C">
        <w:t>at</w:t>
      </w:r>
      <w:r w:rsidR="006B451D" w:rsidRPr="00B34E9C">
        <w:t>:</w:t>
      </w:r>
      <w:r w:rsidR="002F37D2" w:rsidRPr="00B34E9C">
        <w:t xml:space="preserve"> </w:t>
      </w:r>
      <w:hyperlink r:id="rId20" w:history="1">
        <w:r w:rsidR="00864DCF" w:rsidRPr="00B34E9C">
          <w:rPr>
            <w:rStyle w:val="Hyperlink"/>
          </w:rPr>
          <w:t>http://www.pacificorp.com/es/dsm/washington.html</w:t>
        </w:r>
      </w:hyperlink>
    </w:p>
    <w:p w:rsidR="008C6BDB" w:rsidRPr="00B34E9C" w:rsidRDefault="008C6BD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jc w:val="both"/>
      </w:pPr>
    </w:p>
    <w:p w:rsidR="00011AFB" w:rsidRPr="00B34E9C" w:rsidRDefault="00011AFB" w:rsidP="002810D1">
      <w:pPr>
        <w:spacing w:after="200" w:line="276" w:lineRule="auto"/>
        <w:jc w:val="both"/>
      </w:pPr>
    </w:p>
    <w:p w:rsidR="00011AFB" w:rsidRPr="00B34E9C" w:rsidRDefault="00011AFB" w:rsidP="002810D1">
      <w:pPr>
        <w:spacing w:after="200" w:line="276" w:lineRule="auto"/>
        <w:jc w:val="both"/>
      </w:pPr>
    </w:p>
    <w:p w:rsidR="00011AFB" w:rsidRPr="00B34E9C" w:rsidRDefault="00011AFB" w:rsidP="002810D1">
      <w:pPr>
        <w:spacing w:after="200" w:line="276" w:lineRule="auto"/>
        <w:jc w:val="both"/>
      </w:pPr>
    </w:p>
    <w:p w:rsidR="008C6BDB" w:rsidRPr="00B34E9C" w:rsidRDefault="008C6BDB" w:rsidP="002810D1">
      <w:pPr>
        <w:spacing w:after="200" w:line="276" w:lineRule="auto"/>
        <w:jc w:val="both"/>
      </w:pPr>
      <w:r w:rsidRPr="00B34E9C">
        <w:br w:type="page"/>
      </w:r>
    </w:p>
    <w:p w:rsidR="00C81A94" w:rsidRPr="00D0508C" w:rsidRDefault="00C81A94" w:rsidP="00C81A94">
      <w:pPr>
        <w:rPr>
          <w:b/>
          <w:bCs/>
          <w:sz w:val="28"/>
          <w:szCs w:val="28"/>
        </w:rPr>
      </w:pPr>
      <w:r w:rsidRPr="00D0508C">
        <w:rPr>
          <w:b/>
          <w:bCs/>
          <w:sz w:val="28"/>
          <w:szCs w:val="28"/>
        </w:rPr>
        <w:t>Refrigerator Recycling (Schedule 107)</w:t>
      </w:r>
    </w:p>
    <w:p w:rsidR="00C81A94" w:rsidRPr="00B34E9C" w:rsidRDefault="00C81A94" w:rsidP="00C81A94">
      <w:pPr>
        <w:jc w:val="both"/>
        <w:rPr>
          <w:sz w:val="16"/>
          <w:szCs w:val="16"/>
        </w:rPr>
      </w:pPr>
    </w:p>
    <w:p w:rsidR="00C81A94" w:rsidRPr="00B34E9C" w:rsidRDefault="00C81A94" w:rsidP="00C81A94">
      <w:pPr>
        <w:jc w:val="both"/>
      </w:pPr>
      <w:r w:rsidRPr="00B34E9C">
        <w:t>Th</w:t>
      </w:r>
      <w:r w:rsidR="006B451D" w:rsidRPr="00B34E9C">
        <w:t xml:space="preserve">e </w:t>
      </w:r>
      <w:r w:rsidR="00E14EB9">
        <w:t>r</w:t>
      </w:r>
      <w:r w:rsidR="006B451D" w:rsidRPr="00B34E9C">
        <w:t xml:space="preserve">efrigerator </w:t>
      </w:r>
      <w:r w:rsidR="00E14EB9">
        <w:t>r</w:t>
      </w:r>
      <w:r w:rsidR="006B451D" w:rsidRPr="00B34E9C">
        <w:t>ecycling</w:t>
      </w:r>
      <w:r w:rsidRPr="00B34E9C">
        <w:t xml:space="preserve"> </w:t>
      </w:r>
      <w:proofErr w:type="gramStart"/>
      <w:r w:rsidRPr="00B34E9C">
        <w:t>program,</w:t>
      </w:r>
      <w:proofErr w:type="gramEnd"/>
      <w:r w:rsidRPr="00B34E9C">
        <w:t xml:space="preserve"> operated as the </w:t>
      </w:r>
      <w:r w:rsidR="00A559BF" w:rsidRPr="00B34E9C">
        <w:t xml:space="preserve">See </w:t>
      </w:r>
      <w:proofErr w:type="spellStart"/>
      <w:r w:rsidR="00A559BF" w:rsidRPr="00B34E9C">
        <w:t>ya</w:t>
      </w:r>
      <w:proofErr w:type="spellEnd"/>
      <w:r w:rsidR="00A559BF" w:rsidRPr="00B34E9C">
        <w:t xml:space="preserve"> later, refrigerator®</w:t>
      </w:r>
      <w:r w:rsidRPr="00B34E9C">
        <w:t xml:space="preserve"> program, was first approved effective April 1, 2005. This program aims to decrease residential refrigeration loads by reducing the number of inefficient secondary and primary refrigerator and freezer models in operation. With this program, the Company offers all residential customers in Washington the opportunity to receive a </w:t>
      </w:r>
      <w:r w:rsidRPr="00B34E9C">
        <w:rPr>
          <w:rStyle w:val="Strong"/>
          <w:b w:val="0"/>
        </w:rPr>
        <w:t>$30</w:t>
      </w:r>
      <w:r w:rsidRPr="00B34E9C">
        <w:t xml:space="preserve"> incentive in exchange for turning in their old but working refrigerators and/or freezers for recycling. Each customer can recycle up to two units, refrigerators and/or freezers, per household. In addition, a kit with instant energy</w:t>
      </w:r>
      <w:r w:rsidR="002F37D2" w:rsidRPr="00B34E9C">
        <w:t xml:space="preserve"> </w:t>
      </w:r>
      <w:r w:rsidRPr="00B34E9C">
        <w:t xml:space="preserve">saving measures is provided to each participating customer.  </w:t>
      </w:r>
    </w:p>
    <w:p w:rsidR="002F37D2" w:rsidRPr="00B34E9C" w:rsidRDefault="002F37D2" w:rsidP="00C81A94">
      <w:pPr>
        <w:jc w:val="both"/>
      </w:pPr>
    </w:p>
    <w:p w:rsidR="002F37D2" w:rsidRPr="00B34E9C" w:rsidRDefault="002F37D2" w:rsidP="00C81A94">
      <w:pPr>
        <w:jc w:val="both"/>
      </w:pPr>
      <w:r w:rsidRPr="00B34E9C">
        <w:t>Program results for 2010 are provided in Table 6 below</w:t>
      </w:r>
      <w:r w:rsidR="003831A4" w:rsidRPr="00B34E9C">
        <w:t>.</w:t>
      </w:r>
    </w:p>
    <w:p w:rsidR="00C81A94" w:rsidRPr="00B34E9C" w:rsidRDefault="00C81A94" w:rsidP="00C81A94">
      <w:pPr>
        <w:rPr>
          <w:sz w:val="16"/>
          <w:szCs w:val="16"/>
        </w:rPr>
      </w:pPr>
    </w:p>
    <w:p w:rsidR="00C81A94" w:rsidRPr="00B34E9C" w:rsidRDefault="00C81A94" w:rsidP="00C81A94">
      <w:pPr>
        <w:jc w:val="center"/>
        <w:rPr>
          <w:b/>
          <w:bCs/>
        </w:rPr>
      </w:pPr>
      <w:r w:rsidRPr="00B34E9C">
        <w:rPr>
          <w:b/>
          <w:bCs/>
        </w:rPr>
        <w:t xml:space="preserve">Table </w:t>
      </w:r>
      <w:r w:rsidR="00903DF7" w:rsidRPr="00B34E9C">
        <w:rPr>
          <w:b/>
          <w:bCs/>
        </w:rPr>
        <w:t>6</w:t>
      </w:r>
    </w:p>
    <w:p w:rsidR="00C81A94" w:rsidRPr="00B34E9C" w:rsidRDefault="00D0508C" w:rsidP="00C81A94">
      <w:pPr>
        <w:jc w:val="center"/>
      </w:pPr>
      <w:r w:rsidRPr="00D0508C">
        <w:rPr>
          <w:noProof/>
          <w:lang w:eastAsia="en-US"/>
        </w:rPr>
        <w:drawing>
          <wp:inline distT="0" distB="0" distL="0" distR="0">
            <wp:extent cx="5486400" cy="1837151"/>
            <wp:effectExtent l="19050" t="0" r="0" b="0"/>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5486400" cy="1837151"/>
                    </a:xfrm>
                    <a:prstGeom prst="rect">
                      <a:avLst/>
                    </a:prstGeom>
                    <a:noFill/>
                    <a:ln w="9525">
                      <a:noFill/>
                      <a:miter lim="800000"/>
                      <a:headEnd/>
                      <a:tailEnd/>
                    </a:ln>
                  </pic:spPr>
                </pic:pic>
              </a:graphicData>
            </a:graphic>
          </wp:inline>
        </w:drawing>
      </w:r>
    </w:p>
    <w:p w:rsidR="00C81A94" w:rsidRPr="00B34E9C" w:rsidRDefault="00C81A94" w:rsidP="00C81A94">
      <w:pPr>
        <w:rPr>
          <w:sz w:val="18"/>
          <w:szCs w:val="18"/>
        </w:rPr>
      </w:pPr>
    </w:p>
    <w:p w:rsidR="003831A4" w:rsidRPr="00B34E9C" w:rsidRDefault="003831A4" w:rsidP="00C81A94"/>
    <w:p w:rsidR="00C81A94" w:rsidRPr="00B34E9C" w:rsidRDefault="00C81A94" w:rsidP="00C81A94">
      <w:r w:rsidRPr="00B34E9C">
        <w:t xml:space="preserve">Details on participation and savings are provided in the table below. </w:t>
      </w:r>
    </w:p>
    <w:p w:rsidR="00C81A94" w:rsidRPr="00B34E9C" w:rsidRDefault="00C81A94" w:rsidP="00C81A94">
      <w:pPr>
        <w:rPr>
          <w:sz w:val="18"/>
          <w:szCs w:val="18"/>
        </w:rPr>
      </w:pPr>
    </w:p>
    <w:p w:rsidR="00C81A94" w:rsidRPr="00B34E9C" w:rsidRDefault="00C81A94" w:rsidP="00C81A94">
      <w:pPr>
        <w:jc w:val="center"/>
        <w:rPr>
          <w:b/>
          <w:bCs/>
        </w:rPr>
      </w:pPr>
      <w:r w:rsidRPr="00B34E9C">
        <w:rPr>
          <w:b/>
          <w:bCs/>
        </w:rPr>
        <w:t xml:space="preserve">Table </w:t>
      </w:r>
      <w:r w:rsidR="00903DF7" w:rsidRPr="00B34E9C">
        <w:rPr>
          <w:b/>
          <w:bCs/>
        </w:rPr>
        <w:t>7</w:t>
      </w:r>
    </w:p>
    <w:p w:rsidR="00C81A94" w:rsidRPr="00B34E9C" w:rsidRDefault="00D0508C" w:rsidP="00C81A94">
      <w:pPr>
        <w:jc w:val="center"/>
        <w:rPr>
          <w:b/>
          <w:bCs/>
        </w:rPr>
      </w:pPr>
      <w:r w:rsidRPr="00D0508C">
        <w:rPr>
          <w:noProof/>
          <w:lang w:eastAsia="en-US"/>
        </w:rPr>
        <w:drawing>
          <wp:inline distT="0" distB="0" distL="0" distR="0">
            <wp:extent cx="4143375" cy="1724025"/>
            <wp:effectExtent l="19050" t="0" r="9525" b="0"/>
            <wp:docPr id="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4143375" cy="1724025"/>
                    </a:xfrm>
                    <a:prstGeom prst="rect">
                      <a:avLst/>
                    </a:prstGeom>
                    <a:noFill/>
                    <a:ln w="9525">
                      <a:noFill/>
                      <a:miter lim="800000"/>
                      <a:headEnd/>
                      <a:tailEnd/>
                    </a:ln>
                  </pic:spPr>
                </pic:pic>
              </a:graphicData>
            </a:graphic>
          </wp:inline>
        </w:drawing>
      </w:r>
    </w:p>
    <w:p w:rsidR="00C81A94" w:rsidRPr="00B34E9C" w:rsidRDefault="00C81A94" w:rsidP="00C81A94">
      <w:pPr>
        <w:jc w:val="center"/>
        <w:rPr>
          <w:b/>
          <w:bCs/>
        </w:rPr>
      </w:pPr>
    </w:p>
    <w:p w:rsidR="00C81A94" w:rsidRPr="00B34E9C" w:rsidRDefault="00C81A94" w:rsidP="00C81A94">
      <w:pPr>
        <w:jc w:val="center"/>
        <w:rPr>
          <w:b/>
          <w:bCs/>
        </w:rPr>
      </w:pPr>
    </w:p>
    <w:p w:rsidR="00C81A94" w:rsidRPr="00B34E9C" w:rsidRDefault="00C81A94" w:rsidP="00C81A94">
      <w:pPr>
        <w:jc w:val="center"/>
      </w:pPr>
    </w:p>
    <w:p w:rsidR="00C81A94" w:rsidRPr="00B34E9C" w:rsidRDefault="00C81A94" w:rsidP="00C81A94">
      <w:pPr>
        <w:jc w:val="both"/>
      </w:pPr>
      <w:r w:rsidRPr="00B34E9C">
        <w:t>In 2010, 1,883 units were recycled (79</w:t>
      </w:r>
      <w:r w:rsidR="00E33F13" w:rsidRPr="00B34E9C">
        <w:t xml:space="preserve"> percent</w:t>
      </w:r>
      <w:r w:rsidRPr="00B34E9C">
        <w:t xml:space="preserve"> refrigerators and 21</w:t>
      </w:r>
      <w:r w:rsidR="00E33F13" w:rsidRPr="00B34E9C">
        <w:t xml:space="preserve"> percent</w:t>
      </w:r>
      <w:r w:rsidRPr="00B34E9C">
        <w:t xml:space="preserve"> freezers) by 1,743 households. According to the program delivery vendor, the program recycled more than 120 tons of steel, 4</w:t>
      </w:r>
      <w:r w:rsidR="00A559BF" w:rsidRPr="00B34E9C">
        <w:t xml:space="preserve"> </w:t>
      </w:r>
      <w:r w:rsidRPr="00B34E9C">
        <w:t xml:space="preserve">1/2 tons of aluminum and copper, 23 tons of plastics and prevented landfill deposits that would cover an entire football field more than two and a half feet deep. In addition, the greenhouse gases (CFCs) collected and destroyed during recycling equates to approximately 5 tons of CO2e per unit, equivalent to the annual output of the average car. </w:t>
      </w:r>
      <w:r w:rsidR="003831A4" w:rsidRPr="00B34E9C">
        <w:t>T</w:t>
      </w:r>
      <w:r w:rsidRPr="00B34E9C">
        <w:t xml:space="preserve">he average age of the units recycled was 29 years with consumption approximately three times more than </w:t>
      </w:r>
      <w:r w:rsidR="00A559BF" w:rsidRPr="00B34E9C">
        <w:t xml:space="preserve">new </w:t>
      </w:r>
      <w:r w:rsidRPr="00B34E9C">
        <w:t xml:space="preserve">units purchased today. </w:t>
      </w:r>
    </w:p>
    <w:p w:rsidR="00C81A94" w:rsidRPr="00B34E9C" w:rsidRDefault="00C81A94" w:rsidP="00C81A94">
      <w:pPr>
        <w:jc w:val="both"/>
      </w:pPr>
    </w:p>
    <w:p w:rsidR="00C81A94" w:rsidRPr="00B34E9C" w:rsidRDefault="00C81A94" w:rsidP="00C81A94">
      <w:pPr>
        <w:jc w:val="both"/>
        <w:rPr>
          <w:b/>
        </w:rPr>
      </w:pPr>
      <w:r w:rsidRPr="00B34E9C">
        <w:rPr>
          <w:b/>
        </w:rPr>
        <w:t>Program Evaluations:</w:t>
      </w:r>
    </w:p>
    <w:p w:rsidR="00C81A94" w:rsidRPr="00B34E9C" w:rsidRDefault="00C81A94" w:rsidP="00C81A94">
      <w:pPr>
        <w:jc w:val="both"/>
      </w:pPr>
    </w:p>
    <w:p w:rsidR="00C81A94" w:rsidRPr="00B34E9C" w:rsidRDefault="00C81A94" w:rsidP="00C81A94">
      <w:pPr>
        <w:rPr>
          <w:b/>
          <w:bCs/>
        </w:rPr>
      </w:pPr>
      <w:r w:rsidRPr="00B34E9C">
        <w:t xml:space="preserve">Process and impact evaluations were completed in 2010 for the </w:t>
      </w:r>
      <w:r w:rsidR="00A559BF" w:rsidRPr="00B34E9C">
        <w:t xml:space="preserve">See </w:t>
      </w:r>
      <w:proofErr w:type="spellStart"/>
      <w:r w:rsidR="00A559BF" w:rsidRPr="00B34E9C">
        <w:t>ya</w:t>
      </w:r>
      <w:proofErr w:type="spellEnd"/>
      <w:r w:rsidR="00A559BF" w:rsidRPr="00B34E9C">
        <w:t xml:space="preserve"> later, refrigerator®</w:t>
      </w:r>
      <w:r w:rsidRPr="00B34E9C">
        <w:t xml:space="preserve"> </w:t>
      </w:r>
      <w:r w:rsidR="00E14EB9">
        <w:t>p</w:t>
      </w:r>
      <w:r w:rsidRPr="00B34E9C">
        <w:t>rogram for program years 200</w:t>
      </w:r>
      <w:r w:rsidR="003831A4" w:rsidRPr="00B34E9C">
        <w:t>6</w:t>
      </w:r>
      <w:r w:rsidRPr="00B34E9C">
        <w:t xml:space="preserve"> – 2008.  The results of these evaluations are available on PacifiCorp’s website at</w:t>
      </w:r>
      <w:r w:rsidR="00D7772A" w:rsidRPr="00B34E9C">
        <w:t>:</w:t>
      </w:r>
      <w:r w:rsidRPr="00B34E9C">
        <w:t xml:space="preserve"> </w:t>
      </w:r>
      <w:hyperlink r:id="rId23" w:history="1">
        <w:r w:rsidRPr="00B34E9C">
          <w:rPr>
            <w:rStyle w:val="Hyperlink"/>
          </w:rPr>
          <w:t>http://www.pacificorp.com/es/dsm/washington.html</w:t>
        </w:r>
      </w:hyperlink>
    </w:p>
    <w:p w:rsidR="008C6BDB" w:rsidRPr="00B34E9C" w:rsidRDefault="008C6BDB" w:rsidP="002810D1">
      <w:pPr>
        <w:jc w:val="both"/>
      </w:pPr>
    </w:p>
    <w:p w:rsidR="008C6BDB" w:rsidRPr="00B34E9C" w:rsidRDefault="008C6BDB">
      <w:pPr>
        <w:spacing w:after="200" w:line="276" w:lineRule="auto"/>
        <w:rPr>
          <w:b/>
          <w:bCs/>
        </w:rPr>
      </w:pPr>
      <w:r w:rsidRPr="00B34E9C">
        <w:rPr>
          <w:b/>
          <w:bCs/>
        </w:rPr>
        <w:br w:type="page"/>
      </w:r>
    </w:p>
    <w:p w:rsidR="00C81A94" w:rsidRPr="00D0508C" w:rsidRDefault="00C81A94" w:rsidP="00C81A94">
      <w:pPr>
        <w:rPr>
          <w:b/>
          <w:bCs/>
          <w:sz w:val="28"/>
          <w:szCs w:val="28"/>
        </w:rPr>
      </w:pPr>
      <w:r w:rsidRPr="00D0508C">
        <w:rPr>
          <w:b/>
          <w:bCs/>
          <w:sz w:val="28"/>
          <w:szCs w:val="28"/>
        </w:rPr>
        <w:t>Low Income Weatherization (Schedule 114)</w:t>
      </w:r>
    </w:p>
    <w:p w:rsidR="00C81A94" w:rsidRPr="00B34E9C" w:rsidRDefault="00C81A94" w:rsidP="00C81A94">
      <w:pPr>
        <w:rPr>
          <w:b/>
          <w:bCs/>
        </w:rPr>
      </w:pPr>
    </w:p>
    <w:p w:rsidR="00C81A94" w:rsidRPr="00B34E9C" w:rsidRDefault="00C81A94" w:rsidP="00C81A94">
      <w:pPr>
        <w:jc w:val="both"/>
      </w:pPr>
      <w:r w:rsidRPr="00B34E9C">
        <w:t xml:space="preserve">PacifiCorp partners with three local non-profit agencies, Blue Mountain Action Council in Walla </w:t>
      </w:r>
      <w:proofErr w:type="spellStart"/>
      <w:r w:rsidRPr="00B34E9C">
        <w:t>Walla</w:t>
      </w:r>
      <w:proofErr w:type="spellEnd"/>
      <w:r w:rsidRPr="00B34E9C">
        <w:t>, Northwest Community Action Center in Toppenish and Opportunities Industrialization Center of Washington in Yakima</w:t>
      </w:r>
      <w:r w:rsidR="00D7772A" w:rsidRPr="00B34E9C">
        <w:t>,</w:t>
      </w:r>
      <w:r w:rsidRPr="00B34E9C">
        <w:t xml:space="preserve"> to provide weatherization services to income</w:t>
      </w:r>
      <w:r w:rsidR="00D7772A" w:rsidRPr="00B34E9C">
        <w:t>-</w:t>
      </w:r>
      <w:r w:rsidRPr="00B34E9C">
        <w:t xml:space="preserve">qualifying households throughout its Washington service area. The leveraging of PacifiCorp funding along with Washington </w:t>
      </w:r>
      <w:proofErr w:type="spellStart"/>
      <w:r w:rsidRPr="00B34E9C">
        <w:t>MatchMaker</w:t>
      </w:r>
      <w:proofErr w:type="spellEnd"/>
      <w:r w:rsidRPr="00B34E9C">
        <w:t xml:space="preserve"> Program funds allows the agencies to provide these energy efficiency services to more households at no cost to participating customers. The Company provides rebates to partnering agencies for 50</w:t>
      </w:r>
      <w:r w:rsidR="00E33F13" w:rsidRPr="00B34E9C">
        <w:t xml:space="preserve"> percent</w:t>
      </w:r>
      <w:r w:rsidRPr="00B34E9C">
        <w:t xml:space="preserve"> of the cost of services while </w:t>
      </w:r>
      <w:proofErr w:type="spellStart"/>
      <w:r w:rsidRPr="00B34E9C">
        <w:t>MatchMaker</w:t>
      </w:r>
      <w:proofErr w:type="spellEnd"/>
      <w:r w:rsidRPr="00B34E9C">
        <w:t xml:space="preserve"> funds are available, and covers 100</w:t>
      </w:r>
      <w:r w:rsidR="00E33F13" w:rsidRPr="00B34E9C">
        <w:t xml:space="preserve"> percent</w:t>
      </w:r>
      <w:r w:rsidRPr="00B34E9C">
        <w:t xml:space="preserve"> of costs when these state funds are depleted. Participants qualify </w:t>
      </w:r>
      <w:r w:rsidR="003831A4" w:rsidRPr="00B34E9C">
        <w:t>if</w:t>
      </w:r>
      <w:r w:rsidRPr="00B34E9C">
        <w:t xml:space="preserve"> they are homeowners or renters residing in single-family homes, manufactured homes or apartments. Over 6,700 homes have been completed since the program began in the mid-1980s.   </w:t>
      </w:r>
    </w:p>
    <w:p w:rsidR="00C81A94" w:rsidRPr="00B34E9C" w:rsidRDefault="00C81A94" w:rsidP="00C81A94">
      <w:pPr>
        <w:jc w:val="both"/>
      </w:pPr>
    </w:p>
    <w:p w:rsidR="003831A4" w:rsidRPr="00B34E9C" w:rsidRDefault="003831A4" w:rsidP="003831A4">
      <w:pPr>
        <w:jc w:val="both"/>
      </w:pPr>
      <w:r w:rsidRPr="00B34E9C">
        <w:t>Program results for 2010 are provided in Table 8 below.</w:t>
      </w:r>
    </w:p>
    <w:p w:rsidR="003831A4" w:rsidRPr="00B34E9C" w:rsidRDefault="003831A4" w:rsidP="00C81A94">
      <w:pPr>
        <w:jc w:val="both"/>
      </w:pPr>
    </w:p>
    <w:p w:rsidR="00C81A94" w:rsidRPr="00B34E9C" w:rsidRDefault="00C81A94" w:rsidP="00C81A94">
      <w:pPr>
        <w:jc w:val="center"/>
        <w:rPr>
          <w:b/>
          <w:bCs/>
        </w:rPr>
      </w:pPr>
      <w:r w:rsidRPr="00B34E9C">
        <w:rPr>
          <w:b/>
          <w:bCs/>
        </w:rPr>
        <w:t xml:space="preserve">Table </w:t>
      </w:r>
      <w:r w:rsidR="00903DF7" w:rsidRPr="00B34E9C">
        <w:rPr>
          <w:b/>
          <w:bCs/>
        </w:rPr>
        <w:t>8</w:t>
      </w:r>
    </w:p>
    <w:p w:rsidR="00C81A94" w:rsidRPr="00B34E9C" w:rsidRDefault="0024323A" w:rsidP="00C81A94">
      <w:pPr>
        <w:jc w:val="center"/>
      </w:pPr>
      <w:r w:rsidRPr="0024323A">
        <w:rPr>
          <w:noProof/>
          <w:lang w:eastAsia="en-US"/>
        </w:rPr>
        <w:drawing>
          <wp:inline distT="0" distB="0" distL="0" distR="0">
            <wp:extent cx="5486400" cy="5043353"/>
            <wp:effectExtent l="19050" t="0" r="0" b="0"/>
            <wp:docPr id="5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srcRect/>
                    <a:stretch>
                      <a:fillRect/>
                    </a:stretch>
                  </pic:blipFill>
                  <pic:spPr bwMode="auto">
                    <a:xfrm>
                      <a:off x="0" y="0"/>
                      <a:ext cx="5486400" cy="5043353"/>
                    </a:xfrm>
                    <a:prstGeom prst="rect">
                      <a:avLst/>
                    </a:prstGeom>
                    <a:noFill/>
                    <a:ln w="9525">
                      <a:noFill/>
                      <a:miter lim="800000"/>
                      <a:headEnd/>
                      <a:tailEnd/>
                    </a:ln>
                  </pic:spPr>
                </pic:pic>
              </a:graphicData>
            </a:graphic>
          </wp:inline>
        </w:drawing>
      </w:r>
    </w:p>
    <w:p w:rsidR="00C81A94" w:rsidRPr="00D0508C" w:rsidRDefault="00C81A94" w:rsidP="00C81A94">
      <w:pPr>
        <w:jc w:val="both"/>
        <w:rPr>
          <w:b/>
          <w:bCs/>
          <w:sz w:val="28"/>
          <w:szCs w:val="28"/>
        </w:rPr>
      </w:pPr>
      <w:r w:rsidRPr="00D0508C">
        <w:rPr>
          <w:b/>
          <w:bCs/>
          <w:sz w:val="28"/>
          <w:szCs w:val="28"/>
        </w:rPr>
        <w:t>Energy Education in Schools (Schedule 113)</w:t>
      </w:r>
    </w:p>
    <w:p w:rsidR="00C81A94" w:rsidRPr="00B34E9C" w:rsidRDefault="00C81A94" w:rsidP="00C81A94">
      <w:pPr>
        <w:jc w:val="both"/>
        <w:rPr>
          <w:b/>
          <w:bCs/>
        </w:rPr>
      </w:pPr>
    </w:p>
    <w:p w:rsidR="003831A4" w:rsidRPr="00B34E9C" w:rsidRDefault="00C81A94" w:rsidP="00C81A94">
      <w:pPr>
        <w:jc w:val="both"/>
      </w:pPr>
      <w:r w:rsidRPr="00B34E9C">
        <w:t xml:space="preserve">The energy education curriculum was developed for sixth grade classrooms by three partnering agencies (Blue Mountain Action Council in Walla </w:t>
      </w:r>
      <w:proofErr w:type="spellStart"/>
      <w:r w:rsidRPr="00B34E9C">
        <w:t>Walla</w:t>
      </w:r>
      <w:proofErr w:type="spellEnd"/>
      <w:r w:rsidRPr="00B34E9C">
        <w:t xml:space="preserve">, Northwest Community Action Center in Toppenish and Opportunities Industrialization Center of Washington in Yakima). The agencies employ certified teachers to work with school administrators, teachers and students. They provide a minimum of 3 one-hour energy education sessions on topics such as electricity generation, conservation, </w:t>
      </w:r>
      <w:proofErr w:type="gramStart"/>
      <w:r w:rsidRPr="00B34E9C">
        <w:t>meter</w:t>
      </w:r>
      <w:proofErr w:type="gramEnd"/>
      <w:r w:rsidRPr="00B34E9C">
        <w:t xml:space="preserve"> reading and efficiency tips. Students receive a kit of measures including a CFL, a refrigerator/freezer temperature card, an electroluminescent nightlight, a shower timer, a hot water temperature card, a kitchen faucet aerator and a wall plate thermometer. A low flow showerhead is provided to those students where </w:t>
      </w:r>
      <w:r w:rsidR="008D2217" w:rsidRPr="00B34E9C">
        <w:t xml:space="preserve">a </w:t>
      </w:r>
      <w:r w:rsidRPr="00B34E9C">
        <w:t>water flow test indicate</w:t>
      </w:r>
      <w:r w:rsidR="008D2217" w:rsidRPr="00B34E9C">
        <w:t>s</w:t>
      </w:r>
      <w:r w:rsidRPr="00B34E9C">
        <w:t xml:space="preserve"> th</w:t>
      </w:r>
      <w:r w:rsidR="008D2217" w:rsidRPr="00B34E9C">
        <w:t>is</w:t>
      </w:r>
      <w:r w:rsidRPr="00B34E9C">
        <w:t xml:space="preserve"> need. In the 2009-2010 school </w:t>
      </w:r>
      <w:proofErr w:type="gramStart"/>
      <w:r w:rsidRPr="00B34E9C">
        <w:t>year</w:t>
      </w:r>
      <w:proofErr w:type="gramEnd"/>
      <w:r w:rsidRPr="00B34E9C">
        <w:t>, 4,127 students completed the course with an estimated annual savings for measure installation</w:t>
      </w:r>
      <w:r w:rsidR="00137599" w:rsidRPr="00B34E9C">
        <w:t xml:space="preserve"> </w:t>
      </w:r>
      <w:r w:rsidRPr="00B34E9C">
        <w:t xml:space="preserve">of </w:t>
      </w:r>
      <w:r w:rsidR="00137599" w:rsidRPr="00B34E9C">
        <w:t>633</w:t>
      </w:r>
      <w:r w:rsidRPr="00B34E9C">
        <w:t xml:space="preserve"> kWh</w:t>
      </w:r>
      <w:r w:rsidR="0046528F" w:rsidRPr="00B34E9C">
        <w:t xml:space="preserve"> (at generator)</w:t>
      </w:r>
      <w:r w:rsidRPr="00B34E9C">
        <w:t xml:space="preserve"> per student</w:t>
      </w:r>
      <w:r w:rsidR="00137599" w:rsidRPr="00B34E9C">
        <w:t xml:space="preserve">. The </w:t>
      </w:r>
      <w:r w:rsidR="00900399" w:rsidRPr="00B34E9C">
        <w:t>Company</w:t>
      </w:r>
      <w:r w:rsidR="00137599" w:rsidRPr="00B34E9C">
        <w:t xml:space="preserve"> believes the educational aspect of the program result</w:t>
      </w:r>
      <w:r w:rsidR="00E14EB9">
        <w:t>ed</w:t>
      </w:r>
      <w:r w:rsidR="00137599" w:rsidRPr="00B34E9C">
        <w:t xml:space="preserve"> in additional savings of approximately </w:t>
      </w:r>
      <w:r w:rsidR="00900399" w:rsidRPr="00B34E9C">
        <w:t>1,444</w:t>
      </w:r>
      <w:r w:rsidR="00137599" w:rsidRPr="00B34E9C">
        <w:t xml:space="preserve"> kWh (at generator) per participating household </w:t>
      </w:r>
      <w:r w:rsidR="0046528F" w:rsidRPr="00B34E9C">
        <w:t xml:space="preserve">as a result of </w:t>
      </w:r>
      <w:r w:rsidR="00137599" w:rsidRPr="00B34E9C">
        <w:t>behavioral changes in energy use</w:t>
      </w:r>
      <w:r w:rsidR="00900399" w:rsidRPr="00B34E9C">
        <w:t>.</w:t>
      </w:r>
      <w:r w:rsidR="00137599" w:rsidRPr="00B34E9C">
        <w:t xml:space="preserve"> </w:t>
      </w:r>
      <w:r w:rsidR="00900399" w:rsidRPr="00B34E9C">
        <w:t>H</w:t>
      </w:r>
      <w:r w:rsidR="00137599" w:rsidRPr="00B34E9C">
        <w:t>owever</w:t>
      </w:r>
      <w:r w:rsidR="00900399" w:rsidRPr="00B34E9C">
        <w:t>,</w:t>
      </w:r>
      <w:r w:rsidR="00137599" w:rsidRPr="00B34E9C">
        <w:t xml:space="preserve"> </w:t>
      </w:r>
      <w:r w:rsidR="0046528F" w:rsidRPr="00B34E9C">
        <w:t>due to difficulty verifying these savings</w:t>
      </w:r>
      <w:r w:rsidR="00900399" w:rsidRPr="00B34E9C">
        <w:t>, they</w:t>
      </w:r>
      <w:r w:rsidR="0046528F" w:rsidRPr="00B34E9C">
        <w:t xml:space="preserve"> have not been </w:t>
      </w:r>
      <w:r w:rsidR="00137599" w:rsidRPr="00B34E9C">
        <w:t>included in the results in Table 9</w:t>
      </w:r>
      <w:r w:rsidR="0046528F" w:rsidRPr="00B34E9C">
        <w:t xml:space="preserve"> and are not </w:t>
      </w:r>
      <w:r w:rsidR="00137599" w:rsidRPr="00B34E9C">
        <w:t xml:space="preserve">being reported for the purpose of either the achievement of the Company’s 2010 energy savings </w:t>
      </w:r>
      <w:r w:rsidR="0046528F" w:rsidRPr="00B34E9C">
        <w:t>or towards the cost-effectiveness analysis of the program.</w:t>
      </w:r>
      <w:r w:rsidRPr="00B34E9C">
        <w:t xml:space="preserve">  </w:t>
      </w:r>
    </w:p>
    <w:p w:rsidR="003831A4" w:rsidRPr="00B34E9C" w:rsidRDefault="003831A4" w:rsidP="00C81A94">
      <w:pPr>
        <w:jc w:val="both"/>
      </w:pPr>
    </w:p>
    <w:p w:rsidR="00C81A94" w:rsidRPr="00B34E9C" w:rsidRDefault="00C81A94" w:rsidP="00C81A94">
      <w:pPr>
        <w:jc w:val="both"/>
      </w:pPr>
      <w:r w:rsidRPr="00B34E9C">
        <w:t xml:space="preserve">Table </w:t>
      </w:r>
      <w:r w:rsidR="003831A4" w:rsidRPr="00B34E9C">
        <w:t>9</w:t>
      </w:r>
      <w:r w:rsidRPr="00B34E9C">
        <w:t xml:space="preserve"> includes savings from measure installations.  </w:t>
      </w:r>
    </w:p>
    <w:p w:rsidR="00C81A94" w:rsidRDefault="00C81A94" w:rsidP="00C81A94"/>
    <w:p w:rsidR="00F50C69" w:rsidRPr="00B34E9C" w:rsidRDefault="00F50C69" w:rsidP="00C81A94"/>
    <w:p w:rsidR="00C81A94" w:rsidRPr="00B34E9C" w:rsidRDefault="00C81A94" w:rsidP="00C81A94">
      <w:pPr>
        <w:jc w:val="center"/>
        <w:rPr>
          <w:b/>
          <w:bCs/>
        </w:rPr>
      </w:pPr>
      <w:r w:rsidRPr="00B34E9C">
        <w:rPr>
          <w:b/>
          <w:bCs/>
        </w:rPr>
        <w:t xml:space="preserve">Table </w:t>
      </w:r>
      <w:r w:rsidR="00903DF7" w:rsidRPr="00B34E9C">
        <w:rPr>
          <w:b/>
          <w:bCs/>
        </w:rPr>
        <w:t>9</w:t>
      </w:r>
    </w:p>
    <w:p w:rsidR="00C81A94" w:rsidRPr="00B34E9C" w:rsidRDefault="003B1F7F" w:rsidP="00C81A94">
      <w:pPr>
        <w:jc w:val="center"/>
      </w:pPr>
      <w:r w:rsidRPr="003B1F7F">
        <w:rPr>
          <w:noProof/>
          <w:lang w:eastAsia="en-US"/>
        </w:rPr>
        <w:drawing>
          <wp:inline distT="0" distB="0" distL="0" distR="0">
            <wp:extent cx="5486400" cy="2110825"/>
            <wp:effectExtent l="19050" t="0" r="0" b="0"/>
            <wp:docPr id="5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srcRect/>
                    <a:stretch>
                      <a:fillRect/>
                    </a:stretch>
                  </pic:blipFill>
                  <pic:spPr bwMode="auto">
                    <a:xfrm>
                      <a:off x="0" y="0"/>
                      <a:ext cx="5486400" cy="2110825"/>
                    </a:xfrm>
                    <a:prstGeom prst="rect">
                      <a:avLst/>
                    </a:prstGeom>
                    <a:noFill/>
                    <a:ln w="9525">
                      <a:noFill/>
                      <a:miter lim="800000"/>
                      <a:headEnd/>
                      <a:tailEnd/>
                    </a:ln>
                  </pic:spPr>
                </pic:pic>
              </a:graphicData>
            </a:graphic>
          </wp:inline>
        </w:drawing>
      </w:r>
    </w:p>
    <w:p w:rsidR="00C81A94" w:rsidRPr="00B34E9C" w:rsidRDefault="00C81A94" w:rsidP="00C81A94"/>
    <w:p w:rsidR="00F569C3" w:rsidRPr="00B34E9C" w:rsidRDefault="00F569C3" w:rsidP="00C81A94">
      <w:pPr>
        <w:jc w:val="both"/>
      </w:pPr>
    </w:p>
    <w:p w:rsidR="00F569C3" w:rsidRPr="00B34E9C" w:rsidRDefault="00F569C3" w:rsidP="00C81A94">
      <w:pPr>
        <w:jc w:val="both"/>
      </w:pPr>
    </w:p>
    <w:p w:rsidR="00C81A94" w:rsidRPr="00B34E9C" w:rsidRDefault="00C81A94" w:rsidP="00C81A94">
      <w:pPr>
        <w:jc w:val="both"/>
      </w:pPr>
      <w:r w:rsidRPr="00B34E9C">
        <w:t xml:space="preserve">Installed measure savings </w:t>
      </w:r>
      <w:r w:rsidR="0046528F" w:rsidRPr="00B34E9C">
        <w:t xml:space="preserve">and the calculation of program cost-effectiveness in Table 9 above </w:t>
      </w:r>
      <w:r w:rsidRPr="00B34E9C">
        <w:t xml:space="preserve">for the program include additional CFLs purchased by participating households. </w:t>
      </w:r>
      <w:r w:rsidR="0046528F" w:rsidRPr="00B34E9C">
        <w:t>However, t</w:t>
      </w:r>
      <w:r w:rsidRPr="00B34E9C">
        <w:t xml:space="preserve">here is a high probability that these additional CFLs were purchased at retailers selling CFLs that were discounted as a result of the Home Energy Savings Incentive Program. </w:t>
      </w:r>
      <w:r w:rsidR="0046528F" w:rsidRPr="00B34E9C">
        <w:t>To avoid double counting of these savings</w:t>
      </w:r>
      <w:r w:rsidR="008D0C9B" w:rsidRPr="00B34E9C">
        <w:t xml:space="preserve"> towards the Company’s 2010 program performance, the savings associated with the additional CFL purchases were removed from the Residential portfolio results and related cost-effectiveness calculations. </w:t>
      </w:r>
      <w:r w:rsidRPr="00B34E9C">
        <w:t xml:space="preserve">The savings associated with these additional CFL installations </w:t>
      </w:r>
      <w:r w:rsidR="008D0C9B" w:rsidRPr="00B34E9C">
        <w:t xml:space="preserve">were </w:t>
      </w:r>
      <w:r w:rsidRPr="00B34E9C">
        <w:t>identified in the Washington Energy Education program assessment</w:t>
      </w:r>
      <w:r w:rsidRPr="00B34E9C">
        <w:rPr>
          <w:rStyle w:val="FootnoteReference"/>
        </w:rPr>
        <w:footnoteReference w:id="4"/>
      </w:r>
      <w:r w:rsidRPr="00B34E9C">
        <w:t xml:space="preserve"> </w:t>
      </w:r>
      <w:r w:rsidR="008D0C9B" w:rsidRPr="00B34E9C">
        <w:t xml:space="preserve">to be approximately </w:t>
      </w:r>
      <w:r w:rsidR="0066765E" w:rsidRPr="00B34E9C">
        <w:t>1,024,651</w:t>
      </w:r>
      <w:r w:rsidRPr="00B34E9C">
        <w:t xml:space="preserve">kWh </w:t>
      </w:r>
      <w:r w:rsidR="003831A4" w:rsidRPr="00B34E9C">
        <w:t>(</w:t>
      </w:r>
      <w:r w:rsidRPr="00B34E9C">
        <w:t xml:space="preserve">at </w:t>
      </w:r>
      <w:r w:rsidR="002B49A1" w:rsidRPr="00B34E9C">
        <w:t>generator</w:t>
      </w:r>
      <w:r w:rsidR="003831A4" w:rsidRPr="00B34E9C">
        <w:t>)</w:t>
      </w:r>
      <w:r w:rsidRPr="00B34E9C">
        <w:t xml:space="preserve"> for the 2009-2010 school </w:t>
      </w:r>
      <w:proofErr w:type="gramStart"/>
      <w:r w:rsidRPr="00B34E9C">
        <w:t>year</w:t>
      </w:r>
      <w:proofErr w:type="gramEnd"/>
      <w:r w:rsidRPr="00B34E9C">
        <w:t xml:space="preserve">.  </w:t>
      </w:r>
    </w:p>
    <w:p w:rsidR="00A54217" w:rsidRPr="00B34E9C" w:rsidRDefault="00A54217" w:rsidP="00734E52">
      <w:pPr>
        <w:pStyle w:val="Heading1"/>
        <w:rPr>
          <w:rFonts w:ascii="Times New Roman" w:hAnsi="Times New Roman" w:cs="Times New Roman"/>
        </w:rPr>
      </w:pPr>
      <w:bookmarkStart w:id="18" w:name="_Toc288484126"/>
      <w:bookmarkStart w:id="19" w:name="_Toc289064245"/>
    </w:p>
    <w:p w:rsidR="00A54217" w:rsidRPr="00B34E9C" w:rsidRDefault="00A54217" w:rsidP="00A54217"/>
    <w:p w:rsidR="00A54217" w:rsidRPr="00B34E9C" w:rsidRDefault="00A54217" w:rsidP="00A54217"/>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A54217"/>
    <w:p w:rsidR="00A54217" w:rsidRPr="00B34E9C" w:rsidRDefault="00A54217" w:rsidP="00A54217"/>
    <w:p w:rsidR="00A54217" w:rsidRPr="00B34E9C" w:rsidRDefault="00A54217" w:rsidP="00734E52">
      <w:pPr>
        <w:pStyle w:val="Heading1"/>
        <w:rPr>
          <w:rFonts w:ascii="Times New Roman" w:hAnsi="Times New Roman" w:cs="Times New Roman"/>
        </w:rPr>
      </w:pPr>
    </w:p>
    <w:p w:rsidR="00A54217" w:rsidRPr="00B34E9C" w:rsidRDefault="00A54217" w:rsidP="00A54217"/>
    <w:p w:rsidR="00A54217" w:rsidRPr="00B34E9C" w:rsidRDefault="00A54217" w:rsidP="00A54217"/>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734E52">
      <w:pPr>
        <w:pStyle w:val="Heading1"/>
        <w:rPr>
          <w:rFonts w:ascii="Times New Roman" w:hAnsi="Times New Roman" w:cs="Times New Roman"/>
        </w:rPr>
      </w:pPr>
    </w:p>
    <w:p w:rsidR="00A54217" w:rsidRPr="00B34E9C" w:rsidRDefault="00A54217" w:rsidP="00A54217"/>
    <w:p w:rsidR="00A54217" w:rsidRPr="00B34E9C" w:rsidRDefault="00A54217" w:rsidP="00A54217"/>
    <w:p w:rsidR="00555241" w:rsidRDefault="00555241" w:rsidP="00734E52">
      <w:pPr>
        <w:pStyle w:val="Heading1"/>
        <w:rPr>
          <w:rFonts w:ascii="Times New Roman" w:hAnsi="Times New Roman" w:cs="Times New Roman"/>
        </w:rPr>
      </w:pPr>
    </w:p>
    <w:p w:rsidR="00555241" w:rsidRDefault="00555241" w:rsidP="00555241"/>
    <w:p w:rsidR="00555241" w:rsidRPr="00555241" w:rsidRDefault="00555241" w:rsidP="00555241"/>
    <w:p w:rsidR="008C6BDB" w:rsidRPr="00B34E9C" w:rsidRDefault="008C6BDB" w:rsidP="00734E52">
      <w:pPr>
        <w:pStyle w:val="Heading1"/>
        <w:rPr>
          <w:rFonts w:ascii="Times New Roman" w:hAnsi="Times New Roman" w:cs="Times New Roman"/>
        </w:rPr>
      </w:pPr>
      <w:r w:rsidRPr="00B34E9C">
        <w:rPr>
          <w:rFonts w:ascii="Times New Roman" w:hAnsi="Times New Roman" w:cs="Times New Roman"/>
        </w:rPr>
        <w:t>Non-Residential Energy Efficiency Programs and Activity</w:t>
      </w:r>
      <w:bookmarkEnd w:id="18"/>
      <w:bookmarkEnd w:id="19"/>
    </w:p>
    <w:p w:rsidR="008C6BDB" w:rsidRPr="00B34E9C" w:rsidRDefault="008C6BDB" w:rsidP="00734E52"/>
    <w:p w:rsidR="00011AFB" w:rsidRPr="00B34E9C" w:rsidRDefault="00011AFB" w:rsidP="00011AFB">
      <w:pPr>
        <w:rPr>
          <w:b/>
          <w:bCs/>
        </w:rPr>
      </w:pPr>
      <w:r w:rsidRPr="00B34E9C">
        <w:rPr>
          <w:b/>
          <w:bCs/>
        </w:rPr>
        <w:t>FinAnswer Express (Schedule 115)</w:t>
      </w:r>
    </w:p>
    <w:p w:rsidR="00011AFB" w:rsidRPr="00B34E9C" w:rsidRDefault="00011AFB" w:rsidP="00011AFB">
      <w:pPr>
        <w:rPr>
          <w:b/>
          <w:bCs/>
        </w:rPr>
      </w:pPr>
    </w:p>
    <w:p w:rsidR="00011AFB" w:rsidRPr="00B34E9C" w:rsidRDefault="00011AFB" w:rsidP="00011AFB">
      <w:pPr>
        <w:jc w:val="both"/>
      </w:pPr>
      <w:r w:rsidRPr="00B34E9C">
        <w:t>The FinAnswer Express program is available to commercial, industrial, and agricultural customers in PacifiCorp’s Washington service territory. The program includes an expedited energy analysis and offers incentives for qualifying high-efficiency measures based on the equipment installed and listed in the incentive program incentive tables ($/fixture, $/motor, $/ton of cooling, etc.)</w:t>
      </w:r>
      <w:r w:rsidR="00F871EC" w:rsidRPr="00B34E9C">
        <w:t>.</w:t>
      </w:r>
      <w:r w:rsidRPr="00B34E9C">
        <w:t xml:space="preserve"> The program also includes custom incentives and technical analysis services for measures not listed in the program incentive tables that improve electric energy efficiency. The current program offers incentives for lighting, motors, heating ventilation and air conditioning (“HVAC”), building envelope, food service equipment, appliances, irrigation, dairy/farm equipment, small compressed air, and other measures. Incentives are available for both retrofit projects and new construction/major renovation projects. The program is marketed primarily via trade allies, PacifiCorp staff, and a combination of other Company outreach efforts including print and radio advertising. This program began as Small Retrofit Incentive and Retrofit Incentive (Schedules 115 and 116) in November 2000 and was improved and renamed FinAnswer Express (Schedule 115) in May 2004. It was last modified November 20, 2010.</w:t>
      </w:r>
    </w:p>
    <w:p w:rsidR="00011AFB" w:rsidRPr="00B34E9C" w:rsidRDefault="00011AFB" w:rsidP="00011AFB">
      <w:pPr>
        <w:jc w:val="both"/>
      </w:pPr>
    </w:p>
    <w:p w:rsidR="00011AFB" w:rsidRPr="00B34E9C" w:rsidRDefault="00011AFB" w:rsidP="00011AFB">
      <w:pPr>
        <w:jc w:val="both"/>
      </w:pPr>
      <w:r w:rsidRPr="00B34E9C">
        <w:t xml:space="preserve">Program expenditures, kWh savings and incentives paid </w:t>
      </w:r>
      <w:r w:rsidR="00A54217" w:rsidRPr="00B34E9C">
        <w:t>are outlined in the table below:</w:t>
      </w:r>
    </w:p>
    <w:p w:rsidR="00A54217" w:rsidRPr="00B34E9C" w:rsidRDefault="00A54217" w:rsidP="00011AFB">
      <w:pPr>
        <w:jc w:val="center"/>
        <w:rPr>
          <w:b/>
          <w:bCs/>
        </w:rPr>
      </w:pPr>
    </w:p>
    <w:p w:rsidR="00011AFB" w:rsidRPr="00B34E9C" w:rsidRDefault="00011AFB" w:rsidP="00011AFB">
      <w:pPr>
        <w:jc w:val="center"/>
        <w:rPr>
          <w:b/>
          <w:bCs/>
        </w:rPr>
      </w:pPr>
      <w:r w:rsidRPr="00B34E9C">
        <w:rPr>
          <w:b/>
          <w:bCs/>
        </w:rPr>
        <w:t xml:space="preserve">Table </w:t>
      </w:r>
      <w:r w:rsidR="00903DF7" w:rsidRPr="00B34E9C">
        <w:rPr>
          <w:b/>
          <w:bCs/>
        </w:rPr>
        <w:t>10</w:t>
      </w:r>
    </w:p>
    <w:p w:rsidR="00011AFB" w:rsidRPr="00B34E9C" w:rsidRDefault="00011AFB" w:rsidP="00011AFB">
      <w:pPr>
        <w:jc w:val="center"/>
      </w:pPr>
    </w:p>
    <w:p w:rsidR="00011AFB" w:rsidRPr="00B34E9C" w:rsidRDefault="00B251D0" w:rsidP="00011AFB">
      <w:r w:rsidRPr="00B251D0">
        <w:rPr>
          <w:noProof/>
          <w:lang w:eastAsia="en-US"/>
        </w:rPr>
        <w:drawing>
          <wp:inline distT="0" distB="0" distL="0" distR="0">
            <wp:extent cx="5486400" cy="151117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486400" cy="1511179"/>
                    </a:xfrm>
                    <a:prstGeom prst="rect">
                      <a:avLst/>
                    </a:prstGeom>
                    <a:noFill/>
                    <a:ln w="9525">
                      <a:noFill/>
                      <a:miter lim="800000"/>
                      <a:headEnd/>
                      <a:tailEnd/>
                    </a:ln>
                  </pic:spPr>
                </pic:pic>
              </a:graphicData>
            </a:graphic>
          </wp:inline>
        </w:drawing>
      </w:r>
    </w:p>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A54217" w:rsidRPr="00B34E9C" w:rsidRDefault="00A54217" w:rsidP="00011AFB"/>
    <w:p w:rsidR="00555241" w:rsidRDefault="00555241" w:rsidP="00011AFB"/>
    <w:p w:rsidR="00555241" w:rsidRDefault="00555241" w:rsidP="00011AFB"/>
    <w:p w:rsidR="00555241" w:rsidRDefault="00555241" w:rsidP="00011AFB"/>
    <w:p w:rsidR="00011AFB" w:rsidRPr="00B34E9C" w:rsidRDefault="00011AFB" w:rsidP="00011AFB">
      <w:r w:rsidRPr="00B34E9C">
        <w:t xml:space="preserve">Details of program savings by measure type are provided </w:t>
      </w:r>
      <w:r w:rsidR="008D2217" w:rsidRPr="00B34E9C">
        <w:t>in</w:t>
      </w:r>
      <w:r w:rsidRPr="00B34E9C">
        <w:t xml:space="preserve"> the table below</w:t>
      </w:r>
      <w:r w:rsidR="00A54217" w:rsidRPr="00B34E9C">
        <w:t>:</w:t>
      </w:r>
    </w:p>
    <w:p w:rsidR="00011AFB" w:rsidRPr="00B34E9C" w:rsidRDefault="00011AFB" w:rsidP="00011AFB"/>
    <w:p w:rsidR="00011AFB" w:rsidRPr="00B34E9C" w:rsidRDefault="00011AFB" w:rsidP="00011AFB">
      <w:pPr>
        <w:jc w:val="center"/>
        <w:rPr>
          <w:b/>
          <w:bCs/>
        </w:rPr>
      </w:pPr>
      <w:r w:rsidRPr="00B34E9C">
        <w:rPr>
          <w:b/>
          <w:bCs/>
        </w:rPr>
        <w:t>Table 1</w:t>
      </w:r>
      <w:r w:rsidR="00903DF7" w:rsidRPr="00B34E9C">
        <w:rPr>
          <w:b/>
          <w:bCs/>
        </w:rPr>
        <w:t>1</w:t>
      </w:r>
    </w:p>
    <w:p w:rsidR="00011AFB" w:rsidRPr="00B34E9C" w:rsidRDefault="00084249" w:rsidP="00011AFB">
      <w:pPr>
        <w:jc w:val="center"/>
      </w:pPr>
      <w:r w:rsidRPr="00084249">
        <w:rPr>
          <w:noProof/>
          <w:lang w:eastAsia="en-US"/>
        </w:rPr>
        <w:drawing>
          <wp:inline distT="0" distB="0" distL="0" distR="0">
            <wp:extent cx="4076700" cy="2009775"/>
            <wp:effectExtent l="19050" t="0" r="0" b="0"/>
            <wp:docPr id="4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4076700" cy="2009775"/>
                    </a:xfrm>
                    <a:prstGeom prst="rect">
                      <a:avLst/>
                    </a:prstGeom>
                    <a:noFill/>
                    <a:ln w="9525">
                      <a:noFill/>
                      <a:miter lim="800000"/>
                      <a:headEnd/>
                      <a:tailEnd/>
                    </a:ln>
                  </pic:spPr>
                </pic:pic>
              </a:graphicData>
            </a:graphic>
          </wp:inline>
        </w:drawing>
      </w:r>
    </w:p>
    <w:p w:rsidR="00011AFB" w:rsidRPr="00B34E9C" w:rsidRDefault="00011AFB" w:rsidP="00011AFB"/>
    <w:p w:rsidR="00011AFB" w:rsidRPr="00B34E9C" w:rsidRDefault="00011AFB" w:rsidP="00011AFB">
      <w:r w:rsidRPr="00B34E9C">
        <w:br w:type="page"/>
      </w:r>
    </w:p>
    <w:p w:rsidR="00F46735" w:rsidRDefault="00011AFB" w:rsidP="00011AFB">
      <w:pPr>
        <w:rPr>
          <w:b/>
        </w:rPr>
      </w:pPr>
      <w:r w:rsidRPr="00B34E9C">
        <w:rPr>
          <w:b/>
        </w:rPr>
        <w:t>Major Trends and Activities</w:t>
      </w:r>
    </w:p>
    <w:p w:rsidR="00011AFB" w:rsidRPr="00B34E9C" w:rsidRDefault="00011AFB" w:rsidP="00011AFB">
      <w:pPr>
        <w:jc w:val="both"/>
      </w:pPr>
      <w:r w:rsidRPr="00B34E9C">
        <w:t>Program changes were implemented upon completion of the program change process for FinAnswer Express</w:t>
      </w:r>
      <w:r w:rsidR="00F871EC" w:rsidRPr="00B34E9C">
        <w:t xml:space="preserve"> as originally</w:t>
      </w:r>
      <w:r w:rsidRPr="00B34E9C">
        <w:t xml:space="preserve"> documented and approved in Advice 06-08 (Docket UE-061710). The notification of the changes was posted on the Company’s website October 6 and the changes became effective on November 20. The </w:t>
      </w:r>
      <w:r w:rsidR="008D2217" w:rsidRPr="00B34E9C">
        <w:t>Company’s</w:t>
      </w:r>
      <w:r w:rsidRPr="00B34E9C">
        <w:t xml:space="preserve"> Business Plan update filed November 1 includes the program details for FinAnswer Express with the changes incorporated. The primary changes include:</w:t>
      </w:r>
    </w:p>
    <w:p w:rsidR="00011AFB" w:rsidRPr="00B34E9C" w:rsidRDefault="00011AFB" w:rsidP="00011AFB">
      <w:pPr>
        <w:jc w:val="both"/>
      </w:pPr>
    </w:p>
    <w:tbl>
      <w:tblPr>
        <w:tblStyle w:val="TableGrid"/>
        <w:tblW w:w="9558" w:type="dxa"/>
        <w:tblLayout w:type="fixed"/>
        <w:tblLook w:val="04A0"/>
      </w:tblPr>
      <w:tblGrid>
        <w:gridCol w:w="1728"/>
        <w:gridCol w:w="2520"/>
        <w:gridCol w:w="5310"/>
      </w:tblGrid>
      <w:tr w:rsidR="00011AFB" w:rsidRPr="00B34E9C" w:rsidTr="0024323A">
        <w:tc>
          <w:tcPr>
            <w:tcW w:w="1728" w:type="dxa"/>
          </w:tcPr>
          <w:p w:rsidR="00011AFB" w:rsidRPr="00B34E9C" w:rsidRDefault="00864DCF" w:rsidP="00011AFB">
            <w:pPr>
              <w:tabs>
                <w:tab w:val="left" w:pos="-1080"/>
              </w:tabs>
              <w:rPr>
                <w:b/>
              </w:rPr>
            </w:pPr>
            <w:r w:rsidRPr="00B34E9C">
              <w:rPr>
                <w:b/>
              </w:rPr>
              <w:t>Measure Category</w:t>
            </w:r>
          </w:p>
        </w:tc>
        <w:tc>
          <w:tcPr>
            <w:tcW w:w="2520" w:type="dxa"/>
          </w:tcPr>
          <w:p w:rsidR="00011AFB" w:rsidRPr="00B34E9C" w:rsidRDefault="00864DCF" w:rsidP="00011AFB">
            <w:pPr>
              <w:tabs>
                <w:tab w:val="left" w:pos="-1080"/>
              </w:tabs>
              <w:rPr>
                <w:b/>
              </w:rPr>
            </w:pPr>
            <w:r w:rsidRPr="00B34E9C">
              <w:rPr>
                <w:b/>
              </w:rPr>
              <w:t>Change</w:t>
            </w:r>
          </w:p>
        </w:tc>
        <w:tc>
          <w:tcPr>
            <w:tcW w:w="5310" w:type="dxa"/>
          </w:tcPr>
          <w:p w:rsidR="00011AFB" w:rsidRPr="00B34E9C" w:rsidRDefault="00864DCF" w:rsidP="00011AFB">
            <w:pPr>
              <w:tabs>
                <w:tab w:val="left" w:pos="-1080"/>
              </w:tabs>
              <w:rPr>
                <w:b/>
              </w:rPr>
            </w:pPr>
            <w:r w:rsidRPr="00B34E9C">
              <w:rPr>
                <w:b/>
              </w:rPr>
              <w:t>Reason for Change</w:t>
            </w:r>
          </w:p>
        </w:tc>
      </w:tr>
      <w:tr w:rsidR="00011AFB" w:rsidRPr="00B34E9C" w:rsidTr="0024323A">
        <w:tc>
          <w:tcPr>
            <w:tcW w:w="1728" w:type="dxa"/>
          </w:tcPr>
          <w:p w:rsidR="00011AFB" w:rsidRPr="00B34E9C" w:rsidRDefault="00864DCF" w:rsidP="00011AFB">
            <w:pPr>
              <w:tabs>
                <w:tab w:val="left" w:pos="-1080"/>
              </w:tabs>
            </w:pPr>
            <w:r w:rsidRPr="00B34E9C">
              <w:t xml:space="preserve">Retrofit Lighting </w:t>
            </w:r>
          </w:p>
        </w:tc>
        <w:tc>
          <w:tcPr>
            <w:tcW w:w="2520" w:type="dxa"/>
          </w:tcPr>
          <w:p w:rsidR="00011AFB" w:rsidRPr="00B34E9C" w:rsidRDefault="00864DCF" w:rsidP="00011AFB">
            <w:pPr>
              <w:tabs>
                <w:tab w:val="left" w:pos="-1080"/>
              </w:tabs>
            </w:pPr>
            <w:r w:rsidRPr="00B34E9C">
              <w:t xml:space="preserve">Added new measure:  Advanced/ Integrated </w:t>
            </w:r>
            <w:proofErr w:type="spellStart"/>
            <w:r w:rsidRPr="00B34E9C">
              <w:t>Daylighting</w:t>
            </w:r>
            <w:proofErr w:type="spellEnd"/>
            <w:r w:rsidRPr="00B34E9C">
              <w:t xml:space="preserve"> Control.</w:t>
            </w:r>
          </w:p>
          <w:p w:rsidR="00011AFB" w:rsidRPr="00B34E9C" w:rsidRDefault="00011AFB" w:rsidP="00011AFB">
            <w:pPr>
              <w:tabs>
                <w:tab w:val="left" w:pos="-1080"/>
              </w:tabs>
            </w:pPr>
          </w:p>
        </w:tc>
        <w:tc>
          <w:tcPr>
            <w:tcW w:w="5310" w:type="dxa"/>
          </w:tcPr>
          <w:p w:rsidR="00011AFB" w:rsidRPr="00B34E9C" w:rsidRDefault="00864DCF" w:rsidP="00011AFB">
            <w:pPr>
              <w:tabs>
                <w:tab w:val="left" w:pos="-1080"/>
              </w:tabs>
            </w:pPr>
            <w:r w:rsidRPr="00B34E9C">
              <w:t xml:space="preserve">Because this new measure is added for new construction/major renovation lighting, it was also included in the changes for retrofits to have the option available for existing facilities as well. </w:t>
            </w:r>
          </w:p>
        </w:tc>
      </w:tr>
      <w:tr w:rsidR="00011AFB" w:rsidRPr="00B34E9C" w:rsidTr="0024323A">
        <w:tc>
          <w:tcPr>
            <w:tcW w:w="1728" w:type="dxa"/>
            <w:vMerge w:val="restart"/>
          </w:tcPr>
          <w:p w:rsidR="00011AFB" w:rsidRPr="00B34E9C" w:rsidRDefault="00864DCF" w:rsidP="00011AFB">
            <w:pPr>
              <w:tabs>
                <w:tab w:val="left" w:pos="-1080"/>
              </w:tabs>
            </w:pPr>
            <w:r w:rsidRPr="00B34E9C">
              <w:t>New Construction/ Major Renovation Lighting</w:t>
            </w:r>
          </w:p>
        </w:tc>
        <w:tc>
          <w:tcPr>
            <w:tcW w:w="2520" w:type="dxa"/>
          </w:tcPr>
          <w:p w:rsidR="00011AFB" w:rsidRPr="00B34E9C" w:rsidRDefault="00864DCF" w:rsidP="00011AFB">
            <w:pPr>
              <w:tabs>
                <w:tab w:val="left" w:pos="-1080"/>
              </w:tabs>
            </w:pPr>
            <w:r w:rsidRPr="00B34E9C">
              <w:t>Reduced the incentive for T5 high output fixtures with 8 or more lamps.</w:t>
            </w:r>
          </w:p>
        </w:tc>
        <w:tc>
          <w:tcPr>
            <w:tcW w:w="5310" w:type="dxa"/>
          </w:tcPr>
          <w:p w:rsidR="00976ECA" w:rsidRPr="00B34E9C" w:rsidRDefault="00864DCF">
            <w:pPr>
              <w:tabs>
                <w:tab w:val="left" w:pos="-1080"/>
              </w:tabs>
            </w:pPr>
            <w:r w:rsidRPr="00B34E9C">
              <w:t>A survey of market average costs in December 2009 indicated that fixture costs have decreased and incentive levels should be reduced commensurate with the change in incremental cost.</w:t>
            </w:r>
          </w:p>
        </w:tc>
      </w:tr>
      <w:tr w:rsidR="00011AFB" w:rsidRPr="00B34E9C" w:rsidTr="0024323A">
        <w:tc>
          <w:tcPr>
            <w:tcW w:w="1728" w:type="dxa"/>
            <w:vMerge/>
          </w:tcPr>
          <w:p w:rsidR="00011AFB" w:rsidRPr="00B34E9C" w:rsidRDefault="00011AFB" w:rsidP="00011AFB">
            <w:pPr>
              <w:tabs>
                <w:tab w:val="left" w:pos="-1080"/>
              </w:tabs>
            </w:pPr>
          </w:p>
        </w:tc>
        <w:tc>
          <w:tcPr>
            <w:tcW w:w="2520" w:type="dxa"/>
          </w:tcPr>
          <w:p w:rsidR="00011AFB" w:rsidRPr="00B34E9C" w:rsidRDefault="00864DCF" w:rsidP="0024323A">
            <w:pPr>
              <w:tabs>
                <w:tab w:val="left" w:pos="-1080"/>
              </w:tabs>
            </w:pPr>
            <w:proofErr w:type="spellStart"/>
            <w:r w:rsidRPr="00B34E9C">
              <w:t>Sunsetted</w:t>
            </w:r>
            <w:proofErr w:type="spellEnd"/>
            <w:r w:rsidRPr="00B34E9C">
              <w:t xml:space="preserve"> existing lighting control measures coincident with the effective date of the 2009 </w:t>
            </w:r>
            <w:r w:rsidR="002624C1" w:rsidRPr="00B34E9C">
              <w:t>(</w:t>
            </w:r>
            <w:r w:rsidRPr="00B34E9C">
              <w:t>WSEC</w:t>
            </w:r>
            <w:r w:rsidR="002624C1" w:rsidRPr="00B34E9C">
              <w:t>)</w:t>
            </w:r>
            <w:r w:rsidRPr="00B34E9C">
              <w:t xml:space="preserve">. </w:t>
            </w:r>
          </w:p>
        </w:tc>
        <w:tc>
          <w:tcPr>
            <w:tcW w:w="5310" w:type="dxa"/>
          </w:tcPr>
          <w:p w:rsidR="00011AFB" w:rsidRPr="00B34E9C" w:rsidRDefault="00864DCF" w:rsidP="00011AFB">
            <w:pPr>
              <w:tabs>
                <w:tab w:val="left" w:pos="-1080"/>
              </w:tabs>
            </w:pPr>
            <w:r w:rsidRPr="00B34E9C">
              <w:t xml:space="preserve">The 2009 </w:t>
            </w:r>
            <w:r w:rsidR="00FA3438" w:rsidRPr="00B34E9C">
              <w:t>Washington State Energy Code (</w:t>
            </w:r>
            <w:r w:rsidRPr="00B34E9C">
              <w:t>WSEC</w:t>
            </w:r>
            <w:r w:rsidR="00FA3438" w:rsidRPr="00B34E9C">
              <w:t>)</w:t>
            </w:r>
            <w:r w:rsidRPr="00B34E9C">
              <w:t xml:space="preserve">, effective 1/1/2011, made the previous lighting control measures required in most new construction. </w:t>
            </w:r>
          </w:p>
        </w:tc>
      </w:tr>
      <w:tr w:rsidR="00011AFB" w:rsidRPr="00B34E9C" w:rsidTr="0024323A">
        <w:tc>
          <w:tcPr>
            <w:tcW w:w="1728" w:type="dxa"/>
            <w:vMerge/>
          </w:tcPr>
          <w:p w:rsidR="00011AFB" w:rsidRPr="00B34E9C" w:rsidRDefault="00011AFB" w:rsidP="00011AFB">
            <w:pPr>
              <w:tabs>
                <w:tab w:val="left" w:pos="-1080"/>
              </w:tabs>
            </w:pPr>
          </w:p>
        </w:tc>
        <w:tc>
          <w:tcPr>
            <w:tcW w:w="2520" w:type="dxa"/>
          </w:tcPr>
          <w:p w:rsidR="00011AFB" w:rsidRPr="00B34E9C" w:rsidRDefault="00864DCF" w:rsidP="00011AFB">
            <w:pPr>
              <w:tabs>
                <w:tab w:val="left" w:pos="-1080"/>
              </w:tabs>
            </w:pPr>
            <w:r w:rsidRPr="00B34E9C">
              <w:t xml:space="preserve">Added new measure:  Advanced/ Integrated </w:t>
            </w:r>
            <w:proofErr w:type="spellStart"/>
            <w:r w:rsidRPr="00B34E9C">
              <w:t>Daylighting</w:t>
            </w:r>
            <w:proofErr w:type="spellEnd"/>
            <w:r w:rsidRPr="00B34E9C">
              <w:t xml:space="preserve"> Control.</w:t>
            </w:r>
          </w:p>
        </w:tc>
        <w:tc>
          <w:tcPr>
            <w:tcW w:w="5310" w:type="dxa"/>
          </w:tcPr>
          <w:p w:rsidR="00011AFB" w:rsidRPr="00B34E9C" w:rsidRDefault="00864DCF" w:rsidP="00011AFB">
            <w:pPr>
              <w:tabs>
                <w:tab w:val="left" w:pos="-1080"/>
              </w:tabs>
            </w:pPr>
            <w:r w:rsidRPr="00B34E9C">
              <w:t xml:space="preserve">The planned new advanced </w:t>
            </w:r>
            <w:proofErr w:type="spellStart"/>
            <w:r w:rsidRPr="00B34E9C">
              <w:t>daylighting</w:t>
            </w:r>
            <w:proofErr w:type="spellEnd"/>
            <w:r w:rsidRPr="00B34E9C">
              <w:t xml:space="preserve"> controls measure exceeds the 2009 WSEC</w:t>
            </w:r>
            <w:r w:rsidRPr="00B34E9C">
              <w:rPr>
                <w:rStyle w:val="FootnoteReference"/>
              </w:rPr>
              <w:footnoteReference w:id="5"/>
            </w:r>
            <w:r w:rsidRPr="00B34E9C">
              <w:t>.</w:t>
            </w:r>
          </w:p>
          <w:p w:rsidR="00011AFB" w:rsidRPr="00B34E9C" w:rsidRDefault="00011AFB" w:rsidP="00011AFB">
            <w:pPr>
              <w:tabs>
                <w:tab w:val="left" w:pos="-1080"/>
              </w:tabs>
            </w:pPr>
          </w:p>
        </w:tc>
      </w:tr>
      <w:tr w:rsidR="00011AFB" w:rsidRPr="00B34E9C" w:rsidTr="0024323A">
        <w:tc>
          <w:tcPr>
            <w:tcW w:w="1728" w:type="dxa"/>
          </w:tcPr>
          <w:p w:rsidR="00011AFB" w:rsidRPr="00B34E9C" w:rsidRDefault="00864DCF" w:rsidP="00011AFB">
            <w:pPr>
              <w:tabs>
                <w:tab w:val="left" w:pos="-1080"/>
              </w:tabs>
            </w:pPr>
            <w:r w:rsidRPr="00B34E9C">
              <w:t>Premium Efficiency Motors</w:t>
            </w:r>
          </w:p>
        </w:tc>
        <w:tc>
          <w:tcPr>
            <w:tcW w:w="2520" w:type="dxa"/>
          </w:tcPr>
          <w:p w:rsidR="00011AFB" w:rsidRPr="00B34E9C" w:rsidRDefault="00864DCF" w:rsidP="00011AFB">
            <w:pPr>
              <w:tabs>
                <w:tab w:val="left" w:pos="-1080"/>
              </w:tabs>
            </w:pPr>
            <w:r w:rsidRPr="00B34E9C">
              <w:t>Added a December 19, 2010 sunset date for premium efficiency motor incentives.  Added a note that motors either installed or placed in inventory may qualify for an incentive.</w:t>
            </w:r>
          </w:p>
        </w:tc>
        <w:tc>
          <w:tcPr>
            <w:tcW w:w="5310" w:type="dxa"/>
          </w:tcPr>
          <w:p w:rsidR="00011AFB" w:rsidRPr="00B34E9C" w:rsidRDefault="00864DCF" w:rsidP="00011AFB">
            <w:pPr>
              <w:tabs>
                <w:tab w:val="left" w:pos="-1080"/>
              </w:tabs>
              <w:jc w:val="both"/>
            </w:pPr>
            <w:r w:rsidRPr="00B34E9C">
              <w:t>As of December 19, 2010, AC induction motors up to 200 horsepower are subject to new minimum full-load nominal efficiency requirements as authorized in the Energy Independence and Security Act of 2007</w:t>
            </w:r>
            <w:r w:rsidR="00B24748" w:rsidRPr="00B34E9C">
              <w:t xml:space="preserve"> (“EISA”)</w:t>
            </w:r>
            <w:r w:rsidRPr="00B34E9C">
              <w:t>. NEMA Premium™ high-efficiency motors will be explicitly required by federal code for motors sized 1 – 200 hp.</w:t>
            </w:r>
          </w:p>
          <w:p w:rsidR="00011AFB" w:rsidRPr="00B34E9C" w:rsidRDefault="00011AFB" w:rsidP="00011AFB">
            <w:pPr>
              <w:tabs>
                <w:tab w:val="left" w:pos="-1080"/>
              </w:tabs>
              <w:jc w:val="both"/>
            </w:pPr>
          </w:p>
          <w:p w:rsidR="00011AFB" w:rsidRPr="00B34E9C" w:rsidRDefault="008343A1" w:rsidP="00011AFB">
            <w:pPr>
              <w:tabs>
                <w:tab w:val="left" w:pos="-1080"/>
              </w:tabs>
            </w:pPr>
            <w:r w:rsidRPr="00B34E9C">
              <w:t>National Electrical Manufacturers Association (</w:t>
            </w:r>
            <w:r w:rsidR="00864DCF" w:rsidRPr="00B34E9C">
              <w:t>NEMA</w:t>
            </w:r>
            <w:r w:rsidRPr="00B34E9C">
              <w:t>)</w:t>
            </w:r>
            <w:r w:rsidR="00864DCF" w:rsidRPr="00B34E9C">
              <w:t xml:space="preserve"> Premium applies to motors from 1-500 horsepower.  In preparation for the EISA 2007 change, vendor feedback indicates availability of NEMA Premium Efficiency Motors has increased for the full NEMA premium size range from 1-500 horsepower.  The effect of the sunset date is to discontinue prescriptive incentives for 1-500 hp NEMA premium efficiency motors.</w:t>
            </w:r>
          </w:p>
        </w:tc>
      </w:tr>
    </w:tbl>
    <w:p w:rsidR="00011AFB" w:rsidRPr="00B34E9C" w:rsidRDefault="00011AFB" w:rsidP="00011AFB">
      <w:pPr>
        <w:jc w:val="center"/>
      </w:pPr>
    </w:p>
    <w:tbl>
      <w:tblPr>
        <w:tblStyle w:val="TableGrid"/>
        <w:tblW w:w="9558" w:type="dxa"/>
        <w:tblLayout w:type="fixed"/>
        <w:tblLook w:val="04A0"/>
      </w:tblPr>
      <w:tblGrid>
        <w:gridCol w:w="1368"/>
        <w:gridCol w:w="3510"/>
        <w:gridCol w:w="4680"/>
      </w:tblGrid>
      <w:tr w:rsidR="00011AFB" w:rsidRPr="00B34E9C" w:rsidTr="00B70ACD">
        <w:tc>
          <w:tcPr>
            <w:tcW w:w="1368" w:type="dxa"/>
          </w:tcPr>
          <w:p w:rsidR="00011AFB" w:rsidRPr="00B34E9C" w:rsidRDefault="00864DCF" w:rsidP="00011AFB">
            <w:pPr>
              <w:tabs>
                <w:tab w:val="left" w:pos="-1080"/>
              </w:tabs>
              <w:rPr>
                <w:b/>
              </w:rPr>
            </w:pPr>
            <w:r w:rsidRPr="00B34E9C">
              <w:rPr>
                <w:b/>
              </w:rPr>
              <w:t>Measure Category</w:t>
            </w:r>
          </w:p>
        </w:tc>
        <w:tc>
          <w:tcPr>
            <w:tcW w:w="3510" w:type="dxa"/>
          </w:tcPr>
          <w:p w:rsidR="00011AFB" w:rsidRPr="00B34E9C" w:rsidRDefault="00864DCF" w:rsidP="00011AFB">
            <w:pPr>
              <w:tabs>
                <w:tab w:val="left" w:pos="-1080"/>
              </w:tabs>
              <w:rPr>
                <w:b/>
              </w:rPr>
            </w:pPr>
            <w:r w:rsidRPr="00B34E9C">
              <w:rPr>
                <w:b/>
              </w:rPr>
              <w:t>Description of Change</w:t>
            </w:r>
          </w:p>
        </w:tc>
        <w:tc>
          <w:tcPr>
            <w:tcW w:w="4680" w:type="dxa"/>
          </w:tcPr>
          <w:p w:rsidR="00011AFB" w:rsidRPr="00B34E9C" w:rsidRDefault="00864DCF" w:rsidP="00011AFB">
            <w:pPr>
              <w:tabs>
                <w:tab w:val="left" w:pos="-1080"/>
              </w:tabs>
              <w:rPr>
                <w:b/>
              </w:rPr>
            </w:pPr>
            <w:r w:rsidRPr="00B34E9C">
              <w:rPr>
                <w:b/>
              </w:rPr>
              <w:t>Reason for Change</w:t>
            </w:r>
          </w:p>
        </w:tc>
      </w:tr>
      <w:tr w:rsidR="00011AFB" w:rsidRPr="00B34E9C" w:rsidTr="00B70ACD">
        <w:tc>
          <w:tcPr>
            <w:tcW w:w="1368" w:type="dxa"/>
            <w:vMerge w:val="restart"/>
          </w:tcPr>
          <w:p w:rsidR="00011AFB" w:rsidRPr="00B34E9C" w:rsidRDefault="00864DCF" w:rsidP="00011AFB">
            <w:pPr>
              <w:tabs>
                <w:tab w:val="left" w:pos="-1080"/>
              </w:tabs>
            </w:pPr>
            <w:r w:rsidRPr="00B34E9C">
              <w:t>Other motor measures</w:t>
            </w:r>
          </w:p>
        </w:tc>
        <w:tc>
          <w:tcPr>
            <w:tcW w:w="3510" w:type="dxa"/>
          </w:tcPr>
          <w:p w:rsidR="00011AFB" w:rsidRPr="00B34E9C" w:rsidRDefault="00864DCF" w:rsidP="00011AFB">
            <w:pPr>
              <w:tabs>
                <w:tab w:val="left" w:pos="-1080"/>
              </w:tabs>
            </w:pPr>
            <w:r w:rsidRPr="00B34E9C">
              <w:t>Sunset the existing Electronically Commutated Motors measure for new construction/major renovation coincident with the effective date of the 2009 WSEC.</w:t>
            </w:r>
          </w:p>
        </w:tc>
        <w:tc>
          <w:tcPr>
            <w:tcW w:w="4680" w:type="dxa"/>
          </w:tcPr>
          <w:p w:rsidR="00011AFB" w:rsidRPr="00B34E9C" w:rsidRDefault="00864DCF" w:rsidP="00011AFB">
            <w:pPr>
              <w:tabs>
                <w:tab w:val="left" w:pos="-1080"/>
              </w:tabs>
            </w:pPr>
            <w:r w:rsidRPr="00B34E9C">
              <w:t xml:space="preserve">The 2009 WSEC makes electronically commutated motors required for new construction.  </w:t>
            </w:r>
          </w:p>
        </w:tc>
      </w:tr>
      <w:tr w:rsidR="00011AFB" w:rsidRPr="00B34E9C" w:rsidTr="00B70ACD">
        <w:tc>
          <w:tcPr>
            <w:tcW w:w="1368" w:type="dxa"/>
            <w:vMerge/>
          </w:tcPr>
          <w:p w:rsidR="00011AFB" w:rsidRPr="00B34E9C" w:rsidRDefault="00011AFB" w:rsidP="00011AFB">
            <w:pPr>
              <w:tabs>
                <w:tab w:val="left" w:pos="-1080"/>
              </w:tabs>
            </w:pPr>
          </w:p>
        </w:tc>
        <w:tc>
          <w:tcPr>
            <w:tcW w:w="3510" w:type="dxa"/>
          </w:tcPr>
          <w:p w:rsidR="00011AFB" w:rsidRPr="00B34E9C" w:rsidRDefault="00864DCF" w:rsidP="00011AFB">
            <w:pPr>
              <w:tabs>
                <w:tab w:val="left" w:pos="-1080"/>
              </w:tabs>
            </w:pPr>
            <w:r w:rsidRPr="00B34E9C">
              <w:t xml:space="preserve">Increased the maximum size for a Green Motor Rewind from 500 to 5,000 horsepower.  </w:t>
            </w:r>
          </w:p>
          <w:p w:rsidR="00011AFB" w:rsidRPr="00B34E9C" w:rsidRDefault="00864DCF" w:rsidP="00011AFB">
            <w:pPr>
              <w:tabs>
                <w:tab w:val="left" w:pos="-1080"/>
              </w:tabs>
            </w:pPr>
            <w:r w:rsidRPr="00B34E9C">
              <w:t>Added a note that Green Motor Rewind motors either installed or placed in inventory may be eligible for an incentive.</w:t>
            </w:r>
          </w:p>
          <w:p w:rsidR="00011AFB" w:rsidRPr="00B34E9C" w:rsidRDefault="00864DCF" w:rsidP="00011AFB">
            <w:pPr>
              <w:tabs>
                <w:tab w:val="left" w:pos="-1080"/>
              </w:tabs>
            </w:pPr>
            <w:r w:rsidRPr="00B34E9C">
              <w:t>Updated deemed values for Green Motor Rewinds to align with current Regional Technical Forum values for rewinds up to 500 horsepower.</w:t>
            </w:r>
          </w:p>
        </w:tc>
        <w:tc>
          <w:tcPr>
            <w:tcW w:w="4680" w:type="dxa"/>
          </w:tcPr>
          <w:p w:rsidR="00011AFB" w:rsidRPr="00B34E9C" w:rsidRDefault="00864DCF" w:rsidP="00011AFB">
            <w:pPr>
              <w:tabs>
                <w:tab w:val="left" w:pos="-1080"/>
              </w:tabs>
            </w:pPr>
            <w:r w:rsidRPr="00B34E9C">
              <w:t xml:space="preserve">These changes align FinAnswer Express with the Northwest’s regional Green Motor Rewind program. </w:t>
            </w:r>
          </w:p>
          <w:p w:rsidR="00011AFB" w:rsidRPr="00B34E9C" w:rsidRDefault="00011AFB" w:rsidP="00011AFB">
            <w:pPr>
              <w:tabs>
                <w:tab w:val="left" w:pos="-1080"/>
              </w:tabs>
            </w:pPr>
          </w:p>
          <w:p w:rsidR="00011AFB" w:rsidRPr="00B34E9C" w:rsidRDefault="00011AFB" w:rsidP="00011AFB">
            <w:pPr>
              <w:tabs>
                <w:tab w:val="left" w:pos="-1080"/>
              </w:tabs>
            </w:pPr>
          </w:p>
        </w:tc>
      </w:tr>
      <w:tr w:rsidR="00011AFB" w:rsidRPr="00B34E9C" w:rsidTr="00B70ACD">
        <w:tc>
          <w:tcPr>
            <w:tcW w:w="1368" w:type="dxa"/>
          </w:tcPr>
          <w:p w:rsidR="00011AFB" w:rsidRPr="00B34E9C" w:rsidRDefault="00864DCF" w:rsidP="00011AFB">
            <w:pPr>
              <w:tabs>
                <w:tab w:val="left" w:pos="-1080"/>
              </w:tabs>
            </w:pPr>
            <w:r w:rsidRPr="00B34E9C">
              <w:t>HVAC</w:t>
            </w:r>
          </w:p>
        </w:tc>
        <w:tc>
          <w:tcPr>
            <w:tcW w:w="3510" w:type="dxa"/>
          </w:tcPr>
          <w:p w:rsidR="00011AFB" w:rsidRPr="00B34E9C" w:rsidRDefault="00864DCF" w:rsidP="00011AFB">
            <w:pPr>
              <w:tabs>
                <w:tab w:val="left" w:pos="-1080"/>
              </w:tabs>
            </w:pPr>
            <w:r w:rsidRPr="00B34E9C">
              <w:t>Added the new Integrated Energy Efficiency Ratio (</w:t>
            </w:r>
            <w:r w:rsidR="00B24748" w:rsidRPr="00B34E9C">
              <w:t>“</w:t>
            </w:r>
            <w:r w:rsidRPr="00B34E9C">
              <w:t>IEER</w:t>
            </w:r>
            <w:r w:rsidR="00B24748" w:rsidRPr="00B34E9C">
              <w:t>”</w:t>
            </w:r>
            <w:r w:rsidRPr="00B34E9C">
              <w:t xml:space="preserve">) metric to the air conditioning equipment minimum efficiency requirements.  </w:t>
            </w:r>
          </w:p>
          <w:p w:rsidR="00011AFB" w:rsidRPr="00B34E9C" w:rsidRDefault="00864DCF" w:rsidP="00011AFB">
            <w:pPr>
              <w:tabs>
                <w:tab w:val="left" w:pos="-1080"/>
              </w:tabs>
            </w:pPr>
            <w:r w:rsidRPr="00B34E9C">
              <w:t>These values are an alternative to the Integrated Part-Load Value (</w:t>
            </w:r>
            <w:r w:rsidR="00B24748" w:rsidRPr="00B34E9C">
              <w:t>“</w:t>
            </w:r>
            <w:r w:rsidRPr="00B34E9C">
              <w:t>IPLV</w:t>
            </w:r>
            <w:r w:rsidR="00B24748" w:rsidRPr="00B34E9C">
              <w:t>”</w:t>
            </w:r>
            <w:r w:rsidRPr="00B34E9C">
              <w:t xml:space="preserve">) values used to determine equipment eligibility for some air conditioners and heat pumps.  </w:t>
            </w:r>
          </w:p>
        </w:tc>
        <w:tc>
          <w:tcPr>
            <w:tcW w:w="4680" w:type="dxa"/>
          </w:tcPr>
          <w:p w:rsidR="00011AFB" w:rsidRPr="00B34E9C" w:rsidRDefault="00864DCF" w:rsidP="00011AFB">
            <w:pPr>
              <w:autoSpaceDE w:val="0"/>
              <w:autoSpaceDN w:val="0"/>
              <w:adjustRightInd w:val="0"/>
            </w:pPr>
            <w:r w:rsidRPr="00B34E9C">
              <w:t xml:space="preserve">IEER is a new part load cooling metric that replaces the previous IPLV metric.  The planned change aligns with the new practice for some manufacturers of providing the IEER rating instead of IPLV rating for new equipment lines. For older models, the IPLV rating is available, but not an IEER rating.  The addition of this IEER rating will permit the program to provide incentives for high efficiency equipment rated using either metric.  </w:t>
            </w:r>
          </w:p>
          <w:p w:rsidR="00011AFB" w:rsidRPr="00B34E9C" w:rsidRDefault="00011AFB" w:rsidP="00011AFB">
            <w:pPr>
              <w:autoSpaceDE w:val="0"/>
              <w:autoSpaceDN w:val="0"/>
              <w:adjustRightInd w:val="0"/>
            </w:pPr>
          </w:p>
        </w:tc>
      </w:tr>
      <w:tr w:rsidR="00011AFB" w:rsidRPr="00B34E9C" w:rsidTr="00B70ACD">
        <w:tc>
          <w:tcPr>
            <w:tcW w:w="1368" w:type="dxa"/>
          </w:tcPr>
          <w:p w:rsidR="00011AFB" w:rsidRPr="00B34E9C" w:rsidRDefault="00864DCF" w:rsidP="00011AFB">
            <w:pPr>
              <w:tabs>
                <w:tab w:val="left" w:pos="-1080"/>
              </w:tabs>
            </w:pPr>
            <w:r w:rsidRPr="00B34E9C">
              <w:t>Food Service</w:t>
            </w:r>
          </w:p>
        </w:tc>
        <w:tc>
          <w:tcPr>
            <w:tcW w:w="3510" w:type="dxa"/>
          </w:tcPr>
          <w:p w:rsidR="00011AFB" w:rsidRPr="00B34E9C" w:rsidRDefault="00864DCF" w:rsidP="00011AFB">
            <w:r w:rsidRPr="00B34E9C">
              <w:t>Modified the minimum efficiency requirement for solid door refrigerators and freezers to state “ENERGY STAR®” so the requirements automatically match Energy Star standards as they evolve.</w:t>
            </w:r>
          </w:p>
          <w:p w:rsidR="00011AFB" w:rsidRPr="00B34E9C" w:rsidRDefault="00864DCF" w:rsidP="00011AFB">
            <w:r w:rsidRPr="00B34E9C">
              <w:t xml:space="preserve">Also added the word “Vertical” to the measure name. </w:t>
            </w:r>
          </w:p>
        </w:tc>
        <w:tc>
          <w:tcPr>
            <w:tcW w:w="4680" w:type="dxa"/>
          </w:tcPr>
          <w:p w:rsidR="00011AFB" w:rsidRPr="00B34E9C" w:rsidRDefault="00864DCF" w:rsidP="00011AFB">
            <w:pPr>
              <w:autoSpaceDE w:val="0"/>
              <w:autoSpaceDN w:val="0"/>
              <w:adjustRightInd w:val="0"/>
            </w:pPr>
            <w:r w:rsidRPr="00B34E9C">
              <w:t xml:space="preserve">The previous efficiency requirements for solid door refrigerators and freezers were based on </w:t>
            </w:r>
            <w:r w:rsidR="008343A1" w:rsidRPr="00B34E9C">
              <w:t>Consortium for Energy Efficiency (</w:t>
            </w:r>
            <w:r w:rsidRPr="00B34E9C">
              <w:t>CEE</w:t>
            </w:r>
            <w:r w:rsidR="008343A1" w:rsidRPr="00B34E9C">
              <w:t>)</w:t>
            </w:r>
            <w:r w:rsidRPr="00B34E9C">
              <w:t xml:space="preserve"> specifications. </w:t>
            </w:r>
            <w:hyperlink r:id="rId28" w:history="1">
              <w:r w:rsidRPr="00B34E9C">
                <w:rPr>
                  <w:rStyle w:val="Hyperlink"/>
                </w:rPr>
                <w:t>CEE specifications</w:t>
              </w:r>
            </w:hyperlink>
            <w:r w:rsidRPr="00B34E9C">
              <w:t xml:space="preserve"> changed effective 1/1/2010.  The change aligns the program with current CEE specifications, which refer to Energy Star.  Note Energy Star has four size categories whereas the CEE specification had three size categories. </w:t>
            </w:r>
          </w:p>
          <w:p w:rsidR="00011AFB" w:rsidRPr="00B34E9C" w:rsidRDefault="00011AFB" w:rsidP="00011AFB">
            <w:pPr>
              <w:autoSpaceDE w:val="0"/>
              <w:autoSpaceDN w:val="0"/>
              <w:adjustRightInd w:val="0"/>
            </w:pPr>
          </w:p>
        </w:tc>
      </w:tr>
      <w:tr w:rsidR="00011AFB" w:rsidRPr="00B34E9C" w:rsidTr="00B70ACD">
        <w:tc>
          <w:tcPr>
            <w:tcW w:w="1368" w:type="dxa"/>
          </w:tcPr>
          <w:p w:rsidR="00011AFB" w:rsidRPr="00B34E9C" w:rsidRDefault="00864DCF" w:rsidP="00011AFB">
            <w:pPr>
              <w:tabs>
                <w:tab w:val="left" w:pos="-1080"/>
              </w:tabs>
            </w:pPr>
            <w:r w:rsidRPr="00B34E9C">
              <w:t>Appliances</w:t>
            </w:r>
          </w:p>
        </w:tc>
        <w:tc>
          <w:tcPr>
            <w:tcW w:w="3510" w:type="dxa"/>
          </w:tcPr>
          <w:p w:rsidR="00011AFB" w:rsidRPr="00B34E9C" w:rsidRDefault="00864DCF" w:rsidP="00011AFB">
            <w:pPr>
              <w:tabs>
                <w:tab w:val="left" w:pos="-1080"/>
              </w:tabs>
            </w:pPr>
            <w:r w:rsidRPr="00B34E9C">
              <w:t>Aligned minimum efficiency requirements and incentive levels for residential appliances (used in a business) to the Home Energy Savings program.</w:t>
            </w:r>
          </w:p>
        </w:tc>
        <w:tc>
          <w:tcPr>
            <w:tcW w:w="4680" w:type="dxa"/>
          </w:tcPr>
          <w:p w:rsidR="00011AFB" w:rsidRPr="00B34E9C" w:rsidRDefault="00864DCF" w:rsidP="00011AFB">
            <w:pPr>
              <w:autoSpaceDE w:val="0"/>
              <w:autoSpaceDN w:val="0"/>
              <w:adjustRightInd w:val="0"/>
            </w:pPr>
            <w:r w:rsidRPr="00B34E9C">
              <w:t>This allows the program to remain consistent with the Home Energy Savings program as it evolves.</w:t>
            </w:r>
          </w:p>
          <w:p w:rsidR="00011AFB" w:rsidRPr="00B34E9C" w:rsidRDefault="00011AFB" w:rsidP="00011AFB">
            <w:pPr>
              <w:autoSpaceDE w:val="0"/>
              <w:autoSpaceDN w:val="0"/>
              <w:adjustRightInd w:val="0"/>
            </w:pPr>
          </w:p>
          <w:p w:rsidR="00011AFB" w:rsidRPr="00B34E9C" w:rsidRDefault="00011AFB" w:rsidP="00011AFB">
            <w:pPr>
              <w:autoSpaceDE w:val="0"/>
              <w:autoSpaceDN w:val="0"/>
              <w:adjustRightInd w:val="0"/>
            </w:pPr>
          </w:p>
        </w:tc>
      </w:tr>
    </w:tbl>
    <w:p w:rsidR="00011AFB" w:rsidRPr="00B34E9C" w:rsidRDefault="00011AFB" w:rsidP="00011AFB">
      <w:pPr>
        <w:jc w:val="both"/>
      </w:pPr>
    </w:p>
    <w:p w:rsidR="00011AFB" w:rsidRPr="00B34E9C" w:rsidRDefault="00011AFB" w:rsidP="00011AFB">
      <w:pPr>
        <w:ind w:left="360"/>
        <w:jc w:val="both"/>
      </w:pPr>
    </w:p>
    <w:p w:rsidR="00011AFB" w:rsidRPr="00B34E9C" w:rsidRDefault="00011AFB" w:rsidP="00011AFB">
      <w:pPr>
        <w:jc w:val="both"/>
      </w:pPr>
      <w:r w:rsidRPr="00B34E9C">
        <w:t xml:space="preserve">During 2010, the Company continued to support the Pacific Power Energy Efficiency Alliance, a trade ally network which provides support to lighting, motor, HVAC and other distributors and contractors who participate in offering the Company’s energy efficiency programs. Distributors, contractors and others are recruited, approved and trained on the Company’s programs. Upon approval, trade allies can promote the programs and are listed on the Company’s program website as a participating </w:t>
      </w:r>
      <w:r w:rsidR="000E5172" w:rsidRPr="00B34E9C">
        <w:t xml:space="preserve">vendor. </w:t>
      </w:r>
    </w:p>
    <w:p w:rsidR="00011AFB" w:rsidRPr="00B34E9C" w:rsidRDefault="00011AFB" w:rsidP="00011AFB">
      <w:pPr>
        <w:jc w:val="both"/>
      </w:pPr>
    </w:p>
    <w:p w:rsidR="00011AFB" w:rsidRPr="00B34E9C" w:rsidRDefault="00011AFB" w:rsidP="00011AFB">
      <w:pPr>
        <w:jc w:val="both"/>
      </w:pPr>
      <w:r w:rsidRPr="00B34E9C">
        <w:t>Each year, training events are held for trade allies working with the FinAnswer Express program.</w:t>
      </w:r>
      <w:r w:rsidR="008D2217" w:rsidRPr="00B34E9C">
        <w:t xml:space="preserve"> T</w:t>
      </w:r>
      <w:r w:rsidRPr="00B34E9C">
        <w:t xml:space="preserve">he events were held February 17 and 18 in Yakima and Walla </w:t>
      </w:r>
      <w:proofErr w:type="spellStart"/>
      <w:r w:rsidRPr="00B34E9C">
        <w:t>Walla</w:t>
      </w:r>
      <w:proofErr w:type="spellEnd"/>
      <w:r w:rsidRPr="00B34E9C">
        <w:t xml:space="preserve">. The events were attended by over 65 trade allies and provided information about program changes, recognized outstanding trade allies, and provided sales training on energy efficiency. On March 3, lighting trade allies attended a regional technical training in the Tri-cities area sponsored by Bonneville Power Administration’s Northwest Trade Ally Network and </w:t>
      </w:r>
      <w:proofErr w:type="gramStart"/>
      <w:r w:rsidRPr="00B34E9C">
        <w:t>Pacifi</w:t>
      </w:r>
      <w:r w:rsidR="00230B50" w:rsidRPr="00B34E9C">
        <w:t>Corp</w:t>
      </w:r>
      <w:r w:rsidRPr="00B34E9C">
        <w:t xml:space="preserve">  to</w:t>
      </w:r>
      <w:proofErr w:type="gramEnd"/>
      <w:r w:rsidRPr="00B34E9C">
        <w:t xml:space="preserve"> further improve lighting energy efficiency knowledge. </w:t>
      </w:r>
    </w:p>
    <w:p w:rsidR="00011AFB" w:rsidRPr="00B34E9C" w:rsidRDefault="00011AFB" w:rsidP="00011AFB">
      <w:pPr>
        <w:jc w:val="both"/>
      </w:pPr>
    </w:p>
    <w:p w:rsidR="00011AFB" w:rsidRPr="00B34E9C" w:rsidRDefault="00011AFB" w:rsidP="00011AFB">
      <w:pPr>
        <w:jc w:val="both"/>
      </w:pPr>
      <w:r w:rsidRPr="00B34E9C">
        <w:t xml:space="preserve">A dedicated team of technical and outreach specialists support trade allies throughout the year by conducting on-site program trainings, responding to inquiries from customers and trade allies, and publishing an educational newsletter. </w:t>
      </w:r>
    </w:p>
    <w:p w:rsidR="00011AFB" w:rsidRPr="00B34E9C" w:rsidRDefault="00011AFB" w:rsidP="00011AFB">
      <w:pPr>
        <w:jc w:val="both"/>
      </w:pPr>
    </w:p>
    <w:p w:rsidR="00011AFB" w:rsidRPr="00B34E9C" w:rsidRDefault="00011AFB" w:rsidP="00011AFB">
      <w:pPr>
        <w:jc w:val="both"/>
      </w:pPr>
      <w:r w:rsidRPr="00B34E9C">
        <w:t xml:space="preserve">In 2010, the Company added content to the web page specifically for trade allies at </w:t>
      </w:r>
      <w:r w:rsidR="00594EE9" w:rsidRPr="00B34E9C">
        <w:t>http://</w:t>
      </w:r>
      <w:hyperlink r:id="rId29" w:history="1">
        <w:r w:rsidR="00230B50" w:rsidRPr="00B34E9C">
          <w:rPr>
            <w:rStyle w:val="Hyperlink"/>
          </w:rPr>
          <w:t>www.pacificpower.net/alliance</w:t>
        </w:r>
      </w:hyperlink>
      <w:r w:rsidRPr="00B34E9C">
        <w:t xml:space="preserve">. This page includes service area maps, a link to program information, announcements for upcoming events, resources </w:t>
      </w:r>
      <w:r w:rsidR="006A4B44">
        <w:t>(</w:t>
      </w:r>
      <w:r w:rsidR="008343A1" w:rsidRPr="00B34E9C">
        <w:t xml:space="preserve">Light Emitting Diode </w:t>
      </w:r>
      <w:r w:rsidRPr="00B34E9C">
        <w:t>policy), and current and past newsletters.</w:t>
      </w:r>
    </w:p>
    <w:p w:rsidR="00011AFB" w:rsidRPr="00B34E9C" w:rsidRDefault="00011AFB" w:rsidP="00011AFB">
      <w:pPr>
        <w:spacing w:after="200" w:line="276" w:lineRule="auto"/>
        <w:jc w:val="both"/>
      </w:pPr>
    </w:p>
    <w:p w:rsidR="00011AFB" w:rsidRPr="00B34E9C" w:rsidRDefault="00011AFB" w:rsidP="00011AFB">
      <w:pPr>
        <w:spacing w:after="200" w:line="276" w:lineRule="auto"/>
        <w:rPr>
          <w:b/>
        </w:rPr>
      </w:pPr>
      <w:r w:rsidRPr="00B34E9C">
        <w:rPr>
          <w:b/>
        </w:rPr>
        <w:t>Program Evaluations</w:t>
      </w:r>
    </w:p>
    <w:p w:rsidR="00F46735" w:rsidRDefault="00011AFB" w:rsidP="00011AFB">
      <w:pPr>
        <w:jc w:val="both"/>
      </w:pPr>
      <w:r w:rsidRPr="00B34E9C">
        <w:t>Process and impact evaluations were completed in 2010 for the FinAnswer Express program in Washington for program years 2005 – 2008.  The results of these evaluations are available on PacifiCorp’s website at</w:t>
      </w:r>
      <w:r w:rsidR="00594EE9" w:rsidRPr="00B34E9C">
        <w:t>:</w:t>
      </w:r>
      <w:r w:rsidRPr="00B34E9C">
        <w:t xml:space="preserve"> </w:t>
      </w:r>
    </w:p>
    <w:p w:rsidR="00CE3F03" w:rsidRPr="00B34E9C" w:rsidRDefault="00757789" w:rsidP="00011AFB">
      <w:pPr>
        <w:jc w:val="both"/>
      </w:pPr>
      <w:hyperlink r:id="rId30" w:history="1">
        <w:r w:rsidR="00011AFB" w:rsidRPr="00B34E9C">
          <w:rPr>
            <w:rStyle w:val="Hyperlink"/>
          </w:rPr>
          <w:t>http://www.pacificorp.com/es/dsm/washington.html</w:t>
        </w:r>
      </w:hyperlink>
    </w:p>
    <w:p w:rsidR="00CE3F03" w:rsidRPr="00B34E9C" w:rsidRDefault="00CE3F03">
      <w:pPr>
        <w:spacing w:after="200" w:line="276" w:lineRule="auto"/>
        <w:rPr>
          <w:b/>
          <w:bCs/>
        </w:rPr>
      </w:pPr>
    </w:p>
    <w:p w:rsidR="00CE3F03" w:rsidRPr="00B34E9C" w:rsidRDefault="00CE3F03">
      <w:pPr>
        <w:spacing w:after="200" w:line="276" w:lineRule="auto"/>
        <w:rPr>
          <w:b/>
          <w:bCs/>
        </w:rPr>
      </w:pPr>
    </w:p>
    <w:p w:rsidR="00555241" w:rsidRDefault="00555241">
      <w:pPr>
        <w:spacing w:after="200" w:line="276" w:lineRule="auto"/>
        <w:rPr>
          <w:b/>
          <w:bCs/>
        </w:rPr>
      </w:pPr>
    </w:p>
    <w:p w:rsidR="00555241" w:rsidRDefault="00555241">
      <w:pPr>
        <w:spacing w:after="200" w:line="276" w:lineRule="auto"/>
        <w:rPr>
          <w:b/>
          <w:bCs/>
        </w:rPr>
      </w:pPr>
    </w:p>
    <w:p w:rsidR="00B70ACD" w:rsidRDefault="00B70ACD">
      <w:pPr>
        <w:spacing w:after="200" w:line="276" w:lineRule="auto"/>
        <w:rPr>
          <w:b/>
          <w:bCs/>
          <w:sz w:val="32"/>
          <w:szCs w:val="32"/>
        </w:rPr>
      </w:pPr>
    </w:p>
    <w:p w:rsidR="00B70ACD" w:rsidRDefault="00B70ACD">
      <w:pPr>
        <w:spacing w:after="200" w:line="276" w:lineRule="auto"/>
        <w:rPr>
          <w:b/>
          <w:bCs/>
          <w:sz w:val="32"/>
          <w:szCs w:val="32"/>
        </w:rPr>
      </w:pPr>
    </w:p>
    <w:p w:rsidR="00B70ACD" w:rsidRDefault="00B70ACD">
      <w:pPr>
        <w:spacing w:after="200" w:line="276" w:lineRule="auto"/>
        <w:rPr>
          <w:b/>
          <w:bCs/>
          <w:sz w:val="32"/>
          <w:szCs w:val="32"/>
        </w:rPr>
      </w:pPr>
    </w:p>
    <w:p w:rsidR="008C6BDB" w:rsidRPr="00555241" w:rsidRDefault="008C6BDB">
      <w:pPr>
        <w:spacing w:after="200" w:line="276" w:lineRule="auto"/>
        <w:rPr>
          <w:b/>
          <w:bCs/>
          <w:sz w:val="32"/>
          <w:szCs w:val="32"/>
        </w:rPr>
      </w:pPr>
      <w:r w:rsidRPr="00555241">
        <w:rPr>
          <w:b/>
          <w:bCs/>
          <w:sz w:val="32"/>
          <w:szCs w:val="32"/>
        </w:rPr>
        <w:t>Energy FinAnswer</w:t>
      </w:r>
      <w:r w:rsidR="0087015C" w:rsidRPr="00555241">
        <w:rPr>
          <w:b/>
          <w:bCs/>
          <w:sz w:val="32"/>
          <w:szCs w:val="32"/>
        </w:rPr>
        <w:t xml:space="preserve"> (Schedule 125)</w:t>
      </w:r>
    </w:p>
    <w:p w:rsidR="008C6BDB" w:rsidRPr="00B34E9C" w:rsidRDefault="008C6BDB">
      <w:pPr>
        <w:jc w:val="both"/>
      </w:pPr>
      <w:r w:rsidRPr="00B34E9C">
        <w:t>The Energy FinAnswer program serves commercial, industrial, and agricultural customers for retrofits and new construction. The program includes a vendor neutral investment grade energy analysis and cash incentives equal to $0.15 per kWh annual energy savings plus $50 per kW average monthly demand savings (up to 60</w:t>
      </w:r>
      <w:r w:rsidR="00594EE9" w:rsidRPr="00B34E9C">
        <w:t xml:space="preserve"> percent</w:t>
      </w:r>
      <w:r w:rsidRPr="00B34E9C">
        <w:t xml:space="preserve"> of project costs). There is a cap to prevent incentives from bringing the payback for a project below one year and a cap for lighting energy savings per project </w:t>
      </w:r>
      <w:r w:rsidR="00594EE9" w:rsidRPr="00B34E9C">
        <w:t>because</w:t>
      </w:r>
      <w:r w:rsidRPr="00B34E9C">
        <w:t xml:space="preserve"> lighting-only projects are included in FinAnswer Express. The program includes a commissioning requirement and post-installation verification. There are design assistance services and special incentives available for new construction and major renovation projects where energy code applies. The program is marketed primarily via PacifiCorp account managers, trade allies, Energy FinAnswer consultants and project staff. Other leads </w:t>
      </w:r>
      <w:r w:rsidR="00594EE9" w:rsidRPr="00B34E9C">
        <w:t>are received</w:t>
      </w:r>
      <w:r w:rsidRPr="00B34E9C">
        <w:t xml:space="preserve"> via word-of-mouth</w:t>
      </w:r>
      <w:r w:rsidR="00594EE9" w:rsidRPr="00B34E9C">
        <w:t xml:space="preserve"> or</w:t>
      </w:r>
      <w:r w:rsidRPr="00B34E9C">
        <w:t xml:space="preserve"> past participants returning for additional projects and a combination of other Company outreach efforts. </w:t>
      </w:r>
    </w:p>
    <w:p w:rsidR="008D2217" w:rsidRPr="00B34E9C" w:rsidRDefault="008D2217">
      <w:pPr>
        <w:jc w:val="both"/>
      </w:pPr>
    </w:p>
    <w:p w:rsidR="008D2217" w:rsidRPr="00B34E9C" w:rsidRDefault="008D2217" w:rsidP="008D2217">
      <w:pPr>
        <w:jc w:val="both"/>
      </w:pPr>
      <w:r w:rsidRPr="00B34E9C">
        <w:t>Program results for 2010 are provided in Table 12 below.</w:t>
      </w:r>
    </w:p>
    <w:p w:rsidR="008D2217" w:rsidRPr="00B34E9C" w:rsidRDefault="008D2217" w:rsidP="00032623">
      <w:pPr>
        <w:jc w:val="center"/>
        <w:rPr>
          <w:b/>
          <w:bCs/>
        </w:rPr>
      </w:pPr>
    </w:p>
    <w:p w:rsidR="008C6BDB" w:rsidRPr="00B34E9C" w:rsidRDefault="008C6BDB" w:rsidP="00032623">
      <w:pPr>
        <w:jc w:val="center"/>
        <w:rPr>
          <w:b/>
          <w:bCs/>
        </w:rPr>
      </w:pPr>
      <w:r w:rsidRPr="00B34E9C">
        <w:rPr>
          <w:b/>
          <w:bCs/>
        </w:rPr>
        <w:t>Table 1</w:t>
      </w:r>
      <w:r w:rsidR="00903DF7" w:rsidRPr="00B34E9C">
        <w:rPr>
          <w:b/>
          <w:bCs/>
        </w:rPr>
        <w:t>2</w:t>
      </w:r>
    </w:p>
    <w:p w:rsidR="008C6BDB" w:rsidRPr="00B34E9C" w:rsidRDefault="00084249" w:rsidP="00CF05F7">
      <w:pPr>
        <w:jc w:val="center"/>
      </w:pPr>
      <w:r w:rsidRPr="00084249">
        <w:rPr>
          <w:noProof/>
          <w:lang w:eastAsia="en-US"/>
        </w:rPr>
        <w:drawing>
          <wp:inline distT="0" distB="0" distL="0" distR="0">
            <wp:extent cx="5486400" cy="1511179"/>
            <wp:effectExtent l="19050" t="0" r="0" b="0"/>
            <wp:docPr id="5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5486400" cy="1511179"/>
                    </a:xfrm>
                    <a:prstGeom prst="rect">
                      <a:avLst/>
                    </a:prstGeom>
                    <a:noFill/>
                    <a:ln w="9525">
                      <a:noFill/>
                      <a:miter lim="800000"/>
                      <a:headEnd/>
                      <a:tailEnd/>
                    </a:ln>
                  </pic:spPr>
                </pic:pic>
              </a:graphicData>
            </a:graphic>
          </wp:inline>
        </w:drawing>
      </w:r>
    </w:p>
    <w:p w:rsidR="0076088A" w:rsidRPr="00B34E9C" w:rsidRDefault="0076088A" w:rsidP="00CF05F7">
      <w:pPr>
        <w:jc w:val="center"/>
      </w:pPr>
    </w:p>
    <w:p w:rsidR="0076088A" w:rsidRPr="00B34E9C" w:rsidRDefault="0076088A" w:rsidP="00CF05F7">
      <w:pPr>
        <w:jc w:val="center"/>
      </w:pPr>
    </w:p>
    <w:p w:rsidR="008C6BDB" w:rsidRPr="00B34E9C" w:rsidRDefault="008C6BDB" w:rsidP="00C62E2C">
      <w:r w:rsidRPr="00B34E9C">
        <w:t xml:space="preserve">Details of program savings by measure type are provided </w:t>
      </w:r>
      <w:r w:rsidR="00D45ACF" w:rsidRPr="00B34E9C">
        <w:t>in</w:t>
      </w:r>
      <w:r w:rsidRPr="00B34E9C">
        <w:t xml:space="preserve"> </w:t>
      </w:r>
      <w:r w:rsidR="00D45ACF" w:rsidRPr="00B34E9C">
        <w:t>T</w:t>
      </w:r>
      <w:r w:rsidRPr="00B34E9C">
        <w:t>able</w:t>
      </w:r>
      <w:r w:rsidR="00D45ACF" w:rsidRPr="00B34E9C">
        <w:t xml:space="preserve"> 13</w:t>
      </w:r>
      <w:r w:rsidRPr="00B34E9C">
        <w:t xml:space="preserve"> below. </w:t>
      </w:r>
    </w:p>
    <w:p w:rsidR="008C6BDB" w:rsidRPr="00B34E9C" w:rsidRDefault="008C6BDB" w:rsidP="00C62E2C"/>
    <w:p w:rsidR="008C6BDB" w:rsidRPr="00B34E9C" w:rsidRDefault="008C6BDB" w:rsidP="00032623">
      <w:pPr>
        <w:jc w:val="center"/>
        <w:rPr>
          <w:b/>
          <w:bCs/>
        </w:rPr>
      </w:pPr>
      <w:r w:rsidRPr="00B34E9C">
        <w:rPr>
          <w:b/>
          <w:bCs/>
        </w:rPr>
        <w:t>Table 1</w:t>
      </w:r>
      <w:r w:rsidR="00903DF7" w:rsidRPr="00B34E9C">
        <w:rPr>
          <w:b/>
          <w:bCs/>
        </w:rPr>
        <w:t>3</w:t>
      </w:r>
    </w:p>
    <w:p w:rsidR="008C6BDB" w:rsidRPr="00B34E9C" w:rsidRDefault="00084249" w:rsidP="00641C59">
      <w:pPr>
        <w:jc w:val="center"/>
      </w:pPr>
      <w:r w:rsidRPr="00084249">
        <w:rPr>
          <w:noProof/>
          <w:lang w:eastAsia="en-US"/>
        </w:rPr>
        <w:drawing>
          <wp:inline distT="0" distB="0" distL="0" distR="0">
            <wp:extent cx="4076700" cy="1533525"/>
            <wp:effectExtent l="19050" t="0" r="0" b="0"/>
            <wp:docPr id="5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srcRect/>
                    <a:stretch>
                      <a:fillRect/>
                    </a:stretch>
                  </pic:blipFill>
                  <pic:spPr bwMode="auto">
                    <a:xfrm>
                      <a:off x="0" y="0"/>
                      <a:ext cx="4076700" cy="1533525"/>
                    </a:xfrm>
                    <a:prstGeom prst="rect">
                      <a:avLst/>
                    </a:prstGeom>
                    <a:noFill/>
                    <a:ln w="9525">
                      <a:noFill/>
                      <a:miter lim="800000"/>
                      <a:headEnd/>
                      <a:tailEnd/>
                    </a:ln>
                  </pic:spPr>
                </pic:pic>
              </a:graphicData>
            </a:graphic>
          </wp:inline>
        </w:drawing>
      </w:r>
    </w:p>
    <w:p w:rsidR="00CE3F03" w:rsidRPr="00B34E9C" w:rsidRDefault="00CE3F03">
      <w:pPr>
        <w:jc w:val="both"/>
      </w:pPr>
    </w:p>
    <w:p w:rsidR="00FC5E06" w:rsidRPr="00B34E9C" w:rsidRDefault="00FC5E06">
      <w:pPr>
        <w:jc w:val="both"/>
        <w:rPr>
          <w:b/>
        </w:rPr>
      </w:pPr>
    </w:p>
    <w:p w:rsidR="00555241" w:rsidRDefault="00555241">
      <w:pPr>
        <w:jc w:val="both"/>
        <w:rPr>
          <w:b/>
        </w:rPr>
      </w:pPr>
    </w:p>
    <w:p w:rsidR="00555241" w:rsidRDefault="00555241">
      <w:pPr>
        <w:jc w:val="both"/>
        <w:rPr>
          <w:b/>
        </w:rPr>
      </w:pPr>
    </w:p>
    <w:p w:rsidR="00555241" w:rsidRDefault="00555241">
      <w:pPr>
        <w:jc w:val="both"/>
        <w:rPr>
          <w:b/>
        </w:rPr>
      </w:pPr>
    </w:p>
    <w:p w:rsidR="008C6BDB" w:rsidRPr="00B34E9C" w:rsidRDefault="008C6BDB">
      <w:pPr>
        <w:jc w:val="both"/>
        <w:rPr>
          <w:b/>
        </w:rPr>
      </w:pPr>
      <w:r w:rsidRPr="00B34E9C">
        <w:rPr>
          <w:b/>
        </w:rPr>
        <w:t>Program Evaluations</w:t>
      </w:r>
    </w:p>
    <w:p w:rsidR="008C6BDB" w:rsidRPr="00B34E9C" w:rsidRDefault="008C6BDB">
      <w:pPr>
        <w:jc w:val="both"/>
      </w:pPr>
    </w:p>
    <w:p w:rsidR="00D836F0" w:rsidRPr="00B34E9C" w:rsidRDefault="00D836F0" w:rsidP="00D836F0">
      <w:r w:rsidRPr="00B34E9C">
        <w:t xml:space="preserve">Process and impact evaluations were completed in 2010 </w:t>
      </w:r>
      <w:r w:rsidR="008C6BDB" w:rsidRPr="00B34E9C">
        <w:t xml:space="preserve">for the Energy FinAnswer program for program years 2005 – 2008. </w:t>
      </w:r>
      <w:r w:rsidRPr="00B34E9C">
        <w:t>The results of these evaluations are available on PacifiCorp’s website at</w:t>
      </w:r>
      <w:r w:rsidR="00D45ACF" w:rsidRPr="00B34E9C">
        <w:t>:</w:t>
      </w:r>
      <w:r w:rsidRPr="00B34E9C">
        <w:t xml:space="preserve"> </w:t>
      </w:r>
      <w:hyperlink r:id="rId33" w:history="1">
        <w:r w:rsidRPr="00B34E9C">
          <w:rPr>
            <w:rStyle w:val="Hyperlink"/>
          </w:rPr>
          <w:t>http://www.pacificorp.com/es/dsm/washington.html</w:t>
        </w:r>
      </w:hyperlink>
    </w:p>
    <w:p w:rsidR="0076088A" w:rsidRPr="00B34E9C" w:rsidRDefault="0076088A" w:rsidP="00EC1594">
      <w:pPr>
        <w:pStyle w:val="Heading1"/>
        <w:rPr>
          <w:rFonts w:ascii="Times New Roman" w:hAnsi="Times New Roman" w:cs="Times New Roman"/>
        </w:rPr>
      </w:pPr>
      <w:bookmarkStart w:id="20" w:name="_Toc288484127"/>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EC1594">
      <w:pPr>
        <w:pStyle w:val="Heading1"/>
        <w:rPr>
          <w:rFonts w:ascii="Times New Roman" w:hAnsi="Times New Roman" w:cs="Times New Roman"/>
        </w:rPr>
      </w:pPr>
    </w:p>
    <w:p w:rsidR="0076088A" w:rsidRPr="00B34E9C" w:rsidRDefault="0076088A" w:rsidP="0076088A"/>
    <w:p w:rsidR="0076088A" w:rsidRPr="00B34E9C" w:rsidRDefault="0076088A" w:rsidP="0076088A"/>
    <w:p w:rsidR="0076088A" w:rsidRPr="00B34E9C" w:rsidRDefault="0076088A" w:rsidP="0076088A"/>
    <w:p w:rsidR="00555241" w:rsidRDefault="00555241" w:rsidP="00EC1594">
      <w:pPr>
        <w:pStyle w:val="Heading1"/>
        <w:rPr>
          <w:rFonts w:ascii="Times New Roman" w:hAnsi="Times New Roman" w:cs="Times New Roman"/>
        </w:rPr>
      </w:pPr>
      <w:bookmarkStart w:id="21" w:name="_Toc289064246"/>
    </w:p>
    <w:p w:rsidR="00555241" w:rsidRDefault="00555241" w:rsidP="00EC1594">
      <w:pPr>
        <w:pStyle w:val="Heading1"/>
        <w:rPr>
          <w:rFonts w:ascii="Times New Roman" w:hAnsi="Times New Roman" w:cs="Times New Roman"/>
        </w:rPr>
      </w:pPr>
    </w:p>
    <w:p w:rsidR="00555241" w:rsidRDefault="00555241" w:rsidP="00EC1594">
      <w:pPr>
        <w:pStyle w:val="Heading1"/>
        <w:rPr>
          <w:rFonts w:ascii="Times New Roman" w:hAnsi="Times New Roman" w:cs="Times New Roman"/>
        </w:rPr>
      </w:pPr>
    </w:p>
    <w:p w:rsidR="00555241" w:rsidRDefault="00555241" w:rsidP="00EC1594">
      <w:pPr>
        <w:pStyle w:val="Heading1"/>
        <w:rPr>
          <w:rFonts w:ascii="Times New Roman" w:hAnsi="Times New Roman" w:cs="Times New Roman"/>
        </w:rPr>
      </w:pPr>
    </w:p>
    <w:p w:rsidR="00555241" w:rsidRPr="00555241" w:rsidRDefault="00555241" w:rsidP="00555241"/>
    <w:p w:rsidR="008C6BDB" w:rsidRPr="00B34E9C" w:rsidRDefault="008C6BDB" w:rsidP="00EC1594">
      <w:pPr>
        <w:pStyle w:val="Heading1"/>
        <w:rPr>
          <w:rFonts w:ascii="Times New Roman" w:hAnsi="Times New Roman" w:cs="Times New Roman"/>
        </w:rPr>
      </w:pPr>
      <w:r w:rsidRPr="00B34E9C">
        <w:rPr>
          <w:rFonts w:ascii="Times New Roman" w:hAnsi="Times New Roman" w:cs="Times New Roman"/>
        </w:rPr>
        <w:t xml:space="preserve">Overall </w:t>
      </w:r>
      <w:r w:rsidR="00FC5E06" w:rsidRPr="00B34E9C">
        <w:rPr>
          <w:rFonts w:ascii="Times New Roman" w:hAnsi="Times New Roman" w:cs="Times New Roman"/>
        </w:rPr>
        <w:t xml:space="preserve">Portfolio </w:t>
      </w:r>
      <w:r w:rsidRPr="00B34E9C">
        <w:rPr>
          <w:rFonts w:ascii="Times New Roman" w:hAnsi="Times New Roman" w:cs="Times New Roman"/>
        </w:rPr>
        <w:t>Expenditures and Results</w:t>
      </w:r>
      <w:r w:rsidRPr="00B34E9C">
        <w:rPr>
          <w:rStyle w:val="FootnoteReference"/>
          <w:rFonts w:ascii="Times New Roman" w:hAnsi="Times New Roman" w:cs="Times New Roman"/>
        </w:rPr>
        <w:footnoteReference w:id="6"/>
      </w:r>
      <w:bookmarkEnd w:id="20"/>
      <w:bookmarkEnd w:id="21"/>
    </w:p>
    <w:p w:rsidR="008C6BDB" w:rsidRPr="00B34E9C" w:rsidRDefault="008C6BDB" w:rsidP="004403B9"/>
    <w:p w:rsidR="008C6BDB" w:rsidRPr="00B34E9C" w:rsidRDefault="009F0E86" w:rsidP="009764E7">
      <w:pPr>
        <w:jc w:val="center"/>
      </w:pPr>
      <w:r w:rsidRPr="00B34E9C">
        <w:rPr>
          <w:noProof/>
          <w:lang w:eastAsia="en-US"/>
        </w:rPr>
        <w:drawing>
          <wp:inline distT="0" distB="0" distL="0" distR="0">
            <wp:extent cx="4107655" cy="3476625"/>
            <wp:effectExtent l="19050" t="0" r="26195"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C6BDB" w:rsidRPr="00B34E9C" w:rsidRDefault="009F0E86" w:rsidP="009764E7">
      <w:pPr>
        <w:jc w:val="center"/>
      </w:pPr>
      <w:r w:rsidRPr="00B34E9C">
        <w:rPr>
          <w:noProof/>
          <w:lang w:eastAsia="en-US"/>
        </w:rPr>
        <w:drawing>
          <wp:inline distT="0" distB="0" distL="0" distR="0">
            <wp:extent cx="4126865" cy="3481705"/>
            <wp:effectExtent l="19050" t="0" r="26035" b="4445"/>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C6BDB" w:rsidRPr="00B34E9C" w:rsidRDefault="008C6BDB" w:rsidP="00F60719">
      <w:pPr>
        <w:jc w:val="center"/>
      </w:pPr>
    </w:p>
    <w:p w:rsidR="008C6BDB" w:rsidRPr="00B34E9C" w:rsidRDefault="008C6BDB" w:rsidP="003D60AE">
      <w:pPr>
        <w:pStyle w:val="Heading1"/>
        <w:rPr>
          <w:rFonts w:ascii="Times New Roman" w:hAnsi="Times New Roman" w:cs="Times New Roman"/>
        </w:rPr>
      </w:pPr>
      <w:bookmarkStart w:id="22" w:name="_Toc288484128"/>
      <w:bookmarkStart w:id="23" w:name="_Toc289064247"/>
      <w:r w:rsidRPr="00B34E9C">
        <w:rPr>
          <w:rFonts w:ascii="Times New Roman" w:hAnsi="Times New Roman" w:cs="Times New Roman"/>
        </w:rPr>
        <w:t>System Benefit</w:t>
      </w:r>
      <w:r w:rsidR="00D45ACF" w:rsidRPr="00B34E9C">
        <w:rPr>
          <w:rFonts w:ascii="Times New Roman" w:hAnsi="Times New Roman" w:cs="Times New Roman"/>
        </w:rPr>
        <w:t>s</w:t>
      </w:r>
      <w:r w:rsidRPr="00B34E9C">
        <w:rPr>
          <w:rFonts w:ascii="Times New Roman" w:hAnsi="Times New Roman" w:cs="Times New Roman"/>
        </w:rPr>
        <w:t xml:space="preserve"> Charge Balancing Account Summary</w:t>
      </w:r>
      <w:bookmarkEnd w:id="22"/>
      <w:bookmarkEnd w:id="23"/>
    </w:p>
    <w:p w:rsidR="008C6BDB" w:rsidRPr="00B34E9C" w:rsidRDefault="008C6BDB" w:rsidP="00264E3A">
      <w:pPr>
        <w:spacing w:line="276" w:lineRule="auto"/>
        <w:rPr>
          <w:sz w:val="16"/>
          <w:szCs w:val="16"/>
        </w:rPr>
      </w:pPr>
    </w:p>
    <w:p w:rsidR="008C6BDB" w:rsidRPr="00B34E9C" w:rsidRDefault="008C6BDB">
      <w:pPr>
        <w:jc w:val="both"/>
      </w:pPr>
      <w:r w:rsidRPr="00B34E9C">
        <w:t>Demand</w:t>
      </w:r>
      <w:r w:rsidR="00D45ACF" w:rsidRPr="00B34E9C">
        <w:t>-s</w:t>
      </w:r>
      <w:r w:rsidRPr="00B34E9C">
        <w:t>ide Management activities are funded through Schedule 191</w:t>
      </w:r>
      <w:r w:rsidR="00D45ACF" w:rsidRPr="00B34E9C">
        <w:t>,</w:t>
      </w:r>
      <w:r w:rsidR="00FC5E06" w:rsidRPr="00B34E9C">
        <w:t xml:space="preserve"> </w:t>
      </w:r>
      <w:r w:rsidRPr="00B34E9C">
        <w:t>System Benefit</w:t>
      </w:r>
      <w:r w:rsidR="00D45ACF" w:rsidRPr="00B34E9C">
        <w:t>s</w:t>
      </w:r>
      <w:r w:rsidRPr="00B34E9C">
        <w:t xml:space="preserve"> Charge. </w:t>
      </w:r>
      <w:r w:rsidR="00FC5E06" w:rsidRPr="00B34E9C">
        <w:t>E</w:t>
      </w:r>
      <w:r w:rsidRPr="00B34E9C">
        <w:t>xpenditures are charged as incurred and collected from the System</w:t>
      </w:r>
      <w:r w:rsidR="00D45ACF" w:rsidRPr="00B34E9C">
        <w:t>s</w:t>
      </w:r>
      <w:r w:rsidRPr="00B34E9C">
        <w:t xml:space="preserve"> Benefit Charge. The balancing account is the mechanism used for managing the revenue collected and expenses incurred in the provision of Demand</w:t>
      </w:r>
      <w:r w:rsidR="00D45ACF" w:rsidRPr="00B34E9C">
        <w:t>-s</w:t>
      </w:r>
      <w:r w:rsidRPr="00B34E9C">
        <w:t>ide Management programs. The balancing account activity for 20</w:t>
      </w:r>
      <w:r w:rsidR="00E86ACE" w:rsidRPr="00B34E9C">
        <w:t>10</w:t>
      </w:r>
      <w:r w:rsidRPr="00B34E9C">
        <w:t xml:space="preserve"> is</w:t>
      </w:r>
      <w:r w:rsidR="00D45ACF" w:rsidRPr="00B34E9C">
        <w:t xml:space="preserve"> included in this report consistent with Ordering Paragraph 8(c), Order 02, </w:t>
      </w:r>
      <w:proofErr w:type="gramStart"/>
      <w:r w:rsidR="00D45ACF" w:rsidRPr="00B34E9C">
        <w:t>Docket</w:t>
      </w:r>
      <w:proofErr w:type="gramEnd"/>
      <w:r w:rsidR="00D45ACF" w:rsidRPr="00B34E9C">
        <w:t xml:space="preserve"> UE-100170 and is</w:t>
      </w:r>
      <w:r w:rsidRPr="00B34E9C">
        <w:t xml:space="preserve"> outlined in </w:t>
      </w:r>
      <w:r w:rsidR="00D45ACF" w:rsidRPr="00B34E9C">
        <w:t>T</w:t>
      </w:r>
      <w:r w:rsidRPr="00B34E9C">
        <w:t>able</w:t>
      </w:r>
      <w:r w:rsidR="00FC5E06" w:rsidRPr="00B34E9C">
        <w:t xml:space="preserve"> 14</w:t>
      </w:r>
      <w:r w:rsidRPr="00B34E9C">
        <w:t xml:space="preserve"> below.</w:t>
      </w:r>
    </w:p>
    <w:p w:rsidR="008C6BDB" w:rsidRPr="00B34E9C" w:rsidRDefault="008C6BDB" w:rsidP="00264E3A">
      <w:pPr>
        <w:rPr>
          <w:noProof/>
          <w:lang w:eastAsia="en-US"/>
        </w:rPr>
      </w:pPr>
    </w:p>
    <w:p w:rsidR="008C6BDB" w:rsidRPr="00B34E9C" w:rsidRDefault="008C6BDB" w:rsidP="001D4C2F">
      <w:pPr>
        <w:jc w:val="center"/>
        <w:rPr>
          <w:b/>
          <w:bCs/>
          <w:noProof/>
          <w:lang w:eastAsia="en-US"/>
        </w:rPr>
      </w:pPr>
      <w:r w:rsidRPr="00B34E9C">
        <w:rPr>
          <w:b/>
          <w:bCs/>
          <w:noProof/>
          <w:lang w:eastAsia="en-US"/>
        </w:rPr>
        <w:t>Table 1</w:t>
      </w:r>
      <w:r w:rsidR="00903DF7" w:rsidRPr="00B34E9C">
        <w:rPr>
          <w:b/>
          <w:bCs/>
          <w:noProof/>
          <w:lang w:eastAsia="en-US"/>
        </w:rPr>
        <w:t>4</w:t>
      </w:r>
    </w:p>
    <w:p w:rsidR="008C6BDB" w:rsidRPr="00B34E9C" w:rsidRDefault="00B70ACD" w:rsidP="00CF05F7">
      <w:pPr>
        <w:jc w:val="center"/>
      </w:pPr>
      <w:r w:rsidRPr="00B70ACD">
        <w:rPr>
          <w:noProof/>
          <w:lang w:eastAsia="en-US"/>
        </w:rPr>
        <w:drawing>
          <wp:inline distT="0" distB="0" distL="0" distR="0">
            <wp:extent cx="4610100" cy="4038600"/>
            <wp:effectExtent l="19050" t="0" r="0" b="0"/>
            <wp:docPr id="5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srcRect/>
                    <a:stretch>
                      <a:fillRect/>
                    </a:stretch>
                  </pic:blipFill>
                  <pic:spPr bwMode="auto">
                    <a:xfrm>
                      <a:off x="0" y="0"/>
                      <a:ext cx="4610100" cy="4038600"/>
                    </a:xfrm>
                    <a:prstGeom prst="rect">
                      <a:avLst/>
                    </a:prstGeom>
                    <a:noFill/>
                    <a:ln w="9525">
                      <a:noFill/>
                      <a:miter lim="800000"/>
                      <a:headEnd/>
                      <a:tailEnd/>
                    </a:ln>
                  </pic:spPr>
                </pic:pic>
              </a:graphicData>
            </a:graphic>
          </wp:inline>
        </w:drawing>
      </w:r>
    </w:p>
    <w:p w:rsidR="008C6BDB" w:rsidRPr="00B34E9C" w:rsidRDefault="008C6BDB" w:rsidP="00264E3A">
      <w:pPr>
        <w:jc w:val="center"/>
      </w:pPr>
    </w:p>
    <w:p w:rsidR="008C6BDB" w:rsidRPr="00B34E9C" w:rsidRDefault="008C6BDB" w:rsidP="00264E3A">
      <w:pPr>
        <w:spacing w:line="276" w:lineRule="auto"/>
      </w:pPr>
      <w:r w:rsidRPr="00B34E9C">
        <w:t>Column Explanations:</w:t>
      </w:r>
    </w:p>
    <w:p w:rsidR="008C6BDB" w:rsidRPr="00B34E9C" w:rsidRDefault="008C6BDB" w:rsidP="00915479">
      <w:pPr>
        <w:spacing w:line="276" w:lineRule="auto"/>
        <w:ind w:left="720"/>
        <w:rPr>
          <w:sz w:val="22"/>
          <w:szCs w:val="22"/>
        </w:rPr>
      </w:pPr>
      <w:proofErr w:type="gramStart"/>
      <w:r w:rsidRPr="00B34E9C">
        <w:rPr>
          <w:sz w:val="22"/>
          <w:szCs w:val="22"/>
          <w:u w:val="single"/>
        </w:rPr>
        <w:t>Deferred Expenditures</w:t>
      </w:r>
      <w:r w:rsidRPr="00B34E9C">
        <w:rPr>
          <w:sz w:val="22"/>
          <w:szCs w:val="22"/>
        </w:rPr>
        <w:t>: Monthly expenditures for all program activities, including funding for the Northwest Energy Efficiency Alliance.</w:t>
      </w:r>
      <w:proofErr w:type="gramEnd"/>
    </w:p>
    <w:p w:rsidR="008C6BDB" w:rsidRPr="00B34E9C" w:rsidRDefault="008C6BDB" w:rsidP="00915479">
      <w:pPr>
        <w:spacing w:line="276" w:lineRule="auto"/>
        <w:ind w:left="720"/>
        <w:rPr>
          <w:sz w:val="22"/>
          <w:szCs w:val="22"/>
        </w:rPr>
      </w:pPr>
      <w:r w:rsidRPr="00B34E9C">
        <w:rPr>
          <w:sz w:val="22"/>
          <w:szCs w:val="22"/>
          <w:u w:val="single"/>
        </w:rPr>
        <w:t>Revenue Collected</w:t>
      </w:r>
      <w:r w:rsidRPr="00B34E9C">
        <w:rPr>
          <w:sz w:val="22"/>
          <w:szCs w:val="22"/>
        </w:rPr>
        <w:t>: Revenue collected through Schedule 191, System Benefit</w:t>
      </w:r>
      <w:r w:rsidR="00C13E86" w:rsidRPr="00B34E9C">
        <w:rPr>
          <w:sz w:val="22"/>
          <w:szCs w:val="22"/>
        </w:rPr>
        <w:t>s</w:t>
      </w:r>
      <w:r w:rsidRPr="00B34E9C">
        <w:rPr>
          <w:sz w:val="22"/>
          <w:szCs w:val="22"/>
        </w:rPr>
        <w:t xml:space="preserve"> Charge. </w:t>
      </w:r>
    </w:p>
    <w:p w:rsidR="008C6BDB" w:rsidRPr="00B34E9C" w:rsidRDefault="008C6BDB" w:rsidP="00915479">
      <w:pPr>
        <w:spacing w:line="276" w:lineRule="auto"/>
        <w:ind w:left="720"/>
        <w:rPr>
          <w:sz w:val="22"/>
          <w:szCs w:val="22"/>
        </w:rPr>
      </w:pPr>
      <w:r w:rsidRPr="00B34E9C">
        <w:rPr>
          <w:sz w:val="22"/>
          <w:szCs w:val="22"/>
          <w:u w:val="single"/>
        </w:rPr>
        <w:t>Carrying Charge</w:t>
      </w:r>
      <w:r w:rsidRPr="00B34E9C">
        <w:rPr>
          <w:sz w:val="22"/>
          <w:szCs w:val="22"/>
        </w:rPr>
        <w:t>: Monthly charge based on “Accumulative Balance” of the account, accrued when cumulative revenue exceeds cumulative expenditures.</w:t>
      </w:r>
      <w:r w:rsidR="00C13E86" w:rsidRPr="00B34E9C">
        <w:rPr>
          <w:sz w:val="22"/>
          <w:szCs w:val="22"/>
        </w:rPr>
        <w:t xml:space="preserve"> On July 29, 2010 in Docket UE-001457, the Commission ordered that the carrying charge on negative balances (balances owing to customers) be eliminated going forward.</w:t>
      </w:r>
    </w:p>
    <w:p w:rsidR="008C6BDB" w:rsidRPr="00B34E9C" w:rsidRDefault="008C6BDB" w:rsidP="00915479">
      <w:pPr>
        <w:spacing w:line="276" w:lineRule="auto"/>
        <w:ind w:left="720"/>
        <w:rPr>
          <w:sz w:val="22"/>
          <w:szCs w:val="22"/>
        </w:rPr>
      </w:pPr>
      <w:r w:rsidRPr="00B34E9C">
        <w:rPr>
          <w:sz w:val="22"/>
          <w:szCs w:val="22"/>
          <w:u w:val="single"/>
        </w:rPr>
        <w:t>Accumulative Balance</w:t>
      </w:r>
      <w:r w:rsidRPr="00B34E9C">
        <w:rPr>
          <w:sz w:val="22"/>
          <w:szCs w:val="22"/>
        </w:rPr>
        <w:t xml:space="preserve">: Current balance of the account.  </w:t>
      </w:r>
      <w:proofErr w:type="gramStart"/>
      <w:r w:rsidRPr="00B34E9C">
        <w:rPr>
          <w:sz w:val="22"/>
          <w:szCs w:val="22"/>
        </w:rPr>
        <w:t>A running total of account activities.</w:t>
      </w:r>
      <w:proofErr w:type="gramEnd"/>
      <w:r w:rsidR="0065692B" w:rsidRPr="00B34E9C">
        <w:rPr>
          <w:sz w:val="22"/>
          <w:szCs w:val="22"/>
        </w:rPr>
        <w:t xml:space="preserve"> </w:t>
      </w:r>
      <w:r w:rsidRPr="00B34E9C">
        <w:rPr>
          <w:sz w:val="22"/>
          <w:szCs w:val="22"/>
        </w:rPr>
        <w:t xml:space="preserve">If more is collected in “Revenue” than is spent for a given month, the </w:t>
      </w:r>
      <w:r w:rsidR="00C13E86" w:rsidRPr="00B34E9C">
        <w:rPr>
          <w:sz w:val="22"/>
          <w:szCs w:val="22"/>
        </w:rPr>
        <w:t>“</w:t>
      </w:r>
      <w:r w:rsidRPr="00B34E9C">
        <w:rPr>
          <w:sz w:val="22"/>
          <w:szCs w:val="22"/>
        </w:rPr>
        <w:t xml:space="preserve">Accumulated Balance” will be increased by the net amount. </w:t>
      </w:r>
      <w:r w:rsidR="00215976" w:rsidRPr="00B34E9C">
        <w:rPr>
          <w:sz w:val="22"/>
          <w:szCs w:val="22"/>
        </w:rPr>
        <w:t xml:space="preserve">A negative accumulative balance </w:t>
      </w:r>
      <w:r w:rsidR="0065692B" w:rsidRPr="00B34E9C">
        <w:rPr>
          <w:sz w:val="22"/>
          <w:szCs w:val="22"/>
        </w:rPr>
        <w:t xml:space="preserve">means </w:t>
      </w:r>
      <w:r w:rsidR="00215976" w:rsidRPr="00B34E9C">
        <w:rPr>
          <w:sz w:val="22"/>
          <w:szCs w:val="22"/>
        </w:rPr>
        <w:t>cumulative revenue exceeds cumulative expenditures</w:t>
      </w:r>
      <w:r w:rsidR="0065692B" w:rsidRPr="00B34E9C">
        <w:rPr>
          <w:sz w:val="22"/>
          <w:szCs w:val="22"/>
        </w:rPr>
        <w:t xml:space="preserve">; positive </w:t>
      </w:r>
      <w:r w:rsidR="00215976" w:rsidRPr="00B34E9C">
        <w:rPr>
          <w:sz w:val="22"/>
          <w:szCs w:val="22"/>
        </w:rPr>
        <w:t>accumulative balance means cumulative expenditures exceed cumulative revenue</w:t>
      </w:r>
      <w:r w:rsidR="0065692B" w:rsidRPr="00B34E9C">
        <w:rPr>
          <w:sz w:val="22"/>
          <w:szCs w:val="22"/>
        </w:rPr>
        <w:t>.</w:t>
      </w:r>
    </w:p>
    <w:p w:rsidR="008C6BDB" w:rsidRPr="00B34E9C" w:rsidRDefault="008C6BDB" w:rsidP="00264E3A">
      <w:pPr>
        <w:spacing w:line="276" w:lineRule="auto"/>
        <w:rPr>
          <w:sz w:val="22"/>
          <w:szCs w:val="22"/>
        </w:rPr>
      </w:pPr>
    </w:p>
    <w:p w:rsidR="00976ECA" w:rsidRPr="00B34E9C" w:rsidRDefault="008C6BDB">
      <w:pPr>
        <w:jc w:val="both"/>
      </w:pPr>
      <w:r w:rsidRPr="00B34E9C">
        <w:t>During calendar year 20</w:t>
      </w:r>
      <w:r w:rsidR="00292CD8" w:rsidRPr="00B34E9C">
        <w:t>10</w:t>
      </w:r>
      <w:r w:rsidRPr="00B34E9C">
        <w:t xml:space="preserve">, the </w:t>
      </w:r>
      <w:r w:rsidR="002B49A1" w:rsidRPr="00B34E9C">
        <w:t>under</w:t>
      </w:r>
      <w:r w:rsidR="00C13E86" w:rsidRPr="00B34E9C">
        <w:t>-</w:t>
      </w:r>
      <w:r w:rsidR="00151F84" w:rsidRPr="00B34E9C">
        <w:t xml:space="preserve">collected </w:t>
      </w:r>
      <w:r w:rsidRPr="00B34E9C">
        <w:t xml:space="preserve">balance in the System Benefits Charge account </w:t>
      </w:r>
      <w:r w:rsidR="00292CD8" w:rsidRPr="00B34E9C">
        <w:t>de</w:t>
      </w:r>
      <w:r w:rsidRPr="00B34E9C">
        <w:t>creased by $</w:t>
      </w:r>
      <w:r w:rsidR="00FD259A" w:rsidRPr="00B34E9C">
        <w:t>1.02 million</w:t>
      </w:r>
      <w:r w:rsidRPr="00B34E9C">
        <w:t xml:space="preserve">. Therefore, PacifiCorp </w:t>
      </w:r>
      <w:r w:rsidR="00FC5E06" w:rsidRPr="00B34E9C">
        <w:t>collected</w:t>
      </w:r>
      <w:r w:rsidR="00292CD8" w:rsidRPr="00B34E9C">
        <w:t xml:space="preserve"> approximately </w:t>
      </w:r>
      <w:r w:rsidRPr="00B34E9C">
        <w:t>$</w:t>
      </w:r>
      <w:r w:rsidR="00FD259A" w:rsidRPr="00B34E9C">
        <w:t xml:space="preserve">1.02 million </w:t>
      </w:r>
      <w:r w:rsidR="00292CD8" w:rsidRPr="00B34E9C">
        <w:t>more</w:t>
      </w:r>
      <w:r w:rsidR="00C13E86" w:rsidRPr="00B34E9C">
        <w:t xml:space="preserve"> in revenue</w:t>
      </w:r>
      <w:r w:rsidRPr="00B34E9C">
        <w:t xml:space="preserve"> tha</w:t>
      </w:r>
      <w:r w:rsidR="00515802" w:rsidRPr="00B34E9C">
        <w:t xml:space="preserve">n was </w:t>
      </w:r>
      <w:r w:rsidR="00FC5E06" w:rsidRPr="00B34E9C">
        <w:t>spent</w:t>
      </w:r>
      <w:r w:rsidR="00292CD8" w:rsidRPr="00B34E9C">
        <w:t xml:space="preserve"> for </w:t>
      </w:r>
      <w:r w:rsidR="00515802" w:rsidRPr="00B34E9C">
        <w:t>program delivery during the year.</w:t>
      </w:r>
    </w:p>
    <w:p w:rsidR="007E2FBC" w:rsidRPr="00B34E9C" w:rsidRDefault="007E2FBC" w:rsidP="007B5472">
      <w:pPr>
        <w:pStyle w:val="Heading1"/>
        <w:rPr>
          <w:rFonts w:ascii="Times New Roman" w:hAnsi="Times New Roman" w:cs="Times New Roman"/>
        </w:rPr>
      </w:pPr>
      <w:bookmarkStart w:id="24" w:name="_Toc288484129"/>
      <w:bookmarkStart w:id="25" w:name="_Toc289064248"/>
    </w:p>
    <w:p w:rsidR="00A54217" w:rsidRPr="00B34E9C" w:rsidRDefault="00A54217" w:rsidP="00A54217"/>
    <w:p w:rsidR="00A54217" w:rsidRPr="00B34E9C" w:rsidRDefault="00A54217" w:rsidP="00A54217"/>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A54217" w:rsidRPr="00B34E9C" w:rsidRDefault="00A54217" w:rsidP="00A54217"/>
    <w:p w:rsidR="00A54217" w:rsidRPr="00B34E9C" w:rsidRDefault="00A54217" w:rsidP="00A54217"/>
    <w:p w:rsidR="00A54217" w:rsidRPr="00B34E9C" w:rsidRDefault="00A54217" w:rsidP="00A54217"/>
    <w:p w:rsidR="00A54217" w:rsidRPr="00B34E9C" w:rsidRDefault="00A54217" w:rsidP="00A54217"/>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7E2FBC" w:rsidRPr="00B34E9C" w:rsidRDefault="007E2FBC" w:rsidP="007B5472">
      <w:pPr>
        <w:pStyle w:val="Heading1"/>
        <w:rPr>
          <w:rFonts w:ascii="Times New Roman" w:hAnsi="Times New Roman" w:cs="Times New Roman"/>
        </w:rPr>
      </w:pPr>
    </w:p>
    <w:p w:rsidR="00A54217" w:rsidRPr="00B34E9C" w:rsidRDefault="00A54217" w:rsidP="00A54217"/>
    <w:p w:rsidR="00A54217" w:rsidRPr="00B34E9C" w:rsidRDefault="00A54217" w:rsidP="00A54217"/>
    <w:p w:rsidR="00A54217" w:rsidRPr="00B34E9C" w:rsidRDefault="00A54217" w:rsidP="00A54217"/>
    <w:p w:rsidR="00A54217" w:rsidRPr="00B34E9C" w:rsidRDefault="00A54217" w:rsidP="00A54217"/>
    <w:p w:rsidR="00555241" w:rsidRDefault="00555241" w:rsidP="007B5472">
      <w:pPr>
        <w:pStyle w:val="Heading1"/>
        <w:rPr>
          <w:rFonts w:ascii="Times New Roman" w:hAnsi="Times New Roman" w:cs="Times New Roman"/>
        </w:rPr>
      </w:pPr>
    </w:p>
    <w:p w:rsidR="00555241" w:rsidRDefault="00555241" w:rsidP="00555241"/>
    <w:p w:rsidR="00555241" w:rsidRPr="00555241" w:rsidRDefault="00555241" w:rsidP="00555241"/>
    <w:p w:rsidR="00555241" w:rsidRPr="00555241" w:rsidRDefault="00555241" w:rsidP="00555241"/>
    <w:p w:rsidR="007B5472" w:rsidRPr="00B34E9C" w:rsidRDefault="007B5472" w:rsidP="007B5472">
      <w:pPr>
        <w:pStyle w:val="Heading1"/>
        <w:rPr>
          <w:rFonts w:ascii="Times New Roman" w:hAnsi="Times New Roman" w:cs="Times New Roman"/>
        </w:rPr>
      </w:pPr>
      <w:r w:rsidRPr="00B34E9C">
        <w:rPr>
          <w:rFonts w:ascii="Times New Roman" w:hAnsi="Times New Roman" w:cs="Times New Roman"/>
        </w:rPr>
        <w:t>Cost Effectiveness</w:t>
      </w:r>
      <w:bookmarkEnd w:id="24"/>
      <w:bookmarkEnd w:id="25"/>
    </w:p>
    <w:p w:rsidR="007B5472" w:rsidRPr="00B34E9C" w:rsidRDefault="007B5472" w:rsidP="007B5472"/>
    <w:p w:rsidR="007B5472" w:rsidRPr="00B34E9C" w:rsidRDefault="007B5472" w:rsidP="007B5472">
      <w:pPr>
        <w:rPr>
          <w:b/>
        </w:rPr>
      </w:pPr>
      <w:r w:rsidRPr="00B34E9C">
        <w:rPr>
          <w:b/>
        </w:rPr>
        <w:t>Introduction</w:t>
      </w:r>
    </w:p>
    <w:p w:rsidR="007B5472" w:rsidRPr="00B34E9C" w:rsidRDefault="007B5472" w:rsidP="007B5472"/>
    <w:p w:rsidR="007B5472" w:rsidRPr="00B34E9C" w:rsidRDefault="007B5472" w:rsidP="007B5472">
      <w:pPr>
        <w:jc w:val="both"/>
      </w:pPr>
      <w:r w:rsidRPr="00B34E9C">
        <w:t xml:space="preserve">The cost effectiveness of individual programs operated by the Company for 2010 </w:t>
      </w:r>
      <w:r w:rsidR="00C13E86" w:rsidRPr="00B34E9C">
        <w:t>is</w:t>
      </w:r>
      <w:r w:rsidRPr="00B34E9C">
        <w:t xml:space="preserve"> calculated using actual expenditures and reported savings. Cost</w:t>
      </w:r>
      <w:r w:rsidR="00C13E86" w:rsidRPr="00B34E9C">
        <w:t xml:space="preserve"> </w:t>
      </w:r>
      <w:r w:rsidRPr="00B34E9C">
        <w:t xml:space="preserve">effectiveness is provided at the individual program, residential energy efficiency portfolio, </w:t>
      </w:r>
      <w:r w:rsidR="00866511" w:rsidRPr="00B34E9C">
        <w:t xml:space="preserve">residential energy efficiency portfolio with non-energy benefits, </w:t>
      </w:r>
      <w:r w:rsidRPr="00B34E9C">
        <w:t xml:space="preserve">non-residential energy efficiency portfolio, </w:t>
      </w:r>
      <w:r w:rsidR="00866511" w:rsidRPr="00B34E9C">
        <w:t>non</w:t>
      </w:r>
      <w:r w:rsidR="00C13E86" w:rsidRPr="00B34E9C">
        <w:t>-</w:t>
      </w:r>
      <w:r w:rsidR="00866511" w:rsidRPr="00B34E9C">
        <w:t xml:space="preserve">residential energy efficiency portfolio with non-energy benefits, </w:t>
      </w:r>
      <w:r w:rsidRPr="00B34E9C">
        <w:t>overall demand-side management program portfolio levels</w:t>
      </w:r>
      <w:r w:rsidR="00866511" w:rsidRPr="00B34E9C">
        <w:t>, and overall demand-side management program portfolio with no</w:t>
      </w:r>
      <w:r w:rsidR="00335772" w:rsidRPr="00B34E9C">
        <w:t>n</w:t>
      </w:r>
      <w:r w:rsidR="00866511" w:rsidRPr="00B34E9C">
        <w:t>-energy benefits.</w:t>
      </w:r>
      <w:r w:rsidRPr="00B34E9C">
        <w:t xml:space="preserve"> Deemed savings estimates, where applicable, were the same as those used in the planning estimates</w:t>
      </w:r>
      <w:r w:rsidR="00151F84" w:rsidRPr="00B34E9C">
        <w:t xml:space="preserve"> and filed forecasts</w:t>
      </w:r>
      <w:r w:rsidRPr="00B34E9C">
        <w:t>, unless more recent estimates were available from evaluations.</w:t>
      </w:r>
    </w:p>
    <w:p w:rsidR="007B5472" w:rsidRPr="00B34E9C" w:rsidRDefault="007B5472" w:rsidP="007B5472">
      <w:pPr>
        <w:jc w:val="both"/>
      </w:pPr>
    </w:p>
    <w:p w:rsidR="007B5472" w:rsidRPr="00B34E9C" w:rsidRDefault="007B5472" w:rsidP="007B5472">
      <w:pPr>
        <w:jc w:val="both"/>
      </w:pPr>
      <w:r w:rsidRPr="00B34E9C">
        <w:t xml:space="preserve">Energy savings shown in this report are gross savings and the impact of line losses is indicated with an “at site” or “at generation” designation. Line losses are based on the Company’s 2007 line loss study. </w:t>
      </w:r>
      <w:r w:rsidR="009D3919" w:rsidRPr="00B34E9C">
        <w:t xml:space="preserve">All cost effectiveness calculations will assume a </w:t>
      </w:r>
      <w:r w:rsidRPr="00B34E9C">
        <w:t xml:space="preserve">Net-to-gross </w:t>
      </w:r>
      <w:r w:rsidR="009D3919" w:rsidRPr="00B34E9C">
        <w:t>ratio of 1.0 consistent with the Council’s methodology.</w:t>
      </w:r>
      <w:r w:rsidRPr="00B34E9C">
        <w:t xml:space="preserve"> The energy savings attributed to each program are shaped according to specific end-use savings (the hourly calculation of when energy is used for the various end-use measures from which the savings are derived). Program costs and the value of the energy savings are then compared on a present value basis with the Company’s 2008 Integrated Resource Plan (</w:t>
      </w:r>
      <w:r w:rsidR="004C5071" w:rsidRPr="00B34E9C">
        <w:t>“</w:t>
      </w:r>
      <w:r w:rsidRPr="00B34E9C">
        <w:t>IRP</w:t>
      </w:r>
      <w:r w:rsidR="004C5071" w:rsidRPr="00B34E9C">
        <w:t>”</w:t>
      </w:r>
      <w:r w:rsidRPr="00B34E9C">
        <w:t xml:space="preserve">) calculated decrement values for demand-side resource savings and avoided capacity investments. The energy efficiency resource decrement values are fully shaped to represent the 8,760 hourly values that exist within a calendar year. By matching the hourly savings with the hourly avoided costs, both energy and capacity impacts of energy efficiency savings are recognized. </w:t>
      </w:r>
    </w:p>
    <w:p w:rsidR="007B5472" w:rsidRPr="00B34E9C" w:rsidRDefault="007B5472" w:rsidP="007B5472">
      <w:pPr>
        <w:jc w:val="both"/>
      </w:pPr>
    </w:p>
    <w:p w:rsidR="007B5472" w:rsidRPr="00B34E9C" w:rsidRDefault="007B5472" w:rsidP="007B5472">
      <w:pPr>
        <w:jc w:val="both"/>
      </w:pPr>
      <w:r w:rsidRPr="00B34E9C">
        <w:t>The five California Standard Practice Manual cost effectiveness tests</w:t>
      </w:r>
      <w:r w:rsidR="00151F84" w:rsidRPr="00B34E9C">
        <w:t xml:space="preserve"> as modified in the Northwest</w:t>
      </w:r>
      <w:r w:rsidRPr="00B34E9C">
        <w:t xml:space="preserve"> were utiliz</w:t>
      </w:r>
      <w:r w:rsidR="009D3919" w:rsidRPr="00B34E9C">
        <w:t>ed in the cost benefit analysis.</w:t>
      </w:r>
    </w:p>
    <w:p w:rsidR="007B5472" w:rsidRPr="00B34E9C" w:rsidRDefault="007B5472" w:rsidP="007B5472"/>
    <w:p w:rsidR="007B5472" w:rsidRPr="00B34E9C" w:rsidRDefault="007B5472" w:rsidP="007B5472">
      <w:pPr>
        <w:spacing w:after="200" w:line="276" w:lineRule="auto"/>
        <w:rPr>
          <w:b/>
        </w:rPr>
      </w:pPr>
      <w:r w:rsidRPr="00B34E9C">
        <w:rPr>
          <w:b/>
        </w:rPr>
        <w:br w:type="page"/>
      </w:r>
    </w:p>
    <w:p w:rsidR="007B5472" w:rsidRPr="00B34E9C" w:rsidRDefault="007B5472" w:rsidP="007B5472">
      <w:pPr>
        <w:spacing w:after="200" w:line="276" w:lineRule="auto"/>
        <w:rPr>
          <w:b/>
        </w:rPr>
      </w:pPr>
      <w:r w:rsidRPr="00B34E9C">
        <w:rPr>
          <w:b/>
        </w:rPr>
        <w:t>Key Assumptions for Cost Effectiveness Calculations</w:t>
      </w:r>
    </w:p>
    <w:p w:rsidR="007B5472" w:rsidRPr="00B34E9C" w:rsidRDefault="007B5472" w:rsidP="007B5472">
      <w:r w:rsidRPr="00B34E9C">
        <w:t>Cost effectiveness calculations for programs and measures (or measure groups) within each program will be detailed in the following tables.</w:t>
      </w:r>
    </w:p>
    <w:p w:rsidR="007B5472" w:rsidRPr="00B34E9C" w:rsidRDefault="007B5472" w:rsidP="007B5472"/>
    <w:p w:rsidR="007B5472" w:rsidRPr="00B34E9C" w:rsidRDefault="007B5472" w:rsidP="007B5472">
      <w:r w:rsidRPr="00B34E9C">
        <w:t>Global assumptions used in all cost effectiveness calculations include:</w:t>
      </w:r>
    </w:p>
    <w:p w:rsidR="007B5472" w:rsidRPr="00B34E9C" w:rsidRDefault="007B5472" w:rsidP="007B5472"/>
    <w:p w:rsidR="007B5472" w:rsidRPr="00B34E9C" w:rsidRDefault="00084249" w:rsidP="007B5472">
      <w:pPr>
        <w:jc w:val="center"/>
      </w:pPr>
      <w:r w:rsidRPr="00084249">
        <w:rPr>
          <w:noProof/>
          <w:lang w:eastAsia="en-US"/>
        </w:rPr>
        <w:drawing>
          <wp:inline distT="0" distB="0" distL="0" distR="0">
            <wp:extent cx="5276850" cy="1447800"/>
            <wp:effectExtent l="19050" t="0" r="0" b="0"/>
            <wp:docPr id="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5276850" cy="1447800"/>
                    </a:xfrm>
                    <a:prstGeom prst="rect">
                      <a:avLst/>
                    </a:prstGeom>
                    <a:noFill/>
                    <a:ln w="9525">
                      <a:noFill/>
                      <a:miter lim="800000"/>
                      <a:headEnd/>
                      <a:tailEnd/>
                    </a:ln>
                  </pic:spPr>
                </pic:pic>
              </a:graphicData>
            </a:graphic>
          </wp:inline>
        </w:drawing>
      </w:r>
    </w:p>
    <w:p w:rsidR="007B5472" w:rsidRPr="00B34E9C" w:rsidRDefault="007B5472" w:rsidP="007B5472"/>
    <w:p w:rsidR="001E5693" w:rsidRPr="00B34E9C" w:rsidRDefault="001E5693" w:rsidP="007B5472"/>
    <w:p w:rsidR="007B5472" w:rsidRPr="00B34E9C" w:rsidRDefault="007B5472" w:rsidP="007B5472">
      <w:r w:rsidRPr="00B34E9C">
        <w:t>Key elements that go into the cost effectiveness calculation for each program include:</w:t>
      </w:r>
    </w:p>
    <w:p w:rsidR="003402DC" w:rsidRPr="00B34E9C" w:rsidRDefault="003402DC" w:rsidP="003402DC">
      <w:pPr>
        <w:pStyle w:val="ListParagraph"/>
      </w:pPr>
    </w:p>
    <w:p w:rsidR="007B5472" w:rsidRPr="00B34E9C" w:rsidRDefault="007B5472" w:rsidP="007B5472">
      <w:pPr>
        <w:pStyle w:val="ListParagraph"/>
        <w:numPr>
          <w:ilvl w:val="0"/>
          <w:numId w:val="26"/>
        </w:numPr>
      </w:pPr>
      <w:r w:rsidRPr="00B34E9C">
        <w:t>KW/kWh Savings at Gross</w:t>
      </w:r>
    </w:p>
    <w:p w:rsidR="007B5472" w:rsidRPr="00B34E9C" w:rsidRDefault="007B5472" w:rsidP="007B5472">
      <w:pPr>
        <w:pStyle w:val="ListParagraph"/>
        <w:numPr>
          <w:ilvl w:val="0"/>
          <w:numId w:val="26"/>
        </w:numPr>
      </w:pPr>
      <w:r w:rsidRPr="00B34E9C">
        <w:t>Administrative expenses</w:t>
      </w:r>
    </w:p>
    <w:p w:rsidR="007B5472" w:rsidRPr="00B34E9C" w:rsidRDefault="007B5472" w:rsidP="007B5472">
      <w:pPr>
        <w:pStyle w:val="ListParagraph"/>
        <w:numPr>
          <w:ilvl w:val="0"/>
          <w:numId w:val="26"/>
        </w:numPr>
      </w:pPr>
      <w:r w:rsidRPr="00B34E9C">
        <w:t>Incentives paid</w:t>
      </w:r>
    </w:p>
    <w:p w:rsidR="007B5472" w:rsidRPr="00B34E9C" w:rsidRDefault="007B5472" w:rsidP="007B5472">
      <w:pPr>
        <w:pStyle w:val="ListParagraph"/>
        <w:numPr>
          <w:ilvl w:val="0"/>
          <w:numId w:val="26"/>
        </w:numPr>
      </w:pPr>
      <w:r w:rsidRPr="00B34E9C">
        <w:t xml:space="preserve">Total utility costs – including administration and evaluation  </w:t>
      </w:r>
    </w:p>
    <w:p w:rsidR="007B5472" w:rsidRPr="00B34E9C" w:rsidRDefault="007B5472" w:rsidP="007B5472">
      <w:pPr>
        <w:pStyle w:val="ListParagraph"/>
        <w:numPr>
          <w:ilvl w:val="0"/>
          <w:numId w:val="26"/>
        </w:numPr>
      </w:pPr>
      <w:r w:rsidRPr="00B34E9C">
        <w:t>Gross customer costs</w:t>
      </w:r>
    </w:p>
    <w:p w:rsidR="007B5472" w:rsidRPr="00B34E9C" w:rsidRDefault="007B5472" w:rsidP="007B5472">
      <w:pPr>
        <w:pStyle w:val="ListParagraph"/>
        <w:numPr>
          <w:ilvl w:val="0"/>
          <w:numId w:val="27"/>
        </w:numPr>
      </w:pPr>
      <w:r w:rsidRPr="00B34E9C">
        <w:t>Net To Gross ratio</w:t>
      </w:r>
    </w:p>
    <w:p w:rsidR="007B5472" w:rsidRPr="00B34E9C" w:rsidRDefault="007B5472" w:rsidP="007B5472">
      <w:pPr>
        <w:pStyle w:val="ListParagraph"/>
        <w:numPr>
          <w:ilvl w:val="0"/>
          <w:numId w:val="27"/>
        </w:numPr>
      </w:pPr>
      <w:r w:rsidRPr="00B34E9C">
        <w:t>Measure life</w:t>
      </w:r>
    </w:p>
    <w:p w:rsidR="007B5472" w:rsidRPr="00B34E9C" w:rsidRDefault="007B5472" w:rsidP="007B5472">
      <w:pPr>
        <w:pStyle w:val="ListParagraph"/>
        <w:numPr>
          <w:ilvl w:val="0"/>
          <w:numId w:val="27"/>
        </w:numPr>
      </w:pPr>
      <w:r w:rsidRPr="00B34E9C">
        <w:t>IRP decrement value</w:t>
      </w:r>
    </w:p>
    <w:p w:rsidR="007B5472" w:rsidRPr="00B34E9C" w:rsidRDefault="007B5472" w:rsidP="007B5472"/>
    <w:p w:rsidR="007B5472" w:rsidRDefault="007B5472" w:rsidP="007B5472">
      <w:pPr>
        <w:jc w:val="both"/>
      </w:pPr>
      <w:r w:rsidRPr="00B34E9C">
        <w:t xml:space="preserve">The overall </w:t>
      </w:r>
      <w:r w:rsidR="004C5071" w:rsidRPr="00B34E9C">
        <w:t>demand-side management</w:t>
      </w:r>
      <w:r w:rsidRPr="00B34E9C">
        <w:t xml:space="preserve"> portfolio and component sectors were all cost effective on a</w:t>
      </w:r>
      <w:r w:rsidR="00B40784" w:rsidRPr="00B34E9C">
        <w:t>ll cost tests</w:t>
      </w:r>
      <w:r w:rsidRPr="00B34E9C">
        <w:t xml:space="preserve">. </w:t>
      </w:r>
    </w:p>
    <w:p w:rsidR="007A5B33" w:rsidRPr="00B34E9C" w:rsidRDefault="007A5B33" w:rsidP="007B5472">
      <w:pPr>
        <w:jc w:val="both"/>
      </w:pPr>
    </w:p>
    <w:p w:rsidR="003402DC" w:rsidRPr="00B34E9C" w:rsidRDefault="003402DC" w:rsidP="003402DC">
      <w:pPr>
        <w:jc w:val="center"/>
        <w:rPr>
          <w:b/>
        </w:rPr>
      </w:pPr>
      <w:r w:rsidRPr="00B34E9C">
        <w:rPr>
          <w:b/>
        </w:rPr>
        <w:t>Table 15</w:t>
      </w:r>
    </w:p>
    <w:p w:rsidR="009D3919" w:rsidRPr="00B34E9C" w:rsidRDefault="009248A0" w:rsidP="009D3919">
      <w:r w:rsidRPr="009248A0">
        <w:rPr>
          <w:noProof/>
          <w:lang w:eastAsia="en-US"/>
        </w:rPr>
        <w:drawing>
          <wp:inline distT="0" distB="0" distL="0" distR="0">
            <wp:extent cx="5486400" cy="226495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5486400" cy="2264957"/>
                    </a:xfrm>
                    <a:prstGeom prst="rect">
                      <a:avLst/>
                    </a:prstGeom>
                    <a:noFill/>
                    <a:ln w="9525">
                      <a:noFill/>
                      <a:miter lim="800000"/>
                      <a:headEnd/>
                      <a:tailEnd/>
                    </a:ln>
                  </pic:spPr>
                </pic:pic>
              </a:graphicData>
            </a:graphic>
          </wp:inline>
        </w:drawing>
      </w:r>
    </w:p>
    <w:p w:rsidR="003402DC" w:rsidRPr="00B34E9C" w:rsidRDefault="003402DC" w:rsidP="009D3919"/>
    <w:p w:rsidR="0004620C" w:rsidRPr="00B34E9C" w:rsidRDefault="0004620C" w:rsidP="0004620C">
      <w:pPr>
        <w:jc w:val="both"/>
      </w:pPr>
      <w:r w:rsidRPr="00B34E9C">
        <w:t>R</w:t>
      </w:r>
      <w:r w:rsidR="003402DC" w:rsidRPr="00B34E9C">
        <w:t>esults of the cost effectiveness analysis, as conducted by The Cadmus Group are included</w:t>
      </w:r>
      <w:r w:rsidRPr="00B34E9C">
        <w:t xml:space="preserve"> Appendix 1. Please refer to the Cost Effectiveness Appendix 1 to this report for more information on the cost effectiveness tests and the assumptions and inputs.</w:t>
      </w:r>
    </w:p>
    <w:p w:rsidR="003402DC" w:rsidRPr="00B34E9C" w:rsidRDefault="003402DC" w:rsidP="003402DC">
      <w:pPr>
        <w:pStyle w:val="NoSpacing"/>
        <w:rPr>
          <w:rFonts w:ascii="Times New Roman" w:hAnsi="Times New Roman" w:cs="Times New Roman"/>
          <w:sz w:val="24"/>
          <w:szCs w:val="24"/>
        </w:rPr>
      </w:pPr>
    </w:p>
    <w:p w:rsidR="003402DC" w:rsidRPr="00B34E9C" w:rsidRDefault="003402DC" w:rsidP="003402DC">
      <w:pPr>
        <w:pStyle w:val="NoSpacing"/>
        <w:rPr>
          <w:rFonts w:ascii="Times New Roman" w:hAnsi="Times New Roman" w:cs="Times New Roman"/>
          <w:sz w:val="24"/>
          <w:szCs w:val="24"/>
        </w:rPr>
      </w:pPr>
    </w:p>
    <w:p w:rsidR="001E5693" w:rsidRPr="00B34E9C" w:rsidRDefault="001E5693" w:rsidP="003402DC">
      <w:pPr>
        <w:pStyle w:val="NoSpacing"/>
        <w:rPr>
          <w:rFonts w:ascii="Times New Roman" w:hAnsi="Times New Roman" w:cs="Times New Roman"/>
          <w:sz w:val="24"/>
          <w:szCs w:val="24"/>
        </w:rPr>
      </w:pPr>
    </w:p>
    <w:p w:rsidR="003402DC" w:rsidRPr="00B34E9C" w:rsidRDefault="003402DC" w:rsidP="003402DC">
      <w:r w:rsidRPr="00B34E9C">
        <w:t>________________________________________________________________</w:t>
      </w:r>
    </w:p>
    <w:p w:rsidR="0004620C" w:rsidRPr="00B34E9C" w:rsidRDefault="0004620C" w:rsidP="0004620C">
      <w:pPr>
        <w:pStyle w:val="Heading1"/>
        <w:rPr>
          <w:rFonts w:ascii="Times New Roman" w:hAnsi="Times New Roman" w:cs="Times New Roman"/>
        </w:rPr>
      </w:pPr>
      <w:bookmarkStart w:id="26" w:name="_Toc257793524"/>
      <w:bookmarkStart w:id="27" w:name="_Toc289064249"/>
      <w:r w:rsidRPr="00B34E9C">
        <w:rPr>
          <w:rFonts w:ascii="Times New Roman" w:hAnsi="Times New Roman" w:cs="Times New Roman"/>
        </w:rPr>
        <w:t>Appendices</w:t>
      </w:r>
      <w:bookmarkEnd w:id="26"/>
      <w:bookmarkEnd w:id="27"/>
    </w:p>
    <w:p w:rsidR="0004620C" w:rsidRPr="00B34E9C" w:rsidRDefault="0004620C" w:rsidP="0004620C">
      <w:pPr>
        <w:ind w:left="720"/>
      </w:pPr>
    </w:p>
    <w:p w:rsidR="0004620C" w:rsidRPr="00B34E9C" w:rsidRDefault="0004620C" w:rsidP="0004620C">
      <w:pPr>
        <w:ind w:left="720"/>
      </w:pPr>
      <w:r w:rsidRPr="00B34E9C">
        <w:t>Appendix 1 – Cost Effectiveness Details</w:t>
      </w: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Pr="00B34E9C" w:rsidRDefault="0004620C" w:rsidP="00D02848">
      <w:pPr>
        <w:pStyle w:val="memoaddress"/>
        <w:rPr>
          <w:rFonts w:ascii="Times New Roman" w:hAnsi="Times New Roman"/>
        </w:rPr>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p w:rsidR="0004620C" w:rsidRDefault="0004620C" w:rsidP="00D02848">
      <w:pPr>
        <w:pStyle w:val="memoaddress"/>
      </w:pPr>
    </w:p>
    <w:sectPr w:rsidR="0004620C" w:rsidSect="000F136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86" w:rsidRDefault="002D4186" w:rsidP="00972D86">
      <w:r>
        <w:separator/>
      </w:r>
    </w:p>
  </w:endnote>
  <w:endnote w:type="continuationSeparator" w:id="0">
    <w:p w:rsidR="002D4186" w:rsidRDefault="002D4186" w:rsidP="00972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A" w:rsidRDefault="00286C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1220"/>
      <w:docPartObj>
        <w:docPartGallery w:val="Page Numbers (Bottom of Page)"/>
        <w:docPartUnique/>
      </w:docPartObj>
    </w:sdtPr>
    <w:sdtContent>
      <w:p w:rsidR="00B15B2E" w:rsidRDefault="00757789">
        <w:pPr>
          <w:pStyle w:val="Footer"/>
          <w:jc w:val="center"/>
        </w:pPr>
        <w:r w:rsidRPr="001230B7">
          <w:fldChar w:fldCharType="begin"/>
        </w:r>
        <w:r w:rsidR="00B15B2E" w:rsidRPr="001230B7">
          <w:instrText xml:space="preserve"> PAGE   \* MERGEFORMAT </w:instrText>
        </w:r>
        <w:r w:rsidRPr="001230B7">
          <w:fldChar w:fldCharType="separate"/>
        </w:r>
        <w:r w:rsidR="00286C6A">
          <w:rPr>
            <w:noProof/>
          </w:rPr>
          <w:t>2</w:t>
        </w:r>
        <w:r w:rsidRPr="001230B7">
          <w:fldChar w:fldCharType="end"/>
        </w:r>
      </w:p>
    </w:sdtContent>
  </w:sdt>
  <w:p w:rsidR="00B15B2E" w:rsidRDefault="00B15B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A" w:rsidRDefault="00286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86" w:rsidRDefault="002D4186" w:rsidP="00972D86">
      <w:r>
        <w:separator/>
      </w:r>
    </w:p>
  </w:footnote>
  <w:footnote w:type="continuationSeparator" w:id="0">
    <w:p w:rsidR="002D4186" w:rsidRDefault="002D4186" w:rsidP="00972D86">
      <w:r>
        <w:continuationSeparator/>
      </w:r>
    </w:p>
  </w:footnote>
  <w:footnote w:id="1">
    <w:p w:rsidR="00B15B2E" w:rsidRPr="0081268D" w:rsidRDefault="00B15B2E">
      <w:pPr>
        <w:jc w:val="both"/>
      </w:pPr>
      <w:r w:rsidRPr="00DE5C48">
        <w:rPr>
          <w:rStyle w:val="FootnoteReference"/>
          <w:rFonts w:ascii="Arial" w:hAnsi="Arial" w:cs="Arial"/>
          <w:sz w:val="20"/>
          <w:szCs w:val="20"/>
        </w:rPr>
        <w:footnoteRef/>
      </w:r>
      <w:r w:rsidRPr="00DE5C48">
        <w:rPr>
          <w:rFonts w:ascii="Arial" w:hAnsi="Arial" w:cs="Arial"/>
          <w:sz w:val="20"/>
          <w:szCs w:val="20"/>
        </w:rPr>
        <w:t xml:space="preserve"> </w:t>
      </w:r>
      <w:r w:rsidRPr="0081268D">
        <w:rPr>
          <w:sz w:val="20"/>
          <w:szCs w:val="20"/>
        </w:rPr>
        <w:t>To remain consistent with the Northwest Power and Conservation Council’s regional power plan, the savings values in this table are shown prior to any net-to-gross adjustment.  The values at generation include line losses between the customer site and the generation source. The Company’s assumed line losses by sector are 8.87 percent for residential, 8.73 percent for commercial and 7.54 percent for industrial. These values are based on the Company’s 2007 Transmission and Distribution Loss Study by Management Applications Consulting published in October 2008.</w:t>
      </w:r>
    </w:p>
  </w:footnote>
  <w:footnote w:id="2">
    <w:p w:rsidR="00B15B2E" w:rsidRPr="0081268D" w:rsidRDefault="00B15B2E">
      <w:pPr>
        <w:pStyle w:val="FootnoteText"/>
        <w:jc w:val="both"/>
      </w:pPr>
      <w:r w:rsidRPr="0081268D">
        <w:rPr>
          <w:rStyle w:val="FootnoteReference"/>
        </w:rPr>
        <w:footnoteRef/>
      </w:r>
      <w:r w:rsidRPr="0081268D">
        <w:t xml:space="preserve"> CFL Adjustment: The Energy Education Program savings reflect 941,195 kWh of savings related to installation of additional CFLs that are purchased by participants.  This amount is adjusted out of the Residential portfolio results to avoid potentially double counting the savings in both the Energy Education program and Home Energy Savings program. </w:t>
      </w:r>
    </w:p>
  </w:footnote>
  <w:footnote w:id="3">
    <w:p w:rsidR="00B15B2E" w:rsidRDefault="00B15B2E">
      <w:pPr>
        <w:pStyle w:val="FootnoteText"/>
      </w:pPr>
      <w:r>
        <w:rPr>
          <w:rStyle w:val="FootnoteReference"/>
        </w:rPr>
        <w:footnoteRef/>
      </w:r>
      <w:r>
        <w:t xml:space="preserve"> CFL Savings Reconciliation: </w:t>
      </w:r>
      <w:r>
        <w:rPr>
          <w:color w:val="1F497D"/>
        </w:rPr>
        <w:t xml:space="preserve"> An error was found in </w:t>
      </w:r>
      <w:r w:rsidR="0093517A">
        <w:rPr>
          <w:color w:val="1F497D"/>
        </w:rPr>
        <w:t xml:space="preserve">the company’s </w:t>
      </w:r>
      <w:r>
        <w:rPr>
          <w:color w:val="1F497D"/>
        </w:rPr>
        <w:t>baseline for CFL savings.  It was found in December and it was corrected in December.</w:t>
      </w:r>
    </w:p>
  </w:footnote>
  <w:footnote w:id="4">
    <w:p w:rsidR="00B15B2E" w:rsidRDefault="00B15B2E">
      <w:pPr>
        <w:pStyle w:val="FootnoteText"/>
        <w:jc w:val="both"/>
      </w:pPr>
      <w:r w:rsidRPr="001A3026">
        <w:rPr>
          <w:rStyle w:val="FootnoteReference"/>
          <w:rFonts w:ascii="Arial" w:hAnsi="Arial" w:cs="Arial"/>
        </w:rPr>
        <w:footnoteRef/>
      </w:r>
      <w:r w:rsidRPr="001A3026">
        <w:rPr>
          <w:rFonts w:ascii="Arial" w:hAnsi="Arial" w:cs="Arial"/>
        </w:rPr>
        <w:t xml:space="preserve"> “</w:t>
      </w:r>
      <w:r w:rsidRPr="00555241">
        <w:t>Assessment of Washington Energy Education In Schools- 2009-2010 Program Year”, September 21, 2010 by The Cadmus Group</w:t>
      </w:r>
      <w:r w:rsidRPr="001A3026">
        <w:rPr>
          <w:rFonts w:ascii="Arial" w:hAnsi="Arial" w:cs="Arial"/>
        </w:rPr>
        <w:t xml:space="preserve">.  </w:t>
      </w:r>
    </w:p>
  </w:footnote>
  <w:footnote w:id="5">
    <w:p w:rsidR="00B15B2E" w:rsidRPr="00B24748" w:rsidRDefault="00B15B2E" w:rsidP="00011AFB">
      <w:pPr>
        <w:pStyle w:val="FootnoteText"/>
        <w:jc w:val="both"/>
        <w:rPr>
          <w:rFonts w:ascii="Arial" w:hAnsi="Arial" w:cs="Arial"/>
        </w:rPr>
      </w:pPr>
      <w:r w:rsidRPr="00864DCF">
        <w:rPr>
          <w:rStyle w:val="FootnoteReference"/>
          <w:rFonts w:ascii="Arial" w:hAnsi="Arial" w:cs="Arial"/>
        </w:rPr>
        <w:footnoteRef/>
      </w:r>
      <w:r w:rsidRPr="00864DCF">
        <w:rPr>
          <w:rFonts w:ascii="Arial" w:hAnsi="Arial" w:cs="Arial"/>
        </w:rPr>
        <w:t xml:space="preserve"> </w:t>
      </w:r>
      <w:r w:rsidRPr="00555241">
        <w:t xml:space="preserve">Eligibility for Advanced/Integrated </w:t>
      </w:r>
      <w:proofErr w:type="spellStart"/>
      <w:r w:rsidRPr="00555241">
        <w:t>Daylighting</w:t>
      </w:r>
      <w:proofErr w:type="spellEnd"/>
      <w:r w:rsidRPr="00555241">
        <w:t xml:space="preserve"> Control is limited to daylight zones in spaces where integrated occupancy and/or </w:t>
      </w:r>
      <w:proofErr w:type="spellStart"/>
      <w:r w:rsidRPr="00555241">
        <w:t>daylighting</w:t>
      </w:r>
      <w:proofErr w:type="spellEnd"/>
      <w:r w:rsidRPr="00555241">
        <w:t xml:space="preserve"> controls are not required by the Washington State Energy Code</w:t>
      </w:r>
      <w:r w:rsidRPr="00864DCF">
        <w:rPr>
          <w:rFonts w:ascii="Arial" w:hAnsi="Arial" w:cs="Arial"/>
        </w:rPr>
        <w:t>.</w:t>
      </w:r>
      <w:r w:rsidRPr="00864DCF">
        <w:rPr>
          <w:rFonts w:ascii="Arial" w:hAnsi="Arial" w:cs="Arial"/>
          <w:sz w:val="16"/>
          <w:szCs w:val="16"/>
        </w:rPr>
        <w:t xml:space="preserve">  </w:t>
      </w:r>
    </w:p>
  </w:footnote>
  <w:footnote w:id="6">
    <w:p w:rsidR="00B15B2E" w:rsidRPr="00555241" w:rsidRDefault="00B15B2E">
      <w:pPr>
        <w:pStyle w:val="FootnoteText"/>
        <w:jc w:val="both"/>
      </w:pPr>
      <w:r>
        <w:rPr>
          <w:rStyle w:val="FootnoteReference"/>
        </w:rPr>
        <w:footnoteRef/>
      </w:r>
      <w:r>
        <w:t xml:space="preserve"> </w:t>
      </w:r>
      <w:r w:rsidRPr="00555241">
        <w:t>In the Northwest regional power plan, savings potential for refrigerated warehouses is included in the industrial sector.  This is consistent with the Company’s reporting for savings from this segment.  Electric sales are identified as commercial.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A" w:rsidRDefault="00286C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A" w:rsidRDefault="00286C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A" w:rsidRDefault="00286C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30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1A39AE"/>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6CD"/>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E02781"/>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463D71"/>
    <w:multiLevelType w:val="hybridMultilevel"/>
    <w:tmpl w:val="ABB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739DD"/>
    <w:multiLevelType w:val="hybridMultilevel"/>
    <w:tmpl w:val="99AA7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442B8"/>
    <w:multiLevelType w:val="hybridMultilevel"/>
    <w:tmpl w:val="800E0E8C"/>
    <w:lvl w:ilvl="0" w:tplc="ABD6A38E">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22B3E"/>
    <w:multiLevelType w:val="hybridMultilevel"/>
    <w:tmpl w:val="67F6BF6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19D40F2"/>
    <w:multiLevelType w:val="hybridMultilevel"/>
    <w:tmpl w:val="8D8225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654630"/>
    <w:multiLevelType w:val="hybridMultilevel"/>
    <w:tmpl w:val="E3D4C3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FC3C0C"/>
    <w:multiLevelType w:val="hybridMultilevel"/>
    <w:tmpl w:val="6D44333E"/>
    <w:lvl w:ilvl="0" w:tplc="A6544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CE34AE"/>
    <w:multiLevelType w:val="hybridMultilevel"/>
    <w:tmpl w:val="962A6E28"/>
    <w:lvl w:ilvl="0" w:tplc="D4A8C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17FA4"/>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EA70D1"/>
    <w:multiLevelType w:val="hybridMultilevel"/>
    <w:tmpl w:val="638AF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D1402"/>
    <w:multiLevelType w:val="hybridMultilevel"/>
    <w:tmpl w:val="AFEC9C20"/>
    <w:lvl w:ilvl="0" w:tplc="C8944E3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nsid w:val="44176EDF"/>
    <w:multiLevelType w:val="hybridMultilevel"/>
    <w:tmpl w:val="9B12AF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A0F60CB"/>
    <w:multiLevelType w:val="hybridMultilevel"/>
    <w:tmpl w:val="4F583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BA77E14"/>
    <w:multiLevelType w:val="hybridMultilevel"/>
    <w:tmpl w:val="21A86EA8"/>
    <w:lvl w:ilvl="0" w:tplc="1A92BC9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DA57028"/>
    <w:multiLevelType w:val="hybridMultilevel"/>
    <w:tmpl w:val="03AC2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5E7C09D1"/>
    <w:multiLevelType w:val="hybridMultilevel"/>
    <w:tmpl w:val="184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F35C1"/>
    <w:multiLevelType w:val="hybridMultilevel"/>
    <w:tmpl w:val="EC2044B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600329A1"/>
    <w:multiLevelType w:val="hybridMultilevel"/>
    <w:tmpl w:val="7CD450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66C43CF8"/>
    <w:multiLevelType w:val="hybridMultilevel"/>
    <w:tmpl w:val="13ACFF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6BA90432"/>
    <w:multiLevelType w:val="hybridMultilevel"/>
    <w:tmpl w:val="6816B332"/>
    <w:lvl w:ilvl="0" w:tplc="C8944E3C">
      <w:start w:val="1"/>
      <w:numFmt w:val="bullet"/>
      <w:lvlText w:val=""/>
      <w:lvlJc w:val="left"/>
      <w:pPr>
        <w:tabs>
          <w:tab w:val="num" w:pos="720"/>
        </w:tabs>
        <w:ind w:left="720" w:hanging="360"/>
      </w:pPr>
      <w:rPr>
        <w:rFonts w:ascii="Symbol" w:hAnsi="Symbol" w:cs="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E3A6D5E"/>
    <w:multiLevelType w:val="hybridMultilevel"/>
    <w:tmpl w:val="F5683B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74DD0C53"/>
    <w:multiLevelType w:val="hybridMultilevel"/>
    <w:tmpl w:val="2626ED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395EAB"/>
    <w:multiLevelType w:val="hybridMultilevel"/>
    <w:tmpl w:val="3A7036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77BE1322"/>
    <w:multiLevelType w:val="hybridMultilevel"/>
    <w:tmpl w:val="A58802BE"/>
    <w:lvl w:ilvl="0" w:tplc="E5F44926">
      <w:start w:val="1"/>
      <w:numFmt w:val="decimal"/>
      <w:lvlText w:val="%1."/>
      <w:lvlJc w:val="left"/>
      <w:pPr>
        <w:ind w:left="180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192D08"/>
    <w:multiLevelType w:val="hybridMultilevel"/>
    <w:tmpl w:val="743230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0"/>
  </w:num>
  <w:num w:numId="5">
    <w:abstractNumId w:val="7"/>
  </w:num>
  <w:num w:numId="6">
    <w:abstractNumId w:val="27"/>
  </w:num>
  <w:num w:numId="7">
    <w:abstractNumId w:val="1"/>
  </w:num>
  <w:num w:numId="8">
    <w:abstractNumId w:val="2"/>
  </w:num>
  <w:num w:numId="9">
    <w:abstractNumId w:val="15"/>
  </w:num>
  <w:num w:numId="10">
    <w:abstractNumId w:val="12"/>
  </w:num>
  <w:num w:numId="11">
    <w:abstractNumId w:val="6"/>
  </w:num>
  <w:num w:numId="12">
    <w:abstractNumId w:val="20"/>
  </w:num>
  <w:num w:numId="13">
    <w:abstractNumId w:val="26"/>
  </w:num>
  <w:num w:numId="14">
    <w:abstractNumId w:val="18"/>
  </w:num>
  <w:num w:numId="15">
    <w:abstractNumId w:val="3"/>
  </w:num>
  <w:num w:numId="16">
    <w:abstractNumId w:val="25"/>
  </w:num>
  <w:num w:numId="17">
    <w:abstractNumId w:val="11"/>
  </w:num>
  <w:num w:numId="18">
    <w:abstractNumId w:val="10"/>
  </w:num>
  <w:num w:numId="19">
    <w:abstractNumId w:val="5"/>
  </w:num>
  <w:num w:numId="20">
    <w:abstractNumId w:val="13"/>
  </w:num>
  <w:num w:numId="21">
    <w:abstractNumId w:val="24"/>
  </w:num>
  <w:num w:numId="22">
    <w:abstractNumId w:val="21"/>
  </w:num>
  <w:num w:numId="23">
    <w:abstractNumId w:val="22"/>
  </w:num>
  <w:num w:numId="24">
    <w:abstractNumId w:val="29"/>
  </w:num>
  <w:num w:numId="25">
    <w:abstractNumId w:val="28"/>
  </w:num>
  <w:num w:numId="26">
    <w:abstractNumId w:val="4"/>
  </w:num>
  <w:num w:numId="27">
    <w:abstractNumId w:val="19"/>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972D86"/>
    <w:rsid w:val="00000765"/>
    <w:rsid w:val="00003D96"/>
    <w:rsid w:val="00004B3F"/>
    <w:rsid w:val="000065BB"/>
    <w:rsid w:val="00007047"/>
    <w:rsid w:val="00011AFB"/>
    <w:rsid w:val="0001500C"/>
    <w:rsid w:val="00015D20"/>
    <w:rsid w:val="000177BC"/>
    <w:rsid w:val="00020FFF"/>
    <w:rsid w:val="000247CE"/>
    <w:rsid w:val="00027800"/>
    <w:rsid w:val="00032623"/>
    <w:rsid w:val="0004620C"/>
    <w:rsid w:val="000467FE"/>
    <w:rsid w:val="00054F60"/>
    <w:rsid w:val="000554E0"/>
    <w:rsid w:val="00061D82"/>
    <w:rsid w:val="00064106"/>
    <w:rsid w:val="00065C99"/>
    <w:rsid w:val="00071762"/>
    <w:rsid w:val="00077366"/>
    <w:rsid w:val="000825A1"/>
    <w:rsid w:val="00084249"/>
    <w:rsid w:val="00085A44"/>
    <w:rsid w:val="000877A3"/>
    <w:rsid w:val="000877CE"/>
    <w:rsid w:val="000A204B"/>
    <w:rsid w:val="000B4E14"/>
    <w:rsid w:val="000C317B"/>
    <w:rsid w:val="000C3D6F"/>
    <w:rsid w:val="000D290A"/>
    <w:rsid w:val="000D3281"/>
    <w:rsid w:val="000D3857"/>
    <w:rsid w:val="000E05BE"/>
    <w:rsid w:val="000E3A57"/>
    <w:rsid w:val="000E5172"/>
    <w:rsid w:val="000F0807"/>
    <w:rsid w:val="000F136B"/>
    <w:rsid w:val="000F2E88"/>
    <w:rsid w:val="000F316C"/>
    <w:rsid w:val="000F50EE"/>
    <w:rsid w:val="000F542D"/>
    <w:rsid w:val="00102531"/>
    <w:rsid w:val="00104615"/>
    <w:rsid w:val="00104BF2"/>
    <w:rsid w:val="0011091F"/>
    <w:rsid w:val="00113953"/>
    <w:rsid w:val="0011671F"/>
    <w:rsid w:val="001230B7"/>
    <w:rsid w:val="00123418"/>
    <w:rsid w:val="00134374"/>
    <w:rsid w:val="001357FB"/>
    <w:rsid w:val="00137599"/>
    <w:rsid w:val="001453DC"/>
    <w:rsid w:val="00151F84"/>
    <w:rsid w:val="001540B6"/>
    <w:rsid w:val="00160CE2"/>
    <w:rsid w:val="00163304"/>
    <w:rsid w:val="001663D7"/>
    <w:rsid w:val="00170CF5"/>
    <w:rsid w:val="00176128"/>
    <w:rsid w:val="00192761"/>
    <w:rsid w:val="00193A2D"/>
    <w:rsid w:val="001948CA"/>
    <w:rsid w:val="0019716C"/>
    <w:rsid w:val="001976A6"/>
    <w:rsid w:val="001A3026"/>
    <w:rsid w:val="001A7162"/>
    <w:rsid w:val="001B692B"/>
    <w:rsid w:val="001D1A43"/>
    <w:rsid w:val="001D4C2F"/>
    <w:rsid w:val="001E05FF"/>
    <w:rsid w:val="001E1072"/>
    <w:rsid w:val="001E5693"/>
    <w:rsid w:val="001E57C7"/>
    <w:rsid w:val="001F0042"/>
    <w:rsid w:val="001F5FCC"/>
    <w:rsid w:val="0021128B"/>
    <w:rsid w:val="00215976"/>
    <w:rsid w:val="002170E0"/>
    <w:rsid w:val="00221893"/>
    <w:rsid w:val="00226ED4"/>
    <w:rsid w:val="00230B50"/>
    <w:rsid w:val="00240150"/>
    <w:rsid w:val="0024317F"/>
    <w:rsid w:val="0024323A"/>
    <w:rsid w:val="0025011F"/>
    <w:rsid w:val="002507DB"/>
    <w:rsid w:val="00250FFB"/>
    <w:rsid w:val="002624C1"/>
    <w:rsid w:val="00264E3A"/>
    <w:rsid w:val="00274012"/>
    <w:rsid w:val="00277E13"/>
    <w:rsid w:val="002810D1"/>
    <w:rsid w:val="00282D61"/>
    <w:rsid w:val="00285815"/>
    <w:rsid w:val="0028681B"/>
    <w:rsid w:val="00286C6A"/>
    <w:rsid w:val="00292CD8"/>
    <w:rsid w:val="002940D7"/>
    <w:rsid w:val="002A3770"/>
    <w:rsid w:val="002B49A1"/>
    <w:rsid w:val="002B6EFB"/>
    <w:rsid w:val="002B7003"/>
    <w:rsid w:val="002C0E28"/>
    <w:rsid w:val="002C316F"/>
    <w:rsid w:val="002D1060"/>
    <w:rsid w:val="002D4186"/>
    <w:rsid w:val="002D66DD"/>
    <w:rsid w:val="002E208B"/>
    <w:rsid w:val="002E38C1"/>
    <w:rsid w:val="002F37D2"/>
    <w:rsid w:val="00302C12"/>
    <w:rsid w:val="0030355D"/>
    <w:rsid w:val="003040BB"/>
    <w:rsid w:val="00314AB0"/>
    <w:rsid w:val="00320BF6"/>
    <w:rsid w:val="00327081"/>
    <w:rsid w:val="00335772"/>
    <w:rsid w:val="003368C0"/>
    <w:rsid w:val="003402DC"/>
    <w:rsid w:val="00340DC8"/>
    <w:rsid w:val="003453B7"/>
    <w:rsid w:val="00346990"/>
    <w:rsid w:val="00346D89"/>
    <w:rsid w:val="00347579"/>
    <w:rsid w:val="003543A7"/>
    <w:rsid w:val="00354B2F"/>
    <w:rsid w:val="0035642A"/>
    <w:rsid w:val="00367BFA"/>
    <w:rsid w:val="00373D0B"/>
    <w:rsid w:val="003831A4"/>
    <w:rsid w:val="00385E43"/>
    <w:rsid w:val="00394E76"/>
    <w:rsid w:val="003A03B2"/>
    <w:rsid w:val="003A348C"/>
    <w:rsid w:val="003B1F7F"/>
    <w:rsid w:val="003C073E"/>
    <w:rsid w:val="003C6802"/>
    <w:rsid w:val="003C7CBF"/>
    <w:rsid w:val="003D087A"/>
    <w:rsid w:val="003D60AE"/>
    <w:rsid w:val="003D62EE"/>
    <w:rsid w:val="003E1EBE"/>
    <w:rsid w:val="003E7946"/>
    <w:rsid w:val="004003DF"/>
    <w:rsid w:val="0040561A"/>
    <w:rsid w:val="00413179"/>
    <w:rsid w:val="00415E86"/>
    <w:rsid w:val="0042432E"/>
    <w:rsid w:val="004403B9"/>
    <w:rsid w:val="0045036B"/>
    <w:rsid w:val="0045100F"/>
    <w:rsid w:val="004542DD"/>
    <w:rsid w:val="004575FF"/>
    <w:rsid w:val="00461965"/>
    <w:rsid w:val="004619EB"/>
    <w:rsid w:val="00461EDB"/>
    <w:rsid w:val="00463EE3"/>
    <w:rsid w:val="00464416"/>
    <w:rsid w:val="0046528F"/>
    <w:rsid w:val="00470A58"/>
    <w:rsid w:val="00470B16"/>
    <w:rsid w:val="004717D7"/>
    <w:rsid w:val="00473159"/>
    <w:rsid w:val="00481D24"/>
    <w:rsid w:val="00491BF1"/>
    <w:rsid w:val="00495ABF"/>
    <w:rsid w:val="004A6A35"/>
    <w:rsid w:val="004B0235"/>
    <w:rsid w:val="004B4C95"/>
    <w:rsid w:val="004B7C60"/>
    <w:rsid w:val="004C5071"/>
    <w:rsid w:val="004C5A53"/>
    <w:rsid w:val="004C5D4E"/>
    <w:rsid w:val="004D1AAB"/>
    <w:rsid w:val="004D5E43"/>
    <w:rsid w:val="004D6826"/>
    <w:rsid w:val="004D781B"/>
    <w:rsid w:val="004E024B"/>
    <w:rsid w:val="004F0137"/>
    <w:rsid w:val="004F0984"/>
    <w:rsid w:val="004F0990"/>
    <w:rsid w:val="004F4B69"/>
    <w:rsid w:val="004F693A"/>
    <w:rsid w:val="005003A0"/>
    <w:rsid w:val="005009D4"/>
    <w:rsid w:val="00505492"/>
    <w:rsid w:val="00511EF2"/>
    <w:rsid w:val="00515802"/>
    <w:rsid w:val="00526AF5"/>
    <w:rsid w:val="005435F3"/>
    <w:rsid w:val="00544CDF"/>
    <w:rsid w:val="00553AE0"/>
    <w:rsid w:val="00554B86"/>
    <w:rsid w:val="00555241"/>
    <w:rsid w:val="005608EF"/>
    <w:rsid w:val="00561FFB"/>
    <w:rsid w:val="00563EC2"/>
    <w:rsid w:val="00566A0D"/>
    <w:rsid w:val="005670BA"/>
    <w:rsid w:val="005675FF"/>
    <w:rsid w:val="00567933"/>
    <w:rsid w:val="005705B7"/>
    <w:rsid w:val="005818A9"/>
    <w:rsid w:val="00587C0A"/>
    <w:rsid w:val="00594CCE"/>
    <w:rsid w:val="00594EE9"/>
    <w:rsid w:val="005A1110"/>
    <w:rsid w:val="005A6CF9"/>
    <w:rsid w:val="005B62E5"/>
    <w:rsid w:val="005B7123"/>
    <w:rsid w:val="005C185A"/>
    <w:rsid w:val="005C43FC"/>
    <w:rsid w:val="005C5105"/>
    <w:rsid w:val="005C575E"/>
    <w:rsid w:val="005C5BE2"/>
    <w:rsid w:val="005D0562"/>
    <w:rsid w:val="005D3D8A"/>
    <w:rsid w:val="005E0A13"/>
    <w:rsid w:val="005E20A4"/>
    <w:rsid w:val="005E2476"/>
    <w:rsid w:val="005F418C"/>
    <w:rsid w:val="005F525B"/>
    <w:rsid w:val="006032C0"/>
    <w:rsid w:val="00615ABA"/>
    <w:rsid w:val="0062137B"/>
    <w:rsid w:val="00623BA0"/>
    <w:rsid w:val="00627563"/>
    <w:rsid w:val="006312DD"/>
    <w:rsid w:val="00633AF4"/>
    <w:rsid w:val="00641C59"/>
    <w:rsid w:val="006426EC"/>
    <w:rsid w:val="00643C50"/>
    <w:rsid w:val="0064683B"/>
    <w:rsid w:val="00647C85"/>
    <w:rsid w:val="00654E1C"/>
    <w:rsid w:val="00655D1A"/>
    <w:rsid w:val="0065692B"/>
    <w:rsid w:val="00664519"/>
    <w:rsid w:val="006645C5"/>
    <w:rsid w:val="0066765E"/>
    <w:rsid w:val="00672D72"/>
    <w:rsid w:val="00674601"/>
    <w:rsid w:val="006775A9"/>
    <w:rsid w:val="00682923"/>
    <w:rsid w:val="00684B39"/>
    <w:rsid w:val="00690641"/>
    <w:rsid w:val="00692C79"/>
    <w:rsid w:val="006960B6"/>
    <w:rsid w:val="006A1B37"/>
    <w:rsid w:val="006A3786"/>
    <w:rsid w:val="006A4B44"/>
    <w:rsid w:val="006B4284"/>
    <w:rsid w:val="006B451D"/>
    <w:rsid w:val="006B5D7B"/>
    <w:rsid w:val="006D54B5"/>
    <w:rsid w:val="006D604D"/>
    <w:rsid w:val="006E0554"/>
    <w:rsid w:val="006F6D50"/>
    <w:rsid w:val="00700962"/>
    <w:rsid w:val="007013AC"/>
    <w:rsid w:val="00724576"/>
    <w:rsid w:val="00734E52"/>
    <w:rsid w:val="007430D9"/>
    <w:rsid w:val="00746F9D"/>
    <w:rsid w:val="00747998"/>
    <w:rsid w:val="00754D00"/>
    <w:rsid w:val="007569FB"/>
    <w:rsid w:val="00757789"/>
    <w:rsid w:val="00757C1B"/>
    <w:rsid w:val="0076088A"/>
    <w:rsid w:val="0076500F"/>
    <w:rsid w:val="00766D70"/>
    <w:rsid w:val="007707C4"/>
    <w:rsid w:val="00773830"/>
    <w:rsid w:val="00773F2F"/>
    <w:rsid w:val="007765CC"/>
    <w:rsid w:val="0078204A"/>
    <w:rsid w:val="0078254A"/>
    <w:rsid w:val="00782745"/>
    <w:rsid w:val="007A5B33"/>
    <w:rsid w:val="007A5C8F"/>
    <w:rsid w:val="007A612D"/>
    <w:rsid w:val="007A65CF"/>
    <w:rsid w:val="007A7004"/>
    <w:rsid w:val="007A758B"/>
    <w:rsid w:val="007B14DF"/>
    <w:rsid w:val="007B2CCE"/>
    <w:rsid w:val="007B35F2"/>
    <w:rsid w:val="007B4B6E"/>
    <w:rsid w:val="007B5472"/>
    <w:rsid w:val="007B656B"/>
    <w:rsid w:val="007B6579"/>
    <w:rsid w:val="007B76B3"/>
    <w:rsid w:val="007C4933"/>
    <w:rsid w:val="007C4F6A"/>
    <w:rsid w:val="007C7B2E"/>
    <w:rsid w:val="007D4061"/>
    <w:rsid w:val="007E0FB1"/>
    <w:rsid w:val="007E170E"/>
    <w:rsid w:val="007E2FBC"/>
    <w:rsid w:val="007E669D"/>
    <w:rsid w:val="007F1E3D"/>
    <w:rsid w:val="007F26DB"/>
    <w:rsid w:val="008001B7"/>
    <w:rsid w:val="00800811"/>
    <w:rsid w:val="00804A45"/>
    <w:rsid w:val="0080658E"/>
    <w:rsid w:val="00810E06"/>
    <w:rsid w:val="0081268D"/>
    <w:rsid w:val="00821049"/>
    <w:rsid w:val="00825EB0"/>
    <w:rsid w:val="008343A1"/>
    <w:rsid w:val="00834B4C"/>
    <w:rsid w:val="008422F3"/>
    <w:rsid w:val="0084541D"/>
    <w:rsid w:val="00847514"/>
    <w:rsid w:val="00851FD7"/>
    <w:rsid w:val="00852CDB"/>
    <w:rsid w:val="00853A7A"/>
    <w:rsid w:val="00854F5D"/>
    <w:rsid w:val="008569A0"/>
    <w:rsid w:val="00862460"/>
    <w:rsid w:val="00864DCF"/>
    <w:rsid w:val="0086634F"/>
    <w:rsid w:val="00866511"/>
    <w:rsid w:val="0087015C"/>
    <w:rsid w:val="008736E1"/>
    <w:rsid w:val="00882026"/>
    <w:rsid w:val="00882294"/>
    <w:rsid w:val="00892C55"/>
    <w:rsid w:val="008936C6"/>
    <w:rsid w:val="00896E16"/>
    <w:rsid w:val="008A6C42"/>
    <w:rsid w:val="008B487D"/>
    <w:rsid w:val="008B7400"/>
    <w:rsid w:val="008C6BDB"/>
    <w:rsid w:val="008D0C9B"/>
    <w:rsid w:val="008D2217"/>
    <w:rsid w:val="008D5EBD"/>
    <w:rsid w:val="008E0B0E"/>
    <w:rsid w:val="008F2726"/>
    <w:rsid w:val="008F72BD"/>
    <w:rsid w:val="00900399"/>
    <w:rsid w:val="00903DF7"/>
    <w:rsid w:val="0090469A"/>
    <w:rsid w:val="00905F3C"/>
    <w:rsid w:val="00912468"/>
    <w:rsid w:val="00915479"/>
    <w:rsid w:val="009248A0"/>
    <w:rsid w:val="0093517A"/>
    <w:rsid w:val="00943F5E"/>
    <w:rsid w:val="00952A6B"/>
    <w:rsid w:val="00954E03"/>
    <w:rsid w:val="00970B99"/>
    <w:rsid w:val="00972D86"/>
    <w:rsid w:val="009739AF"/>
    <w:rsid w:val="009764E7"/>
    <w:rsid w:val="00976ECA"/>
    <w:rsid w:val="00982846"/>
    <w:rsid w:val="00994969"/>
    <w:rsid w:val="0099695C"/>
    <w:rsid w:val="00997125"/>
    <w:rsid w:val="009A18D4"/>
    <w:rsid w:val="009A5332"/>
    <w:rsid w:val="009A63CD"/>
    <w:rsid w:val="009B3182"/>
    <w:rsid w:val="009B456B"/>
    <w:rsid w:val="009B6E2F"/>
    <w:rsid w:val="009B7AC9"/>
    <w:rsid w:val="009C3FB6"/>
    <w:rsid w:val="009C4369"/>
    <w:rsid w:val="009D3919"/>
    <w:rsid w:val="009D3CB8"/>
    <w:rsid w:val="009E4B63"/>
    <w:rsid w:val="009F0E86"/>
    <w:rsid w:val="009F7E13"/>
    <w:rsid w:val="00A00B9B"/>
    <w:rsid w:val="00A05DFB"/>
    <w:rsid w:val="00A12548"/>
    <w:rsid w:val="00A33573"/>
    <w:rsid w:val="00A40B31"/>
    <w:rsid w:val="00A54217"/>
    <w:rsid w:val="00A559BF"/>
    <w:rsid w:val="00A57B52"/>
    <w:rsid w:val="00A63615"/>
    <w:rsid w:val="00A6483F"/>
    <w:rsid w:val="00A72455"/>
    <w:rsid w:val="00A819BB"/>
    <w:rsid w:val="00A91B57"/>
    <w:rsid w:val="00AA6AC1"/>
    <w:rsid w:val="00AB2236"/>
    <w:rsid w:val="00AB75EF"/>
    <w:rsid w:val="00AC1AC2"/>
    <w:rsid w:val="00AD1DD7"/>
    <w:rsid w:val="00AD5971"/>
    <w:rsid w:val="00AE06AF"/>
    <w:rsid w:val="00AE1AA7"/>
    <w:rsid w:val="00AE1D65"/>
    <w:rsid w:val="00AE2010"/>
    <w:rsid w:val="00AE4412"/>
    <w:rsid w:val="00AE652C"/>
    <w:rsid w:val="00AF4078"/>
    <w:rsid w:val="00AF4536"/>
    <w:rsid w:val="00AF5014"/>
    <w:rsid w:val="00B0040E"/>
    <w:rsid w:val="00B006F4"/>
    <w:rsid w:val="00B06329"/>
    <w:rsid w:val="00B06D35"/>
    <w:rsid w:val="00B15B2E"/>
    <w:rsid w:val="00B17F48"/>
    <w:rsid w:val="00B20127"/>
    <w:rsid w:val="00B23FD1"/>
    <w:rsid w:val="00B24748"/>
    <w:rsid w:val="00B251D0"/>
    <w:rsid w:val="00B345F4"/>
    <w:rsid w:val="00B34E9C"/>
    <w:rsid w:val="00B36E01"/>
    <w:rsid w:val="00B40784"/>
    <w:rsid w:val="00B41C9A"/>
    <w:rsid w:val="00B432A1"/>
    <w:rsid w:val="00B4732E"/>
    <w:rsid w:val="00B47496"/>
    <w:rsid w:val="00B70ACD"/>
    <w:rsid w:val="00B70E5A"/>
    <w:rsid w:val="00B77427"/>
    <w:rsid w:val="00B81F6D"/>
    <w:rsid w:val="00B8407B"/>
    <w:rsid w:val="00B865F5"/>
    <w:rsid w:val="00B91174"/>
    <w:rsid w:val="00B9754B"/>
    <w:rsid w:val="00B97FC7"/>
    <w:rsid w:val="00BA2D26"/>
    <w:rsid w:val="00BA3FA2"/>
    <w:rsid w:val="00BA6008"/>
    <w:rsid w:val="00BA76F8"/>
    <w:rsid w:val="00BB06DB"/>
    <w:rsid w:val="00BD00ED"/>
    <w:rsid w:val="00BD218C"/>
    <w:rsid w:val="00BE0A84"/>
    <w:rsid w:val="00C03A82"/>
    <w:rsid w:val="00C06FAB"/>
    <w:rsid w:val="00C11B05"/>
    <w:rsid w:val="00C1321D"/>
    <w:rsid w:val="00C13E86"/>
    <w:rsid w:val="00C14C45"/>
    <w:rsid w:val="00C16511"/>
    <w:rsid w:val="00C27914"/>
    <w:rsid w:val="00C3009B"/>
    <w:rsid w:val="00C409BE"/>
    <w:rsid w:val="00C42C62"/>
    <w:rsid w:val="00C46EC1"/>
    <w:rsid w:val="00C5087B"/>
    <w:rsid w:val="00C516E9"/>
    <w:rsid w:val="00C553E3"/>
    <w:rsid w:val="00C6122E"/>
    <w:rsid w:val="00C62E2C"/>
    <w:rsid w:val="00C81A94"/>
    <w:rsid w:val="00C81E4D"/>
    <w:rsid w:val="00C83C30"/>
    <w:rsid w:val="00C849EF"/>
    <w:rsid w:val="00C94516"/>
    <w:rsid w:val="00C97BDB"/>
    <w:rsid w:val="00CA52F0"/>
    <w:rsid w:val="00CA5814"/>
    <w:rsid w:val="00CA7B76"/>
    <w:rsid w:val="00CB28B8"/>
    <w:rsid w:val="00CB2C6D"/>
    <w:rsid w:val="00CB3116"/>
    <w:rsid w:val="00CB3356"/>
    <w:rsid w:val="00CB4CD1"/>
    <w:rsid w:val="00CC3FE4"/>
    <w:rsid w:val="00CC7138"/>
    <w:rsid w:val="00CD1A4B"/>
    <w:rsid w:val="00CD612B"/>
    <w:rsid w:val="00CD7823"/>
    <w:rsid w:val="00CE3F03"/>
    <w:rsid w:val="00CE42BC"/>
    <w:rsid w:val="00CE76C1"/>
    <w:rsid w:val="00CF05F7"/>
    <w:rsid w:val="00CF26C3"/>
    <w:rsid w:val="00CF3E98"/>
    <w:rsid w:val="00CF574F"/>
    <w:rsid w:val="00CF5C11"/>
    <w:rsid w:val="00D02848"/>
    <w:rsid w:val="00D03889"/>
    <w:rsid w:val="00D0508C"/>
    <w:rsid w:val="00D111DD"/>
    <w:rsid w:val="00D27154"/>
    <w:rsid w:val="00D302C8"/>
    <w:rsid w:val="00D34088"/>
    <w:rsid w:val="00D34AF2"/>
    <w:rsid w:val="00D36DBC"/>
    <w:rsid w:val="00D45ACF"/>
    <w:rsid w:val="00D464BB"/>
    <w:rsid w:val="00D46A1F"/>
    <w:rsid w:val="00D47764"/>
    <w:rsid w:val="00D47CDE"/>
    <w:rsid w:val="00D506E0"/>
    <w:rsid w:val="00D52B1B"/>
    <w:rsid w:val="00D535DD"/>
    <w:rsid w:val="00D57476"/>
    <w:rsid w:val="00D641B6"/>
    <w:rsid w:val="00D649F1"/>
    <w:rsid w:val="00D664AC"/>
    <w:rsid w:val="00D70312"/>
    <w:rsid w:val="00D70A6F"/>
    <w:rsid w:val="00D737F5"/>
    <w:rsid w:val="00D7772A"/>
    <w:rsid w:val="00D836AA"/>
    <w:rsid w:val="00D836F0"/>
    <w:rsid w:val="00D9196A"/>
    <w:rsid w:val="00D931E2"/>
    <w:rsid w:val="00D95CF7"/>
    <w:rsid w:val="00DA34F5"/>
    <w:rsid w:val="00DA4465"/>
    <w:rsid w:val="00DA605D"/>
    <w:rsid w:val="00DA63F4"/>
    <w:rsid w:val="00DB211C"/>
    <w:rsid w:val="00DB37A3"/>
    <w:rsid w:val="00DB4080"/>
    <w:rsid w:val="00DB597D"/>
    <w:rsid w:val="00DB5F5D"/>
    <w:rsid w:val="00DB6F35"/>
    <w:rsid w:val="00DC08B0"/>
    <w:rsid w:val="00DC0D0A"/>
    <w:rsid w:val="00DC3EE6"/>
    <w:rsid w:val="00DC4781"/>
    <w:rsid w:val="00DD126D"/>
    <w:rsid w:val="00DD6058"/>
    <w:rsid w:val="00DD6AF1"/>
    <w:rsid w:val="00DD6BFB"/>
    <w:rsid w:val="00DD7048"/>
    <w:rsid w:val="00DE5C48"/>
    <w:rsid w:val="00DF07DD"/>
    <w:rsid w:val="00DF456D"/>
    <w:rsid w:val="00E0147F"/>
    <w:rsid w:val="00E02DC0"/>
    <w:rsid w:val="00E07D79"/>
    <w:rsid w:val="00E12F71"/>
    <w:rsid w:val="00E14EB9"/>
    <w:rsid w:val="00E21D30"/>
    <w:rsid w:val="00E21DEA"/>
    <w:rsid w:val="00E24391"/>
    <w:rsid w:val="00E33F13"/>
    <w:rsid w:val="00E3599A"/>
    <w:rsid w:val="00E3641B"/>
    <w:rsid w:val="00E407FF"/>
    <w:rsid w:val="00E44119"/>
    <w:rsid w:val="00E448F5"/>
    <w:rsid w:val="00E46D67"/>
    <w:rsid w:val="00E46F3D"/>
    <w:rsid w:val="00E5240C"/>
    <w:rsid w:val="00E643C7"/>
    <w:rsid w:val="00E65306"/>
    <w:rsid w:val="00E768B3"/>
    <w:rsid w:val="00E832E1"/>
    <w:rsid w:val="00E8462C"/>
    <w:rsid w:val="00E84ADF"/>
    <w:rsid w:val="00E86160"/>
    <w:rsid w:val="00E86ACE"/>
    <w:rsid w:val="00E87BD1"/>
    <w:rsid w:val="00E96884"/>
    <w:rsid w:val="00E978BE"/>
    <w:rsid w:val="00EA4068"/>
    <w:rsid w:val="00EA4261"/>
    <w:rsid w:val="00EA4B09"/>
    <w:rsid w:val="00EA5215"/>
    <w:rsid w:val="00EA6CB8"/>
    <w:rsid w:val="00EB1DC9"/>
    <w:rsid w:val="00EB29D0"/>
    <w:rsid w:val="00EB4322"/>
    <w:rsid w:val="00EC1594"/>
    <w:rsid w:val="00EC3625"/>
    <w:rsid w:val="00ED060D"/>
    <w:rsid w:val="00ED2B67"/>
    <w:rsid w:val="00ED4024"/>
    <w:rsid w:val="00EE459B"/>
    <w:rsid w:val="00EE53F9"/>
    <w:rsid w:val="00EF1EA5"/>
    <w:rsid w:val="00EF5CAF"/>
    <w:rsid w:val="00F021F5"/>
    <w:rsid w:val="00F04415"/>
    <w:rsid w:val="00F16792"/>
    <w:rsid w:val="00F34CCC"/>
    <w:rsid w:val="00F37E37"/>
    <w:rsid w:val="00F46735"/>
    <w:rsid w:val="00F46F8E"/>
    <w:rsid w:val="00F50C69"/>
    <w:rsid w:val="00F569C3"/>
    <w:rsid w:val="00F56A05"/>
    <w:rsid w:val="00F60719"/>
    <w:rsid w:val="00F74519"/>
    <w:rsid w:val="00F7701E"/>
    <w:rsid w:val="00F86024"/>
    <w:rsid w:val="00F871EC"/>
    <w:rsid w:val="00FA1FFA"/>
    <w:rsid w:val="00FA3438"/>
    <w:rsid w:val="00FA6262"/>
    <w:rsid w:val="00FA62E7"/>
    <w:rsid w:val="00FB6786"/>
    <w:rsid w:val="00FC0069"/>
    <w:rsid w:val="00FC43DB"/>
    <w:rsid w:val="00FC5E06"/>
    <w:rsid w:val="00FD259A"/>
    <w:rsid w:val="00FD3AC1"/>
    <w:rsid w:val="00FD49FC"/>
    <w:rsid w:val="00FE0FF7"/>
    <w:rsid w:val="00FF0B7A"/>
    <w:rsid w:val="00FF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nhideWhenUsed="0"/>
    <w:lsdException w:name="header" w:unhideWhenUsed="0"/>
    <w:lsdException w:name="footer" w:unhideWhenUsed="0"/>
    <w:lsdException w:name="caption" w:uiPriority="0" w:qFormat="1"/>
    <w:lsdException w:name="footnote reference" w:uiPriority="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72D86"/>
    <w:rPr>
      <w:rFonts w:ascii="Times New Roman" w:eastAsia="MS Mincho" w:hAnsi="Times New Roman"/>
      <w:sz w:val="24"/>
      <w:szCs w:val="24"/>
      <w:lang w:eastAsia="ja-JP"/>
    </w:rPr>
  </w:style>
  <w:style w:type="paragraph" w:styleId="Heading1">
    <w:name w:val="heading 1"/>
    <w:basedOn w:val="Normal"/>
    <w:next w:val="Normal"/>
    <w:link w:val="Heading1Char"/>
    <w:qFormat/>
    <w:rsid w:val="00972D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86"/>
    <w:rPr>
      <w:rFonts w:ascii="Arial" w:eastAsia="MS Mincho" w:hAnsi="Arial" w:cs="Arial"/>
      <w:b/>
      <w:bCs/>
      <w:kern w:val="32"/>
      <w:sz w:val="32"/>
      <w:szCs w:val="32"/>
      <w:lang w:eastAsia="ja-JP"/>
    </w:rPr>
  </w:style>
  <w:style w:type="paragraph" w:customStyle="1" w:styleId="tabletitle">
    <w:name w:val="table title"/>
    <w:basedOn w:val="Normal"/>
    <w:rsid w:val="00972D86"/>
    <w:pPr>
      <w:keepNext/>
      <w:spacing w:before="180" w:after="60"/>
      <w:jc w:val="center"/>
    </w:pPr>
    <w:rPr>
      <w:rFonts w:eastAsia="Times New Roman"/>
      <w:b/>
      <w:bCs/>
      <w:lang w:eastAsia="en-US"/>
    </w:rPr>
  </w:style>
  <w:style w:type="paragraph" w:styleId="FootnoteText">
    <w:name w:val="footnote text"/>
    <w:basedOn w:val="Normal"/>
    <w:link w:val="FootnoteTextChar"/>
    <w:semiHidden/>
    <w:rsid w:val="00972D86"/>
    <w:rPr>
      <w:sz w:val="20"/>
      <w:szCs w:val="20"/>
    </w:rPr>
  </w:style>
  <w:style w:type="character" w:customStyle="1" w:styleId="FootnoteTextChar">
    <w:name w:val="Footnote Text Char"/>
    <w:basedOn w:val="DefaultParagraphFont"/>
    <w:link w:val="FootnoteText"/>
    <w:semiHidden/>
    <w:rsid w:val="00972D86"/>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972D86"/>
    <w:rPr>
      <w:vertAlign w:val="superscript"/>
    </w:rPr>
  </w:style>
  <w:style w:type="table" w:styleId="TableGrid">
    <w:name w:val="Table Grid"/>
    <w:basedOn w:val="TableNormal"/>
    <w:uiPriority w:val="99"/>
    <w:rsid w:val="00972D8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uiPriority w:val="99"/>
    <w:rsid w:val="00972D86"/>
    <w:pPr>
      <w:spacing w:after="160" w:line="240" w:lineRule="exact"/>
    </w:pPr>
    <w:rPr>
      <w:rFonts w:ascii="CG Times" w:eastAsia="Times New Roman" w:hAnsi="CG Times" w:cs="CG Times"/>
      <w:sz w:val="20"/>
      <w:szCs w:val="20"/>
      <w:lang w:eastAsia="en-US"/>
    </w:rPr>
  </w:style>
  <w:style w:type="paragraph" w:styleId="BalloonText">
    <w:name w:val="Balloon Text"/>
    <w:basedOn w:val="Normal"/>
    <w:link w:val="BalloonTextChar"/>
    <w:uiPriority w:val="99"/>
    <w:semiHidden/>
    <w:rsid w:val="00905F3C"/>
    <w:rPr>
      <w:rFonts w:ascii="Tahoma" w:hAnsi="Tahoma" w:cs="Tahoma"/>
      <w:sz w:val="16"/>
      <w:szCs w:val="16"/>
    </w:rPr>
  </w:style>
  <w:style w:type="character" w:customStyle="1" w:styleId="BalloonTextChar">
    <w:name w:val="Balloon Text Char"/>
    <w:basedOn w:val="DefaultParagraphFont"/>
    <w:link w:val="BalloonText"/>
    <w:uiPriority w:val="99"/>
    <w:semiHidden/>
    <w:rsid w:val="00905F3C"/>
    <w:rPr>
      <w:rFonts w:ascii="Tahoma" w:eastAsia="MS Mincho" w:hAnsi="Tahoma" w:cs="Tahoma"/>
      <w:sz w:val="16"/>
      <w:szCs w:val="16"/>
      <w:lang w:eastAsia="ja-JP"/>
    </w:rPr>
  </w:style>
  <w:style w:type="character" w:styleId="Hyperlink">
    <w:name w:val="Hyperlink"/>
    <w:basedOn w:val="DefaultParagraphFont"/>
    <w:uiPriority w:val="99"/>
    <w:rsid w:val="00E44119"/>
    <w:rPr>
      <w:color w:val="0000FF"/>
      <w:u w:val="single"/>
    </w:rPr>
  </w:style>
  <w:style w:type="paragraph" w:customStyle="1" w:styleId="CharChar21">
    <w:name w:val="Char Char21"/>
    <w:basedOn w:val="Normal"/>
    <w:uiPriority w:val="99"/>
    <w:rsid w:val="00E44119"/>
    <w:pPr>
      <w:spacing w:after="160" w:line="240" w:lineRule="exact"/>
    </w:pPr>
    <w:rPr>
      <w:rFonts w:ascii="CG Times" w:eastAsia="Times New Roman" w:hAnsi="CG Times" w:cs="CG Times"/>
      <w:sz w:val="20"/>
      <w:szCs w:val="20"/>
      <w:lang w:eastAsia="en-US"/>
    </w:rPr>
  </w:style>
  <w:style w:type="paragraph" w:styleId="ListParagraph">
    <w:name w:val="List Paragraph"/>
    <w:basedOn w:val="Normal"/>
    <w:uiPriority w:val="34"/>
    <w:qFormat/>
    <w:rsid w:val="00F021F5"/>
    <w:pPr>
      <w:ind w:left="720"/>
      <w:contextualSpacing/>
    </w:pPr>
  </w:style>
  <w:style w:type="paragraph" w:styleId="Header">
    <w:name w:val="header"/>
    <w:basedOn w:val="Normal"/>
    <w:link w:val="HeaderChar"/>
    <w:uiPriority w:val="99"/>
    <w:semiHidden/>
    <w:rsid w:val="002E208B"/>
    <w:pPr>
      <w:tabs>
        <w:tab w:val="center" w:pos="4680"/>
        <w:tab w:val="right" w:pos="9360"/>
      </w:tabs>
    </w:pPr>
  </w:style>
  <w:style w:type="character" w:customStyle="1" w:styleId="HeaderChar">
    <w:name w:val="Header Char"/>
    <w:basedOn w:val="DefaultParagraphFont"/>
    <w:link w:val="Header"/>
    <w:uiPriority w:val="99"/>
    <w:semiHidden/>
    <w:rsid w:val="002E208B"/>
    <w:rPr>
      <w:rFonts w:ascii="Times New Roman" w:eastAsia="MS Mincho" w:hAnsi="Times New Roman" w:cs="Times New Roman"/>
      <w:sz w:val="24"/>
      <w:szCs w:val="24"/>
      <w:lang w:eastAsia="ja-JP"/>
    </w:rPr>
  </w:style>
  <w:style w:type="paragraph" w:styleId="Footer">
    <w:name w:val="footer"/>
    <w:basedOn w:val="Normal"/>
    <w:link w:val="FooterChar"/>
    <w:uiPriority w:val="99"/>
    <w:rsid w:val="002E208B"/>
    <w:pPr>
      <w:tabs>
        <w:tab w:val="center" w:pos="4680"/>
        <w:tab w:val="right" w:pos="9360"/>
      </w:tabs>
    </w:pPr>
  </w:style>
  <w:style w:type="character" w:customStyle="1" w:styleId="FooterChar">
    <w:name w:val="Footer Char"/>
    <w:basedOn w:val="DefaultParagraphFont"/>
    <w:link w:val="Footer"/>
    <w:uiPriority w:val="99"/>
    <w:rsid w:val="002E208B"/>
    <w:rPr>
      <w:rFonts w:ascii="Times New Roman" w:eastAsia="MS Mincho" w:hAnsi="Times New Roman" w:cs="Times New Roman"/>
      <w:sz w:val="24"/>
      <w:szCs w:val="24"/>
      <w:lang w:eastAsia="ja-JP"/>
    </w:rPr>
  </w:style>
  <w:style w:type="paragraph" w:customStyle="1" w:styleId="tabletext">
    <w:name w:val="table text"/>
    <w:basedOn w:val="Normal"/>
    <w:rsid w:val="00264E3A"/>
    <w:pPr>
      <w:spacing w:before="20" w:after="20"/>
    </w:pPr>
    <w:rPr>
      <w:rFonts w:ascii="Arial Narrow" w:eastAsia="Times New Roman" w:hAnsi="Arial Narrow" w:cs="Arial Narrow"/>
      <w:sz w:val="20"/>
      <w:szCs w:val="20"/>
      <w:lang w:eastAsia="en-US"/>
    </w:rPr>
  </w:style>
  <w:style w:type="paragraph" w:styleId="NoSpacing">
    <w:name w:val="No Spacing"/>
    <w:link w:val="NoSpacingChar"/>
    <w:uiPriority w:val="1"/>
    <w:qFormat/>
    <w:rsid w:val="003D60AE"/>
    <w:rPr>
      <w:rFonts w:eastAsia="Times New Roman" w:cs="Calibri"/>
    </w:rPr>
  </w:style>
  <w:style w:type="character" w:customStyle="1" w:styleId="NoSpacingChar">
    <w:name w:val="No Spacing Char"/>
    <w:basedOn w:val="DefaultParagraphFont"/>
    <w:link w:val="NoSpacing"/>
    <w:uiPriority w:val="1"/>
    <w:rsid w:val="003D60AE"/>
    <w:rPr>
      <w:rFonts w:eastAsia="Times New Roman"/>
      <w:sz w:val="22"/>
      <w:szCs w:val="22"/>
      <w:lang w:val="en-US" w:eastAsia="en-US"/>
    </w:rPr>
  </w:style>
  <w:style w:type="paragraph" w:styleId="TOCHeading">
    <w:name w:val="TOC Heading"/>
    <w:basedOn w:val="Heading1"/>
    <w:next w:val="Normal"/>
    <w:uiPriority w:val="39"/>
    <w:qFormat/>
    <w:rsid w:val="003D60AE"/>
    <w:pPr>
      <w:keepLines/>
      <w:spacing w:before="480" w:after="0" w:line="276" w:lineRule="auto"/>
      <w:outlineLvl w:val="9"/>
    </w:pPr>
    <w:rPr>
      <w:rFonts w:ascii="Cambria" w:eastAsia="Times New Roman" w:hAnsi="Cambria" w:cs="Cambria"/>
      <w:color w:val="365F91"/>
      <w:kern w:val="0"/>
      <w:sz w:val="28"/>
      <w:szCs w:val="28"/>
      <w:lang w:eastAsia="en-US"/>
    </w:rPr>
  </w:style>
  <w:style w:type="paragraph" w:styleId="TOC1">
    <w:name w:val="toc 1"/>
    <w:basedOn w:val="Normal"/>
    <w:next w:val="Normal"/>
    <w:autoRedefine/>
    <w:uiPriority w:val="39"/>
    <w:rsid w:val="003D60AE"/>
    <w:pPr>
      <w:spacing w:after="100"/>
    </w:pPr>
  </w:style>
  <w:style w:type="paragraph" w:styleId="TOC2">
    <w:name w:val="toc 2"/>
    <w:basedOn w:val="Normal"/>
    <w:next w:val="Normal"/>
    <w:autoRedefine/>
    <w:uiPriority w:val="99"/>
    <w:semiHidden/>
    <w:rsid w:val="003D60AE"/>
    <w:pPr>
      <w:spacing w:after="100" w:line="276" w:lineRule="auto"/>
      <w:ind w:left="220"/>
    </w:pPr>
    <w:rPr>
      <w:rFonts w:ascii="Calibri" w:eastAsia="Times New Roman" w:hAnsi="Calibri" w:cs="Calibri"/>
      <w:sz w:val="22"/>
      <w:szCs w:val="22"/>
      <w:lang w:eastAsia="en-US"/>
    </w:rPr>
  </w:style>
  <w:style w:type="paragraph" w:styleId="TOC3">
    <w:name w:val="toc 3"/>
    <w:basedOn w:val="Normal"/>
    <w:next w:val="Normal"/>
    <w:autoRedefine/>
    <w:uiPriority w:val="99"/>
    <w:semiHidden/>
    <w:rsid w:val="003D60AE"/>
    <w:pPr>
      <w:spacing w:after="100" w:line="276" w:lineRule="auto"/>
      <w:ind w:left="440"/>
    </w:pPr>
    <w:rPr>
      <w:rFonts w:ascii="Calibri" w:eastAsia="Times New Roman" w:hAnsi="Calibri" w:cs="Calibri"/>
      <w:sz w:val="22"/>
      <w:szCs w:val="22"/>
      <w:lang w:eastAsia="en-US"/>
    </w:rPr>
  </w:style>
  <w:style w:type="paragraph" w:styleId="Revision">
    <w:name w:val="Revision"/>
    <w:hidden/>
    <w:uiPriority w:val="99"/>
    <w:semiHidden/>
    <w:rsid w:val="00C5087B"/>
    <w:rPr>
      <w:rFonts w:ascii="Times New Roman" w:eastAsia="MS Mincho" w:hAnsi="Times New Roman"/>
      <w:sz w:val="24"/>
      <w:szCs w:val="24"/>
      <w:lang w:eastAsia="ja-JP"/>
    </w:rPr>
  </w:style>
  <w:style w:type="character" w:styleId="FollowedHyperlink">
    <w:name w:val="FollowedHyperlink"/>
    <w:basedOn w:val="DefaultParagraphFont"/>
    <w:uiPriority w:val="99"/>
    <w:semiHidden/>
    <w:rsid w:val="009739AF"/>
    <w:rPr>
      <w:color w:val="800080"/>
      <w:u w:val="single"/>
    </w:rPr>
  </w:style>
  <w:style w:type="character" w:styleId="Strong">
    <w:name w:val="Strong"/>
    <w:basedOn w:val="DefaultParagraphFont"/>
    <w:uiPriority w:val="99"/>
    <w:qFormat/>
    <w:rsid w:val="006312DD"/>
    <w:rPr>
      <w:b/>
      <w:bCs/>
    </w:rPr>
  </w:style>
  <w:style w:type="character" w:styleId="CommentReference">
    <w:name w:val="annotation reference"/>
    <w:basedOn w:val="DefaultParagraphFont"/>
    <w:uiPriority w:val="99"/>
    <w:semiHidden/>
    <w:rsid w:val="00A91B57"/>
    <w:rPr>
      <w:sz w:val="16"/>
      <w:szCs w:val="16"/>
    </w:rPr>
  </w:style>
  <w:style w:type="paragraph" w:styleId="CommentText">
    <w:name w:val="annotation text"/>
    <w:basedOn w:val="Normal"/>
    <w:link w:val="CommentTextChar"/>
    <w:uiPriority w:val="99"/>
    <w:semiHidden/>
    <w:rsid w:val="00A91B57"/>
    <w:rPr>
      <w:sz w:val="20"/>
      <w:szCs w:val="20"/>
    </w:rPr>
  </w:style>
  <w:style w:type="character" w:customStyle="1" w:styleId="CommentTextChar">
    <w:name w:val="Comment Text Char"/>
    <w:basedOn w:val="DefaultParagraphFont"/>
    <w:link w:val="CommentText"/>
    <w:uiPriority w:val="99"/>
    <w:semiHidden/>
    <w:rsid w:val="00A91B57"/>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A91B57"/>
    <w:rPr>
      <w:b/>
      <w:bCs/>
    </w:rPr>
  </w:style>
  <w:style w:type="character" w:customStyle="1" w:styleId="CommentSubjectChar">
    <w:name w:val="Comment Subject Char"/>
    <w:basedOn w:val="CommentTextChar"/>
    <w:link w:val="CommentSubject"/>
    <w:uiPriority w:val="99"/>
    <w:semiHidden/>
    <w:rsid w:val="00A91B57"/>
    <w:rPr>
      <w:b/>
      <w:bCs/>
    </w:rPr>
  </w:style>
  <w:style w:type="paragraph" w:styleId="EndnoteText">
    <w:name w:val="endnote text"/>
    <w:basedOn w:val="Normal"/>
    <w:link w:val="EndnoteTextChar"/>
    <w:uiPriority w:val="99"/>
    <w:semiHidden/>
    <w:rsid w:val="0080658E"/>
    <w:rPr>
      <w:sz w:val="20"/>
      <w:szCs w:val="20"/>
    </w:rPr>
  </w:style>
  <w:style w:type="character" w:customStyle="1" w:styleId="EndnoteTextChar">
    <w:name w:val="Endnote Text Char"/>
    <w:basedOn w:val="DefaultParagraphFont"/>
    <w:link w:val="EndnoteText"/>
    <w:uiPriority w:val="99"/>
    <w:semiHidden/>
    <w:rsid w:val="0080658E"/>
    <w:rPr>
      <w:rFonts w:ascii="Times New Roman" w:eastAsia="MS Mincho" w:hAnsi="Times New Roman" w:cs="Times New Roman"/>
      <w:sz w:val="20"/>
      <w:szCs w:val="20"/>
      <w:lang w:eastAsia="ja-JP"/>
    </w:rPr>
  </w:style>
  <w:style w:type="character" w:styleId="EndnoteReference">
    <w:name w:val="endnote reference"/>
    <w:basedOn w:val="DefaultParagraphFont"/>
    <w:uiPriority w:val="99"/>
    <w:semiHidden/>
    <w:rsid w:val="0080658E"/>
    <w:rPr>
      <w:vertAlign w:val="superscript"/>
    </w:rPr>
  </w:style>
  <w:style w:type="paragraph" w:styleId="TableofFigures">
    <w:name w:val="table of figures"/>
    <w:basedOn w:val="Normal"/>
    <w:next w:val="Normal"/>
    <w:uiPriority w:val="99"/>
    <w:unhideWhenUsed/>
    <w:rsid w:val="00903DF7"/>
  </w:style>
  <w:style w:type="paragraph" w:customStyle="1" w:styleId="memoaddress">
    <w:name w:val="memo address"/>
    <w:next w:val="FootnoteText"/>
    <w:rsid w:val="00D02848"/>
    <w:pPr>
      <w:tabs>
        <w:tab w:val="left" w:pos="1350"/>
      </w:tabs>
      <w:spacing w:before="120" w:after="120"/>
    </w:pPr>
    <w:rPr>
      <w:rFonts w:ascii="Arial" w:eastAsia="Times New Roman" w:hAnsi="Arial"/>
      <w:b/>
      <w:szCs w:val="20"/>
    </w:rPr>
  </w:style>
  <w:style w:type="paragraph" w:styleId="Caption">
    <w:name w:val="caption"/>
    <w:basedOn w:val="Normal"/>
    <w:next w:val="Normal"/>
    <w:qFormat/>
    <w:rsid w:val="00D02848"/>
    <w:pPr>
      <w:keepNext/>
      <w:spacing w:before="180" w:after="60"/>
      <w:jc w:val="center"/>
    </w:pPr>
    <w:rPr>
      <w:rFonts w:eastAsia="Times New Roman"/>
      <w:b/>
      <w:bCs/>
      <w:lang w:eastAsia="en-US"/>
    </w:rPr>
  </w:style>
  <w:style w:type="paragraph" w:styleId="BodyTextIndent">
    <w:name w:val="Body Text Indent"/>
    <w:basedOn w:val="Normal"/>
    <w:link w:val="BodyTextIndentChar"/>
    <w:uiPriority w:val="99"/>
    <w:semiHidden/>
    <w:unhideWhenUsed/>
    <w:rsid w:val="00D02848"/>
    <w:pPr>
      <w:spacing w:after="120"/>
      <w:ind w:left="360"/>
    </w:pPr>
  </w:style>
  <w:style w:type="character" w:customStyle="1" w:styleId="BodyTextIndentChar">
    <w:name w:val="Body Text Indent Char"/>
    <w:basedOn w:val="DefaultParagraphFont"/>
    <w:link w:val="BodyTextIndent"/>
    <w:uiPriority w:val="99"/>
    <w:semiHidden/>
    <w:rsid w:val="00D02848"/>
    <w:rPr>
      <w:rFonts w:ascii="Times New Roman" w:eastAsia="MS Mincho" w:hAnsi="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62259689">
      <w:bodyDiv w:val="1"/>
      <w:marLeft w:val="0"/>
      <w:marRight w:val="0"/>
      <w:marTop w:val="0"/>
      <w:marBottom w:val="0"/>
      <w:divBdr>
        <w:top w:val="none" w:sz="0" w:space="0" w:color="auto"/>
        <w:left w:val="none" w:sz="0" w:space="0" w:color="auto"/>
        <w:bottom w:val="none" w:sz="0" w:space="0" w:color="auto"/>
        <w:right w:val="none" w:sz="0" w:space="0" w:color="auto"/>
      </w:divBdr>
    </w:div>
    <w:div w:id="154104917">
      <w:marLeft w:val="0"/>
      <w:marRight w:val="0"/>
      <w:marTop w:val="0"/>
      <w:marBottom w:val="0"/>
      <w:divBdr>
        <w:top w:val="none" w:sz="0" w:space="0" w:color="auto"/>
        <w:left w:val="none" w:sz="0" w:space="0" w:color="auto"/>
        <w:bottom w:val="none" w:sz="0" w:space="0" w:color="auto"/>
        <w:right w:val="none" w:sz="0" w:space="0" w:color="auto"/>
      </w:divBdr>
    </w:div>
    <w:div w:id="154104918">
      <w:marLeft w:val="0"/>
      <w:marRight w:val="0"/>
      <w:marTop w:val="0"/>
      <w:marBottom w:val="0"/>
      <w:divBdr>
        <w:top w:val="none" w:sz="0" w:space="0" w:color="auto"/>
        <w:left w:val="none" w:sz="0" w:space="0" w:color="auto"/>
        <w:bottom w:val="none" w:sz="0" w:space="0" w:color="auto"/>
        <w:right w:val="none" w:sz="0" w:space="0" w:color="auto"/>
      </w:divBdr>
    </w:div>
    <w:div w:id="154104919">
      <w:marLeft w:val="0"/>
      <w:marRight w:val="0"/>
      <w:marTop w:val="0"/>
      <w:marBottom w:val="0"/>
      <w:divBdr>
        <w:top w:val="none" w:sz="0" w:space="0" w:color="auto"/>
        <w:left w:val="none" w:sz="0" w:space="0" w:color="auto"/>
        <w:bottom w:val="none" w:sz="0" w:space="0" w:color="auto"/>
        <w:right w:val="none" w:sz="0" w:space="0" w:color="auto"/>
      </w:divBdr>
    </w:div>
    <w:div w:id="154104920">
      <w:marLeft w:val="0"/>
      <w:marRight w:val="0"/>
      <w:marTop w:val="0"/>
      <w:marBottom w:val="0"/>
      <w:divBdr>
        <w:top w:val="none" w:sz="0" w:space="0" w:color="auto"/>
        <w:left w:val="none" w:sz="0" w:space="0" w:color="auto"/>
        <w:bottom w:val="none" w:sz="0" w:space="0" w:color="auto"/>
        <w:right w:val="none" w:sz="0" w:space="0" w:color="auto"/>
      </w:divBdr>
    </w:div>
    <w:div w:id="154104921">
      <w:marLeft w:val="0"/>
      <w:marRight w:val="0"/>
      <w:marTop w:val="0"/>
      <w:marBottom w:val="0"/>
      <w:divBdr>
        <w:top w:val="none" w:sz="0" w:space="0" w:color="auto"/>
        <w:left w:val="none" w:sz="0" w:space="0" w:color="auto"/>
        <w:bottom w:val="none" w:sz="0" w:space="0" w:color="auto"/>
        <w:right w:val="none" w:sz="0" w:space="0" w:color="auto"/>
      </w:divBdr>
    </w:div>
    <w:div w:id="154104922">
      <w:marLeft w:val="0"/>
      <w:marRight w:val="0"/>
      <w:marTop w:val="0"/>
      <w:marBottom w:val="0"/>
      <w:divBdr>
        <w:top w:val="none" w:sz="0" w:space="0" w:color="auto"/>
        <w:left w:val="none" w:sz="0" w:space="0" w:color="auto"/>
        <w:bottom w:val="none" w:sz="0" w:space="0" w:color="auto"/>
        <w:right w:val="none" w:sz="0" w:space="0" w:color="auto"/>
      </w:divBdr>
    </w:div>
    <w:div w:id="154104923">
      <w:marLeft w:val="0"/>
      <w:marRight w:val="0"/>
      <w:marTop w:val="0"/>
      <w:marBottom w:val="0"/>
      <w:divBdr>
        <w:top w:val="none" w:sz="0" w:space="0" w:color="auto"/>
        <w:left w:val="none" w:sz="0" w:space="0" w:color="auto"/>
        <w:bottom w:val="none" w:sz="0" w:space="0" w:color="auto"/>
        <w:right w:val="none" w:sz="0" w:space="0" w:color="auto"/>
      </w:divBdr>
    </w:div>
    <w:div w:id="154104924">
      <w:marLeft w:val="0"/>
      <w:marRight w:val="0"/>
      <w:marTop w:val="0"/>
      <w:marBottom w:val="0"/>
      <w:divBdr>
        <w:top w:val="none" w:sz="0" w:space="0" w:color="auto"/>
        <w:left w:val="none" w:sz="0" w:space="0" w:color="auto"/>
        <w:bottom w:val="none" w:sz="0" w:space="0" w:color="auto"/>
        <w:right w:val="none" w:sz="0" w:space="0" w:color="auto"/>
      </w:divBdr>
    </w:div>
    <w:div w:id="154104925">
      <w:marLeft w:val="0"/>
      <w:marRight w:val="0"/>
      <w:marTop w:val="0"/>
      <w:marBottom w:val="0"/>
      <w:divBdr>
        <w:top w:val="none" w:sz="0" w:space="0" w:color="auto"/>
        <w:left w:val="none" w:sz="0" w:space="0" w:color="auto"/>
        <w:bottom w:val="none" w:sz="0" w:space="0" w:color="auto"/>
        <w:right w:val="none" w:sz="0" w:space="0" w:color="auto"/>
      </w:divBdr>
    </w:div>
    <w:div w:id="154104926">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154104928">
      <w:marLeft w:val="0"/>
      <w:marRight w:val="0"/>
      <w:marTop w:val="0"/>
      <w:marBottom w:val="0"/>
      <w:divBdr>
        <w:top w:val="none" w:sz="0" w:space="0" w:color="auto"/>
        <w:left w:val="none" w:sz="0" w:space="0" w:color="auto"/>
        <w:bottom w:val="none" w:sz="0" w:space="0" w:color="auto"/>
        <w:right w:val="none" w:sz="0" w:space="0" w:color="auto"/>
      </w:divBdr>
    </w:div>
    <w:div w:id="154104929">
      <w:marLeft w:val="0"/>
      <w:marRight w:val="0"/>
      <w:marTop w:val="0"/>
      <w:marBottom w:val="0"/>
      <w:divBdr>
        <w:top w:val="none" w:sz="0" w:space="0" w:color="auto"/>
        <w:left w:val="none" w:sz="0" w:space="0" w:color="auto"/>
        <w:bottom w:val="none" w:sz="0" w:space="0" w:color="auto"/>
        <w:right w:val="none" w:sz="0" w:space="0" w:color="auto"/>
      </w:divBdr>
    </w:div>
    <w:div w:id="453789034">
      <w:bodyDiv w:val="1"/>
      <w:marLeft w:val="0"/>
      <w:marRight w:val="0"/>
      <w:marTop w:val="0"/>
      <w:marBottom w:val="0"/>
      <w:divBdr>
        <w:top w:val="none" w:sz="0" w:space="0" w:color="auto"/>
        <w:left w:val="none" w:sz="0" w:space="0" w:color="auto"/>
        <w:bottom w:val="none" w:sz="0" w:space="0" w:color="auto"/>
        <w:right w:val="none" w:sz="0" w:space="0" w:color="auto"/>
      </w:divBdr>
    </w:div>
    <w:div w:id="542795576">
      <w:bodyDiv w:val="1"/>
      <w:marLeft w:val="0"/>
      <w:marRight w:val="0"/>
      <w:marTop w:val="0"/>
      <w:marBottom w:val="0"/>
      <w:divBdr>
        <w:top w:val="none" w:sz="0" w:space="0" w:color="auto"/>
        <w:left w:val="none" w:sz="0" w:space="0" w:color="auto"/>
        <w:bottom w:val="none" w:sz="0" w:space="0" w:color="auto"/>
        <w:right w:val="none" w:sz="0" w:space="0" w:color="auto"/>
      </w:divBdr>
    </w:div>
    <w:div w:id="658382733">
      <w:bodyDiv w:val="1"/>
      <w:marLeft w:val="0"/>
      <w:marRight w:val="0"/>
      <w:marTop w:val="0"/>
      <w:marBottom w:val="0"/>
      <w:divBdr>
        <w:top w:val="none" w:sz="0" w:space="0" w:color="auto"/>
        <w:left w:val="none" w:sz="0" w:space="0" w:color="auto"/>
        <w:bottom w:val="none" w:sz="0" w:space="0" w:color="auto"/>
        <w:right w:val="none" w:sz="0" w:space="0" w:color="auto"/>
      </w:divBdr>
    </w:div>
    <w:div w:id="1430001271">
      <w:bodyDiv w:val="1"/>
      <w:marLeft w:val="0"/>
      <w:marRight w:val="0"/>
      <w:marTop w:val="0"/>
      <w:marBottom w:val="0"/>
      <w:divBdr>
        <w:top w:val="none" w:sz="0" w:space="0" w:color="auto"/>
        <w:left w:val="none" w:sz="0" w:space="0" w:color="auto"/>
        <w:bottom w:val="none" w:sz="0" w:space="0" w:color="auto"/>
        <w:right w:val="none" w:sz="0" w:space="0" w:color="auto"/>
      </w:divBdr>
    </w:div>
    <w:div w:id="1434280882">
      <w:bodyDiv w:val="1"/>
      <w:marLeft w:val="0"/>
      <w:marRight w:val="0"/>
      <w:marTop w:val="0"/>
      <w:marBottom w:val="0"/>
      <w:divBdr>
        <w:top w:val="none" w:sz="0" w:space="0" w:color="auto"/>
        <w:left w:val="none" w:sz="0" w:space="0" w:color="auto"/>
        <w:bottom w:val="none" w:sz="0" w:space="0" w:color="auto"/>
        <w:right w:val="none" w:sz="0" w:space="0" w:color="auto"/>
      </w:divBdr>
    </w:div>
    <w:div w:id="1829395477">
      <w:bodyDiv w:val="1"/>
      <w:marLeft w:val="0"/>
      <w:marRight w:val="0"/>
      <w:marTop w:val="0"/>
      <w:marBottom w:val="0"/>
      <w:divBdr>
        <w:top w:val="none" w:sz="0" w:space="0" w:color="auto"/>
        <w:left w:val="none" w:sz="0" w:space="0" w:color="auto"/>
        <w:bottom w:val="none" w:sz="0" w:space="0" w:color="auto"/>
        <w:right w:val="none" w:sz="0" w:space="0" w:color="auto"/>
      </w:divBdr>
    </w:div>
    <w:div w:id="2022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xml"/><Relationship Id="rId42" Type="http://schemas.openxmlformats.org/officeDocument/2006/relationships/customXml" Target="../customXml/item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pacificorp.com/es/dsm/washington.html" TargetMode="External"/><Relationship Id="rId29" Type="http://schemas.openxmlformats.org/officeDocument/2006/relationships/hyperlink" Target="http://www.pacificpower.net/alliance"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3.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pacificorp.com/es/dsm/washington.html" TargetMode="External"/><Relationship Id="rId28" Type="http://schemas.openxmlformats.org/officeDocument/2006/relationships/hyperlink" Target="http://www.cee1.org/com/com-kit/files/RefrigerationSpecification.pdf" TargetMode="External"/><Relationship Id="rId36" Type="http://schemas.openxmlformats.org/officeDocument/2006/relationships/image" Target="media/image14.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2.emf"/><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pacificorp.com/es/dsm/washington.html" TargetMode="External"/><Relationship Id="rId14" Type="http://schemas.openxmlformats.org/officeDocument/2006/relationships/header" Target="header3.xml"/><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http://www.pacificorp.com/es/dsm/washington.html" TargetMode="External"/><Relationship Id="rId35" Type="http://schemas.openxmlformats.org/officeDocument/2006/relationships/chart" Target="charts/chart2.xml"/><Relationship Id="rId43" Type="http://schemas.openxmlformats.org/officeDocument/2006/relationships/customXml" Target="../customXml/item3.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meenergysavings.net" TargetMode="External"/><Relationship Id="rId25" Type="http://schemas.openxmlformats.org/officeDocument/2006/relationships/image" Target="media/image9.emf"/><Relationship Id="rId33" Type="http://schemas.openxmlformats.org/officeDocument/2006/relationships/hyperlink" Target="http://www.pacificorp.com/es/dsm/washington.html" TargetMode="External"/><Relationship Id="rId38" Type="http://schemas.openxmlformats.org/officeDocument/2006/relationships/image" Target="media/image16.emf"/></Relationships>
</file>

<file path=word/charts/_rels/chart1.xml.rels><?xml version="1.0" encoding="UTF-8" standalone="yes"?>
<Relationships xmlns="http://schemas.openxmlformats.org/package/2006/relationships"><Relationship Id="rId1" Type="http://schemas.openxmlformats.org/officeDocument/2006/relationships/oleObject" Target="file:///\\PDX2\GROUPS\Mktplngfs\Active\Program%20Implementation\Program%20Management%20files\Washington\DSM%20Reports\Drafts%20and%20backup%20documentation\2010%20Reports\Backup%20&amp;%20drafts\WA%202010%20Tables%20and%20Charts%20(Draftl%203_15_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DX2\GROUPS\Mktplngfs\Active\Program%20Implementation\Program%20Management%20files\Washington\DSM%20Reports\Drafts%20and%20backup%20documentation\2010%20Reports\Backup%20&amp;%20drafts\WA%202010%20Tables%20and%20Charts%20(Draftl%203_15_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b="1"/>
            </a:pPr>
            <a:r>
              <a:rPr lang="en-US" b="1"/>
              <a:t>Expenditures by Customer Type</a:t>
            </a:r>
          </a:p>
        </c:rich>
      </c:tx>
      <c:overlay val="1"/>
    </c:title>
    <c:plotArea>
      <c:layout>
        <c:manualLayout>
          <c:layoutTarget val="inner"/>
          <c:xMode val="edge"/>
          <c:yMode val="edge"/>
          <c:x val="0.16724502003144937"/>
          <c:y val="0.17314960629921261"/>
          <c:w val="0.68011359762309065"/>
          <c:h val="0.7854151753758053"/>
        </c:manualLayout>
      </c:layout>
      <c:pieChart>
        <c:varyColors val="1"/>
        <c:ser>
          <c:idx val="0"/>
          <c:order val="0"/>
          <c:spPr>
            <a:solidFill>
              <a:srgbClr val="9999FF"/>
            </a:solidFill>
            <a:ln w="12700">
              <a:solidFill>
                <a:srgbClr val="000000"/>
              </a:solidFill>
              <a:prstDash val="solid"/>
            </a:ln>
          </c:spPr>
          <c:explosion val="7"/>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Arial"/>
                    <a:ea typeface="Arial"/>
                    <a:cs typeface="Arial"/>
                  </a:defRPr>
                </a:pPr>
                <a:endParaRPr lang="en-US"/>
              </a:p>
            </c:txPr>
            <c:showCatName val="1"/>
            <c:showPercent val="1"/>
            <c:showLeaderLines val="1"/>
          </c:dLbls>
          <c:cat>
            <c:strRef>
              <c:f>'expend charts for annual report'!$A$29:$A$32</c:f>
              <c:strCache>
                <c:ptCount val="3"/>
                <c:pt idx="0">
                  <c:v>Residential</c:v>
                </c:pt>
                <c:pt idx="1">
                  <c:v>Commercial</c:v>
                </c:pt>
                <c:pt idx="2">
                  <c:v>Industrial</c:v>
                </c:pt>
              </c:strCache>
            </c:strRef>
          </c:cat>
          <c:val>
            <c:numRef>
              <c:f>'expend charts for annual report'!$C$29:$C$32</c:f>
              <c:numCache>
                <c:formatCode>_("$"* #,##0.00_);_("$"* \(#,##0.00\);_("$"* "-"??_);_(@_)</c:formatCode>
                <c:ptCount val="3"/>
                <c:pt idx="0">
                  <c:v>2730525.9299999997</c:v>
                </c:pt>
                <c:pt idx="1">
                  <c:v>1588138.3900000001</c:v>
                </c:pt>
                <c:pt idx="2">
                  <c:v>2298417.52</c:v>
                </c:pt>
              </c:numCache>
            </c:numRef>
          </c:val>
        </c:ser>
        <c:dLbls>
          <c:showCatName val="1"/>
          <c:showPercent val="1"/>
        </c:dLbls>
        <c:firstSliceAng val="93"/>
      </c:pieChart>
      <c:spPr>
        <a:noFill/>
        <a:ln w="25400">
          <a:noFill/>
        </a:ln>
      </c:spPr>
    </c:plotArea>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b="1"/>
              <a:t>Energy Efficiency Results By Customer Type</a:t>
            </a:r>
          </a:p>
        </c:rich>
      </c:tx>
      <c:overlay val="1"/>
    </c:title>
    <c:plotArea>
      <c:layout>
        <c:manualLayout>
          <c:layoutTarget val="inner"/>
          <c:xMode val="edge"/>
          <c:yMode val="edge"/>
          <c:x val="0.1737616236751342"/>
          <c:y val="0.14706276753722863"/>
          <c:w val="0.72722187553786188"/>
          <c:h val="0.83472855991095551"/>
        </c:manualLayout>
      </c:layout>
      <c:pieChart>
        <c:varyColors val="1"/>
        <c:ser>
          <c:idx val="0"/>
          <c:order val="0"/>
          <c:spPr>
            <a:solidFill>
              <a:srgbClr val="9999FF"/>
            </a:solidFill>
            <a:ln w="12700">
              <a:solidFill>
                <a:srgbClr val="000000"/>
              </a:solidFill>
              <a:prstDash val="solid"/>
            </a:ln>
          </c:spPr>
          <c:explosion val="6"/>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numFmt formatCode="0%" sourceLinked="0"/>
            <c:spPr>
              <a:noFill/>
              <a:ln w="25400">
                <a:noFill/>
              </a:ln>
            </c:spPr>
            <c:txPr>
              <a:bodyPr/>
              <a:lstStyle/>
              <a:p>
                <a:pPr>
                  <a:defRPr sz="1000" b="1" i="0" u="none" strike="noStrike" baseline="0">
                    <a:solidFill>
                      <a:srgbClr val="000000"/>
                    </a:solidFill>
                    <a:latin typeface="Arial"/>
                    <a:ea typeface="Arial"/>
                    <a:cs typeface="Arial"/>
                  </a:defRPr>
                </a:pPr>
                <a:endParaRPr lang="en-US"/>
              </a:p>
            </c:txPr>
            <c:showCatName val="1"/>
            <c:showPercent val="1"/>
            <c:showLeaderLines val="1"/>
          </c:dLbls>
          <c:cat>
            <c:strRef>
              <c:f>'expend charts for annual report'!$A$52:$A$55</c:f>
              <c:strCache>
                <c:ptCount val="3"/>
                <c:pt idx="0">
                  <c:v>Residential</c:v>
                </c:pt>
                <c:pt idx="1">
                  <c:v>Commercial</c:v>
                </c:pt>
                <c:pt idx="2">
                  <c:v>Industrial</c:v>
                </c:pt>
              </c:strCache>
            </c:strRef>
          </c:cat>
          <c:val>
            <c:numRef>
              <c:f>'expend charts for annual report'!$C$52:$C$55</c:f>
              <c:numCache>
                <c:formatCode>_(* #,##0_);_(* \(#,##0\);_(* "-"??_);_(@_)</c:formatCode>
                <c:ptCount val="3"/>
                <c:pt idx="0">
                  <c:v>15435263.417640002</c:v>
                </c:pt>
                <c:pt idx="1">
                  <c:v>10334472.904710064</c:v>
                </c:pt>
                <c:pt idx="2">
                  <c:v>11189159.799369933</c:v>
                </c:pt>
              </c:numCache>
            </c:numRef>
          </c:val>
        </c:ser>
        <c:dLbls>
          <c:showCatName val="1"/>
          <c:showPercent val="1"/>
        </c:dLbls>
        <c:firstSliceAng val="89"/>
      </c:pieChart>
      <c:spPr>
        <a:noFill/>
        <a:ln w="25400">
          <a:noFill/>
        </a:ln>
      </c:spPr>
    </c:plotArea>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2011-05-20T07:00:00+00:00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100170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BE089650263A4BBB0BF02FB6333EAD" ma:contentTypeVersion="131" ma:contentTypeDescription="" ma:contentTypeScope="" ma:versionID="f8b6365998eca13bd4bdc0a7e77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A7631-79D4-4277-981C-BADEAB592070}"/>
</file>

<file path=customXml/itemProps2.xml><?xml version="1.0" encoding="utf-8"?>
<ds:datastoreItem xmlns:ds="http://schemas.openxmlformats.org/officeDocument/2006/customXml" ds:itemID="{83768649-CFA2-4FCC-B94E-D9F568DE6EC5}"/>
</file>

<file path=customXml/itemProps3.xml><?xml version="1.0" encoding="utf-8"?>
<ds:datastoreItem xmlns:ds="http://schemas.openxmlformats.org/officeDocument/2006/customXml" ds:itemID="{ED10615C-9722-4CF3-9B6C-E2326BA981F4}"/>
</file>

<file path=customXml/itemProps4.xml><?xml version="1.0" encoding="utf-8"?>
<ds:datastoreItem xmlns:ds="http://schemas.openxmlformats.org/officeDocument/2006/customXml" ds:itemID="{C44F6791-A45F-4AB8-81F7-0EA07B8F3E29}"/>
</file>

<file path=docProps/app.xml><?xml version="1.0" encoding="utf-8"?>
<Properties xmlns="http://schemas.openxmlformats.org/officeDocument/2006/extended-properties" xmlns:vt="http://schemas.openxmlformats.org/officeDocument/2006/docPropsVTypes">
  <Template>Normal.dotm</Template>
  <TotalTime>0</TotalTime>
  <Pages>30</Pages>
  <Words>4315</Words>
  <Characters>27656</Characters>
  <Application>Microsoft Office Word</Application>
  <DocSecurity>0</DocSecurity>
  <Lines>230</Lines>
  <Paragraphs>63</Paragraphs>
  <ScaleCrop>false</ScaleCrop>
  <Company/>
  <LinksUpToDate>false</LinksUpToDate>
  <CharactersWithSpaces>31908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2011-05-20T18:25:00Z</dcterms:created>
  <dcterms:modified xsi:type="dcterms:W3CDTF">2011-05-20T18:25:00Z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0x0101006E56B4D1795A2E4DB2F0B01679ED314A004EBE089650263A4BBB0BF02FB6333EAD</vt:lpwstr>
  </property>
  <property fmtid="{D5CDD505-2E9C-101B-9397-08002B2CF9AE}" pid="4" name="_docset_NoMedatataSyncRequired">
    <vt:lpwstr>False</vt:lpwstr>
  </property>
</Properties>
</file>