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7950C4" w:rsidRDefault="007950C4"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1330C5" w:rsidRDefault="001330C5" w:rsidP="00A55205">
      <w:pPr>
        <w:pStyle w:val="BodyText"/>
        <w:tabs>
          <w:tab w:val="left" w:pos="720"/>
          <w:tab w:val="left" w:pos="1440"/>
        </w:tabs>
        <w:spacing w:line="240" w:lineRule="auto"/>
        <w:rPr>
          <w:b w:val="0"/>
          <w:bCs w:val="0"/>
        </w:rPr>
      </w:pPr>
    </w:p>
    <w:p w:rsidR="001330C5" w:rsidRDefault="001330C5" w:rsidP="00A55205">
      <w:pPr>
        <w:pStyle w:val="BodyText"/>
        <w:tabs>
          <w:tab w:val="left" w:pos="720"/>
          <w:tab w:val="left" w:pos="1440"/>
        </w:tabs>
        <w:spacing w:line="240" w:lineRule="auto"/>
        <w:rPr>
          <w:b w:val="0"/>
          <w:bCs w:val="0"/>
        </w:rPr>
      </w:pPr>
    </w:p>
    <w:p w:rsidR="001330C5" w:rsidRPr="00A55205" w:rsidRDefault="001330C5"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Pr="005851F9" w:rsidRDefault="00D77F98" w:rsidP="00ED123E">
      <w:pPr>
        <w:pStyle w:val="Heading3"/>
        <w:tabs>
          <w:tab w:val="clear" w:pos="1260"/>
        </w:tabs>
        <w:suppressAutoHyphens/>
        <w:spacing w:line="240" w:lineRule="auto"/>
        <w:ind w:firstLine="0"/>
        <w:rPr>
          <w:b w:val="0"/>
          <w:bCs w:val="0"/>
        </w:rPr>
      </w:pPr>
      <w:r w:rsidRPr="00BD4B85">
        <w:rPr>
          <w:b w:val="0"/>
          <w:bCs w:val="0"/>
        </w:rPr>
        <w:t xml:space="preserve">DOCKET </w:t>
      </w:r>
      <w:r w:rsidRPr="005851F9">
        <w:rPr>
          <w:b w:val="0"/>
          <w:bCs w:val="0"/>
        </w:rPr>
        <w:t>NO. UE-</w:t>
      </w:r>
      <w:r w:rsidR="00107C5D">
        <w:rPr>
          <w:b w:val="0"/>
          <w:bCs w:val="0"/>
        </w:rPr>
        <w:t>160228</w:t>
      </w:r>
    </w:p>
    <w:p w:rsidR="00D77F98" w:rsidRPr="005851F9" w:rsidRDefault="00D77F98" w:rsidP="00A55205">
      <w:pPr>
        <w:jc w:val="center"/>
      </w:pPr>
    </w:p>
    <w:p w:rsidR="00D77F98" w:rsidRPr="005851F9" w:rsidRDefault="00D77F98" w:rsidP="00504F50">
      <w:pPr>
        <w:pStyle w:val="BodyText"/>
        <w:tabs>
          <w:tab w:val="left" w:pos="720"/>
          <w:tab w:val="left" w:pos="1440"/>
        </w:tabs>
        <w:spacing w:line="240" w:lineRule="auto"/>
        <w:rPr>
          <w:b w:val="0"/>
          <w:bCs w:val="0"/>
        </w:rPr>
      </w:pPr>
    </w:p>
    <w:p w:rsidR="00D77F98" w:rsidRPr="00BD4B85" w:rsidRDefault="00F82B58" w:rsidP="00E310AF">
      <w:pPr>
        <w:pStyle w:val="Heading1"/>
        <w:tabs>
          <w:tab w:val="clear" w:pos="720"/>
          <w:tab w:val="clear" w:pos="5040"/>
          <w:tab w:val="clear" w:pos="6480"/>
          <w:tab w:val="clear" w:pos="7920"/>
        </w:tabs>
        <w:jc w:val="center"/>
        <w:rPr>
          <w:b w:val="0"/>
          <w:bCs w:val="0"/>
        </w:rPr>
      </w:pPr>
      <w:r>
        <w:rPr>
          <w:b w:val="0"/>
          <w:bCs w:val="0"/>
        </w:rPr>
        <w:t>REBUTTAL</w:t>
      </w:r>
      <w:r w:rsidR="00D77F98" w:rsidRPr="00BD4B85">
        <w:rPr>
          <w:b w:val="0"/>
          <w:bCs w:val="0"/>
        </w:rPr>
        <w:t xml:space="preserve">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7441A1">
          <w:headerReference w:type="default" r:id="rId8"/>
          <w:footerReference w:type="default" r:id="rId9"/>
          <w:headerReference w:type="first" r:id="rId10"/>
          <w:footerReference w:type="first" r:id="rId11"/>
          <w:type w:val="continuous"/>
          <w:pgSz w:w="12240" w:h="15840" w:code="1"/>
          <w:pgMar w:top="1440" w:right="144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F82B58" w:rsidRDefault="00F82B58" w:rsidP="003668B1">
      <w:pPr>
        <w:pStyle w:val="Heading1"/>
        <w:tabs>
          <w:tab w:val="clear" w:pos="720"/>
          <w:tab w:val="clear" w:pos="5040"/>
          <w:tab w:val="clear" w:pos="6480"/>
          <w:tab w:val="clear" w:pos="7920"/>
        </w:tabs>
        <w:suppressAutoHyphens/>
        <w:ind w:left="720"/>
      </w:pPr>
      <w:r>
        <w:t>Q.</w:t>
      </w:r>
      <w:r>
        <w:tab/>
        <w:t xml:space="preserve">Have you </w:t>
      </w:r>
      <w:r w:rsidR="00421D85">
        <w:t>filed</w:t>
      </w:r>
      <w:r>
        <w:t xml:space="preserve"> direct testimony in this Case?</w:t>
      </w:r>
    </w:p>
    <w:p w:rsidR="00B42A61" w:rsidRDefault="00F82B58" w:rsidP="003668B1">
      <w:pPr>
        <w:tabs>
          <w:tab w:val="left" w:pos="720"/>
          <w:tab w:val="left" w:pos="1440"/>
        </w:tabs>
        <w:spacing w:line="480" w:lineRule="auto"/>
        <w:ind w:firstLine="720"/>
        <w:jc w:val="both"/>
      </w:pPr>
      <w:r w:rsidRPr="006A743A">
        <w:t>A.</w:t>
      </w:r>
      <w:r w:rsidRPr="006A743A">
        <w:tab/>
      </w:r>
      <w:r>
        <w:t xml:space="preserve">Yes.  My testimony covered </w:t>
      </w:r>
      <w:r w:rsidRPr="00BD4B85">
        <w:t xml:space="preserve">the Company’s use of the </w:t>
      </w:r>
      <w:r w:rsidR="003668B1">
        <w:t>AURORA</w:t>
      </w:r>
      <w:r w:rsidRPr="00946E37">
        <w:rPr>
          <w:vertAlign w:val="subscript"/>
        </w:rPr>
        <w:t>XMP</w:t>
      </w:r>
      <w:r w:rsidRPr="00BD4B85">
        <w:t xml:space="preserve"> dispatch model, </w:t>
      </w:r>
      <w:r>
        <w:t xml:space="preserve">or </w:t>
      </w:r>
      <w:r w:rsidRPr="00BD4B85">
        <w:t xml:space="preserve">“Dispatch Model.”  I </w:t>
      </w:r>
      <w:r>
        <w:t>explained</w:t>
      </w:r>
      <w:r w:rsidRPr="00BD4B85">
        <w:t xml:space="preserve"> the key assumptions driving the Dispatch Model’s market forecast of electricity prices</w:t>
      </w:r>
      <w:r w:rsidR="00B42A61">
        <w:t xml:space="preserve">, including </w:t>
      </w:r>
      <w:r w:rsidRPr="00BD4B85">
        <w:t>the variables of natural gas, We</w:t>
      </w:r>
      <w:r>
        <w:t>stern Interconnect</w:t>
      </w:r>
      <w:r w:rsidRPr="00BD4B85">
        <w:t xml:space="preserve"> loads and resources, and hydroelectric conditions</w:t>
      </w:r>
      <w:r>
        <w:t xml:space="preserve">.  </w:t>
      </w:r>
      <w:r w:rsidRPr="00BD4B85">
        <w:t xml:space="preserve">I </w:t>
      </w:r>
      <w:r w:rsidR="00B42A61">
        <w:t xml:space="preserve">also </w:t>
      </w:r>
      <w:r w:rsidRPr="00BD4B85">
        <w:t>describe</w:t>
      </w:r>
      <w:r w:rsidR="00B42A61">
        <w:t>d</w:t>
      </w:r>
      <w:r w:rsidRPr="00BD4B85">
        <w:t xml:space="preserve"> how the model dispatches </w:t>
      </w:r>
      <w:r>
        <w:t>its</w:t>
      </w:r>
      <w:r w:rsidRPr="00BD4B85">
        <w:t xml:space="preserve"> resources and contracts </w:t>
      </w:r>
      <w:r>
        <w:t>to maximize</w:t>
      </w:r>
      <w:r w:rsidRPr="00BD4B85">
        <w:t xml:space="preserve"> </w:t>
      </w:r>
      <w:r>
        <w:t xml:space="preserve">customer </w:t>
      </w:r>
      <w:r w:rsidRPr="00BD4B85">
        <w:t>benefit and tracks their values for use in pro</w:t>
      </w:r>
      <w:r>
        <w:t xml:space="preserve"> </w:t>
      </w:r>
      <w:r w:rsidRPr="00BD4B85">
        <w:t>forma calculations.  Finally, I present</w:t>
      </w:r>
      <w:r w:rsidR="00B42A61">
        <w:t>ed</w:t>
      </w:r>
      <w:r w:rsidRPr="00BD4B85">
        <w:t xml:space="preserve"> the modeling results provided to </w:t>
      </w:r>
      <w:r>
        <w:t>Company w</w:t>
      </w:r>
      <w:r w:rsidRPr="00BD4B85">
        <w:t xml:space="preserve">itness </w:t>
      </w:r>
      <w:r>
        <w:t xml:space="preserve">Mr. </w:t>
      </w:r>
      <w:r w:rsidRPr="00BD4B85">
        <w:t xml:space="preserve">Johnson for his power supply </w:t>
      </w:r>
      <w:r>
        <w:t>pro forma</w:t>
      </w:r>
      <w:r w:rsidRPr="00BD4B85">
        <w:t xml:space="preserve"> adjustment calculations.</w:t>
      </w:r>
    </w:p>
    <w:p w:rsidR="00D77F98" w:rsidRPr="00B42A61" w:rsidRDefault="00D77F98" w:rsidP="00F82B58">
      <w:pPr>
        <w:tabs>
          <w:tab w:val="left" w:pos="720"/>
          <w:tab w:val="left" w:pos="1440"/>
        </w:tabs>
        <w:spacing w:line="480" w:lineRule="auto"/>
        <w:ind w:firstLine="720"/>
        <w:jc w:val="both"/>
        <w:rPr>
          <w:b/>
        </w:rPr>
      </w:pPr>
      <w:r w:rsidRPr="00B42A61">
        <w:rPr>
          <w:b/>
        </w:rPr>
        <w:t>Q.</w:t>
      </w:r>
      <w:r w:rsidRPr="00B42A61">
        <w:rPr>
          <w:b/>
        </w:rPr>
        <w:tab/>
        <w:t xml:space="preserve">What is the scope of your </w:t>
      </w:r>
      <w:r w:rsidR="00B42A61">
        <w:rPr>
          <w:b/>
        </w:rPr>
        <w:t xml:space="preserve">rebuttal </w:t>
      </w:r>
      <w:r w:rsidRPr="00B42A61">
        <w:rPr>
          <w:b/>
        </w:rPr>
        <w:t>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 xml:space="preserve">My testimony will </w:t>
      </w:r>
      <w:r w:rsidR="00020EE8">
        <w:t>explain why adjustments</w:t>
      </w:r>
      <w:r w:rsidR="003A224F">
        <w:t xml:space="preserve"> made to the </w:t>
      </w:r>
      <w:r w:rsidR="00ED3364">
        <w:t>Dispatch</w:t>
      </w:r>
      <w:r w:rsidR="003A224F">
        <w:t xml:space="preserve"> </w:t>
      </w:r>
      <w:r w:rsidR="00ED3364">
        <w:t>M</w:t>
      </w:r>
      <w:r w:rsidR="003A224F">
        <w:t>odel</w:t>
      </w:r>
      <w:r w:rsidR="00020EE8">
        <w:t xml:space="preserve"> suggested by </w:t>
      </w:r>
      <w:r w:rsidR="00421D85">
        <w:t>the Industrial Customers of Northwest Utilities (“</w:t>
      </w:r>
      <w:r w:rsidR="00020EE8">
        <w:t>ICNU</w:t>
      </w:r>
      <w:r w:rsidR="00421D85">
        <w:t>”)</w:t>
      </w:r>
      <w:r w:rsidR="003668B1">
        <w:t xml:space="preserve"> witness Mr. Mullins</w:t>
      </w:r>
      <w:r w:rsidR="00020EE8">
        <w:t xml:space="preserve"> are not reflective of current fundamental market conditions and are not feasible given hydro license restrictions</w:t>
      </w:r>
      <w:r w:rsidR="00A34681">
        <w:t xml:space="preserve">. </w:t>
      </w:r>
      <w:r w:rsidR="00F151FD">
        <w:t xml:space="preserve"> </w:t>
      </w:r>
      <w:r w:rsidR="00A34681">
        <w:t>This testimony will further</w:t>
      </w:r>
      <w:r w:rsidR="00ED3364">
        <w:t xml:space="preserve"> </w:t>
      </w:r>
      <w:r w:rsidR="00421D85">
        <w:t>counter ICN</w:t>
      </w:r>
      <w:r w:rsidR="00ED3364">
        <w:t>U’s representation of the Dispatch Models accuracy</w:t>
      </w:r>
      <w:r w:rsidR="00A34681">
        <w:t xml:space="preserve"> and</w:t>
      </w:r>
      <w:r w:rsidR="003A224F">
        <w:t xml:space="preserve"> address why creating a special Demand Response tariff is premature.</w:t>
      </w:r>
    </w:p>
    <w:p w:rsidR="00D77F98" w:rsidRPr="00BD4B85" w:rsidRDefault="00D77F98" w:rsidP="007950C4">
      <w:pPr>
        <w:pStyle w:val="BodyTextIndent3"/>
        <w:tabs>
          <w:tab w:val="clear" w:pos="1260"/>
          <w:tab w:val="left" w:pos="720"/>
          <w:tab w:val="left" w:pos="1440"/>
        </w:tabs>
      </w:pPr>
      <w:r w:rsidRPr="00BD4B85">
        <w:t>Q.</w:t>
      </w:r>
      <w:r w:rsidRPr="00BD4B85">
        <w:tab/>
        <w:t xml:space="preserve">Are you sponsoring </w:t>
      </w:r>
      <w:r w:rsidR="007C5CE8">
        <w:t xml:space="preserve">any </w:t>
      </w:r>
      <w:r w:rsidR="00ED3B2D">
        <w:t xml:space="preserve">additional </w:t>
      </w:r>
      <w:r w:rsidRPr="00BD4B85">
        <w:t>exhibits?</w:t>
      </w:r>
    </w:p>
    <w:p w:rsidR="007F2D7D" w:rsidRDefault="00D77F98" w:rsidP="007F2D7D">
      <w:pPr>
        <w:tabs>
          <w:tab w:val="left" w:pos="720"/>
          <w:tab w:val="left" w:pos="1440"/>
        </w:tabs>
        <w:spacing w:line="480" w:lineRule="auto"/>
        <w:ind w:firstLine="720"/>
        <w:jc w:val="both"/>
      </w:pPr>
      <w:r w:rsidRPr="00BD4B85">
        <w:t>A.</w:t>
      </w:r>
      <w:r w:rsidRPr="00BD4B85">
        <w:tab/>
      </w:r>
      <w:r w:rsidR="0050521C">
        <w:t>No.</w:t>
      </w:r>
      <w:r w:rsidR="007F2D7D">
        <w:br w:type="page"/>
      </w:r>
    </w:p>
    <w:p w:rsidR="00421D85" w:rsidRPr="006A743A" w:rsidRDefault="00421D85" w:rsidP="00421D85">
      <w:pPr>
        <w:pStyle w:val="Heading1"/>
        <w:jc w:val="center"/>
        <w:rPr>
          <w:u w:val="single"/>
        </w:rPr>
      </w:pPr>
      <w:r w:rsidRPr="006A743A">
        <w:rPr>
          <w:u w:val="single"/>
        </w:rPr>
        <w:lastRenderedPageBreak/>
        <w:t>TABLE OF CONTENTS</w:t>
      </w:r>
    </w:p>
    <w:p w:rsidR="00421D85" w:rsidRPr="006A743A" w:rsidRDefault="00421D85" w:rsidP="00421D85">
      <w:pPr>
        <w:pStyle w:val="Heading1"/>
        <w:tabs>
          <w:tab w:val="clear" w:pos="5040"/>
          <w:tab w:val="clear" w:pos="6480"/>
          <w:tab w:val="clear" w:pos="7920"/>
          <w:tab w:val="center" w:pos="8640"/>
        </w:tabs>
        <w:spacing w:line="240" w:lineRule="auto"/>
        <w:ind w:right="-108"/>
        <w:jc w:val="left"/>
      </w:pPr>
      <w:r w:rsidRPr="006A743A">
        <w:tab/>
      </w:r>
      <w:r w:rsidRPr="006A743A">
        <w:rPr>
          <w:u w:val="single"/>
        </w:rPr>
        <w:t>Description</w:t>
      </w:r>
      <w:r w:rsidRPr="006A743A">
        <w:tab/>
      </w:r>
      <w:r w:rsidRPr="006A743A">
        <w:rPr>
          <w:u w:val="single"/>
        </w:rPr>
        <w:t>Page</w:t>
      </w:r>
    </w:p>
    <w:p w:rsidR="00421D85" w:rsidRPr="0008655E" w:rsidRDefault="00421D85" w:rsidP="00421D85">
      <w:pPr>
        <w:pStyle w:val="Heading1"/>
        <w:tabs>
          <w:tab w:val="clear" w:pos="5040"/>
          <w:tab w:val="clear" w:pos="6480"/>
          <w:tab w:val="clear" w:pos="7920"/>
          <w:tab w:val="center" w:pos="8640"/>
          <w:tab w:val="right" w:pos="9180"/>
        </w:tabs>
        <w:spacing w:line="240" w:lineRule="auto"/>
        <w:ind w:right="-108"/>
        <w:jc w:val="left"/>
        <w:rPr>
          <w:b w:val="0"/>
        </w:rPr>
      </w:pPr>
      <w:r w:rsidRPr="0008655E">
        <w:rPr>
          <w:b w:val="0"/>
        </w:rPr>
        <w:t>I.</w:t>
      </w:r>
      <w:r w:rsidRPr="0008655E">
        <w:rPr>
          <w:b w:val="0"/>
        </w:rPr>
        <w:tab/>
        <w:t>Introduction</w:t>
      </w:r>
      <w:r w:rsidRPr="0008655E">
        <w:rPr>
          <w:b w:val="0"/>
        </w:rPr>
        <w:tab/>
      </w:r>
      <w:r>
        <w:rPr>
          <w:b w:val="0"/>
        </w:rPr>
        <w:t>1</w:t>
      </w:r>
    </w:p>
    <w:p w:rsidR="00421D85" w:rsidRPr="0008655E" w:rsidRDefault="00421D85" w:rsidP="00421D85">
      <w:pPr>
        <w:pStyle w:val="Heading1"/>
        <w:tabs>
          <w:tab w:val="clear" w:pos="5040"/>
          <w:tab w:val="clear" w:pos="6480"/>
          <w:tab w:val="clear" w:pos="7920"/>
          <w:tab w:val="center" w:pos="8640"/>
          <w:tab w:val="right" w:pos="9180"/>
        </w:tabs>
        <w:spacing w:line="240" w:lineRule="auto"/>
        <w:ind w:right="-108"/>
        <w:jc w:val="left"/>
        <w:rPr>
          <w:b w:val="0"/>
        </w:rPr>
      </w:pPr>
    </w:p>
    <w:p w:rsidR="00421D85" w:rsidRPr="0008655E" w:rsidRDefault="00421D85" w:rsidP="00421D85">
      <w:pPr>
        <w:pStyle w:val="Heading1"/>
        <w:tabs>
          <w:tab w:val="clear" w:pos="5040"/>
          <w:tab w:val="clear" w:pos="6480"/>
          <w:tab w:val="clear" w:pos="7920"/>
          <w:tab w:val="center" w:pos="8640"/>
          <w:tab w:val="right" w:pos="9180"/>
        </w:tabs>
        <w:spacing w:line="240" w:lineRule="auto"/>
        <w:ind w:right="-108"/>
        <w:jc w:val="left"/>
        <w:rPr>
          <w:b w:val="0"/>
          <w:bCs w:val="0"/>
        </w:rPr>
      </w:pPr>
      <w:r w:rsidRPr="0008655E">
        <w:rPr>
          <w:b w:val="0"/>
        </w:rPr>
        <w:t>II.</w:t>
      </w:r>
      <w:r w:rsidRPr="0008655E">
        <w:rPr>
          <w:b w:val="0"/>
        </w:rPr>
        <w:tab/>
      </w:r>
      <w:r w:rsidRPr="00421D85">
        <w:rPr>
          <w:b w:val="0"/>
        </w:rPr>
        <w:t>AURORA</w:t>
      </w:r>
      <w:r w:rsidRPr="00421D85">
        <w:rPr>
          <w:b w:val="0"/>
          <w:vertAlign w:val="subscript"/>
        </w:rPr>
        <w:t>XMP</w:t>
      </w:r>
      <w:r w:rsidRPr="00421D85">
        <w:rPr>
          <w:b w:val="0"/>
        </w:rPr>
        <w:t xml:space="preserve"> </w:t>
      </w:r>
      <w:r>
        <w:rPr>
          <w:b w:val="0"/>
        </w:rPr>
        <w:t>Adjustments</w:t>
      </w:r>
      <w:r w:rsidRPr="0008655E">
        <w:rPr>
          <w:b w:val="0"/>
        </w:rPr>
        <w:t xml:space="preserve"> </w:t>
      </w:r>
      <w:r>
        <w:rPr>
          <w:b w:val="0"/>
          <w:bCs w:val="0"/>
        </w:rPr>
        <w:tab/>
        <w:t>2</w:t>
      </w:r>
    </w:p>
    <w:p w:rsidR="00421D85" w:rsidRPr="00370F9A" w:rsidRDefault="00421D85" w:rsidP="00421D85">
      <w:pPr>
        <w:tabs>
          <w:tab w:val="center" w:pos="8640"/>
        </w:tabs>
        <w:ind w:right="-108"/>
      </w:pPr>
    </w:p>
    <w:p w:rsidR="00421D85" w:rsidRPr="0008655E" w:rsidRDefault="00421D85" w:rsidP="00421D85">
      <w:pPr>
        <w:pStyle w:val="Heading1"/>
        <w:tabs>
          <w:tab w:val="clear" w:pos="5040"/>
          <w:tab w:val="clear" w:pos="6480"/>
          <w:tab w:val="clear" w:pos="7920"/>
          <w:tab w:val="center" w:pos="8640"/>
          <w:tab w:val="right" w:pos="9180"/>
        </w:tabs>
        <w:spacing w:line="240" w:lineRule="auto"/>
        <w:ind w:right="-108"/>
        <w:jc w:val="left"/>
        <w:rPr>
          <w:b w:val="0"/>
        </w:rPr>
      </w:pPr>
      <w:r>
        <w:rPr>
          <w:b w:val="0"/>
        </w:rPr>
        <w:t>III</w:t>
      </w:r>
      <w:r w:rsidRPr="0008655E">
        <w:rPr>
          <w:b w:val="0"/>
        </w:rPr>
        <w:t>.</w:t>
      </w:r>
      <w:r w:rsidRPr="0008655E">
        <w:rPr>
          <w:b w:val="0"/>
        </w:rPr>
        <w:tab/>
      </w:r>
      <w:r>
        <w:rPr>
          <w:b w:val="0"/>
        </w:rPr>
        <w:t>Accuracy of</w:t>
      </w:r>
      <w:r w:rsidRPr="00421D85">
        <w:rPr>
          <w:b w:val="0"/>
        </w:rPr>
        <w:t xml:space="preserve"> AURORA</w:t>
      </w:r>
      <w:r w:rsidRPr="00421D85">
        <w:rPr>
          <w:b w:val="0"/>
          <w:vertAlign w:val="subscript"/>
        </w:rPr>
        <w:t>XMP</w:t>
      </w:r>
      <w:r w:rsidRPr="0008655E">
        <w:rPr>
          <w:b w:val="0"/>
        </w:rPr>
        <w:t xml:space="preserve">  </w:t>
      </w:r>
      <w:r>
        <w:rPr>
          <w:b w:val="0"/>
        </w:rPr>
        <w:tab/>
        <w:t>8</w:t>
      </w:r>
    </w:p>
    <w:p w:rsidR="00421D85" w:rsidRPr="001C3474" w:rsidRDefault="00421D85" w:rsidP="00421D85">
      <w:pPr>
        <w:tabs>
          <w:tab w:val="center" w:pos="8640"/>
        </w:tabs>
        <w:ind w:right="-108"/>
      </w:pPr>
    </w:p>
    <w:p w:rsidR="00421D85" w:rsidRDefault="00421D85" w:rsidP="00421D85">
      <w:pPr>
        <w:pStyle w:val="Heading1"/>
        <w:tabs>
          <w:tab w:val="clear" w:pos="5040"/>
          <w:tab w:val="clear" w:pos="6480"/>
          <w:tab w:val="clear" w:pos="7920"/>
          <w:tab w:val="center" w:pos="8640"/>
          <w:tab w:val="right" w:pos="9180"/>
        </w:tabs>
        <w:spacing w:line="240" w:lineRule="auto"/>
        <w:ind w:right="-108"/>
        <w:jc w:val="left"/>
        <w:rPr>
          <w:b w:val="0"/>
        </w:rPr>
      </w:pPr>
      <w:r>
        <w:rPr>
          <w:b w:val="0"/>
        </w:rPr>
        <w:t>I</w:t>
      </w:r>
      <w:r w:rsidRPr="0008655E">
        <w:rPr>
          <w:b w:val="0"/>
        </w:rPr>
        <w:t>V.</w:t>
      </w:r>
      <w:r w:rsidRPr="0008655E">
        <w:rPr>
          <w:b w:val="0"/>
        </w:rPr>
        <w:tab/>
      </w:r>
      <w:r>
        <w:rPr>
          <w:b w:val="0"/>
        </w:rPr>
        <w:t>Demand Response</w:t>
      </w:r>
      <w:r>
        <w:rPr>
          <w:b w:val="0"/>
        </w:rPr>
        <w:tab/>
      </w:r>
      <w:r w:rsidR="00621FE3">
        <w:rPr>
          <w:b w:val="0"/>
        </w:rPr>
        <w:t>1</w:t>
      </w:r>
      <w:r w:rsidR="007F2D7D">
        <w:rPr>
          <w:b w:val="0"/>
        </w:rPr>
        <w:t>0</w:t>
      </w:r>
    </w:p>
    <w:p w:rsidR="00DC0419" w:rsidRDefault="00DC0419" w:rsidP="00421D85">
      <w:pPr>
        <w:tabs>
          <w:tab w:val="left" w:pos="720"/>
          <w:tab w:val="left" w:pos="1440"/>
        </w:tabs>
        <w:spacing w:line="480" w:lineRule="auto"/>
        <w:jc w:val="both"/>
      </w:pPr>
    </w:p>
    <w:p w:rsidR="00D77F98" w:rsidRPr="002B60EC" w:rsidRDefault="007C5CE8" w:rsidP="00DC0419">
      <w:pPr>
        <w:pStyle w:val="BodyTextIndent3"/>
        <w:tabs>
          <w:tab w:val="clear" w:pos="1260"/>
        </w:tabs>
        <w:ind w:firstLine="0"/>
        <w:jc w:val="center"/>
        <w:rPr>
          <w:u w:val="single"/>
        </w:rPr>
      </w:pPr>
      <w:r>
        <w:rPr>
          <w:u w:val="single"/>
        </w:rPr>
        <w:t>II</w:t>
      </w:r>
      <w:r w:rsidR="002B60EC" w:rsidRPr="002B60EC">
        <w:rPr>
          <w:u w:val="single"/>
        </w:rPr>
        <w:t xml:space="preserve">. </w:t>
      </w:r>
      <w:r w:rsidR="003668B1">
        <w:rPr>
          <w:u w:val="single"/>
        </w:rPr>
        <w:t>AURORA</w:t>
      </w:r>
      <w:r w:rsidR="003668B1" w:rsidRPr="003668B1">
        <w:rPr>
          <w:u w:val="single"/>
          <w:vertAlign w:val="subscript"/>
        </w:rPr>
        <w:t>XMP</w:t>
      </w:r>
      <w:r w:rsidR="003A224F">
        <w:rPr>
          <w:u w:val="single"/>
        </w:rPr>
        <w:t xml:space="preserve"> </w:t>
      </w:r>
      <w:r w:rsidR="003668B1">
        <w:rPr>
          <w:u w:val="single"/>
        </w:rPr>
        <w:t>ADJUSTMENTS</w:t>
      </w:r>
      <w:r w:rsidR="003A224F">
        <w:rPr>
          <w:u w:val="single"/>
        </w:rPr>
        <w:t>:</w:t>
      </w:r>
    </w:p>
    <w:p w:rsidR="003668B1" w:rsidRPr="00BD4B85" w:rsidRDefault="003668B1" w:rsidP="003668B1">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sidR="00522AEC">
        <w:rPr>
          <w:rFonts w:ascii="Times New Roman" w:hAnsi="Times New Roman"/>
          <w:b/>
          <w:bCs/>
        </w:rPr>
        <w:t>Please describe the</w:t>
      </w:r>
      <w:r>
        <w:rPr>
          <w:rFonts w:ascii="Times New Roman" w:hAnsi="Times New Roman"/>
          <w:b/>
          <w:bCs/>
        </w:rPr>
        <w:t xml:space="preserve"> adjustments </w:t>
      </w:r>
      <w:r w:rsidR="00522AEC">
        <w:rPr>
          <w:rFonts w:ascii="Times New Roman" w:hAnsi="Times New Roman"/>
          <w:b/>
          <w:bCs/>
        </w:rPr>
        <w:t>proposed</w:t>
      </w:r>
      <w:r w:rsidR="002D2B64">
        <w:rPr>
          <w:rFonts w:ascii="Times New Roman" w:hAnsi="Times New Roman"/>
          <w:b/>
          <w:bCs/>
        </w:rPr>
        <w:t xml:space="preserve"> by </w:t>
      </w:r>
      <w:r>
        <w:rPr>
          <w:rFonts w:ascii="Times New Roman" w:hAnsi="Times New Roman"/>
          <w:b/>
          <w:bCs/>
        </w:rPr>
        <w:t xml:space="preserve">Mr. Mullins </w:t>
      </w:r>
      <w:r w:rsidR="00522AEC">
        <w:rPr>
          <w:rFonts w:ascii="Times New Roman" w:hAnsi="Times New Roman"/>
          <w:b/>
          <w:bCs/>
        </w:rPr>
        <w:t xml:space="preserve">that you </w:t>
      </w:r>
      <w:r w:rsidR="002D2B64">
        <w:rPr>
          <w:rFonts w:ascii="Times New Roman" w:hAnsi="Times New Roman"/>
          <w:b/>
          <w:bCs/>
        </w:rPr>
        <w:t>will be addressing</w:t>
      </w:r>
      <w:r>
        <w:rPr>
          <w:rFonts w:ascii="Times New Roman" w:hAnsi="Times New Roman"/>
          <w:b/>
          <w:bCs/>
        </w:rPr>
        <w:t>?</w:t>
      </w:r>
    </w:p>
    <w:p w:rsidR="003668B1" w:rsidRDefault="003668B1" w:rsidP="003668B1">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Pr>
          <w:rFonts w:ascii="Times New Roman" w:hAnsi="Times New Roman"/>
        </w:rPr>
        <w:t xml:space="preserve">Mr. Mullins suggests a reduction in power supply expense of $671,000 by removing the Owned Hydro Variable O&amp;M ($267,000) and the Bidding Adder Assumption ($404,000) as described </w:t>
      </w:r>
      <w:r w:rsidR="00534839">
        <w:rPr>
          <w:rFonts w:ascii="Times New Roman" w:hAnsi="Times New Roman"/>
        </w:rPr>
        <w:t>in his response testimony</w:t>
      </w:r>
      <w:r>
        <w:rPr>
          <w:rFonts w:ascii="Times New Roman" w:hAnsi="Times New Roman"/>
        </w:rPr>
        <w:t>.</w:t>
      </w:r>
    </w:p>
    <w:p w:rsidR="008926E1" w:rsidRDefault="008926E1" w:rsidP="008926E1">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Pr>
          <w:rFonts w:ascii="Times New Roman" w:hAnsi="Times New Roman"/>
          <w:b/>
          <w:bCs/>
        </w:rPr>
        <w:t>Do you agree with Mr. Mu</w:t>
      </w:r>
      <w:r w:rsidR="00D927EC">
        <w:rPr>
          <w:rFonts w:ascii="Times New Roman" w:hAnsi="Times New Roman"/>
          <w:b/>
          <w:bCs/>
        </w:rPr>
        <w:t xml:space="preserve">llins </w:t>
      </w:r>
      <w:r>
        <w:rPr>
          <w:rFonts w:ascii="Times New Roman" w:hAnsi="Times New Roman"/>
          <w:b/>
          <w:bCs/>
        </w:rPr>
        <w:t>that Avista’s use of bidding adders is arbitrary and unnecessary?</w:t>
      </w:r>
    </w:p>
    <w:p w:rsidR="00C164FA" w:rsidRDefault="008926E1" w:rsidP="00C164FA">
      <w:pPr>
        <w:pStyle w:val="TestBody"/>
        <w:tabs>
          <w:tab w:val="num" w:pos="720"/>
        </w:tabs>
        <w:spacing w:line="480" w:lineRule="auto"/>
        <w:ind w:left="0" w:firstLine="720"/>
        <w:rPr>
          <w:rFonts w:ascii="Times New Roman" w:hAnsi="Times New Roman"/>
          <w:bCs/>
        </w:rPr>
      </w:pPr>
      <w:r w:rsidRPr="00272BFE">
        <w:rPr>
          <w:rFonts w:ascii="Times New Roman" w:hAnsi="Times New Roman"/>
          <w:bCs/>
        </w:rPr>
        <w:t>A.</w:t>
      </w:r>
      <w:r w:rsidRPr="00272BFE">
        <w:rPr>
          <w:rFonts w:ascii="Times New Roman" w:hAnsi="Times New Roman"/>
          <w:bCs/>
        </w:rPr>
        <w:tab/>
        <w:t xml:space="preserve">No.  </w:t>
      </w:r>
      <w:r w:rsidR="00F151FD">
        <w:rPr>
          <w:rFonts w:ascii="Times New Roman" w:hAnsi="Times New Roman"/>
          <w:bCs/>
        </w:rPr>
        <w:t>B</w:t>
      </w:r>
      <w:r w:rsidRPr="00272BFE">
        <w:rPr>
          <w:rFonts w:ascii="Times New Roman" w:hAnsi="Times New Roman"/>
          <w:bCs/>
        </w:rPr>
        <w:t xml:space="preserve">idding </w:t>
      </w:r>
      <w:r>
        <w:rPr>
          <w:rFonts w:ascii="Times New Roman" w:hAnsi="Times New Roman"/>
          <w:bCs/>
        </w:rPr>
        <w:t>adders</w:t>
      </w:r>
      <w:r w:rsidRPr="00272BFE">
        <w:rPr>
          <w:rFonts w:ascii="Times New Roman" w:hAnsi="Times New Roman"/>
          <w:bCs/>
        </w:rPr>
        <w:t xml:space="preserve"> are used by Avista to help </w:t>
      </w:r>
      <w:r>
        <w:rPr>
          <w:rFonts w:ascii="Times New Roman" w:hAnsi="Times New Roman"/>
          <w:bCs/>
        </w:rPr>
        <w:t>AURORA</w:t>
      </w:r>
      <w:r w:rsidRPr="003668B1">
        <w:rPr>
          <w:rFonts w:ascii="Times New Roman" w:hAnsi="Times New Roman"/>
          <w:bCs/>
          <w:vertAlign w:val="subscript"/>
        </w:rPr>
        <w:t>XMP</w:t>
      </w:r>
      <w:r w:rsidRPr="00272BFE">
        <w:rPr>
          <w:rFonts w:ascii="Times New Roman" w:hAnsi="Times New Roman"/>
          <w:bCs/>
        </w:rPr>
        <w:t xml:space="preserve"> reflect market </w:t>
      </w:r>
      <w:r w:rsidR="00327082">
        <w:rPr>
          <w:rFonts w:ascii="Times New Roman" w:hAnsi="Times New Roman"/>
          <w:bCs/>
        </w:rPr>
        <w:t>fundamentals in creating a</w:t>
      </w:r>
      <w:r>
        <w:rPr>
          <w:rFonts w:ascii="Times New Roman" w:hAnsi="Times New Roman"/>
          <w:bCs/>
        </w:rPr>
        <w:t xml:space="preserve"> market price forecast</w:t>
      </w:r>
      <w:r w:rsidRPr="00272BFE">
        <w:rPr>
          <w:rFonts w:ascii="Times New Roman" w:hAnsi="Times New Roman"/>
          <w:bCs/>
        </w:rPr>
        <w:t>.  As part of modeling</w:t>
      </w:r>
      <w:r>
        <w:rPr>
          <w:rFonts w:ascii="Times New Roman" w:hAnsi="Times New Roman"/>
          <w:bCs/>
        </w:rPr>
        <w:t xml:space="preserve"> power costs,</w:t>
      </w:r>
      <w:r w:rsidRPr="00272BFE">
        <w:rPr>
          <w:rFonts w:ascii="Times New Roman" w:hAnsi="Times New Roman"/>
          <w:bCs/>
        </w:rPr>
        <w:t xml:space="preserve"> Avista is required to match </w:t>
      </w:r>
      <w:r>
        <w:rPr>
          <w:rFonts w:ascii="Times New Roman" w:hAnsi="Times New Roman"/>
          <w:bCs/>
        </w:rPr>
        <w:t>AURORA</w:t>
      </w:r>
      <w:r w:rsidRPr="003668B1">
        <w:rPr>
          <w:rFonts w:ascii="Times New Roman" w:hAnsi="Times New Roman"/>
          <w:bCs/>
          <w:vertAlign w:val="subscript"/>
        </w:rPr>
        <w:t>XMP</w:t>
      </w:r>
      <w:r w:rsidRPr="00272BFE">
        <w:rPr>
          <w:rFonts w:ascii="Times New Roman" w:hAnsi="Times New Roman"/>
          <w:bCs/>
        </w:rPr>
        <w:t xml:space="preserve"> market prices to </w:t>
      </w:r>
      <w:r>
        <w:rPr>
          <w:rFonts w:ascii="Times New Roman" w:hAnsi="Times New Roman"/>
          <w:bCs/>
        </w:rPr>
        <w:t xml:space="preserve">the three month </w:t>
      </w:r>
      <w:r w:rsidRPr="00272BFE">
        <w:rPr>
          <w:rFonts w:ascii="Times New Roman" w:hAnsi="Times New Roman"/>
          <w:bCs/>
        </w:rPr>
        <w:t xml:space="preserve">average of </w:t>
      </w:r>
      <w:r>
        <w:rPr>
          <w:rFonts w:ascii="Times New Roman" w:hAnsi="Times New Roman"/>
          <w:bCs/>
        </w:rPr>
        <w:t>forward prices</w:t>
      </w:r>
      <w:r w:rsidRPr="00272BFE">
        <w:rPr>
          <w:rFonts w:ascii="Times New Roman" w:hAnsi="Times New Roman"/>
          <w:bCs/>
        </w:rPr>
        <w:t xml:space="preserve">.  There is nothing arbitrary about using this well-documented feature of </w:t>
      </w:r>
      <w:r>
        <w:rPr>
          <w:rFonts w:ascii="Times New Roman" w:hAnsi="Times New Roman"/>
          <w:bCs/>
        </w:rPr>
        <w:t>AURORA</w:t>
      </w:r>
      <w:r w:rsidRPr="003668B1">
        <w:rPr>
          <w:rFonts w:ascii="Times New Roman" w:hAnsi="Times New Roman"/>
          <w:bCs/>
          <w:vertAlign w:val="subscript"/>
        </w:rPr>
        <w:t>XMP</w:t>
      </w:r>
      <w:r w:rsidRPr="00272BFE">
        <w:rPr>
          <w:rFonts w:ascii="Times New Roman" w:hAnsi="Times New Roman"/>
          <w:bCs/>
        </w:rPr>
        <w:t xml:space="preserve"> to move prices to match forwards.</w:t>
      </w:r>
      <w:r w:rsidR="00F151FD">
        <w:rPr>
          <w:rFonts w:ascii="Times New Roman" w:hAnsi="Times New Roman"/>
          <w:bCs/>
        </w:rPr>
        <w:t xml:space="preserve"> </w:t>
      </w:r>
      <w:r>
        <w:rPr>
          <w:rFonts w:ascii="Times New Roman" w:hAnsi="Times New Roman"/>
          <w:bCs/>
        </w:rPr>
        <w:t xml:space="preserve"> Further, bidding adders are not used directly to match prices to forwards, but rather to influence the dispatch order of renewable resources (including hydro) to </w:t>
      </w:r>
      <w:r w:rsidR="002D2B64">
        <w:rPr>
          <w:rFonts w:ascii="Times New Roman" w:hAnsi="Times New Roman"/>
          <w:bCs/>
        </w:rPr>
        <w:t xml:space="preserve">behave in a similar method as </w:t>
      </w:r>
      <w:r>
        <w:rPr>
          <w:rFonts w:ascii="Times New Roman" w:hAnsi="Times New Roman"/>
          <w:bCs/>
        </w:rPr>
        <w:t xml:space="preserve">actual </w:t>
      </w:r>
      <w:r w:rsidR="002D2B64">
        <w:rPr>
          <w:rFonts w:ascii="Times New Roman" w:hAnsi="Times New Roman"/>
          <w:bCs/>
        </w:rPr>
        <w:t>operations</w:t>
      </w:r>
      <w:r>
        <w:rPr>
          <w:rFonts w:ascii="Times New Roman" w:hAnsi="Times New Roman"/>
          <w:bCs/>
        </w:rPr>
        <w:t>.</w:t>
      </w:r>
    </w:p>
    <w:p w:rsidR="00C423B0" w:rsidRPr="00BD4B85" w:rsidRDefault="00C423B0" w:rsidP="00C423B0">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Pr>
          <w:rFonts w:ascii="Times New Roman" w:hAnsi="Times New Roman"/>
          <w:b/>
          <w:bCs/>
        </w:rPr>
        <w:t xml:space="preserve">What is a </w:t>
      </w:r>
      <w:r w:rsidR="00A34681">
        <w:rPr>
          <w:rFonts w:ascii="Times New Roman" w:hAnsi="Times New Roman"/>
          <w:b/>
          <w:bCs/>
        </w:rPr>
        <w:t>“</w:t>
      </w:r>
      <w:r>
        <w:rPr>
          <w:rFonts w:ascii="Times New Roman" w:hAnsi="Times New Roman"/>
          <w:b/>
          <w:bCs/>
        </w:rPr>
        <w:t>bidding adder</w:t>
      </w:r>
      <w:r w:rsidR="00A34681">
        <w:rPr>
          <w:rFonts w:ascii="Times New Roman" w:hAnsi="Times New Roman"/>
          <w:b/>
          <w:bCs/>
        </w:rPr>
        <w:t>”</w:t>
      </w:r>
      <w:r>
        <w:rPr>
          <w:rFonts w:ascii="Times New Roman" w:hAnsi="Times New Roman"/>
          <w:b/>
          <w:bCs/>
        </w:rPr>
        <w:t>?</w:t>
      </w:r>
    </w:p>
    <w:p w:rsidR="00C423B0" w:rsidRDefault="00C423B0" w:rsidP="00C423B0">
      <w:pPr>
        <w:pStyle w:val="TestBody"/>
        <w:tabs>
          <w:tab w:val="num" w:pos="720"/>
        </w:tabs>
        <w:spacing w:line="480" w:lineRule="auto"/>
        <w:ind w:left="0" w:firstLine="720"/>
        <w:rPr>
          <w:rFonts w:ascii="Times New Roman" w:hAnsi="Times New Roman"/>
        </w:rPr>
      </w:pPr>
      <w:r w:rsidRPr="00BD4B85">
        <w:rPr>
          <w:rFonts w:ascii="Times New Roman" w:hAnsi="Times New Roman"/>
        </w:rPr>
        <w:lastRenderedPageBreak/>
        <w:t>A.</w:t>
      </w:r>
      <w:r w:rsidRPr="00BD4B85">
        <w:rPr>
          <w:rFonts w:ascii="Times New Roman" w:hAnsi="Times New Roman"/>
        </w:rPr>
        <w:tab/>
      </w:r>
      <w:r>
        <w:rPr>
          <w:rFonts w:ascii="Times New Roman" w:hAnsi="Times New Roman"/>
        </w:rPr>
        <w:t>A bidding adder is an adjustment to the variable cost of a generating unit in order to change the dispatch order of the resource</w:t>
      </w:r>
      <w:r w:rsidR="00A34681">
        <w:rPr>
          <w:rFonts w:ascii="Times New Roman" w:hAnsi="Times New Roman"/>
        </w:rPr>
        <w:t xml:space="preserve"> in the </w:t>
      </w:r>
      <w:r w:rsidR="003668B1">
        <w:rPr>
          <w:rFonts w:ascii="Times New Roman" w:hAnsi="Times New Roman"/>
        </w:rPr>
        <w:t>AURORA</w:t>
      </w:r>
      <w:r w:rsidR="003668B1" w:rsidRPr="003668B1">
        <w:rPr>
          <w:rFonts w:ascii="Times New Roman" w:hAnsi="Times New Roman"/>
          <w:vertAlign w:val="subscript"/>
        </w:rPr>
        <w:t>XMP</w:t>
      </w:r>
      <w:r w:rsidR="00A34681">
        <w:rPr>
          <w:rFonts w:ascii="Times New Roman" w:hAnsi="Times New Roman"/>
        </w:rPr>
        <w:t xml:space="preserve"> model</w:t>
      </w:r>
      <w:r>
        <w:rPr>
          <w:rFonts w:ascii="Times New Roman" w:hAnsi="Times New Roman"/>
        </w:rPr>
        <w:t>.</w:t>
      </w:r>
    </w:p>
    <w:p w:rsidR="00C423B0" w:rsidRPr="00BD4B85" w:rsidRDefault="00C423B0" w:rsidP="00C423B0">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Pr>
          <w:rFonts w:ascii="Times New Roman" w:hAnsi="Times New Roman"/>
          <w:b/>
          <w:bCs/>
        </w:rPr>
        <w:t>What is the variable O&amp;M adjustment to Avista’s Hydro Resources?</w:t>
      </w:r>
    </w:p>
    <w:p w:rsidR="00C423B0" w:rsidRDefault="00C423B0" w:rsidP="00C423B0">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Pr>
          <w:rFonts w:ascii="Times New Roman" w:hAnsi="Times New Roman"/>
        </w:rPr>
        <w:t xml:space="preserve">The variable cost adjustment </w:t>
      </w:r>
      <w:r w:rsidR="00A34681">
        <w:rPr>
          <w:rFonts w:ascii="Times New Roman" w:hAnsi="Times New Roman"/>
        </w:rPr>
        <w:t>refers to the</w:t>
      </w:r>
      <w:r>
        <w:rPr>
          <w:rFonts w:ascii="Times New Roman" w:hAnsi="Times New Roman"/>
        </w:rPr>
        <w:t xml:space="preserve"> “Var Cost Mod1” variable in </w:t>
      </w:r>
      <w:r w:rsidR="003668B1">
        <w:rPr>
          <w:rFonts w:ascii="Times New Roman" w:hAnsi="Times New Roman"/>
        </w:rPr>
        <w:t>AURORA</w:t>
      </w:r>
      <w:r w:rsidR="003668B1" w:rsidRPr="003668B1">
        <w:rPr>
          <w:rFonts w:ascii="Times New Roman" w:hAnsi="Times New Roman"/>
          <w:vertAlign w:val="subscript"/>
        </w:rPr>
        <w:t>XMP</w:t>
      </w:r>
      <w:r>
        <w:rPr>
          <w:rFonts w:ascii="Times New Roman" w:hAnsi="Times New Roman"/>
        </w:rPr>
        <w:t xml:space="preserve">’s resource table. </w:t>
      </w:r>
      <w:r w:rsidR="00F151FD">
        <w:rPr>
          <w:rFonts w:ascii="Times New Roman" w:hAnsi="Times New Roman"/>
        </w:rPr>
        <w:t xml:space="preserve"> </w:t>
      </w:r>
      <w:r>
        <w:rPr>
          <w:rFonts w:ascii="Times New Roman" w:hAnsi="Times New Roman"/>
        </w:rPr>
        <w:t>This input is used to adjust the variable cost</w:t>
      </w:r>
      <w:r w:rsidR="00A34681">
        <w:rPr>
          <w:rFonts w:ascii="Times New Roman" w:hAnsi="Times New Roman"/>
        </w:rPr>
        <w:t xml:space="preserve"> (or dispatch price)</w:t>
      </w:r>
      <w:r>
        <w:rPr>
          <w:rFonts w:ascii="Times New Roman" w:hAnsi="Times New Roman"/>
        </w:rPr>
        <w:t xml:space="preserve"> of a generating unit in order to change the dispatch order of the resource.</w:t>
      </w:r>
    </w:p>
    <w:p w:rsidR="00C423B0" w:rsidRPr="00BD4B85" w:rsidRDefault="00C423B0" w:rsidP="00C423B0">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Pr>
          <w:rFonts w:ascii="Times New Roman" w:hAnsi="Times New Roman"/>
          <w:b/>
          <w:bCs/>
        </w:rPr>
        <w:t>Is there a difference between the variable O&amp;M adjustment and bidding adder adjustment?</w:t>
      </w:r>
    </w:p>
    <w:p w:rsidR="00C423B0" w:rsidRDefault="00C423B0" w:rsidP="00C423B0">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Pr>
          <w:rFonts w:ascii="Times New Roman" w:hAnsi="Times New Roman"/>
        </w:rPr>
        <w:t>From a modeling perspective</w:t>
      </w:r>
      <w:r w:rsidR="003668B1">
        <w:rPr>
          <w:rFonts w:ascii="Times New Roman" w:hAnsi="Times New Roman"/>
        </w:rPr>
        <w:t>,</w:t>
      </w:r>
      <w:r>
        <w:rPr>
          <w:rFonts w:ascii="Times New Roman" w:hAnsi="Times New Roman"/>
        </w:rPr>
        <w:t xml:space="preserve"> no.</w:t>
      </w:r>
      <w:r w:rsidR="00F151FD">
        <w:rPr>
          <w:rFonts w:ascii="Times New Roman" w:hAnsi="Times New Roman"/>
        </w:rPr>
        <w:t xml:space="preserve"> </w:t>
      </w:r>
      <w:r>
        <w:rPr>
          <w:rFonts w:ascii="Times New Roman" w:hAnsi="Times New Roman"/>
        </w:rPr>
        <w:t xml:space="preserve"> Both adjustment</w:t>
      </w:r>
      <w:r w:rsidR="003668B1">
        <w:rPr>
          <w:rFonts w:ascii="Times New Roman" w:hAnsi="Times New Roman"/>
        </w:rPr>
        <w:t>s</w:t>
      </w:r>
      <w:r>
        <w:rPr>
          <w:rFonts w:ascii="Times New Roman" w:hAnsi="Times New Roman"/>
        </w:rPr>
        <w:t xml:space="preserve"> were made to change the dispatch order of the resource. </w:t>
      </w:r>
    </w:p>
    <w:p w:rsidR="00C423B0" w:rsidRPr="00BD4B85" w:rsidRDefault="00C423B0" w:rsidP="00C423B0">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Pr>
          <w:rFonts w:ascii="Times New Roman" w:hAnsi="Times New Roman"/>
          <w:b/>
          <w:bCs/>
        </w:rPr>
        <w:t xml:space="preserve">Why are these adjustments required in </w:t>
      </w:r>
      <w:r w:rsidR="003668B1">
        <w:rPr>
          <w:rFonts w:ascii="Times New Roman" w:hAnsi="Times New Roman"/>
          <w:b/>
          <w:bCs/>
        </w:rPr>
        <w:t>AURORA</w:t>
      </w:r>
      <w:r w:rsidR="003668B1" w:rsidRPr="003668B1">
        <w:rPr>
          <w:rFonts w:ascii="Times New Roman" w:hAnsi="Times New Roman"/>
          <w:b/>
          <w:bCs/>
          <w:vertAlign w:val="subscript"/>
        </w:rPr>
        <w:t>XMP</w:t>
      </w:r>
      <w:r>
        <w:rPr>
          <w:rFonts w:ascii="Times New Roman" w:hAnsi="Times New Roman"/>
          <w:b/>
          <w:bCs/>
        </w:rPr>
        <w:t>?</w:t>
      </w:r>
    </w:p>
    <w:p w:rsidR="00F708BE" w:rsidRDefault="00C423B0" w:rsidP="00C423B0">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00F708BE">
        <w:rPr>
          <w:rFonts w:ascii="Times New Roman" w:hAnsi="Times New Roman"/>
        </w:rPr>
        <w:t xml:space="preserve">Without these adjustments, the results of </w:t>
      </w:r>
      <w:r w:rsidR="003668B1">
        <w:rPr>
          <w:rFonts w:ascii="Times New Roman" w:hAnsi="Times New Roman"/>
        </w:rPr>
        <w:t>AURORA</w:t>
      </w:r>
      <w:r w:rsidR="003668B1" w:rsidRPr="003668B1">
        <w:rPr>
          <w:rFonts w:ascii="Times New Roman" w:hAnsi="Times New Roman"/>
          <w:vertAlign w:val="subscript"/>
        </w:rPr>
        <w:t>XMP</w:t>
      </w:r>
      <w:r w:rsidR="00F708BE">
        <w:rPr>
          <w:rFonts w:ascii="Times New Roman" w:hAnsi="Times New Roman"/>
        </w:rPr>
        <w:t xml:space="preserve"> do not reflect actual operating conditions of the Northwest power system; hydroelectric generation is spilled in violation of multiple state and federal regulation</w:t>
      </w:r>
      <w:r w:rsidR="008926E1">
        <w:rPr>
          <w:rFonts w:ascii="Times New Roman" w:hAnsi="Times New Roman"/>
        </w:rPr>
        <w:t>s</w:t>
      </w:r>
      <w:r w:rsidR="00F708BE">
        <w:rPr>
          <w:rFonts w:ascii="Times New Roman" w:hAnsi="Times New Roman"/>
        </w:rPr>
        <w:t>, and resulting market prices are higher than they otherwise would be.</w:t>
      </w:r>
    </w:p>
    <w:p w:rsidR="00C423B0" w:rsidRDefault="00C423B0" w:rsidP="00C423B0">
      <w:pPr>
        <w:pStyle w:val="TestBody"/>
        <w:tabs>
          <w:tab w:val="num" w:pos="720"/>
        </w:tabs>
        <w:spacing w:line="480" w:lineRule="auto"/>
        <w:ind w:left="0" w:firstLine="720"/>
        <w:rPr>
          <w:rFonts w:ascii="Times New Roman" w:hAnsi="Times New Roman"/>
        </w:rPr>
      </w:pPr>
      <w:r>
        <w:rPr>
          <w:rFonts w:ascii="Times New Roman" w:hAnsi="Times New Roman"/>
        </w:rPr>
        <w:t xml:space="preserve">Hydro resources generally do not have any direct variable operating </w:t>
      </w:r>
      <w:r w:rsidR="00F708BE">
        <w:rPr>
          <w:rFonts w:ascii="Times New Roman" w:hAnsi="Times New Roman"/>
        </w:rPr>
        <w:t>or</w:t>
      </w:r>
      <w:r>
        <w:rPr>
          <w:rFonts w:ascii="Times New Roman" w:hAnsi="Times New Roman"/>
        </w:rPr>
        <w:t xml:space="preserve"> maintenance costs</w:t>
      </w:r>
      <w:r w:rsidR="00F708BE">
        <w:rPr>
          <w:rFonts w:ascii="Times New Roman" w:hAnsi="Times New Roman"/>
        </w:rPr>
        <w:t xml:space="preserve"> (“O&amp;M”)</w:t>
      </w:r>
      <w:r>
        <w:rPr>
          <w:rFonts w:ascii="Times New Roman" w:hAnsi="Times New Roman"/>
        </w:rPr>
        <w:t xml:space="preserve">. </w:t>
      </w:r>
      <w:r w:rsidR="00F151FD">
        <w:rPr>
          <w:rFonts w:ascii="Times New Roman" w:hAnsi="Times New Roman"/>
        </w:rPr>
        <w:t xml:space="preserve"> </w:t>
      </w:r>
      <w:r w:rsidR="00E8239E">
        <w:rPr>
          <w:rFonts w:ascii="Times New Roman" w:hAnsi="Times New Roman"/>
        </w:rPr>
        <w:t xml:space="preserve">When </w:t>
      </w:r>
      <w:r w:rsidR="00A34681">
        <w:rPr>
          <w:rFonts w:ascii="Times New Roman" w:hAnsi="Times New Roman"/>
        </w:rPr>
        <w:t xml:space="preserve">a </w:t>
      </w:r>
      <w:r w:rsidR="00E8239E">
        <w:rPr>
          <w:rFonts w:ascii="Times New Roman" w:hAnsi="Times New Roman"/>
        </w:rPr>
        <w:t>power cost model simulate</w:t>
      </w:r>
      <w:r w:rsidR="00A34681">
        <w:rPr>
          <w:rFonts w:ascii="Times New Roman" w:hAnsi="Times New Roman"/>
        </w:rPr>
        <w:t>s</w:t>
      </w:r>
      <w:r w:rsidR="00E8239E">
        <w:rPr>
          <w:rFonts w:ascii="Times New Roman" w:hAnsi="Times New Roman"/>
        </w:rPr>
        <w:t xml:space="preserve"> operations it uses marginal fuel </w:t>
      </w:r>
      <w:r w:rsidR="00F708BE">
        <w:rPr>
          <w:rFonts w:ascii="Times New Roman" w:hAnsi="Times New Roman"/>
        </w:rPr>
        <w:t>and</w:t>
      </w:r>
      <w:r w:rsidR="00E8239E">
        <w:rPr>
          <w:rFonts w:ascii="Times New Roman" w:hAnsi="Times New Roman"/>
        </w:rPr>
        <w:t xml:space="preserve"> variable O&amp;M cost</w:t>
      </w:r>
      <w:r w:rsidR="00A34681">
        <w:rPr>
          <w:rFonts w:ascii="Times New Roman" w:hAnsi="Times New Roman"/>
        </w:rPr>
        <w:t>s</w:t>
      </w:r>
      <w:r w:rsidR="00E8239E">
        <w:rPr>
          <w:rFonts w:ascii="Times New Roman" w:hAnsi="Times New Roman"/>
        </w:rPr>
        <w:t xml:space="preserve"> to make dispatch decisions and therefore set the marginal market price. However in the spring months</w:t>
      </w:r>
      <w:r w:rsidR="008926E1">
        <w:rPr>
          <w:rFonts w:ascii="Times New Roman" w:hAnsi="Times New Roman"/>
        </w:rPr>
        <w:t>,</w:t>
      </w:r>
      <w:r w:rsidR="00E8239E">
        <w:rPr>
          <w:rFonts w:ascii="Times New Roman" w:hAnsi="Times New Roman"/>
        </w:rPr>
        <w:t xml:space="preserve"> when hydro runoff is high and loads are low</w:t>
      </w:r>
      <w:r w:rsidR="008926E1">
        <w:rPr>
          <w:rFonts w:ascii="Times New Roman" w:hAnsi="Times New Roman"/>
        </w:rPr>
        <w:t>,</w:t>
      </w:r>
      <w:r w:rsidR="00E8239E">
        <w:rPr>
          <w:rFonts w:ascii="Times New Roman" w:hAnsi="Times New Roman"/>
        </w:rPr>
        <w:t xml:space="preserve"> the </w:t>
      </w:r>
      <w:r w:rsidR="008926E1">
        <w:rPr>
          <w:rFonts w:ascii="Times New Roman" w:hAnsi="Times New Roman"/>
        </w:rPr>
        <w:t>N</w:t>
      </w:r>
      <w:r w:rsidR="00E8239E">
        <w:rPr>
          <w:rFonts w:ascii="Times New Roman" w:hAnsi="Times New Roman"/>
        </w:rPr>
        <w:t xml:space="preserve">orthwest power market may experience an oversupply of resources. </w:t>
      </w:r>
      <w:r w:rsidR="00F151FD">
        <w:rPr>
          <w:rFonts w:ascii="Times New Roman" w:hAnsi="Times New Roman"/>
        </w:rPr>
        <w:t xml:space="preserve"> </w:t>
      </w:r>
      <w:r w:rsidR="00E8239E">
        <w:rPr>
          <w:rFonts w:ascii="Times New Roman" w:hAnsi="Times New Roman"/>
        </w:rPr>
        <w:t>In these events</w:t>
      </w:r>
      <w:r w:rsidR="008926E1">
        <w:rPr>
          <w:rFonts w:ascii="Times New Roman" w:hAnsi="Times New Roman"/>
        </w:rPr>
        <w:t>,</w:t>
      </w:r>
      <w:r w:rsidR="00E8239E">
        <w:rPr>
          <w:rFonts w:ascii="Times New Roman" w:hAnsi="Times New Roman"/>
        </w:rPr>
        <w:t xml:space="preserve"> without adjustments to hydro’s dispatch price, the </w:t>
      </w:r>
      <w:r w:rsidR="003668B1">
        <w:rPr>
          <w:rFonts w:ascii="Times New Roman" w:hAnsi="Times New Roman"/>
        </w:rPr>
        <w:t>AURORA</w:t>
      </w:r>
      <w:r w:rsidR="003668B1" w:rsidRPr="003668B1">
        <w:rPr>
          <w:rFonts w:ascii="Times New Roman" w:hAnsi="Times New Roman"/>
          <w:vertAlign w:val="subscript"/>
        </w:rPr>
        <w:t>XMP</w:t>
      </w:r>
      <w:r w:rsidR="00E8239E">
        <w:rPr>
          <w:rFonts w:ascii="Times New Roman" w:hAnsi="Times New Roman"/>
        </w:rPr>
        <w:t xml:space="preserve"> model will spill the hydro energy</w:t>
      </w:r>
      <w:r w:rsidR="00A34681">
        <w:rPr>
          <w:rFonts w:ascii="Times New Roman" w:hAnsi="Times New Roman"/>
        </w:rPr>
        <w:t xml:space="preserve"> given its zero cost. </w:t>
      </w:r>
      <w:r w:rsidR="00F151FD">
        <w:rPr>
          <w:rFonts w:ascii="Times New Roman" w:hAnsi="Times New Roman"/>
        </w:rPr>
        <w:t xml:space="preserve"> </w:t>
      </w:r>
      <w:r w:rsidR="00A34681">
        <w:rPr>
          <w:rFonts w:ascii="Times New Roman" w:hAnsi="Times New Roman"/>
        </w:rPr>
        <w:t>Further, this assumption</w:t>
      </w:r>
      <w:r w:rsidR="00E8239E">
        <w:rPr>
          <w:rFonts w:ascii="Times New Roman" w:hAnsi="Times New Roman"/>
        </w:rPr>
        <w:t xml:space="preserve"> does not allow the </w:t>
      </w:r>
      <w:r w:rsidR="003668B1">
        <w:rPr>
          <w:rFonts w:ascii="Times New Roman" w:hAnsi="Times New Roman"/>
        </w:rPr>
        <w:t>AURORA</w:t>
      </w:r>
      <w:r w:rsidR="003668B1" w:rsidRPr="003668B1">
        <w:rPr>
          <w:rFonts w:ascii="Times New Roman" w:hAnsi="Times New Roman"/>
          <w:vertAlign w:val="subscript"/>
        </w:rPr>
        <w:t>XMP</w:t>
      </w:r>
      <w:r w:rsidR="00E8239E">
        <w:rPr>
          <w:rFonts w:ascii="Times New Roman" w:hAnsi="Times New Roman"/>
        </w:rPr>
        <w:t xml:space="preserve"> model to reflect below</w:t>
      </w:r>
      <w:r w:rsidR="00F708BE">
        <w:rPr>
          <w:rFonts w:ascii="Times New Roman" w:hAnsi="Times New Roman"/>
        </w:rPr>
        <w:t>-</w:t>
      </w:r>
      <w:r w:rsidR="00E8239E">
        <w:rPr>
          <w:rFonts w:ascii="Times New Roman" w:hAnsi="Times New Roman"/>
        </w:rPr>
        <w:t xml:space="preserve">zero market prices as seen in our </w:t>
      </w:r>
      <w:r w:rsidR="00534839">
        <w:rPr>
          <w:rFonts w:ascii="Times New Roman" w:hAnsi="Times New Roman"/>
        </w:rPr>
        <w:t xml:space="preserve">power </w:t>
      </w:r>
      <w:r w:rsidR="00E8239E">
        <w:rPr>
          <w:rFonts w:ascii="Times New Roman" w:hAnsi="Times New Roman"/>
        </w:rPr>
        <w:t>markets.</w:t>
      </w:r>
      <w:r w:rsidR="00F151FD">
        <w:rPr>
          <w:rFonts w:ascii="Times New Roman" w:hAnsi="Times New Roman"/>
        </w:rPr>
        <w:t xml:space="preserve"> </w:t>
      </w:r>
      <w:r w:rsidR="00E8239E">
        <w:rPr>
          <w:rFonts w:ascii="Times New Roman" w:hAnsi="Times New Roman"/>
        </w:rPr>
        <w:t xml:space="preserve"> By including a negative bidding </w:t>
      </w:r>
      <w:r w:rsidR="00E8239E">
        <w:rPr>
          <w:rFonts w:ascii="Times New Roman" w:hAnsi="Times New Roman"/>
        </w:rPr>
        <w:lastRenderedPageBreak/>
        <w:t xml:space="preserve">adder or </w:t>
      </w:r>
      <w:r w:rsidR="0016323A">
        <w:rPr>
          <w:rFonts w:ascii="Times New Roman" w:hAnsi="Times New Roman"/>
        </w:rPr>
        <w:t>“</w:t>
      </w:r>
      <w:r w:rsidR="00E8239E">
        <w:rPr>
          <w:rFonts w:ascii="Times New Roman" w:hAnsi="Times New Roman"/>
        </w:rPr>
        <w:t>Var Cost Mod1</w:t>
      </w:r>
      <w:r w:rsidR="0016323A">
        <w:rPr>
          <w:rFonts w:ascii="Times New Roman" w:hAnsi="Times New Roman"/>
        </w:rPr>
        <w:t>”</w:t>
      </w:r>
      <w:r w:rsidR="00E8239E">
        <w:rPr>
          <w:rFonts w:ascii="Times New Roman" w:hAnsi="Times New Roman"/>
        </w:rPr>
        <w:t xml:space="preserve"> adjustment</w:t>
      </w:r>
      <w:r w:rsidR="008926E1">
        <w:rPr>
          <w:rFonts w:ascii="Times New Roman" w:hAnsi="Times New Roman"/>
        </w:rPr>
        <w:t>,</w:t>
      </w:r>
      <w:r w:rsidR="00E8239E">
        <w:rPr>
          <w:rFonts w:ascii="Times New Roman" w:hAnsi="Times New Roman"/>
        </w:rPr>
        <w:t xml:space="preserve"> this effectively lowers the dispatch price of hydro</w:t>
      </w:r>
      <w:r w:rsidR="00A34681">
        <w:rPr>
          <w:rFonts w:ascii="Times New Roman" w:hAnsi="Times New Roman"/>
        </w:rPr>
        <w:t xml:space="preserve"> resources</w:t>
      </w:r>
      <w:r w:rsidR="00E8239E">
        <w:rPr>
          <w:rFonts w:ascii="Times New Roman" w:hAnsi="Times New Roman"/>
        </w:rPr>
        <w:t xml:space="preserve"> to </w:t>
      </w:r>
      <w:r w:rsidR="00A34681">
        <w:rPr>
          <w:rFonts w:ascii="Times New Roman" w:hAnsi="Times New Roman"/>
        </w:rPr>
        <w:t>prevent</w:t>
      </w:r>
      <w:r w:rsidR="00E8239E">
        <w:rPr>
          <w:rFonts w:ascii="Times New Roman" w:hAnsi="Times New Roman"/>
        </w:rPr>
        <w:t xml:space="preserve"> spill</w:t>
      </w:r>
      <w:r w:rsidR="00A34681">
        <w:rPr>
          <w:rFonts w:ascii="Times New Roman" w:hAnsi="Times New Roman"/>
        </w:rPr>
        <w:t>ing</w:t>
      </w:r>
      <w:r w:rsidR="00E8239E">
        <w:rPr>
          <w:rFonts w:ascii="Times New Roman" w:hAnsi="Times New Roman"/>
        </w:rPr>
        <w:t xml:space="preserve"> its energy and</w:t>
      </w:r>
      <w:r w:rsidR="00EE3FCE">
        <w:rPr>
          <w:rFonts w:ascii="Times New Roman" w:hAnsi="Times New Roman"/>
        </w:rPr>
        <w:t>,</w:t>
      </w:r>
      <w:r w:rsidR="00E8239E">
        <w:rPr>
          <w:rFonts w:ascii="Times New Roman" w:hAnsi="Times New Roman"/>
        </w:rPr>
        <w:t xml:space="preserve"> </w:t>
      </w:r>
      <w:r w:rsidR="00A34681">
        <w:rPr>
          <w:rFonts w:ascii="Times New Roman" w:hAnsi="Times New Roman"/>
        </w:rPr>
        <w:t>therefore</w:t>
      </w:r>
      <w:r w:rsidR="00EE3FCE">
        <w:rPr>
          <w:rFonts w:ascii="Times New Roman" w:hAnsi="Times New Roman"/>
        </w:rPr>
        <w:t>,</w:t>
      </w:r>
      <w:r w:rsidR="00A34681">
        <w:rPr>
          <w:rFonts w:ascii="Times New Roman" w:hAnsi="Times New Roman"/>
        </w:rPr>
        <w:t xml:space="preserve"> </w:t>
      </w:r>
      <w:r w:rsidR="00E8239E">
        <w:rPr>
          <w:rFonts w:ascii="Times New Roman" w:hAnsi="Times New Roman"/>
        </w:rPr>
        <w:t>use the negative dispatch price of wind facilities to set the market price.</w:t>
      </w:r>
    </w:p>
    <w:p w:rsidR="00E8239E" w:rsidRPr="00BD4B85" w:rsidRDefault="00E8239E" w:rsidP="00E8239E">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Pr>
          <w:rFonts w:ascii="Times New Roman" w:hAnsi="Times New Roman"/>
          <w:b/>
          <w:bCs/>
        </w:rPr>
        <w:t xml:space="preserve">Why </w:t>
      </w:r>
      <w:r w:rsidR="00866E03">
        <w:rPr>
          <w:rFonts w:ascii="Times New Roman" w:hAnsi="Times New Roman"/>
          <w:b/>
          <w:bCs/>
        </w:rPr>
        <w:t>are</w:t>
      </w:r>
      <w:r w:rsidR="00D16C75">
        <w:rPr>
          <w:rFonts w:ascii="Times New Roman" w:hAnsi="Times New Roman"/>
          <w:b/>
          <w:bCs/>
        </w:rPr>
        <w:t xml:space="preserve"> </w:t>
      </w:r>
      <w:r>
        <w:rPr>
          <w:rFonts w:ascii="Times New Roman" w:hAnsi="Times New Roman"/>
          <w:b/>
          <w:bCs/>
        </w:rPr>
        <w:t xml:space="preserve">wind </w:t>
      </w:r>
      <w:r w:rsidR="00D16C75">
        <w:rPr>
          <w:rFonts w:ascii="Times New Roman" w:hAnsi="Times New Roman"/>
          <w:b/>
          <w:bCs/>
        </w:rPr>
        <w:t xml:space="preserve">facility </w:t>
      </w:r>
      <w:r>
        <w:rPr>
          <w:rFonts w:ascii="Times New Roman" w:hAnsi="Times New Roman"/>
          <w:b/>
          <w:bCs/>
        </w:rPr>
        <w:t>dispatch price</w:t>
      </w:r>
      <w:r w:rsidR="00866E03">
        <w:rPr>
          <w:rFonts w:ascii="Times New Roman" w:hAnsi="Times New Roman"/>
          <w:b/>
          <w:bCs/>
        </w:rPr>
        <w:t>s</w:t>
      </w:r>
      <w:r>
        <w:rPr>
          <w:rFonts w:ascii="Times New Roman" w:hAnsi="Times New Roman"/>
          <w:b/>
          <w:bCs/>
        </w:rPr>
        <w:t xml:space="preserve"> negative?</w:t>
      </w:r>
    </w:p>
    <w:p w:rsidR="00E8239E" w:rsidRDefault="00E8239E" w:rsidP="00E8239E">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Pr>
          <w:rFonts w:ascii="Times New Roman" w:hAnsi="Times New Roman"/>
        </w:rPr>
        <w:t xml:space="preserve">Avista makes similar adjustments to wind (and solar) facilitates in </w:t>
      </w:r>
      <w:r w:rsidR="003668B1">
        <w:rPr>
          <w:rFonts w:ascii="Times New Roman" w:hAnsi="Times New Roman"/>
        </w:rPr>
        <w:t>AURORA</w:t>
      </w:r>
      <w:r w:rsidR="003668B1" w:rsidRPr="003668B1">
        <w:rPr>
          <w:rFonts w:ascii="Times New Roman" w:hAnsi="Times New Roman"/>
          <w:vertAlign w:val="subscript"/>
        </w:rPr>
        <w:t>XMP</w:t>
      </w:r>
      <w:r>
        <w:rPr>
          <w:rFonts w:ascii="Times New Roman" w:hAnsi="Times New Roman"/>
        </w:rPr>
        <w:t xml:space="preserve"> in the </w:t>
      </w:r>
      <w:r w:rsidR="0016323A">
        <w:rPr>
          <w:rFonts w:ascii="Times New Roman" w:hAnsi="Times New Roman"/>
        </w:rPr>
        <w:t>“</w:t>
      </w:r>
      <w:r>
        <w:rPr>
          <w:rFonts w:ascii="Times New Roman" w:hAnsi="Times New Roman"/>
        </w:rPr>
        <w:t>Var Cost Mod1</w:t>
      </w:r>
      <w:r w:rsidR="0016323A">
        <w:rPr>
          <w:rFonts w:ascii="Times New Roman" w:hAnsi="Times New Roman"/>
        </w:rPr>
        <w:t xml:space="preserve">” </w:t>
      </w:r>
      <w:r>
        <w:rPr>
          <w:rFonts w:ascii="Times New Roman" w:hAnsi="Times New Roman"/>
        </w:rPr>
        <w:t>variable to reflect production tax credits, renewable energy credit values, or fixed PPA pricing.</w:t>
      </w:r>
      <w:r w:rsidR="00F708BE">
        <w:rPr>
          <w:rFonts w:ascii="Times New Roman" w:hAnsi="Times New Roman"/>
        </w:rPr>
        <w:t xml:space="preserve">  Absent these adjustments, energy from these resources would be spilled</w:t>
      </w:r>
      <w:r w:rsidR="008926E1">
        <w:rPr>
          <w:rFonts w:ascii="Times New Roman" w:hAnsi="Times New Roman"/>
        </w:rPr>
        <w:t>,</w:t>
      </w:r>
      <w:r w:rsidR="00F708BE">
        <w:rPr>
          <w:rFonts w:ascii="Times New Roman" w:hAnsi="Times New Roman"/>
        </w:rPr>
        <w:t xml:space="preserve"> as with hydro</w:t>
      </w:r>
      <w:r w:rsidR="008926E1">
        <w:rPr>
          <w:rFonts w:ascii="Times New Roman" w:hAnsi="Times New Roman"/>
        </w:rPr>
        <w:t>,</w:t>
      </w:r>
      <w:r w:rsidR="00F708BE">
        <w:rPr>
          <w:rFonts w:ascii="Times New Roman" w:hAnsi="Times New Roman"/>
        </w:rPr>
        <w:t xml:space="preserve"> even though they operate in negative market price conditions to capture production tax credits, renewable energy credit values, and fixed PPA pricing.</w:t>
      </w:r>
    </w:p>
    <w:p w:rsidR="0016323A" w:rsidRPr="00BD4B85" w:rsidRDefault="0016323A" w:rsidP="0016323A">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Pr>
          <w:rFonts w:ascii="Times New Roman" w:hAnsi="Times New Roman"/>
          <w:b/>
          <w:bCs/>
        </w:rPr>
        <w:t xml:space="preserve">Why do you not want hydro projects to spill in </w:t>
      </w:r>
      <w:r w:rsidR="003668B1">
        <w:rPr>
          <w:rFonts w:ascii="Times New Roman" w:hAnsi="Times New Roman"/>
          <w:b/>
          <w:bCs/>
        </w:rPr>
        <w:t>AURORA</w:t>
      </w:r>
      <w:r w:rsidR="003668B1" w:rsidRPr="003668B1">
        <w:rPr>
          <w:rFonts w:ascii="Times New Roman" w:hAnsi="Times New Roman"/>
          <w:b/>
          <w:bCs/>
          <w:vertAlign w:val="subscript"/>
        </w:rPr>
        <w:t>XMP</w:t>
      </w:r>
      <w:r>
        <w:rPr>
          <w:rFonts w:ascii="Times New Roman" w:hAnsi="Times New Roman"/>
          <w:b/>
          <w:bCs/>
        </w:rPr>
        <w:t>?</w:t>
      </w:r>
    </w:p>
    <w:p w:rsidR="00C423B0" w:rsidRDefault="0016323A" w:rsidP="0016323A">
      <w:pPr>
        <w:pStyle w:val="TestBody"/>
        <w:tabs>
          <w:tab w:val="num" w:pos="720"/>
        </w:tabs>
        <w:spacing w:line="480" w:lineRule="auto"/>
        <w:ind w:left="0" w:firstLine="720"/>
        <w:rPr>
          <w:rFonts w:ascii="Times New Roman" w:hAnsi="Times New Roman"/>
          <w:b/>
          <w:bCs/>
        </w:rPr>
      </w:pPr>
      <w:r w:rsidRPr="00BD4B85">
        <w:rPr>
          <w:rFonts w:ascii="Times New Roman" w:hAnsi="Times New Roman"/>
        </w:rPr>
        <w:t>A.</w:t>
      </w:r>
      <w:r w:rsidRPr="00BD4B85">
        <w:rPr>
          <w:rFonts w:ascii="Times New Roman" w:hAnsi="Times New Roman"/>
        </w:rPr>
        <w:tab/>
      </w:r>
      <w:r>
        <w:rPr>
          <w:rFonts w:ascii="Times New Roman" w:hAnsi="Times New Roman"/>
        </w:rPr>
        <w:t xml:space="preserve">Most hydro projects in the Northwest are obligated to use all water </w:t>
      </w:r>
      <w:r w:rsidR="008926E1">
        <w:rPr>
          <w:rFonts w:ascii="Times New Roman" w:hAnsi="Times New Roman"/>
        </w:rPr>
        <w:t xml:space="preserve">that is </w:t>
      </w:r>
      <w:r>
        <w:rPr>
          <w:rFonts w:ascii="Times New Roman" w:hAnsi="Times New Roman"/>
        </w:rPr>
        <w:t xml:space="preserve">able to pass through </w:t>
      </w:r>
      <w:r w:rsidR="00F708BE">
        <w:rPr>
          <w:rFonts w:ascii="Times New Roman" w:hAnsi="Times New Roman"/>
        </w:rPr>
        <w:t>the</w:t>
      </w:r>
      <w:r>
        <w:rPr>
          <w:rFonts w:ascii="Times New Roman" w:hAnsi="Times New Roman"/>
        </w:rPr>
        <w:t xml:space="preserve"> powerhouse </w:t>
      </w:r>
      <w:r w:rsidR="008926E1">
        <w:rPr>
          <w:rFonts w:ascii="Times New Roman" w:hAnsi="Times New Roman"/>
        </w:rPr>
        <w:t xml:space="preserve">in an effort </w:t>
      </w:r>
      <w:r>
        <w:rPr>
          <w:rFonts w:ascii="Times New Roman" w:hAnsi="Times New Roman"/>
        </w:rPr>
        <w:t>to lower Total Dissolved Gas (</w:t>
      </w:r>
      <w:r w:rsidR="00F708BE">
        <w:rPr>
          <w:rFonts w:ascii="Times New Roman" w:hAnsi="Times New Roman"/>
        </w:rPr>
        <w:t>“</w:t>
      </w:r>
      <w:r>
        <w:rPr>
          <w:rFonts w:ascii="Times New Roman" w:hAnsi="Times New Roman"/>
        </w:rPr>
        <w:t>TDG</w:t>
      </w:r>
      <w:r w:rsidR="00F708BE">
        <w:rPr>
          <w:rFonts w:ascii="Times New Roman" w:hAnsi="Times New Roman"/>
        </w:rPr>
        <w:t>”</w:t>
      </w:r>
      <w:r>
        <w:rPr>
          <w:rFonts w:ascii="Times New Roman" w:hAnsi="Times New Roman"/>
        </w:rPr>
        <w:t>).</w:t>
      </w:r>
      <w:r w:rsidR="00F151FD">
        <w:rPr>
          <w:rFonts w:ascii="Times New Roman" w:hAnsi="Times New Roman"/>
        </w:rPr>
        <w:t xml:space="preserve"> </w:t>
      </w:r>
      <w:r>
        <w:rPr>
          <w:rFonts w:ascii="Times New Roman" w:hAnsi="Times New Roman"/>
        </w:rPr>
        <w:t xml:space="preserve"> If hydro projects spill excess water over the spillway hydro TDG will be created</w:t>
      </w:r>
      <w:r w:rsidR="00A34681">
        <w:rPr>
          <w:rFonts w:ascii="Times New Roman" w:hAnsi="Times New Roman"/>
        </w:rPr>
        <w:t>,</w:t>
      </w:r>
      <w:r>
        <w:rPr>
          <w:rFonts w:ascii="Times New Roman" w:hAnsi="Times New Roman"/>
        </w:rPr>
        <w:t xml:space="preserve"> potentially violating water quality restrictions.</w:t>
      </w:r>
    </w:p>
    <w:p w:rsidR="0016323A" w:rsidRPr="00BD4B85" w:rsidRDefault="00866E03" w:rsidP="0016323A">
      <w:pPr>
        <w:pStyle w:val="TestBody"/>
        <w:tabs>
          <w:tab w:val="num" w:pos="720"/>
        </w:tabs>
        <w:spacing w:line="480" w:lineRule="auto"/>
        <w:ind w:left="0" w:firstLine="720"/>
        <w:rPr>
          <w:rFonts w:ascii="Times New Roman" w:hAnsi="Times New Roman"/>
          <w:b/>
          <w:bCs/>
        </w:rPr>
      </w:pPr>
      <w:r>
        <w:rPr>
          <w:rFonts w:ascii="Times New Roman" w:hAnsi="Times New Roman"/>
          <w:b/>
          <w:bCs/>
        </w:rPr>
        <w:t>Q.</w:t>
      </w:r>
      <w:r>
        <w:rPr>
          <w:rFonts w:ascii="Times New Roman" w:hAnsi="Times New Roman"/>
          <w:b/>
          <w:bCs/>
        </w:rPr>
        <w:tab/>
      </w:r>
      <w:r w:rsidR="0016323A">
        <w:rPr>
          <w:rFonts w:ascii="Times New Roman" w:hAnsi="Times New Roman"/>
          <w:b/>
          <w:bCs/>
        </w:rPr>
        <w:t>Why do you cho</w:t>
      </w:r>
      <w:r w:rsidR="00A34681">
        <w:rPr>
          <w:rFonts w:ascii="Times New Roman" w:hAnsi="Times New Roman"/>
          <w:b/>
          <w:bCs/>
        </w:rPr>
        <w:t>o</w:t>
      </w:r>
      <w:r w:rsidR="0016323A">
        <w:rPr>
          <w:rFonts w:ascii="Times New Roman" w:hAnsi="Times New Roman"/>
          <w:b/>
          <w:bCs/>
        </w:rPr>
        <w:t xml:space="preserve">se </w:t>
      </w:r>
      <w:r w:rsidR="008926E1">
        <w:rPr>
          <w:rFonts w:ascii="Times New Roman" w:hAnsi="Times New Roman"/>
          <w:b/>
          <w:bCs/>
        </w:rPr>
        <w:t xml:space="preserve">negative </w:t>
      </w:r>
      <w:r w:rsidR="0016323A">
        <w:rPr>
          <w:rFonts w:ascii="Times New Roman" w:hAnsi="Times New Roman"/>
          <w:b/>
          <w:bCs/>
        </w:rPr>
        <w:t xml:space="preserve">$45/MWh for regional hydro bidding adder and </w:t>
      </w:r>
      <w:r w:rsidR="008926E1">
        <w:rPr>
          <w:rFonts w:ascii="Times New Roman" w:hAnsi="Times New Roman"/>
          <w:b/>
          <w:bCs/>
        </w:rPr>
        <w:t xml:space="preserve">negative </w:t>
      </w:r>
      <w:r w:rsidR="0016323A">
        <w:rPr>
          <w:rFonts w:ascii="Times New Roman" w:hAnsi="Times New Roman"/>
          <w:b/>
          <w:bCs/>
        </w:rPr>
        <w:t>$75/MWh for Avista hydro facilities?</w:t>
      </w:r>
    </w:p>
    <w:p w:rsidR="00107C5D" w:rsidRDefault="0016323A" w:rsidP="0016323A">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Pr>
          <w:rFonts w:ascii="Times New Roman" w:hAnsi="Times New Roman"/>
        </w:rPr>
        <w:t>These values are selected to make hydro resource</w:t>
      </w:r>
      <w:r w:rsidR="00F708BE">
        <w:rPr>
          <w:rFonts w:ascii="Times New Roman" w:hAnsi="Times New Roman"/>
        </w:rPr>
        <w:t>s the</w:t>
      </w:r>
      <w:r>
        <w:rPr>
          <w:rFonts w:ascii="Times New Roman" w:hAnsi="Times New Roman"/>
        </w:rPr>
        <w:t xml:space="preserve"> last to dispatch off in event</w:t>
      </w:r>
      <w:r w:rsidR="00F708BE">
        <w:rPr>
          <w:rFonts w:ascii="Times New Roman" w:hAnsi="Times New Roman"/>
        </w:rPr>
        <w:t>s</w:t>
      </w:r>
      <w:r>
        <w:rPr>
          <w:rFonts w:ascii="Times New Roman" w:hAnsi="Times New Roman"/>
        </w:rPr>
        <w:t xml:space="preserve"> of low load and</w:t>
      </w:r>
      <w:r w:rsidR="00F708BE">
        <w:rPr>
          <w:rFonts w:ascii="Times New Roman" w:hAnsi="Times New Roman"/>
        </w:rPr>
        <w:t>/or</w:t>
      </w:r>
      <w:r>
        <w:rPr>
          <w:rFonts w:ascii="Times New Roman" w:hAnsi="Times New Roman"/>
        </w:rPr>
        <w:t xml:space="preserve"> high hydro conditions.</w:t>
      </w:r>
      <w:r w:rsidR="00A34681">
        <w:rPr>
          <w:rFonts w:ascii="Times New Roman" w:hAnsi="Times New Roman"/>
        </w:rPr>
        <w:t xml:space="preserve"> </w:t>
      </w:r>
      <w:r w:rsidR="00F151FD">
        <w:rPr>
          <w:rFonts w:ascii="Times New Roman" w:hAnsi="Times New Roman"/>
        </w:rPr>
        <w:t xml:space="preserve"> </w:t>
      </w:r>
      <w:r w:rsidR="00A34681">
        <w:rPr>
          <w:rFonts w:ascii="Times New Roman" w:hAnsi="Times New Roman"/>
        </w:rPr>
        <w:t xml:space="preserve">These are the price levels required to overcome production tax credits, REC values, and </w:t>
      </w:r>
      <w:r w:rsidR="00F708BE">
        <w:rPr>
          <w:rFonts w:ascii="Times New Roman" w:hAnsi="Times New Roman"/>
        </w:rPr>
        <w:t xml:space="preserve">must-run </w:t>
      </w:r>
      <w:r w:rsidR="00A34681">
        <w:rPr>
          <w:rFonts w:ascii="Times New Roman" w:hAnsi="Times New Roman"/>
        </w:rPr>
        <w:t>PPA</w:t>
      </w:r>
      <w:r w:rsidR="003668B1">
        <w:rPr>
          <w:rFonts w:ascii="Times New Roman" w:hAnsi="Times New Roman"/>
        </w:rPr>
        <w:t xml:space="preserve"> </w:t>
      </w:r>
      <w:r w:rsidR="00F708BE">
        <w:rPr>
          <w:rFonts w:ascii="Times New Roman" w:hAnsi="Times New Roman"/>
        </w:rPr>
        <w:t>contracts</w:t>
      </w:r>
      <w:r w:rsidR="00A34681">
        <w:rPr>
          <w:rFonts w:ascii="Times New Roman" w:hAnsi="Times New Roman"/>
        </w:rPr>
        <w:t>.</w:t>
      </w:r>
      <w:r>
        <w:rPr>
          <w:rFonts w:ascii="Times New Roman" w:hAnsi="Times New Roman"/>
        </w:rPr>
        <w:t xml:space="preserve"> </w:t>
      </w:r>
      <w:r w:rsidR="00F151FD">
        <w:rPr>
          <w:rFonts w:ascii="Times New Roman" w:hAnsi="Times New Roman"/>
        </w:rPr>
        <w:t xml:space="preserve"> </w:t>
      </w:r>
      <w:r>
        <w:rPr>
          <w:rFonts w:ascii="Times New Roman" w:hAnsi="Times New Roman"/>
        </w:rPr>
        <w:t xml:space="preserve">Avista </w:t>
      </w:r>
      <w:r w:rsidR="00A34681">
        <w:rPr>
          <w:rFonts w:ascii="Times New Roman" w:hAnsi="Times New Roman"/>
        </w:rPr>
        <w:t>lower</w:t>
      </w:r>
      <w:r w:rsidR="00534839">
        <w:rPr>
          <w:rFonts w:ascii="Times New Roman" w:hAnsi="Times New Roman"/>
        </w:rPr>
        <w:t>ed</w:t>
      </w:r>
      <w:r w:rsidR="00A34681">
        <w:rPr>
          <w:rFonts w:ascii="Times New Roman" w:hAnsi="Times New Roman"/>
        </w:rPr>
        <w:t xml:space="preserve"> the</w:t>
      </w:r>
      <w:r>
        <w:rPr>
          <w:rFonts w:ascii="Times New Roman" w:hAnsi="Times New Roman"/>
        </w:rPr>
        <w:t xml:space="preserve"> negative bidding adders </w:t>
      </w:r>
      <w:r w:rsidR="00A34681">
        <w:rPr>
          <w:rFonts w:ascii="Times New Roman" w:hAnsi="Times New Roman"/>
        </w:rPr>
        <w:t>to create a supply cu</w:t>
      </w:r>
      <w:r>
        <w:rPr>
          <w:rFonts w:ascii="Times New Roman" w:hAnsi="Times New Roman"/>
        </w:rPr>
        <w:t xml:space="preserve">rve to account for the ability for some hydro resources </w:t>
      </w:r>
      <w:r w:rsidR="00F708BE">
        <w:rPr>
          <w:rFonts w:ascii="Times New Roman" w:hAnsi="Times New Roman"/>
        </w:rPr>
        <w:t xml:space="preserve">known to have some </w:t>
      </w:r>
      <w:r>
        <w:rPr>
          <w:rFonts w:ascii="Times New Roman" w:hAnsi="Times New Roman"/>
        </w:rPr>
        <w:t xml:space="preserve">spill </w:t>
      </w:r>
      <w:r w:rsidR="00F708BE">
        <w:rPr>
          <w:rFonts w:ascii="Times New Roman" w:hAnsi="Times New Roman"/>
        </w:rPr>
        <w:t xml:space="preserve">capability </w:t>
      </w:r>
      <w:r>
        <w:rPr>
          <w:rFonts w:ascii="Times New Roman" w:hAnsi="Times New Roman"/>
        </w:rPr>
        <w:t xml:space="preserve">and </w:t>
      </w:r>
      <w:r w:rsidR="00534839">
        <w:rPr>
          <w:rFonts w:ascii="Times New Roman" w:hAnsi="Times New Roman"/>
        </w:rPr>
        <w:t xml:space="preserve">to </w:t>
      </w:r>
      <w:r>
        <w:rPr>
          <w:rFonts w:ascii="Times New Roman" w:hAnsi="Times New Roman"/>
        </w:rPr>
        <w:t>not allow the model to go to negative $45/MWh.</w:t>
      </w:r>
    </w:p>
    <w:p w:rsidR="0016323A" w:rsidRPr="00BD4B85" w:rsidRDefault="0016323A" w:rsidP="0016323A">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lastRenderedPageBreak/>
        <w:t>Q.</w:t>
      </w:r>
      <w:r w:rsidRPr="00BD4B85">
        <w:rPr>
          <w:rFonts w:ascii="Times New Roman" w:hAnsi="Times New Roman"/>
          <w:b/>
          <w:bCs/>
        </w:rPr>
        <w:tab/>
      </w:r>
      <w:r>
        <w:rPr>
          <w:rFonts w:ascii="Times New Roman" w:hAnsi="Times New Roman"/>
          <w:b/>
          <w:bCs/>
        </w:rPr>
        <w:t xml:space="preserve">Without these adjustments can </w:t>
      </w:r>
      <w:r w:rsidR="003668B1">
        <w:rPr>
          <w:rFonts w:ascii="Times New Roman" w:hAnsi="Times New Roman"/>
          <w:b/>
          <w:bCs/>
        </w:rPr>
        <w:t>AURORA</w:t>
      </w:r>
      <w:r w:rsidR="003668B1" w:rsidRPr="003668B1">
        <w:rPr>
          <w:rFonts w:ascii="Times New Roman" w:hAnsi="Times New Roman"/>
          <w:b/>
          <w:bCs/>
          <w:vertAlign w:val="subscript"/>
        </w:rPr>
        <w:t>XMP</w:t>
      </w:r>
      <w:r w:rsidR="00F708BE">
        <w:rPr>
          <w:rFonts w:ascii="Times New Roman" w:hAnsi="Times New Roman"/>
          <w:b/>
          <w:bCs/>
        </w:rPr>
        <w:t xml:space="preserve"> reflect negative prices and actual and expected market conditions, including the operation of hydro and other renewable resources during oversupply conditions</w:t>
      </w:r>
      <w:r>
        <w:rPr>
          <w:rFonts w:ascii="Times New Roman" w:hAnsi="Times New Roman"/>
          <w:b/>
          <w:bCs/>
        </w:rPr>
        <w:t>?</w:t>
      </w:r>
    </w:p>
    <w:p w:rsidR="0016323A" w:rsidRDefault="0016323A" w:rsidP="0016323A">
      <w:pPr>
        <w:pStyle w:val="TestBody"/>
        <w:tabs>
          <w:tab w:val="num" w:pos="720"/>
        </w:tabs>
        <w:spacing w:line="480" w:lineRule="auto"/>
        <w:ind w:left="0" w:firstLine="720"/>
        <w:rPr>
          <w:bCs/>
        </w:rPr>
      </w:pPr>
      <w:r w:rsidRPr="00BD4B85">
        <w:rPr>
          <w:rFonts w:ascii="Times New Roman" w:hAnsi="Times New Roman"/>
        </w:rPr>
        <w:t>A.</w:t>
      </w:r>
      <w:r w:rsidRPr="00BD4B85">
        <w:rPr>
          <w:rFonts w:ascii="Times New Roman" w:hAnsi="Times New Roman"/>
        </w:rPr>
        <w:tab/>
      </w:r>
      <w:r>
        <w:rPr>
          <w:rFonts w:ascii="Times New Roman" w:hAnsi="Times New Roman"/>
        </w:rPr>
        <w:t>No.</w:t>
      </w:r>
    </w:p>
    <w:p w:rsidR="0016323A" w:rsidRPr="00BD4B85" w:rsidRDefault="0016323A" w:rsidP="0016323A">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Pr>
          <w:rFonts w:ascii="Times New Roman" w:hAnsi="Times New Roman"/>
          <w:b/>
          <w:bCs/>
        </w:rPr>
        <w:t>Can you provide how many hours prices at the Mid-Columbia have gone negative?</w:t>
      </w:r>
    </w:p>
    <w:p w:rsidR="0016323A" w:rsidRDefault="0016323A" w:rsidP="0016323A">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008926E1">
        <w:rPr>
          <w:rFonts w:ascii="Times New Roman" w:hAnsi="Times New Roman"/>
        </w:rPr>
        <w:t xml:space="preserve">Yes. </w:t>
      </w:r>
      <w:r w:rsidR="00522AEC">
        <w:rPr>
          <w:rFonts w:ascii="Times New Roman" w:hAnsi="Times New Roman"/>
        </w:rPr>
        <w:t xml:space="preserve"> </w:t>
      </w:r>
      <w:r>
        <w:rPr>
          <w:rFonts w:ascii="Times New Roman" w:hAnsi="Times New Roman"/>
        </w:rPr>
        <w:t>Avista records the real time price each hour</w:t>
      </w:r>
      <w:r w:rsidR="00A34681">
        <w:rPr>
          <w:rFonts w:ascii="Times New Roman" w:hAnsi="Times New Roman"/>
        </w:rPr>
        <w:t xml:space="preserve"> for the Mid-Columbia hourly energy market</w:t>
      </w:r>
      <w:r>
        <w:rPr>
          <w:rFonts w:ascii="Times New Roman" w:hAnsi="Times New Roman"/>
        </w:rPr>
        <w:t xml:space="preserve">. </w:t>
      </w:r>
      <w:r w:rsidR="00522AEC">
        <w:rPr>
          <w:rFonts w:ascii="Times New Roman" w:hAnsi="Times New Roman"/>
        </w:rPr>
        <w:t xml:space="preserve"> </w:t>
      </w:r>
      <w:r>
        <w:rPr>
          <w:rFonts w:ascii="Times New Roman" w:hAnsi="Times New Roman"/>
        </w:rPr>
        <w:t xml:space="preserve">Table </w:t>
      </w:r>
      <w:r w:rsidR="00522AEC">
        <w:rPr>
          <w:rFonts w:ascii="Times New Roman" w:hAnsi="Times New Roman"/>
        </w:rPr>
        <w:t xml:space="preserve">No. </w:t>
      </w:r>
      <w:r>
        <w:rPr>
          <w:rFonts w:ascii="Times New Roman" w:hAnsi="Times New Roman"/>
        </w:rPr>
        <w:t xml:space="preserve">1 </w:t>
      </w:r>
      <w:r w:rsidR="008926E1">
        <w:rPr>
          <w:rFonts w:ascii="Times New Roman" w:hAnsi="Times New Roman"/>
        </w:rPr>
        <w:t>below provides t</w:t>
      </w:r>
      <w:r w:rsidR="00463C6D">
        <w:rPr>
          <w:rFonts w:ascii="Times New Roman" w:hAnsi="Times New Roman"/>
        </w:rPr>
        <w:t xml:space="preserve">he number of hours prices </w:t>
      </w:r>
      <w:r w:rsidR="00A34681">
        <w:rPr>
          <w:rFonts w:ascii="Times New Roman" w:hAnsi="Times New Roman"/>
        </w:rPr>
        <w:t>recorded</w:t>
      </w:r>
      <w:r w:rsidR="00463C6D">
        <w:rPr>
          <w:rFonts w:ascii="Times New Roman" w:hAnsi="Times New Roman"/>
        </w:rPr>
        <w:t xml:space="preserve"> below zero since 2010. </w:t>
      </w:r>
      <w:r w:rsidR="00F151FD">
        <w:rPr>
          <w:rFonts w:ascii="Times New Roman" w:hAnsi="Times New Roman"/>
        </w:rPr>
        <w:t xml:space="preserve"> </w:t>
      </w:r>
    </w:p>
    <w:p w:rsidR="0016323A" w:rsidRPr="00522AEC" w:rsidRDefault="0016323A" w:rsidP="00522AEC">
      <w:pPr>
        <w:pStyle w:val="TestBody"/>
        <w:tabs>
          <w:tab w:val="num" w:pos="720"/>
        </w:tabs>
        <w:spacing w:line="480" w:lineRule="auto"/>
        <w:ind w:left="0" w:firstLine="0"/>
        <w:rPr>
          <w:rFonts w:ascii="Times New Roman" w:hAnsi="Times New Roman"/>
          <w:b/>
          <w:u w:val="single"/>
        </w:rPr>
      </w:pPr>
      <w:r w:rsidRPr="00522AEC">
        <w:rPr>
          <w:rFonts w:ascii="Times New Roman" w:hAnsi="Times New Roman"/>
          <w:b/>
          <w:u w:val="single"/>
        </w:rPr>
        <w:t xml:space="preserve">Table </w:t>
      </w:r>
      <w:r w:rsidR="00522AEC" w:rsidRPr="00522AEC">
        <w:rPr>
          <w:rFonts w:ascii="Times New Roman" w:hAnsi="Times New Roman"/>
          <w:b/>
          <w:u w:val="single"/>
        </w:rPr>
        <w:t xml:space="preserve">No. </w:t>
      </w:r>
      <w:r w:rsidRPr="00522AEC">
        <w:rPr>
          <w:rFonts w:ascii="Times New Roman" w:hAnsi="Times New Roman"/>
          <w:b/>
          <w:u w:val="single"/>
        </w:rPr>
        <w:t>1: Number of Negative Priced Hours at the Mid-Columbia</w:t>
      </w:r>
    </w:p>
    <w:tbl>
      <w:tblPr>
        <w:tblW w:w="3125" w:type="dxa"/>
        <w:jc w:val="center"/>
        <w:tblLook w:val="04A0" w:firstRow="1" w:lastRow="0" w:firstColumn="1" w:lastColumn="0" w:noHBand="0" w:noVBand="1"/>
      </w:tblPr>
      <w:tblGrid>
        <w:gridCol w:w="2165"/>
        <w:gridCol w:w="960"/>
      </w:tblGrid>
      <w:tr w:rsidR="0016323A" w:rsidRPr="0016323A" w:rsidTr="00A34681">
        <w:trPr>
          <w:trHeight w:val="255"/>
          <w:jc w:val="center"/>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center"/>
              <w:rPr>
                <w:b/>
                <w:bCs/>
                <w:color w:val="000000"/>
                <w:szCs w:val="20"/>
              </w:rPr>
            </w:pPr>
            <w:r w:rsidRPr="0016323A">
              <w:rPr>
                <w:b/>
                <w:bCs/>
                <w:color w:val="000000"/>
                <w:szCs w:val="20"/>
              </w:rPr>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right"/>
              <w:rPr>
                <w:b/>
                <w:bCs/>
                <w:color w:val="000000"/>
                <w:szCs w:val="20"/>
              </w:rPr>
            </w:pPr>
            <w:r w:rsidRPr="0016323A">
              <w:rPr>
                <w:b/>
                <w:bCs/>
                <w:color w:val="000000"/>
                <w:szCs w:val="20"/>
              </w:rPr>
              <w:t>Hours</w:t>
            </w:r>
          </w:p>
        </w:tc>
      </w:tr>
      <w:tr w:rsidR="0016323A" w:rsidRPr="0016323A" w:rsidTr="00A34681">
        <w:trPr>
          <w:trHeight w:val="255"/>
          <w:jc w:val="center"/>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center"/>
              <w:rPr>
                <w:color w:val="000000"/>
                <w:szCs w:val="20"/>
              </w:rPr>
            </w:pPr>
            <w:r w:rsidRPr="0016323A">
              <w:rPr>
                <w:color w:val="000000"/>
                <w:szCs w:val="2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right"/>
              <w:rPr>
                <w:color w:val="000000"/>
                <w:szCs w:val="20"/>
              </w:rPr>
            </w:pPr>
            <w:r w:rsidRPr="0016323A">
              <w:rPr>
                <w:color w:val="000000"/>
                <w:szCs w:val="20"/>
              </w:rPr>
              <w:t>132</w:t>
            </w:r>
          </w:p>
        </w:tc>
      </w:tr>
      <w:tr w:rsidR="0016323A" w:rsidRPr="0016323A" w:rsidTr="00A34681">
        <w:trPr>
          <w:trHeight w:val="255"/>
          <w:jc w:val="center"/>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center"/>
              <w:rPr>
                <w:color w:val="000000"/>
                <w:szCs w:val="20"/>
              </w:rPr>
            </w:pPr>
            <w:r w:rsidRPr="0016323A">
              <w:rPr>
                <w:color w:val="000000"/>
                <w:szCs w:val="20"/>
              </w:rPr>
              <w:t>2011</w:t>
            </w:r>
          </w:p>
        </w:tc>
        <w:tc>
          <w:tcPr>
            <w:tcW w:w="960" w:type="dxa"/>
            <w:tcBorders>
              <w:top w:val="nil"/>
              <w:left w:val="nil"/>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right"/>
              <w:rPr>
                <w:color w:val="000000"/>
                <w:szCs w:val="20"/>
              </w:rPr>
            </w:pPr>
            <w:r w:rsidRPr="0016323A">
              <w:rPr>
                <w:color w:val="000000"/>
                <w:szCs w:val="20"/>
              </w:rPr>
              <w:t>240</w:t>
            </w:r>
          </w:p>
        </w:tc>
      </w:tr>
      <w:tr w:rsidR="0016323A" w:rsidRPr="0016323A" w:rsidTr="00A34681">
        <w:trPr>
          <w:trHeight w:val="255"/>
          <w:jc w:val="center"/>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center"/>
              <w:rPr>
                <w:color w:val="000000"/>
                <w:szCs w:val="20"/>
              </w:rPr>
            </w:pPr>
            <w:r w:rsidRPr="0016323A">
              <w:rPr>
                <w:color w:val="000000"/>
                <w:szCs w:val="20"/>
              </w:rPr>
              <w:t>2012</w:t>
            </w:r>
          </w:p>
        </w:tc>
        <w:tc>
          <w:tcPr>
            <w:tcW w:w="960" w:type="dxa"/>
            <w:tcBorders>
              <w:top w:val="nil"/>
              <w:left w:val="nil"/>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right"/>
              <w:rPr>
                <w:color w:val="000000"/>
                <w:szCs w:val="20"/>
              </w:rPr>
            </w:pPr>
            <w:r w:rsidRPr="0016323A">
              <w:rPr>
                <w:color w:val="000000"/>
                <w:szCs w:val="20"/>
              </w:rPr>
              <w:t>569</w:t>
            </w:r>
          </w:p>
        </w:tc>
      </w:tr>
      <w:tr w:rsidR="0016323A" w:rsidRPr="0016323A" w:rsidTr="00A34681">
        <w:trPr>
          <w:trHeight w:val="255"/>
          <w:jc w:val="center"/>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center"/>
              <w:rPr>
                <w:color w:val="000000"/>
                <w:szCs w:val="20"/>
              </w:rPr>
            </w:pPr>
            <w:r w:rsidRPr="0016323A">
              <w:rPr>
                <w:color w:val="000000"/>
                <w:szCs w:val="20"/>
              </w:rPr>
              <w:t>2013</w:t>
            </w:r>
          </w:p>
        </w:tc>
        <w:tc>
          <w:tcPr>
            <w:tcW w:w="960" w:type="dxa"/>
            <w:tcBorders>
              <w:top w:val="nil"/>
              <w:left w:val="nil"/>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right"/>
              <w:rPr>
                <w:color w:val="000000"/>
                <w:szCs w:val="20"/>
              </w:rPr>
            </w:pPr>
            <w:r w:rsidRPr="0016323A">
              <w:rPr>
                <w:color w:val="000000"/>
                <w:szCs w:val="20"/>
              </w:rPr>
              <w:t>56</w:t>
            </w:r>
          </w:p>
        </w:tc>
      </w:tr>
      <w:tr w:rsidR="0016323A" w:rsidRPr="0016323A" w:rsidTr="00A34681">
        <w:trPr>
          <w:trHeight w:val="255"/>
          <w:jc w:val="center"/>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center"/>
              <w:rPr>
                <w:color w:val="000000"/>
                <w:szCs w:val="20"/>
              </w:rPr>
            </w:pPr>
            <w:r w:rsidRPr="0016323A">
              <w:rPr>
                <w:color w:val="000000"/>
                <w:szCs w:val="20"/>
              </w:rPr>
              <w:t>2014</w:t>
            </w:r>
          </w:p>
        </w:tc>
        <w:tc>
          <w:tcPr>
            <w:tcW w:w="960" w:type="dxa"/>
            <w:tcBorders>
              <w:top w:val="nil"/>
              <w:left w:val="nil"/>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right"/>
              <w:rPr>
                <w:color w:val="000000"/>
                <w:szCs w:val="20"/>
              </w:rPr>
            </w:pPr>
            <w:r w:rsidRPr="0016323A">
              <w:rPr>
                <w:color w:val="000000"/>
                <w:szCs w:val="20"/>
              </w:rPr>
              <w:t>223</w:t>
            </w:r>
          </w:p>
        </w:tc>
      </w:tr>
      <w:tr w:rsidR="0016323A" w:rsidRPr="0016323A" w:rsidTr="00A34681">
        <w:trPr>
          <w:trHeight w:val="255"/>
          <w:jc w:val="center"/>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center"/>
              <w:rPr>
                <w:color w:val="000000"/>
                <w:szCs w:val="20"/>
              </w:rPr>
            </w:pPr>
            <w:r w:rsidRPr="0016323A">
              <w:rPr>
                <w:color w:val="000000"/>
                <w:szCs w:val="20"/>
              </w:rPr>
              <w:t>2015</w:t>
            </w:r>
          </w:p>
        </w:tc>
        <w:tc>
          <w:tcPr>
            <w:tcW w:w="960" w:type="dxa"/>
            <w:tcBorders>
              <w:top w:val="nil"/>
              <w:left w:val="nil"/>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right"/>
              <w:rPr>
                <w:color w:val="000000"/>
                <w:szCs w:val="20"/>
              </w:rPr>
            </w:pPr>
            <w:r w:rsidRPr="0016323A">
              <w:rPr>
                <w:color w:val="000000"/>
                <w:szCs w:val="20"/>
              </w:rPr>
              <w:t>26</w:t>
            </w:r>
          </w:p>
        </w:tc>
      </w:tr>
      <w:tr w:rsidR="0016323A" w:rsidRPr="0016323A" w:rsidTr="00A34681">
        <w:trPr>
          <w:trHeight w:val="255"/>
          <w:jc w:val="center"/>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16323A" w:rsidRPr="0016323A" w:rsidRDefault="0016323A" w:rsidP="00A34681">
            <w:pPr>
              <w:autoSpaceDE/>
              <w:autoSpaceDN/>
              <w:jc w:val="center"/>
              <w:rPr>
                <w:color w:val="000000"/>
                <w:szCs w:val="20"/>
              </w:rPr>
            </w:pPr>
            <w:r w:rsidRPr="0016323A">
              <w:rPr>
                <w:color w:val="000000"/>
                <w:szCs w:val="20"/>
              </w:rPr>
              <w:t>Y</w:t>
            </w:r>
            <w:r w:rsidR="00E10B77" w:rsidRPr="00A34681">
              <w:rPr>
                <w:color w:val="000000"/>
                <w:szCs w:val="20"/>
              </w:rPr>
              <w:t>ea</w:t>
            </w:r>
            <w:r w:rsidRPr="0016323A">
              <w:rPr>
                <w:color w:val="000000"/>
                <w:szCs w:val="20"/>
              </w:rPr>
              <w:t xml:space="preserve">r to </w:t>
            </w:r>
            <w:r w:rsidR="00A34681">
              <w:rPr>
                <w:color w:val="000000"/>
                <w:szCs w:val="20"/>
              </w:rPr>
              <w:t>d</w:t>
            </w:r>
            <w:r w:rsidRPr="0016323A">
              <w:rPr>
                <w:color w:val="000000"/>
                <w:szCs w:val="20"/>
              </w:rPr>
              <w:t>ate 2016</w:t>
            </w:r>
          </w:p>
        </w:tc>
        <w:tc>
          <w:tcPr>
            <w:tcW w:w="960" w:type="dxa"/>
            <w:tcBorders>
              <w:top w:val="nil"/>
              <w:left w:val="nil"/>
              <w:bottom w:val="single" w:sz="4" w:space="0" w:color="auto"/>
              <w:right w:val="single" w:sz="4" w:space="0" w:color="auto"/>
            </w:tcBorders>
            <w:shd w:val="clear" w:color="auto" w:fill="auto"/>
            <w:noWrap/>
            <w:vAlign w:val="bottom"/>
            <w:hideMark/>
          </w:tcPr>
          <w:p w:rsidR="0016323A" w:rsidRPr="0016323A" w:rsidRDefault="0016323A" w:rsidP="0016323A">
            <w:pPr>
              <w:autoSpaceDE/>
              <w:autoSpaceDN/>
              <w:jc w:val="right"/>
              <w:rPr>
                <w:color w:val="000000"/>
                <w:szCs w:val="20"/>
              </w:rPr>
            </w:pPr>
            <w:r w:rsidRPr="0016323A">
              <w:rPr>
                <w:color w:val="000000"/>
                <w:szCs w:val="20"/>
              </w:rPr>
              <w:t>40</w:t>
            </w:r>
          </w:p>
        </w:tc>
      </w:tr>
    </w:tbl>
    <w:p w:rsidR="0016323A" w:rsidRDefault="0016323A" w:rsidP="0016323A">
      <w:pPr>
        <w:pStyle w:val="TestBody"/>
        <w:tabs>
          <w:tab w:val="num" w:pos="720"/>
        </w:tabs>
        <w:spacing w:line="480" w:lineRule="auto"/>
        <w:ind w:left="0" w:firstLine="720"/>
        <w:rPr>
          <w:bCs/>
        </w:rPr>
      </w:pPr>
    </w:p>
    <w:p w:rsidR="002F186A" w:rsidRPr="00BD4B85" w:rsidRDefault="002F186A" w:rsidP="002F186A">
      <w:pPr>
        <w:pStyle w:val="BodyTextIndent3"/>
        <w:tabs>
          <w:tab w:val="clear" w:pos="1260"/>
        </w:tabs>
        <w:rPr>
          <w:rStyle w:val="LineNumber"/>
        </w:rPr>
      </w:pPr>
      <w:r>
        <w:rPr>
          <w:rStyle w:val="LineNumber"/>
        </w:rPr>
        <w:t>Q.</w:t>
      </w:r>
      <w:r w:rsidRPr="00BD4B85">
        <w:rPr>
          <w:rStyle w:val="LineNumber"/>
        </w:rPr>
        <w:tab/>
      </w:r>
      <w:r>
        <w:rPr>
          <w:rStyle w:val="LineNumber"/>
        </w:rPr>
        <w:t>What is the impact of not including Bidding Adders/Variable O&amp;M Adjustments</w:t>
      </w:r>
      <w:r w:rsidRPr="00BD4B85">
        <w:rPr>
          <w:rStyle w:val="LineNumber"/>
        </w:rPr>
        <w:t>?</w:t>
      </w:r>
    </w:p>
    <w:p w:rsidR="002F186A" w:rsidRDefault="002F186A" w:rsidP="004E2FB3">
      <w:pPr>
        <w:pStyle w:val="BodyTextIndent3"/>
        <w:tabs>
          <w:tab w:val="clear" w:pos="1260"/>
        </w:tabs>
      </w:pPr>
      <w:r w:rsidRPr="00BD4B85">
        <w:rPr>
          <w:rStyle w:val="LineNumber"/>
          <w:b w:val="0"/>
          <w:bCs w:val="0"/>
        </w:rPr>
        <w:t>A.</w:t>
      </w:r>
      <w:r w:rsidRPr="00BD4B85">
        <w:rPr>
          <w:rStyle w:val="LineNumber"/>
          <w:b w:val="0"/>
          <w:bCs w:val="0"/>
        </w:rPr>
        <w:tab/>
      </w:r>
      <w:r w:rsidR="004E2FB3">
        <w:rPr>
          <w:rStyle w:val="LineNumber"/>
          <w:b w:val="0"/>
          <w:bCs w:val="0"/>
        </w:rPr>
        <w:t>By not including these adjustments to hydro resources</w:t>
      </w:r>
      <w:r w:rsidR="00534839">
        <w:rPr>
          <w:rStyle w:val="LineNumber"/>
          <w:b w:val="0"/>
          <w:bCs w:val="0"/>
        </w:rPr>
        <w:t>,</w:t>
      </w:r>
      <w:r w:rsidR="004E2FB3">
        <w:rPr>
          <w:rStyle w:val="LineNumber"/>
          <w:b w:val="0"/>
          <w:bCs w:val="0"/>
        </w:rPr>
        <w:t xml:space="preserve"> market prices will not reflect market conditions of negative price environments. </w:t>
      </w:r>
      <w:r w:rsidR="00F151FD">
        <w:rPr>
          <w:rStyle w:val="LineNumber"/>
          <w:b w:val="0"/>
          <w:bCs w:val="0"/>
        </w:rPr>
        <w:t xml:space="preserve"> </w:t>
      </w:r>
      <w:r w:rsidR="004E2FB3">
        <w:rPr>
          <w:rStyle w:val="LineNumber"/>
          <w:b w:val="0"/>
          <w:bCs w:val="0"/>
        </w:rPr>
        <w:t xml:space="preserve">Further, </w:t>
      </w:r>
      <w:r w:rsidR="00534839">
        <w:rPr>
          <w:rStyle w:val="LineNumber"/>
          <w:b w:val="0"/>
          <w:bCs w:val="0"/>
        </w:rPr>
        <w:t>by not including Bidding Adders/Variable O&amp;M adjustments the model</w:t>
      </w:r>
      <w:r w:rsidR="004E2FB3">
        <w:rPr>
          <w:rStyle w:val="LineNumber"/>
          <w:b w:val="0"/>
          <w:bCs w:val="0"/>
        </w:rPr>
        <w:t xml:space="preserve"> </w:t>
      </w:r>
      <w:r w:rsidR="002D065E">
        <w:rPr>
          <w:rStyle w:val="LineNumber"/>
          <w:b w:val="0"/>
          <w:bCs w:val="0"/>
        </w:rPr>
        <w:t xml:space="preserve">assumes </w:t>
      </w:r>
      <w:r w:rsidR="004E2FB3">
        <w:rPr>
          <w:rStyle w:val="LineNumber"/>
          <w:b w:val="0"/>
          <w:bCs w:val="0"/>
        </w:rPr>
        <w:t>regional and Avista hydro resource</w:t>
      </w:r>
      <w:r w:rsidR="002D065E">
        <w:rPr>
          <w:rStyle w:val="LineNumber"/>
          <w:b w:val="0"/>
          <w:bCs w:val="0"/>
        </w:rPr>
        <w:t>s</w:t>
      </w:r>
      <w:r w:rsidR="004E2FB3">
        <w:rPr>
          <w:rStyle w:val="LineNumber"/>
          <w:b w:val="0"/>
          <w:bCs w:val="0"/>
        </w:rPr>
        <w:t xml:space="preserve"> can violate their water quality requirements by spilling</w:t>
      </w:r>
      <w:r w:rsidR="002D065E">
        <w:rPr>
          <w:rStyle w:val="LineNumber"/>
          <w:b w:val="0"/>
          <w:bCs w:val="0"/>
        </w:rPr>
        <w:t xml:space="preserve"> additional water over its spillways</w:t>
      </w:r>
      <w:r w:rsidR="00795960">
        <w:rPr>
          <w:rStyle w:val="LineNumber"/>
          <w:b w:val="0"/>
          <w:bCs w:val="0"/>
        </w:rPr>
        <w:t>, creating less energy than will be made in actual operations</w:t>
      </w:r>
      <w:r w:rsidR="004E2FB3">
        <w:rPr>
          <w:rStyle w:val="LineNumber"/>
          <w:b w:val="0"/>
          <w:bCs w:val="0"/>
        </w:rPr>
        <w:t xml:space="preserve">. </w:t>
      </w:r>
      <w:r w:rsidR="00F151FD">
        <w:rPr>
          <w:rStyle w:val="LineNumber"/>
          <w:b w:val="0"/>
          <w:bCs w:val="0"/>
        </w:rPr>
        <w:t xml:space="preserve"> </w:t>
      </w:r>
      <w:r w:rsidR="004E2FB3">
        <w:rPr>
          <w:rStyle w:val="LineNumber"/>
          <w:b w:val="0"/>
          <w:bCs w:val="0"/>
        </w:rPr>
        <w:t>While spilling could lower</w:t>
      </w:r>
      <w:r w:rsidR="002D065E">
        <w:rPr>
          <w:rStyle w:val="LineNumber"/>
          <w:b w:val="0"/>
          <w:bCs w:val="0"/>
        </w:rPr>
        <w:t xml:space="preserve"> power</w:t>
      </w:r>
      <w:r w:rsidR="004E2FB3">
        <w:rPr>
          <w:rStyle w:val="LineNumber"/>
          <w:b w:val="0"/>
          <w:bCs w:val="0"/>
        </w:rPr>
        <w:t xml:space="preserve"> </w:t>
      </w:r>
      <w:r w:rsidR="004E2FB3">
        <w:rPr>
          <w:rStyle w:val="LineNumber"/>
          <w:b w:val="0"/>
          <w:bCs w:val="0"/>
        </w:rPr>
        <w:lastRenderedPageBreak/>
        <w:t>costs to the region and to Avista, policy makers have chosen otherwise for fish protection.</w:t>
      </w:r>
      <w:r w:rsidR="00795960">
        <w:rPr>
          <w:rStyle w:val="LineNumber"/>
          <w:b w:val="0"/>
          <w:bCs w:val="0"/>
        </w:rPr>
        <w:t xml:space="preserve">  </w:t>
      </w:r>
      <w:r w:rsidR="00F151FD">
        <w:rPr>
          <w:rStyle w:val="LineNumber"/>
          <w:b w:val="0"/>
          <w:bCs w:val="0"/>
        </w:rPr>
        <w:t xml:space="preserve"> </w:t>
      </w:r>
      <w:r w:rsidR="00795960">
        <w:rPr>
          <w:rStyle w:val="LineNumber"/>
          <w:b w:val="0"/>
          <w:bCs w:val="0"/>
        </w:rPr>
        <w:t>Not reflecting actual operating obligations will understate actual power production costs.</w:t>
      </w:r>
    </w:p>
    <w:p w:rsidR="00EE3FCE" w:rsidRPr="00BD4B85" w:rsidRDefault="00EE3FCE" w:rsidP="00EE3FCE">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Pr>
          <w:rFonts w:ascii="Times New Roman" w:hAnsi="Times New Roman"/>
          <w:b/>
          <w:bCs/>
        </w:rPr>
        <w:t>Can any of Avista’s hydro resources spill to take advantage of negative pricing?</w:t>
      </w:r>
    </w:p>
    <w:p w:rsidR="00EE3FCE" w:rsidRDefault="00EE3FCE" w:rsidP="00EE3FCE">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Pr>
          <w:rFonts w:ascii="Times New Roman" w:hAnsi="Times New Roman"/>
        </w:rPr>
        <w:t xml:space="preserve">It depends.  Avista has similar water quality requirements as the region </w:t>
      </w:r>
      <w:r w:rsidR="003E14A0">
        <w:rPr>
          <w:rFonts w:ascii="Times New Roman" w:hAnsi="Times New Roman"/>
        </w:rPr>
        <w:t xml:space="preserve">with </w:t>
      </w:r>
      <w:r>
        <w:rPr>
          <w:rFonts w:ascii="Times New Roman" w:hAnsi="Times New Roman"/>
        </w:rPr>
        <w:t xml:space="preserve">respect to limiting the </w:t>
      </w:r>
      <w:bookmarkStart w:id="0" w:name="_GoBack"/>
      <w:bookmarkEnd w:id="0"/>
      <w:r>
        <w:rPr>
          <w:rFonts w:ascii="Times New Roman" w:hAnsi="Times New Roman"/>
        </w:rPr>
        <w:t>amount of TDG.  Avista does have some flexibility to spill at Long Lake and Noxon Rapids.  At Long Lake spill is limited to 4,000 CFS, an amount typically spilled even at full production in spring months.  Noxon Rapids has the theoretical ability to spill, but because much of the rest of our generation fleet is either off-line (natural gas, coal) or operating in run-of-river mode (hydro), two or three units are required to operate to provide ancillary services in high-flow conditions and we cannot do both at the same time.  Avista’s real time desk typically begins spilling what water it can when prices fall below minus $1.00 per MWh.  The remaining owned hydro facilities either have spill restrictions or do not have the TDG monitoring in place to know if water quality is at risk in the event of a spill.</w:t>
      </w:r>
    </w:p>
    <w:p w:rsidR="00463C6D" w:rsidRPr="00BD4B85" w:rsidRDefault="00463C6D" w:rsidP="00463C6D">
      <w:pPr>
        <w:pStyle w:val="BodyTextIndent3"/>
        <w:tabs>
          <w:tab w:val="clear" w:pos="1260"/>
        </w:tabs>
        <w:rPr>
          <w:rStyle w:val="LineNumber"/>
        </w:rPr>
      </w:pPr>
      <w:r>
        <w:rPr>
          <w:rStyle w:val="LineNumber"/>
        </w:rPr>
        <w:t>Q.</w:t>
      </w:r>
      <w:r w:rsidRPr="00BD4B85">
        <w:rPr>
          <w:rStyle w:val="LineNumber"/>
        </w:rPr>
        <w:tab/>
      </w:r>
      <w:r w:rsidR="00EE3FCE">
        <w:rPr>
          <w:rStyle w:val="LineNumber"/>
        </w:rPr>
        <w:t xml:space="preserve">What is the impact if </w:t>
      </w:r>
      <w:r>
        <w:rPr>
          <w:rStyle w:val="LineNumber"/>
        </w:rPr>
        <w:t xml:space="preserve">two Noxon </w:t>
      </w:r>
      <w:r w:rsidR="002D065E">
        <w:rPr>
          <w:rStyle w:val="LineNumber"/>
        </w:rPr>
        <w:t xml:space="preserve">Rapids </w:t>
      </w:r>
      <w:r w:rsidR="00795960">
        <w:rPr>
          <w:rStyle w:val="LineNumber"/>
        </w:rPr>
        <w:t>u</w:t>
      </w:r>
      <w:r>
        <w:rPr>
          <w:rStyle w:val="LineNumber"/>
        </w:rPr>
        <w:t xml:space="preserve">nits </w:t>
      </w:r>
      <w:r w:rsidR="00EE3FCE">
        <w:rPr>
          <w:rStyle w:val="LineNumber"/>
        </w:rPr>
        <w:t xml:space="preserve">are allowed </w:t>
      </w:r>
      <w:r>
        <w:rPr>
          <w:rStyle w:val="LineNumber"/>
        </w:rPr>
        <w:t>to spill</w:t>
      </w:r>
      <w:r w:rsidRPr="00BD4B85">
        <w:rPr>
          <w:rStyle w:val="LineNumber"/>
        </w:rPr>
        <w:t>?</w:t>
      </w:r>
    </w:p>
    <w:p w:rsidR="00EE3FCE" w:rsidRDefault="00463C6D" w:rsidP="00463C6D">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r>
      <w:r w:rsidR="00EE3FCE">
        <w:rPr>
          <w:rStyle w:val="LineNumber"/>
          <w:b w:val="0"/>
          <w:bCs w:val="0"/>
        </w:rPr>
        <w:t>Reflecting some spill ability at Noxon to reflect two units not spilling at Noxon will lower power supply expenses.</w:t>
      </w:r>
      <w:r w:rsidRPr="00BD4B85">
        <w:rPr>
          <w:rStyle w:val="LineNumber"/>
          <w:b w:val="0"/>
          <w:bCs w:val="0"/>
        </w:rPr>
        <w:t xml:space="preserve"> </w:t>
      </w:r>
      <w:r w:rsidR="00EE3FCE">
        <w:rPr>
          <w:rStyle w:val="LineNumber"/>
          <w:b w:val="0"/>
          <w:bCs w:val="0"/>
        </w:rPr>
        <w:t xml:space="preserve"> </w:t>
      </w:r>
      <w:r>
        <w:rPr>
          <w:rStyle w:val="LineNumber"/>
          <w:b w:val="0"/>
          <w:bCs w:val="0"/>
        </w:rPr>
        <w:t>Avista conducted a</w:t>
      </w:r>
      <w:r w:rsidR="00EE3FCE">
        <w:rPr>
          <w:rStyle w:val="LineNumber"/>
          <w:b w:val="0"/>
          <w:bCs w:val="0"/>
        </w:rPr>
        <w:t>n 80 water year</w:t>
      </w:r>
      <w:r>
        <w:rPr>
          <w:rStyle w:val="LineNumber"/>
          <w:b w:val="0"/>
          <w:bCs w:val="0"/>
        </w:rPr>
        <w:t xml:space="preserve"> simulati</w:t>
      </w:r>
      <w:r w:rsidR="002D065E">
        <w:rPr>
          <w:rStyle w:val="LineNumber"/>
          <w:b w:val="0"/>
          <w:bCs w:val="0"/>
        </w:rPr>
        <w:t xml:space="preserve">on allowing two </w:t>
      </w:r>
      <w:r w:rsidR="00795960">
        <w:rPr>
          <w:rStyle w:val="LineNumber"/>
          <w:b w:val="0"/>
          <w:bCs w:val="0"/>
        </w:rPr>
        <w:t xml:space="preserve">Noxon </w:t>
      </w:r>
      <w:r w:rsidR="002D065E">
        <w:rPr>
          <w:rStyle w:val="LineNumber"/>
          <w:b w:val="0"/>
          <w:bCs w:val="0"/>
        </w:rPr>
        <w:t>units to spill</w:t>
      </w:r>
      <w:r w:rsidR="00795960">
        <w:rPr>
          <w:rStyle w:val="LineNumber"/>
          <w:b w:val="0"/>
          <w:bCs w:val="0"/>
        </w:rPr>
        <w:t xml:space="preserve"> during negative price conditions</w:t>
      </w:r>
      <w:r w:rsidR="002D065E">
        <w:rPr>
          <w:rStyle w:val="LineNumber"/>
          <w:b w:val="0"/>
          <w:bCs w:val="0"/>
        </w:rPr>
        <w:t xml:space="preserve">. </w:t>
      </w:r>
      <w:r w:rsidR="00F151FD">
        <w:rPr>
          <w:rStyle w:val="LineNumber"/>
          <w:b w:val="0"/>
          <w:bCs w:val="0"/>
        </w:rPr>
        <w:t xml:space="preserve"> </w:t>
      </w:r>
      <w:r w:rsidR="00EE3FCE">
        <w:rPr>
          <w:rStyle w:val="LineNumber"/>
          <w:b w:val="0"/>
          <w:bCs w:val="0"/>
        </w:rPr>
        <w:t>The simulation</w:t>
      </w:r>
      <w:r w:rsidR="002D065E">
        <w:rPr>
          <w:rStyle w:val="LineNumber"/>
          <w:b w:val="0"/>
          <w:bCs w:val="0"/>
        </w:rPr>
        <w:t xml:space="preserve"> </w:t>
      </w:r>
      <w:r>
        <w:rPr>
          <w:rStyle w:val="LineNumber"/>
          <w:b w:val="0"/>
          <w:bCs w:val="0"/>
        </w:rPr>
        <w:t>lowers system power costs by $</w:t>
      </w:r>
      <w:r w:rsidR="00ED0917">
        <w:rPr>
          <w:rStyle w:val="LineNumber"/>
          <w:b w:val="0"/>
          <w:bCs w:val="0"/>
        </w:rPr>
        <w:t xml:space="preserve">202,700 </w:t>
      </w:r>
      <w:r w:rsidR="00534839">
        <w:rPr>
          <w:rStyle w:val="LineNumber"/>
          <w:b w:val="0"/>
          <w:bCs w:val="0"/>
        </w:rPr>
        <w:t>system</w:t>
      </w:r>
      <w:r w:rsidR="00EE3FCE">
        <w:rPr>
          <w:rStyle w:val="LineNumber"/>
          <w:b w:val="0"/>
          <w:bCs w:val="0"/>
        </w:rPr>
        <w:t xml:space="preserve"> (</w:t>
      </w:r>
      <w:r w:rsidR="00ED0917">
        <w:rPr>
          <w:rStyle w:val="LineNumber"/>
          <w:b w:val="0"/>
          <w:bCs w:val="0"/>
        </w:rPr>
        <w:t>$132,263 Washington share</w:t>
      </w:r>
      <w:r w:rsidR="00EE3FCE">
        <w:rPr>
          <w:rStyle w:val="LineNumber"/>
          <w:b w:val="0"/>
          <w:bCs w:val="0"/>
        </w:rPr>
        <w:t>)</w:t>
      </w:r>
      <w:r w:rsidRPr="00BD4B85">
        <w:rPr>
          <w:rStyle w:val="LineNumber"/>
          <w:b w:val="0"/>
          <w:bCs w:val="0"/>
        </w:rPr>
        <w:t>.</w:t>
      </w:r>
    </w:p>
    <w:p w:rsidR="00463C6D" w:rsidRDefault="00EE3FCE" w:rsidP="00463C6D">
      <w:pPr>
        <w:pStyle w:val="BodyTextIndent3"/>
        <w:tabs>
          <w:tab w:val="clear" w:pos="1260"/>
        </w:tabs>
        <w:rPr>
          <w:rStyle w:val="LineNumber"/>
          <w:b w:val="0"/>
          <w:bCs w:val="0"/>
        </w:rPr>
      </w:pPr>
      <w:r>
        <w:rPr>
          <w:rStyle w:val="LineNumber"/>
          <w:bCs w:val="0"/>
        </w:rPr>
        <w:t>Q.</w:t>
      </w:r>
      <w:r>
        <w:rPr>
          <w:rStyle w:val="LineNumber"/>
          <w:bCs w:val="0"/>
        </w:rPr>
        <w:tab/>
        <w:t>Does Avista propose</w:t>
      </w:r>
      <w:r w:rsidR="00ED0917" w:rsidRPr="00EE3FCE">
        <w:rPr>
          <w:rStyle w:val="LineNumber"/>
          <w:bCs w:val="0"/>
        </w:rPr>
        <w:t xml:space="preserve"> </w:t>
      </w:r>
      <w:r>
        <w:rPr>
          <w:rStyle w:val="LineNumber"/>
          <w:bCs w:val="0"/>
        </w:rPr>
        <w:t>including</w:t>
      </w:r>
      <w:r w:rsidR="00ED0917" w:rsidRPr="00EE3FCE">
        <w:rPr>
          <w:rStyle w:val="LineNumber"/>
          <w:bCs w:val="0"/>
        </w:rPr>
        <w:t xml:space="preserve"> this adjustment in the November 2016 </w:t>
      </w:r>
      <w:r w:rsidR="008926E1" w:rsidRPr="00EE3FCE">
        <w:rPr>
          <w:rStyle w:val="LineNumber"/>
          <w:bCs w:val="0"/>
        </w:rPr>
        <w:t xml:space="preserve">power supply </w:t>
      </w:r>
      <w:r w:rsidR="007F2D7D">
        <w:rPr>
          <w:rStyle w:val="LineNumber"/>
          <w:bCs w:val="0"/>
        </w:rPr>
        <w:t>update?</w:t>
      </w:r>
    </w:p>
    <w:p w:rsidR="00EE3FCE" w:rsidRPr="00EE3FCE" w:rsidRDefault="00EE3FCE" w:rsidP="00463C6D">
      <w:pPr>
        <w:pStyle w:val="BodyTextIndent3"/>
        <w:tabs>
          <w:tab w:val="clear" w:pos="1260"/>
        </w:tabs>
        <w:rPr>
          <w:rStyle w:val="LineNumber"/>
          <w:b w:val="0"/>
          <w:bCs w:val="0"/>
        </w:rPr>
      </w:pPr>
      <w:r>
        <w:rPr>
          <w:rStyle w:val="LineNumber"/>
          <w:b w:val="0"/>
          <w:bCs w:val="0"/>
        </w:rPr>
        <w:lastRenderedPageBreak/>
        <w:t>A.</w:t>
      </w:r>
      <w:r>
        <w:rPr>
          <w:rStyle w:val="LineNumber"/>
          <w:b w:val="0"/>
          <w:bCs w:val="0"/>
        </w:rPr>
        <w:tab/>
        <w:t>Yes.  Upon review of the argument made by Mr. Mullin</w:t>
      </w:r>
      <w:r w:rsidR="001D505D">
        <w:rPr>
          <w:rStyle w:val="LineNumber"/>
          <w:b w:val="0"/>
          <w:bCs w:val="0"/>
        </w:rPr>
        <w:t>s</w:t>
      </w:r>
      <w:r>
        <w:rPr>
          <w:rStyle w:val="LineNumber"/>
          <w:b w:val="0"/>
          <w:bCs w:val="0"/>
        </w:rPr>
        <w:t xml:space="preserve"> on behalf of ICNU, Avista believes it is reasonable to assume that two Noxon units might spill during negative price environments.</w:t>
      </w:r>
    </w:p>
    <w:p w:rsidR="00534839" w:rsidRPr="00272BFE" w:rsidRDefault="00534839" w:rsidP="00534839">
      <w:pPr>
        <w:pStyle w:val="BodyTextIndent3"/>
        <w:tabs>
          <w:tab w:val="clear" w:pos="1260"/>
        </w:tabs>
        <w:rPr>
          <w:rStyle w:val="LineNumber"/>
          <w:bCs w:val="0"/>
        </w:rPr>
      </w:pPr>
      <w:r w:rsidRPr="00272BFE">
        <w:rPr>
          <w:rStyle w:val="LineNumber"/>
          <w:bCs w:val="0"/>
        </w:rPr>
        <w:t>Q.</w:t>
      </w:r>
      <w:r w:rsidRPr="00272BFE">
        <w:rPr>
          <w:rStyle w:val="LineNumber"/>
          <w:bCs w:val="0"/>
        </w:rPr>
        <w:tab/>
        <w:t>Do you have a different take on the fact th</w:t>
      </w:r>
      <w:r w:rsidR="00EE3FCE">
        <w:rPr>
          <w:rStyle w:val="LineNumber"/>
          <w:bCs w:val="0"/>
        </w:rPr>
        <w:t>at</w:t>
      </w:r>
      <w:r w:rsidRPr="00272BFE">
        <w:rPr>
          <w:rStyle w:val="LineNumber"/>
          <w:bCs w:val="0"/>
        </w:rPr>
        <w:t xml:space="preserve"> market prices modeled by Mr. Mullin</w:t>
      </w:r>
      <w:r w:rsidR="00EC7F89">
        <w:rPr>
          <w:rStyle w:val="LineNumber"/>
          <w:bCs w:val="0"/>
        </w:rPr>
        <w:t>s</w:t>
      </w:r>
      <w:r w:rsidRPr="00272BFE">
        <w:rPr>
          <w:rStyle w:val="LineNumber"/>
          <w:bCs w:val="0"/>
        </w:rPr>
        <w:t xml:space="preserve"> are nearly identical to the case, a mere 0.13% difference?</w:t>
      </w:r>
    </w:p>
    <w:p w:rsidR="00534839" w:rsidRDefault="00534839" w:rsidP="00534839">
      <w:pPr>
        <w:pStyle w:val="BodyTextIndent3"/>
        <w:tabs>
          <w:tab w:val="clear" w:pos="1260"/>
        </w:tabs>
        <w:rPr>
          <w:rStyle w:val="LineNumber"/>
          <w:b w:val="0"/>
          <w:bCs w:val="0"/>
        </w:rPr>
      </w:pPr>
      <w:r>
        <w:rPr>
          <w:rStyle w:val="LineNumber"/>
          <w:b w:val="0"/>
          <w:bCs w:val="0"/>
        </w:rPr>
        <w:t>A.</w:t>
      </w:r>
      <w:r>
        <w:rPr>
          <w:rStyle w:val="LineNumber"/>
          <w:b w:val="0"/>
          <w:bCs w:val="0"/>
        </w:rPr>
        <w:tab/>
        <w:t>Mr. Mullins</w:t>
      </w:r>
      <w:r w:rsidR="00EE3FCE">
        <w:rPr>
          <w:rStyle w:val="LineNumber"/>
          <w:b w:val="0"/>
          <w:bCs w:val="0"/>
        </w:rPr>
        <w:t>’</w:t>
      </w:r>
      <w:r>
        <w:rPr>
          <w:rStyle w:val="LineNumber"/>
          <w:b w:val="0"/>
          <w:bCs w:val="0"/>
        </w:rPr>
        <w:t xml:space="preserve"> own results</w:t>
      </w:r>
      <w:r w:rsidR="00EE3FCE">
        <w:rPr>
          <w:rStyle w:val="LineNumber"/>
          <w:b w:val="0"/>
          <w:bCs w:val="0"/>
        </w:rPr>
        <w:t>,</w:t>
      </w:r>
      <w:r>
        <w:rPr>
          <w:rStyle w:val="LineNumber"/>
          <w:b w:val="0"/>
          <w:bCs w:val="0"/>
        </w:rPr>
        <w:t xml:space="preserve"> in my view</w:t>
      </w:r>
      <w:r w:rsidR="00EE3FCE">
        <w:rPr>
          <w:rStyle w:val="LineNumber"/>
          <w:b w:val="0"/>
          <w:bCs w:val="0"/>
        </w:rPr>
        <w:t>, demonstrate</w:t>
      </w:r>
      <w:r>
        <w:rPr>
          <w:rStyle w:val="LineNumber"/>
          <w:b w:val="0"/>
          <w:bCs w:val="0"/>
        </w:rPr>
        <w:t xml:space="preserve"> that removing the bidding adders for hydro does not have a material impact on the AURORA</w:t>
      </w:r>
      <w:r w:rsidRPr="003668B1">
        <w:rPr>
          <w:rStyle w:val="LineNumber"/>
          <w:b w:val="0"/>
          <w:bCs w:val="0"/>
          <w:vertAlign w:val="subscript"/>
        </w:rPr>
        <w:t>XMP</w:t>
      </w:r>
      <w:r>
        <w:rPr>
          <w:rStyle w:val="LineNumber"/>
          <w:b w:val="0"/>
          <w:bCs w:val="0"/>
        </w:rPr>
        <w:t xml:space="preserve"> run itself.  As my rebuttal testimony explains, negative prices are a necessary element to ensure that regional generation resources reflect their legal and physical obligations.  Removing the negative prices prevents resources from operating correctly.  </w:t>
      </w:r>
      <w:r w:rsidR="00EE3FCE">
        <w:rPr>
          <w:rStyle w:val="LineNumber"/>
          <w:b w:val="0"/>
          <w:bCs w:val="0"/>
        </w:rPr>
        <w:t xml:space="preserve">Negative pricing is </w:t>
      </w:r>
      <w:r w:rsidR="000F3DF8">
        <w:rPr>
          <w:rStyle w:val="LineNumber"/>
          <w:b w:val="0"/>
          <w:bCs w:val="0"/>
        </w:rPr>
        <w:t>a key element that more accurately models</w:t>
      </w:r>
      <w:r>
        <w:rPr>
          <w:rStyle w:val="LineNumber"/>
          <w:b w:val="0"/>
          <w:bCs w:val="0"/>
        </w:rPr>
        <w:t xml:space="preserve"> the power supply system in AURORA</w:t>
      </w:r>
      <w:r w:rsidRPr="003668B1">
        <w:rPr>
          <w:rStyle w:val="LineNumber"/>
          <w:b w:val="0"/>
          <w:bCs w:val="0"/>
          <w:vertAlign w:val="subscript"/>
        </w:rPr>
        <w:t>XMP</w:t>
      </w:r>
      <w:r>
        <w:rPr>
          <w:rStyle w:val="LineNumber"/>
          <w:b w:val="0"/>
          <w:bCs w:val="0"/>
        </w:rPr>
        <w:t>.</w:t>
      </w:r>
    </w:p>
    <w:p w:rsidR="008926E1" w:rsidRPr="00272BFE" w:rsidRDefault="008926E1" w:rsidP="008926E1">
      <w:pPr>
        <w:pStyle w:val="BodyTextIndent3"/>
        <w:tabs>
          <w:tab w:val="clear" w:pos="1260"/>
        </w:tabs>
        <w:rPr>
          <w:rStyle w:val="LineNumber"/>
          <w:bCs w:val="0"/>
        </w:rPr>
      </w:pPr>
      <w:r w:rsidRPr="00272BFE">
        <w:rPr>
          <w:rStyle w:val="LineNumber"/>
          <w:bCs w:val="0"/>
        </w:rPr>
        <w:t>Q.</w:t>
      </w:r>
      <w:r w:rsidRPr="00272BFE">
        <w:rPr>
          <w:rStyle w:val="LineNumber"/>
          <w:bCs w:val="0"/>
        </w:rPr>
        <w:tab/>
      </w:r>
      <w:r>
        <w:rPr>
          <w:rStyle w:val="LineNumber"/>
          <w:bCs w:val="0"/>
        </w:rPr>
        <w:t xml:space="preserve">In addition to the adjustments related to power supply costs, </w:t>
      </w:r>
      <w:r w:rsidR="00522AEC">
        <w:rPr>
          <w:rStyle w:val="LineNumber"/>
          <w:bCs w:val="0"/>
        </w:rPr>
        <w:t>are there other issues with Mr. Mullins</w:t>
      </w:r>
      <w:r w:rsidR="00EE3FCE">
        <w:rPr>
          <w:rStyle w:val="LineNumber"/>
          <w:bCs w:val="0"/>
        </w:rPr>
        <w:t>’</w:t>
      </w:r>
      <w:r w:rsidR="00522AEC">
        <w:rPr>
          <w:rStyle w:val="LineNumber"/>
          <w:bCs w:val="0"/>
        </w:rPr>
        <w:t xml:space="preserve"> </w:t>
      </w:r>
      <w:r w:rsidR="00534839">
        <w:rPr>
          <w:rStyle w:val="LineNumber"/>
          <w:bCs w:val="0"/>
        </w:rPr>
        <w:t xml:space="preserve">response testimony </w:t>
      </w:r>
      <w:r w:rsidR="00522AEC">
        <w:rPr>
          <w:rStyle w:val="LineNumber"/>
          <w:bCs w:val="0"/>
        </w:rPr>
        <w:t>that further illustrate why his analysis should be rejected</w:t>
      </w:r>
      <w:r w:rsidRPr="00272BFE">
        <w:rPr>
          <w:rStyle w:val="LineNumber"/>
          <w:bCs w:val="0"/>
        </w:rPr>
        <w:t>?</w:t>
      </w:r>
    </w:p>
    <w:p w:rsidR="006D368B" w:rsidRDefault="008926E1" w:rsidP="003E14A0">
      <w:pPr>
        <w:pStyle w:val="BodyTextIndent3"/>
        <w:tabs>
          <w:tab w:val="clear" w:pos="1260"/>
        </w:tabs>
        <w:rPr>
          <w:b w:val="0"/>
        </w:rPr>
      </w:pPr>
      <w:r>
        <w:rPr>
          <w:rStyle w:val="LineNumber"/>
          <w:b w:val="0"/>
          <w:bCs w:val="0"/>
        </w:rPr>
        <w:t>A.</w:t>
      </w:r>
      <w:r>
        <w:rPr>
          <w:rStyle w:val="LineNumber"/>
          <w:b w:val="0"/>
          <w:bCs w:val="0"/>
        </w:rPr>
        <w:tab/>
      </w:r>
      <w:r w:rsidR="00522AEC">
        <w:rPr>
          <w:rStyle w:val="LineNumber"/>
          <w:b w:val="0"/>
          <w:bCs w:val="0"/>
        </w:rPr>
        <w:t xml:space="preserve">Yes.  </w:t>
      </w:r>
      <w:r>
        <w:rPr>
          <w:rStyle w:val="LineNumber"/>
          <w:b w:val="0"/>
          <w:bCs w:val="0"/>
        </w:rPr>
        <w:t xml:space="preserve">Mr. Mullins performed </w:t>
      </w:r>
      <w:r w:rsidR="00534839">
        <w:rPr>
          <w:rStyle w:val="LineNumber"/>
          <w:b w:val="0"/>
          <w:bCs w:val="0"/>
        </w:rPr>
        <w:t xml:space="preserve">his analysis using </w:t>
      </w:r>
      <w:r>
        <w:rPr>
          <w:rStyle w:val="LineNumber"/>
          <w:b w:val="0"/>
          <w:bCs w:val="0"/>
        </w:rPr>
        <w:t>a single water year</w:t>
      </w:r>
      <w:r w:rsidR="00534839">
        <w:rPr>
          <w:rStyle w:val="LineNumber"/>
          <w:b w:val="0"/>
          <w:bCs w:val="0"/>
        </w:rPr>
        <w:t>,</w:t>
      </w:r>
      <w:r w:rsidR="00EE3FCE">
        <w:rPr>
          <w:rStyle w:val="LineNumber"/>
          <w:b w:val="0"/>
          <w:bCs w:val="0"/>
        </w:rPr>
        <w:t xml:space="preserve"> rather than the full 80-</w:t>
      </w:r>
      <w:r>
        <w:rPr>
          <w:rStyle w:val="LineNumber"/>
          <w:b w:val="0"/>
          <w:bCs w:val="0"/>
        </w:rPr>
        <w:t xml:space="preserve">year study. </w:t>
      </w:r>
      <w:r w:rsidR="00F151FD">
        <w:rPr>
          <w:rStyle w:val="LineNumber"/>
          <w:b w:val="0"/>
          <w:bCs w:val="0"/>
        </w:rPr>
        <w:t xml:space="preserve"> </w:t>
      </w:r>
      <w:r w:rsidR="003E14A0">
        <w:rPr>
          <w:b w:val="0"/>
        </w:rPr>
        <w:t>T</w:t>
      </w:r>
      <w:r w:rsidRPr="00FF2F50">
        <w:rPr>
          <w:b w:val="0"/>
        </w:rPr>
        <w:t xml:space="preserve">he 80-year water record is used in rate filings to take into account the asymmetrical </w:t>
      </w:r>
      <w:r w:rsidR="00EE3FCE">
        <w:rPr>
          <w:b w:val="0"/>
        </w:rPr>
        <w:t xml:space="preserve">market prices that occur with varying hydroelectric generation </w:t>
      </w:r>
      <w:r w:rsidRPr="00FF2F50">
        <w:rPr>
          <w:b w:val="0"/>
        </w:rPr>
        <w:t xml:space="preserve">water conditions. </w:t>
      </w:r>
      <w:r w:rsidR="00F151FD" w:rsidRPr="00FF2F50">
        <w:rPr>
          <w:b w:val="0"/>
        </w:rPr>
        <w:t xml:space="preserve"> </w:t>
      </w:r>
      <w:r w:rsidRPr="00FF2F50">
        <w:rPr>
          <w:b w:val="0"/>
        </w:rPr>
        <w:t>For example</w:t>
      </w:r>
      <w:r w:rsidR="00B24CDD">
        <w:rPr>
          <w:b w:val="0"/>
        </w:rPr>
        <w:t>,</w:t>
      </w:r>
      <w:r w:rsidRPr="00FF2F50">
        <w:rPr>
          <w:b w:val="0"/>
        </w:rPr>
        <w:t xml:space="preserve"> if you choose a single water year with energy close to average, it will not represent the cost if all 80 years were studied. </w:t>
      </w:r>
      <w:r w:rsidR="00F151FD" w:rsidRPr="00FF2F50">
        <w:rPr>
          <w:b w:val="0"/>
        </w:rPr>
        <w:t xml:space="preserve"> </w:t>
      </w:r>
      <w:r w:rsidRPr="00FF2F50">
        <w:rPr>
          <w:b w:val="0"/>
        </w:rPr>
        <w:t xml:space="preserve">The average cost used in this rate proceeding for variable fuel costs and system balancing market transactions is $57,506,000. </w:t>
      </w:r>
      <w:r w:rsidR="00F151FD" w:rsidRPr="00FF2F50">
        <w:rPr>
          <w:b w:val="0"/>
        </w:rPr>
        <w:t xml:space="preserve"> </w:t>
      </w:r>
      <w:r w:rsidRPr="00FF2F50">
        <w:rPr>
          <w:b w:val="0"/>
        </w:rPr>
        <w:t>If 1938 were used</w:t>
      </w:r>
      <w:r w:rsidR="00EE3FCE">
        <w:rPr>
          <w:b w:val="0"/>
        </w:rPr>
        <w:t xml:space="preserve"> instead of the full 80-year record</w:t>
      </w:r>
      <w:r w:rsidR="00667FCE" w:rsidRPr="00FF2F50">
        <w:rPr>
          <w:b w:val="0"/>
        </w:rPr>
        <w:t>,</w:t>
      </w:r>
      <w:r w:rsidRPr="00FF2F50">
        <w:rPr>
          <w:b w:val="0"/>
        </w:rPr>
        <w:t xml:space="preserve"> </w:t>
      </w:r>
      <w:r w:rsidR="00EE3FCE">
        <w:rPr>
          <w:b w:val="0"/>
        </w:rPr>
        <w:t xml:space="preserve">as Mr. Mullins did for his work, </w:t>
      </w:r>
      <w:r w:rsidRPr="00FF2F50">
        <w:rPr>
          <w:b w:val="0"/>
        </w:rPr>
        <w:t>power cost</w:t>
      </w:r>
      <w:r w:rsidR="00EE3FCE">
        <w:rPr>
          <w:b w:val="0"/>
        </w:rPr>
        <w:t>s</w:t>
      </w:r>
      <w:r w:rsidRPr="00FF2F50">
        <w:rPr>
          <w:b w:val="0"/>
        </w:rPr>
        <w:t xml:space="preserve"> would be </w:t>
      </w:r>
      <w:r w:rsidR="00EE3FCE">
        <w:rPr>
          <w:b w:val="0"/>
        </w:rPr>
        <w:t xml:space="preserve">$11,036,000 </w:t>
      </w:r>
      <w:r w:rsidR="00EE3FCE" w:rsidRPr="00FF2F50">
        <w:rPr>
          <w:b w:val="0"/>
          <w:u w:val="single"/>
        </w:rPr>
        <w:t>higher</w:t>
      </w:r>
      <w:r w:rsidR="00EE3FCE" w:rsidRPr="00FF2F50">
        <w:rPr>
          <w:b w:val="0"/>
        </w:rPr>
        <w:t xml:space="preserve"> than what Avista included in this case</w:t>
      </w:r>
      <w:r w:rsidR="00EE3FCE">
        <w:rPr>
          <w:b w:val="0"/>
        </w:rPr>
        <w:t xml:space="preserve"> (</w:t>
      </w:r>
      <w:r w:rsidRPr="00FF2F50">
        <w:rPr>
          <w:b w:val="0"/>
        </w:rPr>
        <w:t>$68,542,000</w:t>
      </w:r>
      <w:r w:rsidR="00EE3FCE">
        <w:rPr>
          <w:b w:val="0"/>
        </w:rPr>
        <w:t xml:space="preserve"> vs. $57,506,000)</w:t>
      </w:r>
      <w:r w:rsidR="00667FCE" w:rsidRPr="00FF2F50">
        <w:rPr>
          <w:b w:val="0"/>
        </w:rPr>
        <w:t>.</w:t>
      </w:r>
      <w:r w:rsidR="00FF2F50">
        <w:rPr>
          <w:b w:val="0"/>
        </w:rPr>
        <w:t xml:space="preserve">  </w:t>
      </w:r>
      <w:r w:rsidR="006D368B" w:rsidRPr="00FF2F50">
        <w:rPr>
          <w:rStyle w:val="LineNumber"/>
          <w:b w:val="0"/>
        </w:rPr>
        <w:t>A simple averaging of market prices is not a substitute for evaluating the overall</w:t>
      </w:r>
      <w:r w:rsidR="006D368B" w:rsidRPr="00F10160">
        <w:rPr>
          <w:rStyle w:val="LineNumber"/>
          <w:b w:val="0"/>
        </w:rPr>
        <w:t xml:space="preserve"> performance of </w:t>
      </w:r>
      <w:r w:rsidR="006D368B" w:rsidRPr="00F10160">
        <w:rPr>
          <w:rStyle w:val="LineNumber"/>
          <w:b w:val="0"/>
        </w:rPr>
        <w:lastRenderedPageBreak/>
        <w:t>AURORA</w:t>
      </w:r>
      <w:r w:rsidR="006D368B" w:rsidRPr="00F10160">
        <w:rPr>
          <w:rStyle w:val="LineNumber"/>
          <w:b w:val="0"/>
          <w:vertAlign w:val="subscript"/>
        </w:rPr>
        <w:t>XMP</w:t>
      </w:r>
      <w:r w:rsidR="00EE3FCE">
        <w:rPr>
          <w:rStyle w:val="LineNumber"/>
          <w:b w:val="0"/>
          <w:vertAlign w:val="subscript"/>
        </w:rPr>
        <w:t xml:space="preserve"> </w:t>
      </w:r>
      <w:r w:rsidR="00EE3FCE">
        <w:rPr>
          <w:rStyle w:val="LineNumber"/>
          <w:b w:val="0"/>
        </w:rPr>
        <w:t>across the full hydro record.</w:t>
      </w:r>
      <w:r w:rsidR="006D368B" w:rsidRPr="00F10160">
        <w:rPr>
          <w:rStyle w:val="LineNumber"/>
          <w:b w:val="0"/>
        </w:rPr>
        <w:t xml:space="preserve">  Avista models the entire 80-year water record and ensures the overall market conditions reflect forward prices on average</w:t>
      </w:r>
      <w:r w:rsidR="006D368B" w:rsidRPr="00667FCE">
        <w:rPr>
          <w:rStyle w:val="LineNumber"/>
          <w:b w:val="0"/>
        </w:rPr>
        <w:t xml:space="preserve"> and fundamental market operations</w:t>
      </w:r>
      <w:r w:rsidR="006D368B" w:rsidRPr="00F10160">
        <w:rPr>
          <w:rStyle w:val="LineNumber"/>
          <w:b w:val="0"/>
        </w:rPr>
        <w:t xml:space="preserve">.  Water year 1938 is not a substitute, since its water conditions are median, </w:t>
      </w:r>
      <w:r w:rsidR="00667FCE">
        <w:rPr>
          <w:rStyle w:val="LineNumber"/>
          <w:b w:val="0"/>
        </w:rPr>
        <w:t>as stated by Mr</w:t>
      </w:r>
      <w:r w:rsidR="002F5EA5">
        <w:rPr>
          <w:rStyle w:val="LineNumber"/>
          <w:b w:val="0"/>
        </w:rPr>
        <w:t>.</w:t>
      </w:r>
      <w:r w:rsidR="00667FCE">
        <w:rPr>
          <w:rStyle w:val="LineNumber"/>
          <w:b w:val="0"/>
        </w:rPr>
        <w:t xml:space="preserve"> Mullins</w:t>
      </w:r>
      <w:r w:rsidR="00522AEC" w:rsidRPr="00F10160">
        <w:rPr>
          <w:rStyle w:val="LineNumber"/>
          <w:b w:val="0"/>
        </w:rPr>
        <w:t>.</w:t>
      </w:r>
      <w:r w:rsidR="00667FCE">
        <w:rPr>
          <w:rStyle w:val="FootnoteReference"/>
          <w:b w:val="0"/>
        </w:rPr>
        <w:footnoteReference w:id="1"/>
      </w:r>
      <w:r w:rsidR="00522AEC" w:rsidRPr="00F10160">
        <w:rPr>
          <w:rStyle w:val="LineNumber"/>
          <w:b w:val="0"/>
        </w:rPr>
        <w:t xml:space="preserve">  A </w:t>
      </w:r>
      <w:r w:rsidR="00667FCE">
        <w:rPr>
          <w:rStyle w:val="LineNumber"/>
          <w:b w:val="0"/>
        </w:rPr>
        <w:t>median</w:t>
      </w:r>
      <w:r w:rsidR="00FF2F50">
        <w:rPr>
          <w:rStyle w:val="LineNumber"/>
          <w:b w:val="0"/>
        </w:rPr>
        <w:t xml:space="preserve"> </w:t>
      </w:r>
      <w:r w:rsidR="00522AEC" w:rsidRPr="00F10160">
        <w:rPr>
          <w:rStyle w:val="LineNumber"/>
          <w:b w:val="0"/>
        </w:rPr>
        <w:t>water year is not</w:t>
      </w:r>
      <w:r w:rsidR="006D368B" w:rsidRPr="00F10160">
        <w:rPr>
          <w:rStyle w:val="LineNumber"/>
          <w:b w:val="0"/>
        </w:rPr>
        <w:t xml:space="preserve"> adequate evidence to discount the significant 80-year record modeled by Avista.</w:t>
      </w:r>
      <w:r w:rsidR="006D368B" w:rsidRPr="00F10160">
        <w:rPr>
          <w:b w:val="0"/>
        </w:rPr>
        <w:t xml:space="preserve"> </w:t>
      </w:r>
    </w:p>
    <w:p w:rsidR="00D23BCD" w:rsidRPr="00F10160" w:rsidRDefault="00D23BCD" w:rsidP="00F10160">
      <w:pPr>
        <w:pStyle w:val="BodyTextIndent3"/>
        <w:tabs>
          <w:tab w:val="clear" w:pos="1260"/>
        </w:tabs>
        <w:rPr>
          <w:rStyle w:val="LineNumber"/>
          <w:b w:val="0"/>
          <w:bCs w:val="0"/>
        </w:rPr>
      </w:pPr>
      <w:r>
        <w:rPr>
          <w:b w:val="0"/>
        </w:rPr>
        <w:t xml:space="preserve">Furthermore, the use of the 80-year water record, which captures the asymmetrical nature of wholesale market conditions, is consistent with the design of the </w:t>
      </w:r>
      <w:r w:rsidR="003E14A0">
        <w:rPr>
          <w:b w:val="0"/>
        </w:rPr>
        <w:t>E</w:t>
      </w:r>
      <w:r>
        <w:rPr>
          <w:b w:val="0"/>
        </w:rPr>
        <w:t xml:space="preserve">nergy </w:t>
      </w:r>
      <w:r w:rsidR="003E14A0">
        <w:rPr>
          <w:b w:val="0"/>
        </w:rPr>
        <w:t>R</w:t>
      </w:r>
      <w:r>
        <w:rPr>
          <w:b w:val="0"/>
        </w:rPr>
        <w:t xml:space="preserve">ecovery </w:t>
      </w:r>
      <w:r w:rsidR="003E14A0">
        <w:rPr>
          <w:b w:val="0"/>
        </w:rPr>
        <w:t>M</w:t>
      </w:r>
      <w:r>
        <w:rPr>
          <w:b w:val="0"/>
        </w:rPr>
        <w:t>echanism (ERM).  The ERM has asymmetrical sharing bands depending on whether actual power supply costs are higher (50%/50%</w:t>
      </w:r>
      <w:r w:rsidRPr="00D23BCD">
        <w:rPr>
          <w:b w:val="0"/>
        </w:rPr>
        <w:t xml:space="preserve"> </w:t>
      </w:r>
      <w:r>
        <w:rPr>
          <w:b w:val="0"/>
        </w:rPr>
        <w:t>customer/utility) or lower (75%/25% customer/utility) than authorized.</w:t>
      </w:r>
    </w:p>
    <w:p w:rsidR="006D368B" w:rsidRDefault="006D368B" w:rsidP="00956423">
      <w:pPr>
        <w:autoSpaceDE/>
        <w:autoSpaceDN/>
        <w:spacing w:line="480" w:lineRule="auto"/>
        <w:rPr>
          <w:b/>
          <w:bCs/>
          <w:u w:val="single"/>
        </w:rPr>
      </w:pPr>
    </w:p>
    <w:p w:rsidR="00E10B77" w:rsidRPr="002B60EC" w:rsidRDefault="00E10B77" w:rsidP="00E10B77">
      <w:pPr>
        <w:pStyle w:val="BodyTextIndent3"/>
        <w:tabs>
          <w:tab w:val="clear" w:pos="1260"/>
        </w:tabs>
        <w:ind w:firstLine="0"/>
        <w:jc w:val="center"/>
        <w:rPr>
          <w:u w:val="single"/>
        </w:rPr>
      </w:pPr>
      <w:r>
        <w:rPr>
          <w:u w:val="single"/>
        </w:rPr>
        <w:t>II</w:t>
      </w:r>
      <w:r w:rsidR="00ED3364">
        <w:rPr>
          <w:u w:val="single"/>
        </w:rPr>
        <w:t>I</w:t>
      </w:r>
      <w:r w:rsidRPr="002B60EC">
        <w:rPr>
          <w:u w:val="single"/>
        </w:rPr>
        <w:t xml:space="preserve">. </w:t>
      </w:r>
      <w:r w:rsidR="003878BC">
        <w:rPr>
          <w:u w:val="single"/>
        </w:rPr>
        <w:t>ACCURACY OF</w:t>
      </w:r>
      <w:r>
        <w:rPr>
          <w:u w:val="single"/>
        </w:rPr>
        <w:t xml:space="preserve"> </w:t>
      </w:r>
      <w:r w:rsidR="003668B1">
        <w:rPr>
          <w:u w:val="single"/>
        </w:rPr>
        <w:t>AURORA</w:t>
      </w:r>
      <w:r w:rsidR="003668B1" w:rsidRPr="003878BC">
        <w:rPr>
          <w:u w:val="single"/>
          <w:vertAlign w:val="subscript"/>
        </w:rPr>
        <w:t>XMP</w:t>
      </w:r>
      <w:r>
        <w:rPr>
          <w:u w:val="single"/>
        </w:rPr>
        <w:t>:</w:t>
      </w:r>
    </w:p>
    <w:p w:rsidR="000C5165" w:rsidRDefault="00E10B77" w:rsidP="00E10B77">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sidR="000C5165">
        <w:rPr>
          <w:rFonts w:ascii="Times New Roman" w:hAnsi="Times New Roman"/>
          <w:b/>
          <w:bCs/>
        </w:rPr>
        <w:t xml:space="preserve">Do you agree with </w:t>
      </w:r>
      <w:r w:rsidR="001D505D">
        <w:rPr>
          <w:rFonts w:ascii="Times New Roman" w:hAnsi="Times New Roman"/>
          <w:b/>
          <w:bCs/>
        </w:rPr>
        <w:t>Mr.</w:t>
      </w:r>
      <w:r w:rsidR="000C5165">
        <w:rPr>
          <w:rFonts w:ascii="Times New Roman" w:hAnsi="Times New Roman"/>
          <w:b/>
          <w:bCs/>
        </w:rPr>
        <w:t xml:space="preserve"> Mullins, at page 45 </w:t>
      </w:r>
      <w:r w:rsidR="00D23BCD">
        <w:rPr>
          <w:rFonts w:ascii="Times New Roman" w:hAnsi="Times New Roman"/>
          <w:b/>
          <w:bCs/>
        </w:rPr>
        <w:t>to</w:t>
      </w:r>
      <w:r w:rsidR="00D927EC">
        <w:rPr>
          <w:rFonts w:ascii="Times New Roman" w:hAnsi="Times New Roman"/>
          <w:b/>
          <w:bCs/>
        </w:rPr>
        <w:t xml:space="preserve"> his response</w:t>
      </w:r>
      <w:r w:rsidR="00B54036">
        <w:rPr>
          <w:rFonts w:ascii="Times New Roman" w:hAnsi="Times New Roman"/>
          <w:b/>
          <w:bCs/>
        </w:rPr>
        <w:t xml:space="preserve"> testimony </w:t>
      </w:r>
      <w:r w:rsidR="000C5165">
        <w:rPr>
          <w:rFonts w:ascii="Times New Roman" w:hAnsi="Times New Roman"/>
          <w:b/>
          <w:bCs/>
        </w:rPr>
        <w:t>beginning at line 2</w:t>
      </w:r>
      <w:r w:rsidR="000317AC">
        <w:rPr>
          <w:rFonts w:ascii="Times New Roman" w:hAnsi="Times New Roman"/>
          <w:b/>
          <w:bCs/>
        </w:rPr>
        <w:t>,</w:t>
      </w:r>
      <w:r w:rsidR="000C5165">
        <w:rPr>
          <w:rFonts w:ascii="Times New Roman" w:hAnsi="Times New Roman"/>
          <w:b/>
          <w:bCs/>
        </w:rPr>
        <w:t xml:space="preserve"> that “the </w:t>
      </w:r>
      <w:r w:rsidR="003668B1">
        <w:rPr>
          <w:rFonts w:ascii="Times New Roman" w:hAnsi="Times New Roman"/>
          <w:b/>
          <w:bCs/>
        </w:rPr>
        <w:t>AURORA</w:t>
      </w:r>
      <w:r w:rsidR="003668B1" w:rsidRPr="003668B1">
        <w:rPr>
          <w:rFonts w:ascii="Times New Roman" w:hAnsi="Times New Roman"/>
          <w:b/>
          <w:bCs/>
          <w:vertAlign w:val="subscript"/>
        </w:rPr>
        <w:t>XMP</w:t>
      </w:r>
      <w:r w:rsidR="000C5165">
        <w:rPr>
          <w:rFonts w:ascii="Times New Roman" w:hAnsi="Times New Roman"/>
          <w:b/>
          <w:bCs/>
        </w:rPr>
        <w:t xml:space="preserve"> model probably tends to overstate power costs?”</w:t>
      </w:r>
    </w:p>
    <w:p w:rsidR="000C5165" w:rsidRPr="00272BFE" w:rsidRDefault="000C5165" w:rsidP="00E10B77">
      <w:pPr>
        <w:pStyle w:val="TestBody"/>
        <w:tabs>
          <w:tab w:val="num" w:pos="720"/>
        </w:tabs>
        <w:spacing w:line="480" w:lineRule="auto"/>
        <w:ind w:left="0" w:firstLine="720"/>
        <w:rPr>
          <w:rFonts w:ascii="Times New Roman" w:hAnsi="Times New Roman"/>
          <w:bCs/>
        </w:rPr>
      </w:pPr>
      <w:r w:rsidRPr="00272BFE">
        <w:rPr>
          <w:rFonts w:ascii="Times New Roman" w:hAnsi="Times New Roman"/>
          <w:bCs/>
        </w:rPr>
        <w:t>A.</w:t>
      </w:r>
      <w:r w:rsidRPr="00272BFE">
        <w:rPr>
          <w:rFonts w:ascii="Times New Roman" w:hAnsi="Times New Roman"/>
          <w:bCs/>
        </w:rPr>
        <w:tab/>
        <w:t>No.  Mr</w:t>
      </w:r>
      <w:r w:rsidR="006D368B">
        <w:rPr>
          <w:rFonts w:ascii="Times New Roman" w:hAnsi="Times New Roman"/>
          <w:bCs/>
        </w:rPr>
        <w:t>.</w:t>
      </w:r>
      <w:r w:rsidRPr="00272BFE">
        <w:rPr>
          <w:rFonts w:ascii="Times New Roman" w:hAnsi="Times New Roman"/>
          <w:bCs/>
        </w:rPr>
        <w:t xml:space="preserve"> Mullins makes this </w:t>
      </w:r>
      <w:r w:rsidR="00D23BCD">
        <w:rPr>
          <w:rFonts w:ascii="Times New Roman" w:hAnsi="Times New Roman"/>
          <w:bCs/>
        </w:rPr>
        <w:t xml:space="preserve">allegation </w:t>
      </w:r>
      <w:r w:rsidRPr="00272BFE">
        <w:rPr>
          <w:rFonts w:ascii="Times New Roman" w:hAnsi="Times New Roman"/>
          <w:bCs/>
        </w:rPr>
        <w:t xml:space="preserve">without </w:t>
      </w:r>
      <w:r w:rsidR="00D23BCD">
        <w:rPr>
          <w:rFonts w:ascii="Times New Roman" w:hAnsi="Times New Roman"/>
          <w:bCs/>
        </w:rPr>
        <w:t xml:space="preserve">supporting </w:t>
      </w:r>
      <w:r w:rsidRPr="00272BFE">
        <w:rPr>
          <w:rFonts w:ascii="Times New Roman" w:hAnsi="Times New Roman"/>
          <w:bCs/>
        </w:rPr>
        <w:t xml:space="preserve">evidence.  The </w:t>
      </w:r>
      <w:r w:rsidR="00D23BCD">
        <w:rPr>
          <w:rFonts w:ascii="Times New Roman" w:hAnsi="Times New Roman"/>
          <w:bCs/>
        </w:rPr>
        <w:t xml:space="preserve">argument </w:t>
      </w:r>
      <w:r w:rsidRPr="00272BFE">
        <w:rPr>
          <w:rFonts w:ascii="Times New Roman" w:hAnsi="Times New Roman"/>
          <w:bCs/>
        </w:rPr>
        <w:t xml:space="preserve">used to justify </w:t>
      </w:r>
      <w:r w:rsidR="003E14A0">
        <w:rPr>
          <w:rFonts w:ascii="Times New Roman" w:hAnsi="Times New Roman"/>
          <w:bCs/>
        </w:rPr>
        <w:t xml:space="preserve">his </w:t>
      </w:r>
      <w:r w:rsidR="00D23BCD">
        <w:rPr>
          <w:rFonts w:ascii="Times New Roman" w:hAnsi="Times New Roman"/>
          <w:bCs/>
        </w:rPr>
        <w:t xml:space="preserve">position </w:t>
      </w:r>
      <w:r w:rsidRPr="00272BFE">
        <w:rPr>
          <w:rFonts w:ascii="Times New Roman" w:hAnsi="Times New Roman"/>
          <w:bCs/>
        </w:rPr>
        <w:t xml:space="preserve">represents a gross misunderstanding of what </w:t>
      </w:r>
      <w:r w:rsidR="003668B1">
        <w:rPr>
          <w:rFonts w:ascii="Times New Roman" w:hAnsi="Times New Roman"/>
          <w:bCs/>
        </w:rPr>
        <w:t>AURORA</w:t>
      </w:r>
      <w:r w:rsidR="003668B1" w:rsidRPr="003668B1">
        <w:rPr>
          <w:rFonts w:ascii="Times New Roman" w:hAnsi="Times New Roman"/>
          <w:bCs/>
          <w:vertAlign w:val="subscript"/>
        </w:rPr>
        <w:t>XMP</w:t>
      </w:r>
      <w:r w:rsidRPr="00272BFE">
        <w:rPr>
          <w:rFonts w:ascii="Times New Roman" w:hAnsi="Times New Roman"/>
          <w:bCs/>
        </w:rPr>
        <w:t xml:space="preserve"> is used for, and how utilities interact in the marketplace to manage their power supply portfolio.</w:t>
      </w:r>
    </w:p>
    <w:p w:rsidR="00D23BCD" w:rsidRDefault="009845CA" w:rsidP="00D23BCD">
      <w:pPr>
        <w:pStyle w:val="TestBody"/>
        <w:tabs>
          <w:tab w:val="num" w:pos="720"/>
        </w:tabs>
        <w:spacing w:line="480" w:lineRule="auto"/>
        <w:ind w:left="0" w:firstLine="720"/>
        <w:rPr>
          <w:rFonts w:ascii="Times New Roman" w:hAnsi="Times New Roman"/>
        </w:rPr>
      </w:pPr>
      <w:r>
        <w:rPr>
          <w:rFonts w:ascii="Times New Roman" w:hAnsi="Times New Roman"/>
        </w:rPr>
        <w:t xml:space="preserve">Power </w:t>
      </w:r>
      <w:r w:rsidR="00D23BCD">
        <w:rPr>
          <w:rFonts w:ascii="Times New Roman" w:hAnsi="Times New Roman"/>
        </w:rPr>
        <w:t xml:space="preserve">supply proforma costs </w:t>
      </w:r>
      <w:r>
        <w:rPr>
          <w:rFonts w:ascii="Times New Roman" w:hAnsi="Times New Roman"/>
        </w:rPr>
        <w:t>are based on average water</w:t>
      </w:r>
      <w:r w:rsidR="00597689">
        <w:rPr>
          <w:rFonts w:ascii="Times New Roman" w:hAnsi="Times New Roman"/>
        </w:rPr>
        <w:t xml:space="preserve"> conditions</w:t>
      </w:r>
      <w:r>
        <w:rPr>
          <w:rFonts w:ascii="Times New Roman" w:hAnsi="Times New Roman"/>
        </w:rPr>
        <w:t xml:space="preserve">, forward natural gas and electric prices, load forecasts, generation availability forecasts, and many other market </w:t>
      </w:r>
      <w:r>
        <w:rPr>
          <w:rFonts w:ascii="Times New Roman" w:hAnsi="Times New Roman"/>
        </w:rPr>
        <w:lastRenderedPageBreak/>
        <w:t xml:space="preserve">assumptions. </w:t>
      </w:r>
      <w:r w:rsidR="00F151FD">
        <w:rPr>
          <w:rFonts w:ascii="Times New Roman" w:hAnsi="Times New Roman"/>
        </w:rPr>
        <w:t xml:space="preserve"> </w:t>
      </w:r>
      <w:r w:rsidR="006D368B">
        <w:rPr>
          <w:rFonts w:ascii="Times New Roman" w:hAnsi="Times New Roman"/>
        </w:rPr>
        <w:t>Toget</w:t>
      </w:r>
      <w:r w:rsidR="00522AEC">
        <w:rPr>
          <w:rFonts w:ascii="Times New Roman" w:hAnsi="Times New Roman"/>
        </w:rPr>
        <w:t>her these assumptions represent</w:t>
      </w:r>
      <w:r w:rsidR="00D23BCD">
        <w:rPr>
          <w:rFonts w:ascii="Times New Roman" w:hAnsi="Times New Roman"/>
        </w:rPr>
        <w:t xml:space="preserve"> “normalized” conditions;</w:t>
      </w:r>
      <w:r w:rsidR="006D368B">
        <w:rPr>
          <w:rFonts w:ascii="Times New Roman" w:hAnsi="Times New Roman"/>
        </w:rPr>
        <w:t xml:space="preserve"> the basis for power supply cost ratemaking.  </w:t>
      </w:r>
      <w:r>
        <w:rPr>
          <w:rFonts w:ascii="Times New Roman" w:hAnsi="Times New Roman"/>
        </w:rPr>
        <w:t xml:space="preserve">The biggest driver of </w:t>
      </w:r>
      <w:r w:rsidR="006D368B">
        <w:rPr>
          <w:rFonts w:ascii="Times New Roman" w:hAnsi="Times New Roman"/>
        </w:rPr>
        <w:t xml:space="preserve">variances from normalized costs </w:t>
      </w:r>
      <w:r>
        <w:rPr>
          <w:rFonts w:ascii="Times New Roman" w:hAnsi="Times New Roman"/>
        </w:rPr>
        <w:t>are hydro conditions and natural gas prices</w:t>
      </w:r>
      <w:r w:rsidR="006D368B">
        <w:rPr>
          <w:rFonts w:ascii="Times New Roman" w:hAnsi="Times New Roman"/>
        </w:rPr>
        <w:t>, items that can vary significantly year to year</w:t>
      </w:r>
      <w:r w:rsidR="00D23BCD">
        <w:rPr>
          <w:rFonts w:ascii="Times New Roman" w:hAnsi="Times New Roman"/>
        </w:rPr>
        <w:t>.</w:t>
      </w:r>
    </w:p>
    <w:p w:rsidR="00D23BCD" w:rsidRDefault="00D23BCD" w:rsidP="00D23BCD">
      <w:pPr>
        <w:pStyle w:val="TestBody"/>
        <w:tabs>
          <w:tab w:val="num" w:pos="720"/>
        </w:tabs>
        <w:spacing w:line="480" w:lineRule="auto"/>
        <w:ind w:left="0" w:firstLine="0"/>
        <w:rPr>
          <w:rFonts w:ascii="Times New Roman" w:hAnsi="Times New Roman"/>
        </w:rPr>
      </w:pPr>
      <w:r>
        <w:rPr>
          <w:rFonts w:ascii="Times New Roman" w:hAnsi="Times New Roman"/>
        </w:rPr>
        <w:tab/>
        <w:t xml:space="preserve">As explained in my direct testimony, beginning at line 19 of page 3, </w:t>
      </w:r>
      <w:r w:rsidR="00C56162">
        <w:rPr>
          <w:rFonts w:ascii="Times New Roman" w:hAnsi="Times New Roman"/>
        </w:rPr>
        <w:t>not only has the Commission supported Company use of AURORA</w:t>
      </w:r>
      <w:r w:rsidR="00C56162" w:rsidRPr="00C56162">
        <w:rPr>
          <w:rFonts w:ascii="Times New Roman" w:hAnsi="Times New Roman"/>
          <w:vertAlign w:val="subscript"/>
        </w:rPr>
        <w:t>XMP</w:t>
      </w:r>
      <w:r w:rsidR="00C56162">
        <w:rPr>
          <w:rFonts w:ascii="Times New Roman" w:hAnsi="Times New Roman"/>
        </w:rPr>
        <w:t xml:space="preserve"> since 2002 in each of its rate case filings, the software is used for Commission Basis Reports, Integrated Resource Planning Analyses and RFPs.  AURORA</w:t>
      </w:r>
      <w:r w:rsidR="00C56162" w:rsidRPr="00C56162">
        <w:rPr>
          <w:rFonts w:ascii="Times New Roman" w:hAnsi="Times New Roman"/>
          <w:vertAlign w:val="subscript"/>
        </w:rPr>
        <w:t>XMP</w:t>
      </w:r>
      <w:r w:rsidR="00C56162">
        <w:rPr>
          <w:rFonts w:ascii="Times New Roman" w:hAnsi="Times New Roman"/>
        </w:rPr>
        <w:t xml:space="preserve"> is used by many utilities for setting power supply expenses, including the Bonneville Power Administration, Idaho Power, Portland General Electric, PacifiCorp, Seattle City Light, and Grant County PUD.  The Northwest Power and Conservation Council uses the software for its power plans.</w:t>
      </w:r>
    </w:p>
    <w:p w:rsidR="00F11C94" w:rsidRDefault="00F11C94" w:rsidP="00F11C94">
      <w:pPr>
        <w:pStyle w:val="TestBody"/>
        <w:tabs>
          <w:tab w:val="num" w:pos="720"/>
        </w:tabs>
        <w:spacing w:line="480" w:lineRule="auto"/>
        <w:ind w:left="0" w:firstLine="720"/>
        <w:rPr>
          <w:rFonts w:ascii="Times New Roman" w:hAnsi="Times New Roman"/>
          <w:bCs/>
        </w:rPr>
      </w:pPr>
      <w:r>
        <w:rPr>
          <w:rFonts w:ascii="Times New Roman" w:hAnsi="Times New Roman"/>
          <w:b/>
          <w:bCs/>
        </w:rPr>
        <w:t>Q.</w:t>
      </w:r>
      <w:r>
        <w:rPr>
          <w:rFonts w:ascii="Times New Roman" w:hAnsi="Times New Roman"/>
          <w:b/>
          <w:bCs/>
        </w:rPr>
        <w:tab/>
        <w:t>Do you agree with Mr. Mullins, beginning at l</w:t>
      </w:r>
      <w:r w:rsidR="00D927EC">
        <w:rPr>
          <w:rFonts w:ascii="Times New Roman" w:hAnsi="Times New Roman"/>
          <w:b/>
          <w:bCs/>
        </w:rPr>
        <w:t>ine 3 on page 54 of his response</w:t>
      </w:r>
      <w:r>
        <w:rPr>
          <w:rFonts w:ascii="Times New Roman" w:hAnsi="Times New Roman"/>
          <w:b/>
          <w:bCs/>
        </w:rPr>
        <w:t xml:space="preserve"> testimony, that Avista’s </w:t>
      </w:r>
      <w:r w:rsidR="003668B1">
        <w:rPr>
          <w:rFonts w:ascii="Times New Roman" w:hAnsi="Times New Roman"/>
          <w:b/>
          <w:bCs/>
        </w:rPr>
        <w:t>AURORA</w:t>
      </w:r>
      <w:r w:rsidR="003668B1" w:rsidRPr="003668B1">
        <w:rPr>
          <w:rFonts w:ascii="Times New Roman" w:hAnsi="Times New Roman"/>
          <w:b/>
          <w:bCs/>
          <w:vertAlign w:val="subscript"/>
        </w:rPr>
        <w:t>XMP</w:t>
      </w:r>
      <w:r>
        <w:rPr>
          <w:rFonts w:ascii="Times New Roman" w:hAnsi="Times New Roman"/>
          <w:b/>
          <w:bCs/>
        </w:rPr>
        <w:t xml:space="preserve"> modeling is “results driven” and “eliminates the need to use a model?”</w:t>
      </w:r>
    </w:p>
    <w:p w:rsidR="00F11C94" w:rsidRPr="00272BFE" w:rsidRDefault="00F11C94" w:rsidP="00F11C94">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t>No.  Mr. Mullin</w:t>
      </w:r>
      <w:r w:rsidR="003878BC">
        <w:rPr>
          <w:rFonts w:ascii="Times New Roman" w:hAnsi="Times New Roman"/>
          <w:bCs/>
        </w:rPr>
        <w:t>s</w:t>
      </w:r>
      <w:r>
        <w:rPr>
          <w:rFonts w:ascii="Times New Roman" w:hAnsi="Times New Roman"/>
          <w:bCs/>
        </w:rPr>
        <w:t xml:space="preserve"> is focusing on only one aspect of the </w:t>
      </w:r>
      <w:r w:rsidR="003668B1">
        <w:rPr>
          <w:rFonts w:ascii="Times New Roman" w:hAnsi="Times New Roman"/>
          <w:bCs/>
        </w:rPr>
        <w:t>AURORA</w:t>
      </w:r>
      <w:r w:rsidR="003668B1" w:rsidRPr="003668B1">
        <w:rPr>
          <w:rFonts w:ascii="Times New Roman" w:hAnsi="Times New Roman"/>
          <w:bCs/>
          <w:vertAlign w:val="subscript"/>
        </w:rPr>
        <w:t>XMP</w:t>
      </w:r>
      <w:r>
        <w:rPr>
          <w:rFonts w:ascii="Times New Roman" w:hAnsi="Times New Roman"/>
          <w:bCs/>
        </w:rPr>
        <w:t xml:space="preserve"> modeling, defining overall wholesale market prices.  In fact </w:t>
      </w:r>
      <w:r w:rsidR="003668B1">
        <w:rPr>
          <w:rFonts w:ascii="Times New Roman" w:hAnsi="Times New Roman"/>
          <w:bCs/>
        </w:rPr>
        <w:t>AURORA</w:t>
      </w:r>
      <w:r w:rsidR="003668B1" w:rsidRPr="003668B1">
        <w:rPr>
          <w:rFonts w:ascii="Times New Roman" w:hAnsi="Times New Roman"/>
          <w:bCs/>
          <w:vertAlign w:val="subscript"/>
        </w:rPr>
        <w:t>XMP</w:t>
      </w:r>
      <w:r>
        <w:rPr>
          <w:rFonts w:ascii="Times New Roman" w:hAnsi="Times New Roman"/>
          <w:bCs/>
        </w:rPr>
        <w:t xml:space="preserve"> does many things.  It tracks fuel consumption, forced outages, generation levels, market reserves, portfolio values, wholesale contracts, and more.  These all play into the overall value of our portfolio.  To say </w:t>
      </w:r>
      <w:r w:rsidR="003668B1">
        <w:rPr>
          <w:rFonts w:ascii="Times New Roman" w:hAnsi="Times New Roman"/>
          <w:bCs/>
        </w:rPr>
        <w:t>AURORA</w:t>
      </w:r>
      <w:r w:rsidR="003668B1" w:rsidRPr="003668B1">
        <w:rPr>
          <w:rFonts w:ascii="Times New Roman" w:hAnsi="Times New Roman"/>
          <w:bCs/>
          <w:vertAlign w:val="subscript"/>
        </w:rPr>
        <w:t>XMP</w:t>
      </w:r>
      <w:r>
        <w:rPr>
          <w:rFonts w:ascii="Times New Roman" w:hAnsi="Times New Roman"/>
          <w:bCs/>
        </w:rPr>
        <w:t xml:space="preserve"> is only used to determine market prices is a gross simplification.  </w:t>
      </w:r>
    </w:p>
    <w:p w:rsidR="00470543" w:rsidRPr="00BD4B85" w:rsidRDefault="00470543" w:rsidP="00470543">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Pr>
          <w:rFonts w:ascii="Times New Roman" w:hAnsi="Times New Roman"/>
          <w:b/>
          <w:bCs/>
        </w:rPr>
        <w:t>Does Avista bias its power costs to be higher than expected costs?</w:t>
      </w:r>
    </w:p>
    <w:p w:rsidR="00470543" w:rsidRDefault="00470543" w:rsidP="00470543">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Pr>
          <w:rFonts w:ascii="Times New Roman" w:hAnsi="Times New Roman"/>
        </w:rPr>
        <w:t>No, Avista uses forward natural gas prices and 80</w:t>
      </w:r>
      <w:r w:rsidR="00795960">
        <w:rPr>
          <w:rFonts w:ascii="Times New Roman" w:hAnsi="Times New Roman"/>
        </w:rPr>
        <w:t>-</w:t>
      </w:r>
      <w:r>
        <w:rPr>
          <w:rFonts w:ascii="Times New Roman" w:hAnsi="Times New Roman"/>
        </w:rPr>
        <w:t xml:space="preserve">year hydro conditions along with </w:t>
      </w:r>
      <w:r w:rsidR="00C56162">
        <w:rPr>
          <w:rFonts w:ascii="Times New Roman" w:hAnsi="Times New Roman"/>
        </w:rPr>
        <w:t>five</w:t>
      </w:r>
      <w:r w:rsidR="00795960">
        <w:rPr>
          <w:rFonts w:ascii="Times New Roman" w:hAnsi="Times New Roman"/>
        </w:rPr>
        <w:t>-</w:t>
      </w:r>
      <w:r>
        <w:rPr>
          <w:rFonts w:ascii="Times New Roman" w:hAnsi="Times New Roman"/>
        </w:rPr>
        <w:t>year averages for resource/contract availability.</w:t>
      </w:r>
      <w:r w:rsidR="00F151FD">
        <w:rPr>
          <w:rFonts w:ascii="Times New Roman" w:hAnsi="Times New Roman"/>
        </w:rPr>
        <w:t xml:space="preserve"> </w:t>
      </w:r>
      <w:r>
        <w:rPr>
          <w:rFonts w:ascii="Times New Roman" w:hAnsi="Times New Roman"/>
        </w:rPr>
        <w:t xml:space="preserve"> </w:t>
      </w:r>
      <w:r w:rsidR="006D368B">
        <w:rPr>
          <w:rFonts w:ascii="Times New Roman" w:hAnsi="Times New Roman"/>
        </w:rPr>
        <w:t xml:space="preserve">It uses </w:t>
      </w:r>
      <w:r w:rsidR="00C56162">
        <w:rPr>
          <w:rFonts w:ascii="Times New Roman" w:hAnsi="Times New Roman"/>
        </w:rPr>
        <w:t>five</w:t>
      </w:r>
      <w:r w:rsidR="006D368B">
        <w:rPr>
          <w:rFonts w:ascii="Times New Roman" w:hAnsi="Times New Roman"/>
        </w:rPr>
        <w:t xml:space="preserve">-year averages of historical forced outages at its thermal plant.  </w:t>
      </w:r>
      <w:r>
        <w:rPr>
          <w:rFonts w:ascii="Times New Roman" w:hAnsi="Times New Roman"/>
        </w:rPr>
        <w:t xml:space="preserve">Further, </w:t>
      </w:r>
      <w:r w:rsidR="006D368B">
        <w:rPr>
          <w:rFonts w:ascii="Times New Roman" w:hAnsi="Times New Roman"/>
        </w:rPr>
        <w:t>we</w:t>
      </w:r>
      <w:r>
        <w:rPr>
          <w:rFonts w:ascii="Times New Roman" w:hAnsi="Times New Roman"/>
        </w:rPr>
        <w:t xml:space="preserve"> </w:t>
      </w:r>
      <w:r w:rsidR="006D368B">
        <w:rPr>
          <w:rFonts w:ascii="Times New Roman" w:hAnsi="Times New Roman"/>
        </w:rPr>
        <w:t xml:space="preserve">ensure our </w:t>
      </w:r>
      <w:r w:rsidR="00C56162">
        <w:rPr>
          <w:rFonts w:ascii="Times New Roman" w:hAnsi="Times New Roman"/>
        </w:rPr>
        <w:t>AURORA</w:t>
      </w:r>
      <w:r w:rsidR="00C56162" w:rsidRPr="00C56162">
        <w:rPr>
          <w:rFonts w:ascii="Times New Roman" w:hAnsi="Times New Roman"/>
          <w:vertAlign w:val="subscript"/>
        </w:rPr>
        <w:t>XMP</w:t>
      </w:r>
      <w:r w:rsidR="00C56162">
        <w:rPr>
          <w:rFonts w:ascii="Times New Roman" w:hAnsi="Times New Roman"/>
        </w:rPr>
        <w:t>-</w:t>
      </w:r>
      <w:r w:rsidR="00C56162">
        <w:rPr>
          <w:rFonts w:ascii="Times New Roman" w:hAnsi="Times New Roman"/>
        </w:rPr>
        <w:lastRenderedPageBreak/>
        <w:t xml:space="preserve">determined </w:t>
      </w:r>
      <w:r>
        <w:rPr>
          <w:rFonts w:ascii="Times New Roman" w:hAnsi="Times New Roman"/>
        </w:rPr>
        <w:t>market price</w:t>
      </w:r>
      <w:r w:rsidR="00C56162">
        <w:rPr>
          <w:rFonts w:ascii="Times New Roman" w:hAnsi="Times New Roman"/>
        </w:rPr>
        <w:t>s</w:t>
      </w:r>
      <w:r>
        <w:rPr>
          <w:rFonts w:ascii="Times New Roman" w:hAnsi="Times New Roman"/>
        </w:rPr>
        <w:t xml:space="preserve"> </w:t>
      </w:r>
      <w:r w:rsidR="00C56162">
        <w:rPr>
          <w:rFonts w:ascii="Times New Roman" w:hAnsi="Times New Roman"/>
        </w:rPr>
        <w:t>are</w:t>
      </w:r>
      <w:r>
        <w:rPr>
          <w:rFonts w:ascii="Times New Roman" w:hAnsi="Times New Roman"/>
        </w:rPr>
        <w:t xml:space="preserve"> in line with forward market prices </w:t>
      </w:r>
      <w:r w:rsidR="006D368B">
        <w:rPr>
          <w:rFonts w:ascii="Times New Roman" w:hAnsi="Times New Roman"/>
        </w:rPr>
        <w:t xml:space="preserve">so as </w:t>
      </w:r>
      <w:r>
        <w:rPr>
          <w:rFonts w:ascii="Times New Roman" w:hAnsi="Times New Roman"/>
        </w:rPr>
        <w:t>to not bias the value of Avista’s energy</w:t>
      </w:r>
      <w:r w:rsidR="00ED0917">
        <w:rPr>
          <w:rFonts w:ascii="Times New Roman" w:hAnsi="Times New Roman"/>
        </w:rPr>
        <w:t xml:space="preserve"> position</w:t>
      </w:r>
      <w:r>
        <w:rPr>
          <w:rFonts w:ascii="Times New Roman" w:hAnsi="Times New Roman"/>
        </w:rPr>
        <w:t xml:space="preserve">. </w:t>
      </w:r>
    </w:p>
    <w:p w:rsidR="002D065E" w:rsidRPr="00BD4B85" w:rsidRDefault="002D065E" w:rsidP="002D065E">
      <w:pPr>
        <w:pStyle w:val="BodyTextIndent3"/>
        <w:tabs>
          <w:tab w:val="clear" w:pos="1260"/>
        </w:tabs>
        <w:rPr>
          <w:rStyle w:val="LineNumber"/>
        </w:rPr>
      </w:pPr>
      <w:r>
        <w:rPr>
          <w:rStyle w:val="LineNumber"/>
        </w:rPr>
        <w:t>Q.</w:t>
      </w:r>
      <w:r w:rsidRPr="00BD4B85">
        <w:rPr>
          <w:rStyle w:val="LineNumber"/>
        </w:rPr>
        <w:tab/>
      </w:r>
      <w:r>
        <w:rPr>
          <w:rStyle w:val="LineNumber"/>
        </w:rPr>
        <w:t>Why are short term market t</w:t>
      </w:r>
      <w:r w:rsidR="00ED0917">
        <w:rPr>
          <w:rStyle w:val="LineNumber"/>
        </w:rPr>
        <w:t>ransaction</w:t>
      </w:r>
      <w:r w:rsidR="00667FCE">
        <w:rPr>
          <w:rStyle w:val="LineNumber"/>
        </w:rPr>
        <w:t>s</w:t>
      </w:r>
      <w:r w:rsidR="00ED0917">
        <w:rPr>
          <w:rStyle w:val="LineNumber"/>
        </w:rPr>
        <w:t xml:space="preserve"> different in </w:t>
      </w:r>
      <w:r w:rsidR="003668B1">
        <w:rPr>
          <w:rStyle w:val="LineNumber"/>
        </w:rPr>
        <w:t>AURORA</w:t>
      </w:r>
      <w:r w:rsidR="003668B1" w:rsidRPr="003668B1">
        <w:rPr>
          <w:rStyle w:val="LineNumber"/>
          <w:vertAlign w:val="subscript"/>
        </w:rPr>
        <w:t>XMP</w:t>
      </w:r>
      <w:r w:rsidR="00ED0917">
        <w:rPr>
          <w:rStyle w:val="LineNumber"/>
        </w:rPr>
        <w:t xml:space="preserve"> th</w:t>
      </w:r>
      <w:r w:rsidR="00C56162">
        <w:rPr>
          <w:rStyle w:val="LineNumber"/>
        </w:rPr>
        <w:t>a</w:t>
      </w:r>
      <w:r w:rsidR="00ED0917">
        <w:rPr>
          <w:rStyle w:val="LineNumber"/>
        </w:rPr>
        <w:t>n</w:t>
      </w:r>
      <w:r>
        <w:rPr>
          <w:rStyle w:val="LineNumber"/>
        </w:rPr>
        <w:t xml:space="preserve"> actuals?</w:t>
      </w:r>
    </w:p>
    <w:p w:rsidR="002D065E" w:rsidRDefault="002D065E" w:rsidP="002D065E">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r>
      <w:r>
        <w:rPr>
          <w:rStyle w:val="LineNumber"/>
          <w:b w:val="0"/>
          <w:bCs w:val="0"/>
        </w:rPr>
        <w:t xml:space="preserve">Short-term actual transactions need to </w:t>
      </w:r>
      <w:r w:rsidR="00667FCE">
        <w:rPr>
          <w:rStyle w:val="LineNumber"/>
          <w:b w:val="0"/>
          <w:bCs w:val="0"/>
        </w:rPr>
        <w:t xml:space="preserve">be </w:t>
      </w:r>
      <w:r>
        <w:rPr>
          <w:rStyle w:val="LineNumber"/>
          <w:b w:val="0"/>
          <w:bCs w:val="0"/>
        </w:rPr>
        <w:t>compare</w:t>
      </w:r>
      <w:r w:rsidR="00667FCE">
        <w:rPr>
          <w:rStyle w:val="LineNumber"/>
          <w:b w:val="0"/>
          <w:bCs w:val="0"/>
        </w:rPr>
        <w:t>d</w:t>
      </w:r>
      <w:r>
        <w:rPr>
          <w:rStyle w:val="LineNumber"/>
          <w:b w:val="0"/>
          <w:bCs w:val="0"/>
        </w:rPr>
        <w:t xml:space="preserve"> to </w:t>
      </w:r>
      <w:r w:rsidR="003668B1">
        <w:rPr>
          <w:rStyle w:val="LineNumber"/>
          <w:b w:val="0"/>
          <w:bCs w:val="0"/>
        </w:rPr>
        <w:t>AURORA</w:t>
      </w:r>
      <w:r w:rsidR="003668B1" w:rsidRPr="003668B1">
        <w:rPr>
          <w:rStyle w:val="LineNumber"/>
          <w:b w:val="0"/>
          <w:bCs w:val="0"/>
          <w:vertAlign w:val="subscript"/>
        </w:rPr>
        <w:t>XMP</w:t>
      </w:r>
      <w:r>
        <w:rPr>
          <w:rStyle w:val="LineNumber"/>
          <w:b w:val="0"/>
          <w:bCs w:val="0"/>
        </w:rPr>
        <w:t xml:space="preserve"> transactions on a </w:t>
      </w:r>
      <w:r w:rsidRPr="00C56162">
        <w:rPr>
          <w:rStyle w:val="LineNumber"/>
          <w:b w:val="0"/>
          <w:bCs w:val="0"/>
          <w:u w:val="single"/>
        </w:rPr>
        <w:t>net basis</w:t>
      </w:r>
      <w:r>
        <w:rPr>
          <w:rStyle w:val="LineNumber"/>
          <w:b w:val="0"/>
          <w:bCs w:val="0"/>
        </w:rPr>
        <w:t xml:space="preserve">. </w:t>
      </w:r>
      <w:r w:rsidR="00F151FD">
        <w:rPr>
          <w:rStyle w:val="LineNumber"/>
          <w:b w:val="0"/>
          <w:bCs w:val="0"/>
        </w:rPr>
        <w:t xml:space="preserve"> </w:t>
      </w:r>
      <w:r>
        <w:rPr>
          <w:rStyle w:val="LineNumber"/>
          <w:b w:val="0"/>
          <w:bCs w:val="0"/>
        </w:rPr>
        <w:t xml:space="preserve">This is because </w:t>
      </w:r>
      <w:r w:rsidR="003668B1">
        <w:rPr>
          <w:rStyle w:val="LineNumber"/>
          <w:b w:val="0"/>
          <w:bCs w:val="0"/>
        </w:rPr>
        <w:t>AURORA</w:t>
      </w:r>
      <w:r w:rsidR="003668B1" w:rsidRPr="003668B1">
        <w:rPr>
          <w:rStyle w:val="LineNumber"/>
          <w:b w:val="0"/>
          <w:bCs w:val="0"/>
          <w:vertAlign w:val="subscript"/>
        </w:rPr>
        <w:t>XMP</w:t>
      </w:r>
      <w:r>
        <w:rPr>
          <w:rStyle w:val="LineNumber"/>
          <w:b w:val="0"/>
          <w:bCs w:val="0"/>
        </w:rPr>
        <w:t xml:space="preserve"> only transacts the purchase or sale of power one time for each hour. </w:t>
      </w:r>
      <w:r w:rsidR="00F151FD">
        <w:rPr>
          <w:rStyle w:val="LineNumber"/>
          <w:b w:val="0"/>
          <w:bCs w:val="0"/>
        </w:rPr>
        <w:t xml:space="preserve"> </w:t>
      </w:r>
      <w:r>
        <w:rPr>
          <w:rStyle w:val="LineNumber"/>
          <w:b w:val="0"/>
          <w:bCs w:val="0"/>
        </w:rPr>
        <w:t xml:space="preserve">In actual operations, power for a future period </w:t>
      </w:r>
      <w:r w:rsidR="000C5165">
        <w:rPr>
          <w:rStyle w:val="LineNumber"/>
          <w:b w:val="0"/>
          <w:bCs w:val="0"/>
        </w:rPr>
        <w:t xml:space="preserve">or periods </w:t>
      </w:r>
      <w:r>
        <w:rPr>
          <w:rStyle w:val="LineNumber"/>
          <w:b w:val="0"/>
          <w:bCs w:val="0"/>
        </w:rPr>
        <w:t xml:space="preserve">may be purchased and sold </w:t>
      </w:r>
      <w:r w:rsidR="00C56162">
        <w:rPr>
          <w:rStyle w:val="LineNumber"/>
          <w:b w:val="0"/>
          <w:bCs w:val="0"/>
        </w:rPr>
        <w:t>multiple</w:t>
      </w:r>
      <w:r>
        <w:rPr>
          <w:rStyle w:val="LineNumber"/>
          <w:b w:val="0"/>
          <w:bCs w:val="0"/>
        </w:rPr>
        <w:t xml:space="preserve"> times as changes occur in the market</w:t>
      </w:r>
      <w:r w:rsidR="00C56162">
        <w:rPr>
          <w:rStyle w:val="LineNumber"/>
          <w:b w:val="0"/>
          <w:bCs w:val="0"/>
        </w:rPr>
        <w:t>, and as expected hydroelectric generation varies as we approach the month/day/hour of actual operations</w:t>
      </w:r>
      <w:r>
        <w:rPr>
          <w:rStyle w:val="LineNumber"/>
          <w:b w:val="0"/>
          <w:bCs w:val="0"/>
        </w:rPr>
        <w:t>.</w:t>
      </w:r>
      <w:r w:rsidR="000C5165">
        <w:rPr>
          <w:rStyle w:val="LineNumber"/>
          <w:b w:val="0"/>
          <w:bCs w:val="0"/>
        </w:rPr>
        <w:t xml:space="preserve">  This is a practice common in the utility industry, as well as other commodity-based businesses, in their effort to </w:t>
      </w:r>
      <w:r w:rsidR="00C56162">
        <w:rPr>
          <w:rStyle w:val="LineNumber"/>
          <w:b w:val="0"/>
          <w:bCs w:val="0"/>
        </w:rPr>
        <w:t xml:space="preserve">prudently </w:t>
      </w:r>
      <w:r w:rsidR="000C5165">
        <w:rPr>
          <w:rStyle w:val="LineNumber"/>
          <w:b w:val="0"/>
          <w:bCs w:val="0"/>
        </w:rPr>
        <w:t>manage costs and risk.</w:t>
      </w:r>
    </w:p>
    <w:p w:rsidR="002D2B64" w:rsidRDefault="002D2B64" w:rsidP="00ED3364">
      <w:pPr>
        <w:pStyle w:val="BodyTextIndent3"/>
        <w:tabs>
          <w:tab w:val="clear" w:pos="1260"/>
        </w:tabs>
        <w:ind w:firstLine="0"/>
        <w:jc w:val="center"/>
        <w:rPr>
          <w:u w:val="single"/>
        </w:rPr>
      </w:pPr>
    </w:p>
    <w:p w:rsidR="00ED3364" w:rsidRPr="002B60EC" w:rsidRDefault="00ED3364" w:rsidP="00ED3364">
      <w:pPr>
        <w:pStyle w:val="BodyTextIndent3"/>
        <w:tabs>
          <w:tab w:val="clear" w:pos="1260"/>
        </w:tabs>
        <w:ind w:firstLine="0"/>
        <w:jc w:val="center"/>
        <w:rPr>
          <w:u w:val="single"/>
        </w:rPr>
      </w:pPr>
      <w:r>
        <w:rPr>
          <w:u w:val="single"/>
        </w:rPr>
        <w:t>IV</w:t>
      </w:r>
      <w:r w:rsidRPr="002B60EC">
        <w:rPr>
          <w:u w:val="single"/>
        </w:rPr>
        <w:t xml:space="preserve">. </w:t>
      </w:r>
      <w:r w:rsidR="002D2B64">
        <w:rPr>
          <w:u w:val="single"/>
        </w:rPr>
        <w:t>DEMAND RESPONSE</w:t>
      </w:r>
      <w:r>
        <w:rPr>
          <w:u w:val="single"/>
        </w:rPr>
        <w:t>:</w:t>
      </w:r>
    </w:p>
    <w:p w:rsidR="00ED3364" w:rsidRPr="00BD4B85" w:rsidRDefault="00ED3364" w:rsidP="00ED3364">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r>
      <w:r w:rsidR="003878BC">
        <w:rPr>
          <w:rFonts w:ascii="Times New Roman" w:hAnsi="Times New Roman"/>
          <w:b/>
          <w:bCs/>
        </w:rPr>
        <w:t>ICNU witness Mr. Stephens proposed a demand response program in Exhibit No</w:t>
      </w:r>
      <w:r w:rsidR="007A1F42">
        <w:rPr>
          <w:rFonts w:ascii="Times New Roman" w:hAnsi="Times New Roman"/>
          <w:b/>
          <w:bCs/>
        </w:rPr>
        <w:t>.   (</w:t>
      </w:r>
      <w:r w:rsidR="003878BC">
        <w:rPr>
          <w:rFonts w:ascii="Times New Roman" w:hAnsi="Times New Roman"/>
          <w:b/>
          <w:bCs/>
        </w:rPr>
        <w:t>RRS-10</w:t>
      </w:r>
      <w:r w:rsidR="007A1F42">
        <w:rPr>
          <w:rFonts w:ascii="Times New Roman" w:hAnsi="Times New Roman"/>
          <w:b/>
          <w:bCs/>
        </w:rPr>
        <w:t>)</w:t>
      </w:r>
      <w:r w:rsidR="003878BC">
        <w:rPr>
          <w:rFonts w:ascii="Times New Roman" w:hAnsi="Times New Roman"/>
          <w:b/>
          <w:bCs/>
        </w:rPr>
        <w:t xml:space="preserve">. </w:t>
      </w:r>
      <w:r>
        <w:rPr>
          <w:rFonts w:ascii="Times New Roman" w:hAnsi="Times New Roman"/>
          <w:b/>
          <w:bCs/>
        </w:rPr>
        <w:t xml:space="preserve">Please explain why Avista </w:t>
      </w:r>
      <w:r w:rsidR="00C56162">
        <w:rPr>
          <w:rFonts w:ascii="Times New Roman" w:hAnsi="Times New Roman"/>
          <w:b/>
          <w:bCs/>
        </w:rPr>
        <w:t xml:space="preserve">has not </w:t>
      </w:r>
      <w:r>
        <w:rPr>
          <w:rFonts w:ascii="Times New Roman" w:hAnsi="Times New Roman"/>
          <w:b/>
          <w:bCs/>
        </w:rPr>
        <w:t>offer</w:t>
      </w:r>
      <w:r w:rsidR="00C56162">
        <w:rPr>
          <w:rFonts w:ascii="Times New Roman" w:hAnsi="Times New Roman"/>
          <w:b/>
          <w:bCs/>
        </w:rPr>
        <w:t>ed</w:t>
      </w:r>
      <w:r>
        <w:rPr>
          <w:rFonts w:ascii="Times New Roman" w:hAnsi="Times New Roman"/>
          <w:b/>
          <w:bCs/>
        </w:rPr>
        <w:t xml:space="preserve"> a </w:t>
      </w:r>
      <w:r w:rsidR="003878BC">
        <w:rPr>
          <w:rFonts w:ascii="Times New Roman" w:hAnsi="Times New Roman"/>
          <w:b/>
          <w:bCs/>
        </w:rPr>
        <w:t>d</w:t>
      </w:r>
      <w:r>
        <w:rPr>
          <w:rFonts w:ascii="Times New Roman" w:hAnsi="Times New Roman"/>
          <w:b/>
          <w:bCs/>
        </w:rPr>
        <w:t xml:space="preserve">emand </w:t>
      </w:r>
      <w:r w:rsidR="003878BC">
        <w:rPr>
          <w:rFonts w:ascii="Times New Roman" w:hAnsi="Times New Roman"/>
          <w:b/>
          <w:bCs/>
        </w:rPr>
        <w:t>r</w:t>
      </w:r>
      <w:r>
        <w:rPr>
          <w:rFonts w:ascii="Times New Roman" w:hAnsi="Times New Roman"/>
          <w:b/>
          <w:bCs/>
        </w:rPr>
        <w:t xml:space="preserve">esponse </w:t>
      </w:r>
      <w:r w:rsidR="003878BC">
        <w:rPr>
          <w:rFonts w:ascii="Times New Roman" w:hAnsi="Times New Roman"/>
          <w:b/>
          <w:bCs/>
        </w:rPr>
        <w:t>t</w:t>
      </w:r>
      <w:r>
        <w:rPr>
          <w:rFonts w:ascii="Times New Roman" w:hAnsi="Times New Roman"/>
          <w:b/>
          <w:bCs/>
        </w:rPr>
        <w:t>ariff at this time?</w:t>
      </w:r>
    </w:p>
    <w:p w:rsidR="00ED3364" w:rsidRDefault="00ED3364" w:rsidP="00ED3364">
      <w:pPr>
        <w:pStyle w:val="BodyTextIndent3"/>
        <w:tabs>
          <w:tab w:val="clear" w:pos="1260"/>
        </w:tabs>
      </w:pPr>
      <w:r w:rsidRPr="00ED3364">
        <w:rPr>
          <w:b w:val="0"/>
        </w:rPr>
        <w:t>A.</w:t>
      </w:r>
      <w:r w:rsidRPr="00BD4B85">
        <w:tab/>
      </w:r>
      <w:r>
        <w:rPr>
          <w:b w:val="0"/>
        </w:rPr>
        <w:t>Demand response</w:t>
      </w:r>
      <w:r w:rsidR="00795960">
        <w:rPr>
          <w:b w:val="0"/>
        </w:rPr>
        <w:t>,</w:t>
      </w:r>
      <w:r>
        <w:rPr>
          <w:b w:val="0"/>
        </w:rPr>
        <w:t xml:space="preserve"> if properly designed</w:t>
      </w:r>
      <w:r w:rsidR="00795960">
        <w:rPr>
          <w:b w:val="0"/>
        </w:rPr>
        <w:t>,</w:t>
      </w:r>
      <w:r>
        <w:rPr>
          <w:b w:val="0"/>
        </w:rPr>
        <w:t xml:space="preserve"> can be a cost effective method to reliab</w:t>
      </w:r>
      <w:r w:rsidR="007A1F42">
        <w:rPr>
          <w:b w:val="0"/>
        </w:rPr>
        <w:t>ly</w:t>
      </w:r>
      <w:r>
        <w:rPr>
          <w:b w:val="0"/>
        </w:rPr>
        <w:t xml:space="preserve"> meet customer needs for energy (and capacity).</w:t>
      </w:r>
      <w:r w:rsidR="00F151FD">
        <w:rPr>
          <w:b w:val="0"/>
        </w:rPr>
        <w:t xml:space="preserve"> </w:t>
      </w:r>
      <w:r>
        <w:rPr>
          <w:b w:val="0"/>
        </w:rPr>
        <w:t xml:space="preserve"> Currently Avista has enough capacity resources to meet its customer needs as des</w:t>
      </w:r>
      <w:r w:rsidR="00ED0917">
        <w:rPr>
          <w:b w:val="0"/>
        </w:rPr>
        <w:t>cribed in its 2015 IRP.</w:t>
      </w:r>
      <w:r w:rsidR="00AA55C6">
        <w:rPr>
          <w:b w:val="0"/>
        </w:rPr>
        <w:t xml:space="preserve"> </w:t>
      </w:r>
      <w:r w:rsidR="00ED0917">
        <w:rPr>
          <w:b w:val="0"/>
        </w:rPr>
        <w:t xml:space="preserve"> In the 2015 </w:t>
      </w:r>
      <w:r>
        <w:rPr>
          <w:b w:val="0"/>
        </w:rPr>
        <w:t>IRP, Avista expects its first capacity shortfall in January 2021 after acquiring all cost effective conservation opportunities.</w:t>
      </w:r>
    </w:p>
    <w:p w:rsidR="00ED3364" w:rsidRPr="00BD4B85" w:rsidRDefault="00ED3364" w:rsidP="00ED3364">
      <w:pPr>
        <w:pStyle w:val="BodyTextIndent3"/>
        <w:tabs>
          <w:tab w:val="clear" w:pos="1260"/>
        </w:tabs>
        <w:rPr>
          <w:rStyle w:val="LineNumber"/>
        </w:rPr>
      </w:pPr>
      <w:r>
        <w:rPr>
          <w:rStyle w:val="LineNumber"/>
        </w:rPr>
        <w:t>Q.</w:t>
      </w:r>
      <w:r w:rsidRPr="00BD4B85">
        <w:rPr>
          <w:rStyle w:val="LineNumber"/>
        </w:rPr>
        <w:tab/>
      </w:r>
      <w:r>
        <w:rPr>
          <w:rStyle w:val="LineNumber"/>
        </w:rPr>
        <w:t>Is the</w:t>
      </w:r>
      <w:r w:rsidR="007A1F42">
        <w:rPr>
          <w:rStyle w:val="LineNumber"/>
        </w:rPr>
        <w:t>re</w:t>
      </w:r>
      <w:r>
        <w:rPr>
          <w:rStyle w:val="LineNumber"/>
        </w:rPr>
        <w:t xml:space="preserve"> value to customers </w:t>
      </w:r>
      <w:r w:rsidR="007A1F42">
        <w:rPr>
          <w:rStyle w:val="LineNumber"/>
        </w:rPr>
        <w:t xml:space="preserve">in </w:t>
      </w:r>
      <w:r>
        <w:rPr>
          <w:rStyle w:val="LineNumber"/>
        </w:rPr>
        <w:t>acquiring this resource ahead of need?</w:t>
      </w:r>
    </w:p>
    <w:p w:rsidR="00744C45" w:rsidRDefault="00ED3364" w:rsidP="00ED3364">
      <w:pPr>
        <w:pStyle w:val="BodyTextIndent3"/>
        <w:tabs>
          <w:tab w:val="clear" w:pos="1260"/>
        </w:tabs>
        <w:rPr>
          <w:rStyle w:val="LineNumber"/>
          <w:b w:val="0"/>
          <w:bCs w:val="0"/>
        </w:rPr>
      </w:pPr>
      <w:r w:rsidRPr="00BD4B85">
        <w:rPr>
          <w:rStyle w:val="LineNumber"/>
          <w:b w:val="0"/>
          <w:bCs w:val="0"/>
        </w:rPr>
        <w:lastRenderedPageBreak/>
        <w:t>A.</w:t>
      </w:r>
      <w:r w:rsidRPr="00BD4B85">
        <w:rPr>
          <w:rStyle w:val="LineNumber"/>
          <w:b w:val="0"/>
          <w:bCs w:val="0"/>
        </w:rPr>
        <w:tab/>
      </w:r>
      <w:r w:rsidR="00867E94">
        <w:rPr>
          <w:rStyle w:val="LineNumber"/>
          <w:b w:val="0"/>
          <w:bCs w:val="0"/>
        </w:rPr>
        <w:t>A</w:t>
      </w:r>
      <w:r w:rsidR="00744C45">
        <w:rPr>
          <w:rStyle w:val="LineNumber"/>
          <w:b w:val="0"/>
          <w:bCs w:val="0"/>
        </w:rPr>
        <w:t xml:space="preserve">s proposed </w:t>
      </w:r>
      <w:r w:rsidR="00795960">
        <w:rPr>
          <w:rStyle w:val="LineNumber"/>
          <w:b w:val="0"/>
          <w:bCs w:val="0"/>
        </w:rPr>
        <w:t xml:space="preserve">by ICNU, </w:t>
      </w:r>
      <w:r w:rsidR="00522AEC">
        <w:rPr>
          <w:rStyle w:val="LineNumber"/>
          <w:b w:val="0"/>
          <w:bCs w:val="0"/>
        </w:rPr>
        <w:t>there would be no additional value to Avista</w:t>
      </w:r>
      <w:r w:rsidR="00744C45">
        <w:rPr>
          <w:rStyle w:val="LineNumber"/>
          <w:b w:val="0"/>
          <w:bCs w:val="0"/>
        </w:rPr>
        <w:t xml:space="preserve"> customers. </w:t>
      </w:r>
      <w:r w:rsidR="00F151FD">
        <w:rPr>
          <w:rStyle w:val="LineNumber"/>
          <w:b w:val="0"/>
          <w:bCs w:val="0"/>
        </w:rPr>
        <w:t xml:space="preserve"> </w:t>
      </w:r>
      <w:r w:rsidR="00744C45">
        <w:rPr>
          <w:rStyle w:val="LineNumber"/>
          <w:b w:val="0"/>
          <w:bCs w:val="0"/>
        </w:rPr>
        <w:t xml:space="preserve">First, this opportunity would not allow for any additional capacity sales due to </w:t>
      </w:r>
      <w:r w:rsidR="007A1F42">
        <w:rPr>
          <w:rStyle w:val="LineNumber"/>
          <w:b w:val="0"/>
          <w:bCs w:val="0"/>
        </w:rPr>
        <w:t>ICNU’s</w:t>
      </w:r>
      <w:r w:rsidR="00744C45">
        <w:rPr>
          <w:rStyle w:val="LineNumber"/>
          <w:b w:val="0"/>
          <w:bCs w:val="0"/>
        </w:rPr>
        <w:t xml:space="preserve"> </w:t>
      </w:r>
      <w:r w:rsidR="003878BC">
        <w:rPr>
          <w:rStyle w:val="LineNumber"/>
          <w:b w:val="0"/>
          <w:bCs w:val="0"/>
        </w:rPr>
        <w:t xml:space="preserve">one </w:t>
      </w:r>
      <w:r w:rsidR="00744C45">
        <w:rPr>
          <w:rStyle w:val="LineNumber"/>
          <w:b w:val="0"/>
          <w:bCs w:val="0"/>
        </w:rPr>
        <w:t>hour notice require</w:t>
      </w:r>
      <w:r w:rsidR="007A1F42">
        <w:rPr>
          <w:rStyle w:val="LineNumber"/>
          <w:b w:val="0"/>
          <w:bCs w:val="0"/>
        </w:rPr>
        <w:t>ment</w:t>
      </w:r>
      <w:r w:rsidR="00744C45">
        <w:rPr>
          <w:rStyle w:val="LineNumber"/>
          <w:b w:val="0"/>
          <w:bCs w:val="0"/>
        </w:rPr>
        <w:t xml:space="preserve"> for curtail</w:t>
      </w:r>
      <w:r w:rsidR="00522AEC">
        <w:rPr>
          <w:rStyle w:val="LineNumber"/>
          <w:b w:val="0"/>
          <w:bCs w:val="0"/>
        </w:rPr>
        <w:t>ment</w:t>
      </w:r>
      <w:r w:rsidR="00744C45">
        <w:rPr>
          <w:rStyle w:val="LineNumber"/>
          <w:b w:val="0"/>
          <w:bCs w:val="0"/>
        </w:rPr>
        <w:t>.</w:t>
      </w:r>
      <w:r>
        <w:rPr>
          <w:rStyle w:val="LineNumber"/>
          <w:b w:val="0"/>
          <w:bCs w:val="0"/>
        </w:rPr>
        <w:t xml:space="preserve"> </w:t>
      </w:r>
      <w:r w:rsidR="00F151FD">
        <w:rPr>
          <w:rStyle w:val="LineNumber"/>
          <w:b w:val="0"/>
          <w:bCs w:val="0"/>
        </w:rPr>
        <w:t xml:space="preserve"> </w:t>
      </w:r>
      <w:r w:rsidR="00744C45">
        <w:rPr>
          <w:rStyle w:val="LineNumber"/>
          <w:b w:val="0"/>
          <w:bCs w:val="0"/>
        </w:rPr>
        <w:t>Second, the energy savings to curtail 100 hours of</w:t>
      </w:r>
      <w:r w:rsidR="003878BC">
        <w:rPr>
          <w:rStyle w:val="LineNumber"/>
          <w:b w:val="0"/>
          <w:bCs w:val="0"/>
        </w:rPr>
        <w:t xml:space="preserve"> customer</w:t>
      </w:r>
      <w:r w:rsidR="00744C45">
        <w:rPr>
          <w:rStyle w:val="LineNumber"/>
          <w:b w:val="0"/>
          <w:bCs w:val="0"/>
        </w:rPr>
        <w:t xml:space="preserve"> load</w:t>
      </w:r>
      <w:r w:rsidR="00522AEC">
        <w:rPr>
          <w:rStyle w:val="LineNumber"/>
          <w:b w:val="0"/>
          <w:bCs w:val="0"/>
        </w:rPr>
        <w:t>,</w:t>
      </w:r>
      <w:r w:rsidR="003878BC">
        <w:rPr>
          <w:rStyle w:val="LineNumber"/>
          <w:b w:val="0"/>
          <w:bCs w:val="0"/>
        </w:rPr>
        <w:t xml:space="preserve"> as pr</w:t>
      </w:r>
      <w:r w:rsidR="002D2B64">
        <w:rPr>
          <w:rStyle w:val="LineNumber"/>
          <w:b w:val="0"/>
          <w:bCs w:val="0"/>
        </w:rPr>
        <w:t>o</w:t>
      </w:r>
      <w:r w:rsidR="003878BC">
        <w:rPr>
          <w:rStyle w:val="LineNumber"/>
          <w:b w:val="0"/>
          <w:bCs w:val="0"/>
        </w:rPr>
        <w:t>posed by Mr. Stephens</w:t>
      </w:r>
      <w:r w:rsidR="00522AEC">
        <w:rPr>
          <w:rStyle w:val="LineNumber"/>
          <w:b w:val="0"/>
          <w:bCs w:val="0"/>
        </w:rPr>
        <w:t>,</w:t>
      </w:r>
      <w:r w:rsidR="003878BC">
        <w:rPr>
          <w:rStyle w:val="LineNumber"/>
          <w:b w:val="0"/>
          <w:bCs w:val="0"/>
        </w:rPr>
        <w:t xml:space="preserve"> would be priced at the same value Avista would acquire the energy </w:t>
      </w:r>
      <w:r w:rsidR="00DD56A6">
        <w:rPr>
          <w:rStyle w:val="LineNumber"/>
          <w:b w:val="0"/>
          <w:bCs w:val="0"/>
        </w:rPr>
        <w:t xml:space="preserve">at </w:t>
      </w:r>
      <w:r w:rsidR="003878BC">
        <w:rPr>
          <w:rStyle w:val="LineNumber"/>
          <w:b w:val="0"/>
          <w:bCs w:val="0"/>
        </w:rPr>
        <w:t>on the wholesale market.</w:t>
      </w:r>
      <w:r w:rsidR="00C56162">
        <w:rPr>
          <w:rStyle w:val="LineNumber"/>
          <w:b w:val="0"/>
          <w:bCs w:val="0"/>
        </w:rPr>
        <w:t xml:space="preserve">  In s</w:t>
      </w:r>
      <w:r w:rsidR="007A1F42">
        <w:rPr>
          <w:rStyle w:val="LineNumber"/>
          <w:b w:val="0"/>
          <w:bCs w:val="0"/>
        </w:rPr>
        <w:t xml:space="preserve">hort, </w:t>
      </w:r>
      <w:r w:rsidR="00C56162">
        <w:rPr>
          <w:rStyle w:val="LineNumber"/>
          <w:b w:val="0"/>
          <w:bCs w:val="0"/>
        </w:rPr>
        <w:t>the capacity offered by ICNU is for a limited number of hours, is for a limited duration when called upon, has significant limitations on when it can be called upon, and, therefore, has little value to Avista and its other customers.</w:t>
      </w:r>
    </w:p>
    <w:p w:rsidR="00744C45" w:rsidRPr="00BD4B85" w:rsidRDefault="00744C45" w:rsidP="00744C45">
      <w:pPr>
        <w:pStyle w:val="BodyTextIndent3"/>
        <w:tabs>
          <w:tab w:val="clear" w:pos="1260"/>
        </w:tabs>
        <w:rPr>
          <w:rStyle w:val="LineNumber"/>
        </w:rPr>
      </w:pPr>
      <w:r>
        <w:rPr>
          <w:rStyle w:val="LineNumber"/>
        </w:rPr>
        <w:t>Q.</w:t>
      </w:r>
      <w:r w:rsidRPr="00BD4B85">
        <w:rPr>
          <w:rStyle w:val="LineNumber"/>
        </w:rPr>
        <w:tab/>
      </w:r>
      <w:r>
        <w:rPr>
          <w:rStyle w:val="LineNumber"/>
        </w:rPr>
        <w:t>Is there a long term benefit of this program?</w:t>
      </w:r>
    </w:p>
    <w:p w:rsidR="00ED3364" w:rsidRDefault="00744C45" w:rsidP="00744C45">
      <w:pPr>
        <w:pStyle w:val="BodyTextIndent3"/>
        <w:tabs>
          <w:tab w:val="clear" w:pos="1260"/>
        </w:tabs>
      </w:pPr>
      <w:r w:rsidRPr="00BD4B85">
        <w:rPr>
          <w:rStyle w:val="LineNumber"/>
          <w:b w:val="0"/>
          <w:bCs w:val="0"/>
        </w:rPr>
        <w:t>A.</w:t>
      </w:r>
      <w:r w:rsidRPr="00BD4B85">
        <w:rPr>
          <w:rStyle w:val="LineNumber"/>
          <w:b w:val="0"/>
          <w:bCs w:val="0"/>
        </w:rPr>
        <w:tab/>
      </w:r>
      <w:r>
        <w:rPr>
          <w:rStyle w:val="LineNumber"/>
          <w:b w:val="0"/>
          <w:bCs w:val="0"/>
        </w:rPr>
        <w:t>Yes, if a long term contract was available with modifications to the operations of the curtailment</w:t>
      </w:r>
      <w:r w:rsidR="00867E94">
        <w:rPr>
          <w:rStyle w:val="LineNumber"/>
          <w:b w:val="0"/>
          <w:bCs w:val="0"/>
        </w:rPr>
        <w:t>,</w:t>
      </w:r>
      <w:r>
        <w:rPr>
          <w:rStyle w:val="LineNumber"/>
          <w:b w:val="0"/>
          <w:bCs w:val="0"/>
        </w:rPr>
        <w:t xml:space="preserve"> Avista customers may see value by deferring a simple cycle </w:t>
      </w:r>
      <w:r w:rsidR="003878BC">
        <w:rPr>
          <w:rStyle w:val="LineNumber"/>
          <w:b w:val="0"/>
          <w:bCs w:val="0"/>
        </w:rPr>
        <w:t>combustion turbine</w:t>
      </w:r>
      <w:r>
        <w:rPr>
          <w:rStyle w:val="LineNumber"/>
          <w:b w:val="0"/>
          <w:bCs w:val="0"/>
        </w:rPr>
        <w:t xml:space="preserve"> or other capacity resource acquisition at a cost below its </w:t>
      </w:r>
      <w:r w:rsidR="003878BC">
        <w:rPr>
          <w:rStyle w:val="LineNumber"/>
          <w:b w:val="0"/>
          <w:bCs w:val="0"/>
        </w:rPr>
        <w:t>a</w:t>
      </w:r>
      <w:r>
        <w:rPr>
          <w:rStyle w:val="LineNumber"/>
          <w:b w:val="0"/>
          <w:bCs w:val="0"/>
        </w:rPr>
        <w:t xml:space="preserve">voided </w:t>
      </w:r>
      <w:r w:rsidR="003878BC">
        <w:rPr>
          <w:rStyle w:val="LineNumber"/>
          <w:b w:val="0"/>
          <w:bCs w:val="0"/>
        </w:rPr>
        <w:t>c</w:t>
      </w:r>
      <w:r>
        <w:rPr>
          <w:rStyle w:val="LineNumber"/>
          <w:b w:val="0"/>
          <w:bCs w:val="0"/>
        </w:rPr>
        <w:t>ost.</w:t>
      </w:r>
    </w:p>
    <w:p w:rsidR="00744C45" w:rsidRPr="00BD4B85" w:rsidRDefault="00744C45" w:rsidP="00744C45">
      <w:pPr>
        <w:pStyle w:val="BodyTextIndent3"/>
        <w:tabs>
          <w:tab w:val="clear" w:pos="1260"/>
        </w:tabs>
        <w:rPr>
          <w:rStyle w:val="LineNumber"/>
        </w:rPr>
      </w:pPr>
      <w:r>
        <w:rPr>
          <w:rStyle w:val="LineNumber"/>
        </w:rPr>
        <w:t>Q.</w:t>
      </w:r>
      <w:r w:rsidRPr="00BD4B85">
        <w:rPr>
          <w:rStyle w:val="LineNumber"/>
        </w:rPr>
        <w:tab/>
      </w:r>
      <w:r>
        <w:rPr>
          <w:rStyle w:val="LineNumber"/>
        </w:rPr>
        <w:t xml:space="preserve">How should </w:t>
      </w:r>
      <w:r w:rsidR="002D2B64">
        <w:rPr>
          <w:rStyle w:val="LineNumber"/>
        </w:rPr>
        <w:t>d</w:t>
      </w:r>
      <w:r>
        <w:rPr>
          <w:rStyle w:val="LineNumber"/>
        </w:rPr>
        <w:t xml:space="preserve">emand </w:t>
      </w:r>
      <w:r w:rsidR="002D2B64">
        <w:rPr>
          <w:rStyle w:val="LineNumber"/>
        </w:rPr>
        <w:t>r</w:t>
      </w:r>
      <w:r>
        <w:rPr>
          <w:rStyle w:val="LineNumber"/>
        </w:rPr>
        <w:t xml:space="preserve">esponse </w:t>
      </w:r>
      <w:r w:rsidR="007A1F42">
        <w:rPr>
          <w:rStyle w:val="LineNumber"/>
        </w:rPr>
        <w:t xml:space="preserve">like this proposal </w:t>
      </w:r>
      <w:r>
        <w:rPr>
          <w:rStyle w:val="LineNumber"/>
        </w:rPr>
        <w:t>be acquired?</w:t>
      </w:r>
    </w:p>
    <w:p w:rsidR="00ED3364" w:rsidRDefault="00744C45" w:rsidP="00744C45">
      <w:pPr>
        <w:pStyle w:val="BodyTextIndent3"/>
        <w:tabs>
          <w:tab w:val="clear" w:pos="1260"/>
        </w:tabs>
      </w:pPr>
      <w:r w:rsidRPr="00BD4B85">
        <w:rPr>
          <w:rStyle w:val="LineNumber"/>
          <w:b w:val="0"/>
          <w:bCs w:val="0"/>
        </w:rPr>
        <w:t>A.</w:t>
      </w:r>
      <w:r w:rsidRPr="00BD4B85">
        <w:rPr>
          <w:rStyle w:val="LineNumber"/>
          <w:b w:val="0"/>
          <w:bCs w:val="0"/>
        </w:rPr>
        <w:tab/>
      </w:r>
      <w:r w:rsidR="0075252C">
        <w:rPr>
          <w:rStyle w:val="LineNumber"/>
          <w:b w:val="0"/>
          <w:bCs w:val="0"/>
        </w:rPr>
        <w:t>Typically n</w:t>
      </w:r>
      <w:r>
        <w:rPr>
          <w:rStyle w:val="LineNumber"/>
          <w:b w:val="0"/>
          <w:bCs w:val="0"/>
        </w:rPr>
        <w:t xml:space="preserve">ew long-term resources </w:t>
      </w:r>
      <w:r w:rsidR="0075252C">
        <w:rPr>
          <w:rStyle w:val="LineNumber"/>
          <w:b w:val="0"/>
          <w:bCs w:val="0"/>
        </w:rPr>
        <w:t xml:space="preserve">are </w:t>
      </w:r>
      <w:r>
        <w:rPr>
          <w:rStyle w:val="LineNumber"/>
          <w:b w:val="0"/>
          <w:bCs w:val="0"/>
        </w:rPr>
        <w:t>acquired using a competitive bidding process</w:t>
      </w:r>
      <w:r w:rsidR="0036460A">
        <w:rPr>
          <w:rStyle w:val="LineNumber"/>
          <w:b w:val="0"/>
          <w:bCs w:val="0"/>
        </w:rPr>
        <w:t xml:space="preserve"> unless a compelling benefit to customers is available</w:t>
      </w:r>
      <w:r>
        <w:rPr>
          <w:rStyle w:val="LineNumber"/>
          <w:b w:val="0"/>
          <w:bCs w:val="0"/>
        </w:rPr>
        <w:t>.</w:t>
      </w:r>
      <w:r w:rsidR="00621FE3">
        <w:rPr>
          <w:rStyle w:val="LineNumber"/>
          <w:b w:val="0"/>
          <w:bCs w:val="0"/>
        </w:rPr>
        <w:t xml:space="preserve"> </w:t>
      </w:r>
      <w:r>
        <w:rPr>
          <w:rStyle w:val="LineNumber"/>
          <w:b w:val="0"/>
          <w:bCs w:val="0"/>
        </w:rPr>
        <w:t xml:space="preserve"> Avista plans to release a Request for Proposal (RFP) to meet its future capacity deficit</w:t>
      </w:r>
      <w:r w:rsidR="0075252C">
        <w:rPr>
          <w:rStyle w:val="LineNumber"/>
          <w:b w:val="0"/>
          <w:bCs w:val="0"/>
        </w:rPr>
        <w:t xml:space="preserve"> at least three year</w:t>
      </w:r>
      <w:r w:rsidR="0036460A">
        <w:rPr>
          <w:rStyle w:val="LineNumber"/>
          <w:b w:val="0"/>
          <w:bCs w:val="0"/>
        </w:rPr>
        <w:t>s</w:t>
      </w:r>
      <w:r w:rsidR="0075252C">
        <w:rPr>
          <w:rStyle w:val="LineNumber"/>
          <w:b w:val="0"/>
          <w:bCs w:val="0"/>
        </w:rPr>
        <w:t xml:space="preserve"> prior to the </w:t>
      </w:r>
      <w:r w:rsidR="0036460A">
        <w:rPr>
          <w:rStyle w:val="LineNumber"/>
          <w:b w:val="0"/>
          <w:bCs w:val="0"/>
        </w:rPr>
        <w:t>resource need</w:t>
      </w:r>
      <w:r w:rsidR="003878BC">
        <w:rPr>
          <w:rStyle w:val="LineNumber"/>
          <w:b w:val="0"/>
          <w:bCs w:val="0"/>
        </w:rPr>
        <w:t xml:space="preserve"> (</w:t>
      </w:r>
      <w:r w:rsidR="00E83D49">
        <w:rPr>
          <w:rStyle w:val="LineNumber"/>
          <w:b w:val="0"/>
          <w:bCs w:val="0"/>
        </w:rPr>
        <w:t>p</w:t>
      </w:r>
      <w:r w:rsidR="003878BC">
        <w:rPr>
          <w:rStyle w:val="LineNumber"/>
          <w:b w:val="0"/>
          <w:bCs w:val="0"/>
        </w:rPr>
        <w:t>er the 2015 IRP, the RFP would be release</w:t>
      </w:r>
      <w:r w:rsidR="00DD56A6">
        <w:rPr>
          <w:rStyle w:val="LineNumber"/>
          <w:b w:val="0"/>
          <w:bCs w:val="0"/>
        </w:rPr>
        <w:t>d</w:t>
      </w:r>
      <w:r w:rsidR="003878BC">
        <w:rPr>
          <w:rStyle w:val="LineNumber"/>
          <w:b w:val="0"/>
          <w:bCs w:val="0"/>
        </w:rPr>
        <w:t xml:space="preserve"> in 2018 for the 2021 deficit)</w:t>
      </w:r>
      <w:r>
        <w:rPr>
          <w:rStyle w:val="LineNumber"/>
          <w:b w:val="0"/>
          <w:bCs w:val="0"/>
        </w:rPr>
        <w:t xml:space="preserve">. </w:t>
      </w:r>
      <w:r w:rsidR="00621FE3">
        <w:rPr>
          <w:rStyle w:val="LineNumber"/>
          <w:b w:val="0"/>
          <w:bCs w:val="0"/>
        </w:rPr>
        <w:t xml:space="preserve"> </w:t>
      </w:r>
      <w:r w:rsidR="0075252C">
        <w:rPr>
          <w:rStyle w:val="LineNumber"/>
          <w:b w:val="0"/>
          <w:bCs w:val="0"/>
        </w:rPr>
        <w:t>T</w:t>
      </w:r>
      <w:r w:rsidR="003878BC">
        <w:rPr>
          <w:rStyle w:val="LineNumber"/>
          <w:b w:val="0"/>
          <w:bCs w:val="0"/>
        </w:rPr>
        <w:t>he</w:t>
      </w:r>
      <w:r w:rsidR="0075252C">
        <w:rPr>
          <w:rStyle w:val="LineNumber"/>
          <w:b w:val="0"/>
          <w:bCs w:val="0"/>
        </w:rPr>
        <w:t xml:space="preserve"> RFP w</w:t>
      </w:r>
      <w:r w:rsidR="003878BC">
        <w:rPr>
          <w:rStyle w:val="LineNumber"/>
          <w:b w:val="0"/>
          <w:bCs w:val="0"/>
        </w:rPr>
        <w:t>ould</w:t>
      </w:r>
      <w:r w:rsidR="0075252C">
        <w:rPr>
          <w:rStyle w:val="LineNumber"/>
          <w:b w:val="0"/>
          <w:bCs w:val="0"/>
        </w:rPr>
        <w:t xml:space="preserve"> allow both supply and demand side opportunities to compete for the best price for Avista customers</w:t>
      </w:r>
      <w:r w:rsidR="003878BC">
        <w:rPr>
          <w:rStyle w:val="LineNumber"/>
          <w:b w:val="0"/>
          <w:bCs w:val="0"/>
        </w:rPr>
        <w:t>, and Avista would invite ICNU members to submit demand response offerings at that time.</w:t>
      </w:r>
    </w:p>
    <w:p w:rsidR="002D065E" w:rsidRPr="00BD4B85" w:rsidRDefault="002D065E" w:rsidP="002D065E">
      <w:pPr>
        <w:pStyle w:val="BodyTextIndent3"/>
        <w:tabs>
          <w:tab w:val="clear" w:pos="1260"/>
        </w:tabs>
        <w:rPr>
          <w:rStyle w:val="LineNumber"/>
        </w:rPr>
      </w:pPr>
      <w:r>
        <w:rPr>
          <w:rStyle w:val="LineNumber"/>
        </w:rPr>
        <w:t>Q.</w:t>
      </w:r>
      <w:r w:rsidRPr="00BD4B85">
        <w:rPr>
          <w:rStyle w:val="LineNumber"/>
        </w:rPr>
        <w:tab/>
        <w:t xml:space="preserve">Does this conclude your </w:t>
      </w:r>
      <w:r w:rsidR="00DD56A6">
        <w:rPr>
          <w:rStyle w:val="LineNumber"/>
        </w:rPr>
        <w:t>rebuttal</w:t>
      </w:r>
      <w:r w:rsidRPr="00BD4B85">
        <w:rPr>
          <w:rStyle w:val="LineNumber"/>
        </w:rPr>
        <w:t xml:space="preserve"> testimony?</w:t>
      </w:r>
    </w:p>
    <w:p w:rsidR="00EC2C25" w:rsidRDefault="002D065E" w:rsidP="00867E94">
      <w:pPr>
        <w:pStyle w:val="BodyTextIndent3"/>
        <w:tabs>
          <w:tab w:val="clear" w:pos="1260"/>
        </w:tabs>
      </w:pPr>
      <w:r w:rsidRPr="00BD4B85">
        <w:rPr>
          <w:rStyle w:val="LineNumber"/>
          <w:b w:val="0"/>
          <w:bCs w:val="0"/>
        </w:rPr>
        <w:t>A.</w:t>
      </w:r>
      <w:r w:rsidRPr="00BD4B85">
        <w:rPr>
          <w:rStyle w:val="LineNumber"/>
          <w:b w:val="0"/>
          <w:bCs w:val="0"/>
        </w:rPr>
        <w:tab/>
        <w:t>Yes</w:t>
      </w:r>
      <w:r>
        <w:rPr>
          <w:rStyle w:val="LineNumber"/>
          <w:b w:val="0"/>
          <w:bCs w:val="0"/>
        </w:rPr>
        <w:t>.</w:t>
      </w:r>
    </w:p>
    <w:sectPr w:rsidR="00EC2C25" w:rsidSect="007441A1">
      <w:headerReference w:type="default" r:id="rId12"/>
      <w:pgSz w:w="12240" w:h="15840" w:code="1"/>
      <w:pgMar w:top="1440" w:right="1440" w:bottom="1800" w:left="1872" w:header="720" w:footer="576" w:gutter="0"/>
      <w:lnNumType w:countBy="1" w:distance="576"/>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34E" w:rsidRDefault="0031034E">
      <w:r>
        <w:separator/>
      </w:r>
    </w:p>
  </w:endnote>
  <w:endnote w:type="continuationSeparator" w:id="0">
    <w:p w:rsidR="0031034E" w:rsidRDefault="0031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Pr="006A0D4D" w:rsidRDefault="00F25DFA" w:rsidP="00831D2C">
    <w:pPr>
      <w:pStyle w:val="Footer"/>
      <w:tabs>
        <w:tab w:val="clear" w:pos="4320"/>
        <w:tab w:val="clear" w:pos="8640"/>
        <w:tab w:val="right" w:pos="9540"/>
      </w:tabs>
      <w:ind w:right="480"/>
    </w:pPr>
    <w:r>
      <w:t>Rebuttal</w:t>
    </w:r>
    <w:r w:rsidR="006C6F37" w:rsidRPr="006A0D4D">
      <w:t xml:space="preserve"> Testimony of Clint G. Kalich</w:t>
    </w:r>
  </w:p>
  <w:p w:rsidR="006C6F37" w:rsidRPr="006A0D4D" w:rsidRDefault="006C6F37" w:rsidP="007A56E2">
    <w:pPr>
      <w:pStyle w:val="Footer"/>
      <w:tabs>
        <w:tab w:val="clear" w:pos="4320"/>
      </w:tabs>
      <w:ind w:right="360"/>
      <w:rPr>
        <w:rStyle w:val="PageNumber"/>
      </w:rPr>
    </w:pPr>
    <w:r w:rsidRPr="006A0D4D">
      <w:rPr>
        <w:rStyle w:val="PageNumber"/>
      </w:rPr>
      <w:t>Avista Corporation</w:t>
    </w:r>
  </w:p>
  <w:p w:rsidR="006C6F37" w:rsidRDefault="006C6F37" w:rsidP="00DC0419">
    <w:pPr>
      <w:pStyle w:val="Footer"/>
      <w:tabs>
        <w:tab w:val="clear" w:pos="4320"/>
        <w:tab w:val="clear" w:pos="8640"/>
        <w:tab w:val="left" w:pos="6120"/>
        <w:tab w:val="right" w:pos="8910"/>
      </w:tabs>
      <w:ind w:right="18"/>
    </w:pPr>
    <w:r w:rsidRPr="006A0D4D">
      <w:rPr>
        <w:rStyle w:val="PageNumber"/>
      </w:rPr>
      <w:t>Docket No. UE-</w:t>
    </w:r>
    <w:r w:rsidR="00107C5D">
      <w:rPr>
        <w:rStyle w:val="PageNumber"/>
      </w:rPr>
      <w:t>160228</w:t>
    </w:r>
    <w:r w:rsidR="00107C5D">
      <w:rPr>
        <w:rStyle w:val="PageNumber"/>
      </w:rPr>
      <w:tab/>
    </w:r>
    <w:r>
      <w:rPr>
        <w:rStyle w:val="PageNumber"/>
      </w:rPr>
      <w:tab/>
    </w:r>
    <w:r>
      <w:t xml:space="preserve">Page </w:t>
    </w:r>
    <w:r w:rsidR="00C76459">
      <w:rPr>
        <w:rStyle w:val="PageNumber"/>
      </w:rPr>
      <w:fldChar w:fldCharType="begin"/>
    </w:r>
    <w:r>
      <w:rPr>
        <w:rStyle w:val="PageNumber"/>
      </w:rPr>
      <w:instrText xml:space="preserve"> PAGE </w:instrText>
    </w:r>
    <w:r w:rsidR="00C76459">
      <w:rPr>
        <w:rStyle w:val="PageNumber"/>
      </w:rPr>
      <w:fldChar w:fldCharType="separate"/>
    </w:r>
    <w:r w:rsidR="00584336">
      <w:rPr>
        <w:rStyle w:val="PageNumber"/>
        <w:noProof/>
      </w:rPr>
      <w:t>11</w:t>
    </w:r>
    <w:r w:rsidR="00C7645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34E" w:rsidRDefault="0031034E">
      <w:r>
        <w:separator/>
      </w:r>
    </w:p>
  </w:footnote>
  <w:footnote w:type="continuationSeparator" w:id="0">
    <w:p w:rsidR="0031034E" w:rsidRDefault="0031034E">
      <w:r>
        <w:continuationSeparator/>
      </w:r>
    </w:p>
  </w:footnote>
  <w:footnote w:id="1">
    <w:p w:rsidR="00667FCE" w:rsidRDefault="00667FCE">
      <w:pPr>
        <w:pStyle w:val="FootnoteText"/>
      </w:pPr>
      <w:r>
        <w:rPr>
          <w:rStyle w:val="FootnoteReference"/>
        </w:rPr>
        <w:footnoteRef/>
      </w:r>
      <w:r>
        <w:t xml:space="preserve"> Exhibit No.___(BGM-1T), p. 46, ln.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rsidP="00BA1F0F">
    <w:pPr>
      <w:pStyle w:val="Header"/>
      <w:jc w:val="right"/>
    </w:pPr>
    <w:r>
      <w:t>Exhibit No. ___(CGK-1T)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rsidP="00A55205">
    <w:pPr>
      <w:pStyle w:val="Header"/>
      <w:ind w:right="-360"/>
      <w:jc w:val="right"/>
    </w:pPr>
    <w:r>
      <w:t>Exhibit No. ___(CGK-</w:t>
    </w:r>
    <w:r w:rsidR="00F82B58">
      <w:t>3</w:t>
    </w:r>
    <w:r>
      <w:t>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Pr="004B593F" w:rsidRDefault="006C6F37" w:rsidP="004B593F">
    <w:pPr>
      <w:pStyle w:val="Header"/>
      <w:jc w:val="right"/>
    </w:pPr>
    <w:r>
      <w:t>Exhibit No. ___(CGK-</w:t>
    </w:r>
    <w:r w:rsidR="00F82B58">
      <w:t>3</w:t>
    </w:r>
    <w:r>
      <w: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15:restartNumberingAfterBreak="0">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6" w15:restartNumberingAfterBreak="0">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1"/>
  </w:num>
  <w:num w:numId="4">
    <w:abstractNumId w:val="0"/>
  </w:num>
  <w:num w:numId="5">
    <w:abstractNumId w:val="8"/>
  </w:num>
  <w:num w:numId="6">
    <w:abstractNumId w:val="16"/>
  </w:num>
  <w:num w:numId="7">
    <w:abstractNumId w:val="19"/>
  </w:num>
  <w:num w:numId="8">
    <w:abstractNumId w:val="9"/>
  </w:num>
  <w:num w:numId="9">
    <w:abstractNumId w:val="18"/>
  </w:num>
  <w:num w:numId="10">
    <w:abstractNumId w:val="2"/>
  </w:num>
  <w:num w:numId="11">
    <w:abstractNumId w:val="6"/>
  </w:num>
  <w:num w:numId="12">
    <w:abstractNumId w:val="12"/>
  </w:num>
  <w:num w:numId="13">
    <w:abstractNumId w:val="20"/>
  </w:num>
  <w:num w:numId="14">
    <w:abstractNumId w:val="4"/>
  </w:num>
  <w:num w:numId="15">
    <w:abstractNumId w:val="17"/>
  </w:num>
  <w:num w:numId="16">
    <w:abstractNumId w:val="7"/>
  </w:num>
  <w:num w:numId="17">
    <w:abstractNumId w:val="11"/>
  </w:num>
  <w:num w:numId="18">
    <w:abstractNumId w:val="3"/>
  </w:num>
  <w:num w:numId="19">
    <w:abstractNumId w:val="14"/>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AD"/>
    <w:rsid w:val="00000E61"/>
    <w:rsid w:val="0000322F"/>
    <w:rsid w:val="0001047C"/>
    <w:rsid w:val="00012D41"/>
    <w:rsid w:val="00020EE8"/>
    <w:rsid w:val="0002228E"/>
    <w:rsid w:val="00022FED"/>
    <w:rsid w:val="00030BF8"/>
    <w:rsid w:val="00031395"/>
    <w:rsid w:val="000317AC"/>
    <w:rsid w:val="0003448D"/>
    <w:rsid w:val="00050DD6"/>
    <w:rsid w:val="00057345"/>
    <w:rsid w:val="00064231"/>
    <w:rsid w:val="00064788"/>
    <w:rsid w:val="00065258"/>
    <w:rsid w:val="0006585C"/>
    <w:rsid w:val="0006605F"/>
    <w:rsid w:val="0007343F"/>
    <w:rsid w:val="00077D12"/>
    <w:rsid w:val="0008317C"/>
    <w:rsid w:val="00084F18"/>
    <w:rsid w:val="000925E8"/>
    <w:rsid w:val="000965BD"/>
    <w:rsid w:val="00096D9B"/>
    <w:rsid w:val="000A55F3"/>
    <w:rsid w:val="000A5F18"/>
    <w:rsid w:val="000A7DBB"/>
    <w:rsid w:val="000B0DAB"/>
    <w:rsid w:val="000B1507"/>
    <w:rsid w:val="000B7990"/>
    <w:rsid w:val="000C3967"/>
    <w:rsid w:val="000C5165"/>
    <w:rsid w:val="000C7D53"/>
    <w:rsid w:val="000D3484"/>
    <w:rsid w:val="000D6736"/>
    <w:rsid w:val="000F3DF8"/>
    <w:rsid w:val="00101535"/>
    <w:rsid w:val="0010165A"/>
    <w:rsid w:val="00101E73"/>
    <w:rsid w:val="00104A60"/>
    <w:rsid w:val="00107C5D"/>
    <w:rsid w:val="001102D7"/>
    <w:rsid w:val="001116E3"/>
    <w:rsid w:val="0011472A"/>
    <w:rsid w:val="00114F7A"/>
    <w:rsid w:val="00115239"/>
    <w:rsid w:val="00120389"/>
    <w:rsid w:val="00123084"/>
    <w:rsid w:val="00125288"/>
    <w:rsid w:val="001330C5"/>
    <w:rsid w:val="00133ED6"/>
    <w:rsid w:val="001367BF"/>
    <w:rsid w:val="00143281"/>
    <w:rsid w:val="00143458"/>
    <w:rsid w:val="00143CBD"/>
    <w:rsid w:val="00143D96"/>
    <w:rsid w:val="001452F8"/>
    <w:rsid w:val="00147769"/>
    <w:rsid w:val="00151257"/>
    <w:rsid w:val="00152027"/>
    <w:rsid w:val="00153C13"/>
    <w:rsid w:val="00162436"/>
    <w:rsid w:val="0016323A"/>
    <w:rsid w:val="001655C1"/>
    <w:rsid w:val="0016640C"/>
    <w:rsid w:val="00170EBC"/>
    <w:rsid w:val="001715A9"/>
    <w:rsid w:val="001722D7"/>
    <w:rsid w:val="001736F5"/>
    <w:rsid w:val="0018139B"/>
    <w:rsid w:val="00185854"/>
    <w:rsid w:val="001A1A76"/>
    <w:rsid w:val="001B47FA"/>
    <w:rsid w:val="001C4C22"/>
    <w:rsid w:val="001C6AD1"/>
    <w:rsid w:val="001D250C"/>
    <w:rsid w:val="001D29C2"/>
    <w:rsid w:val="001D505D"/>
    <w:rsid w:val="001D68CD"/>
    <w:rsid w:val="001D7D3C"/>
    <w:rsid w:val="00202AE7"/>
    <w:rsid w:val="00211AFB"/>
    <w:rsid w:val="00213673"/>
    <w:rsid w:val="00215B5B"/>
    <w:rsid w:val="0021736C"/>
    <w:rsid w:val="00227CEC"/>
    <w:rsid w:val="00233FC1"/>
    <w:rsid w:val="00246A68"/>
    <w:rsid w:val="00252F21"/>
    <w:rsid w:val="00254D71"/>
    <w:rsid w:val="00257222"/>
    <w:rsid w:val="00272BFE"/>
    <w:rsid w:val="00275355"/>
    <w:rsid w:val="002754B7"/>
    <w:rsid w:val="002804C8"/>
    <w:rsid w:val="00291AB0"/>
    <w:rsid w:val="002A1E29"/>
    <w:rsid w:val="002B60EC"/>
    <w:rsid w:val="002C0D71"/>
    <w:rsid w:val="002C2C15"/>
    <w:rsid w:val="002C5210"/>
    <w:rsid w:val="002C79DD"/>
    <w:rsid w:val="002D065E"/>
    <w:rsid w:val="002D2532"/>
    <w:rsid w:val="002D2B64"/>
    <w:rsid w:val="002D403A"/>
    <w:rsid w:val="002D7B99"/>
    <w:rsid w:val="002F178D"/>
    <w:rsid w:val="002F186A"/>
    <w:rsid w:val="002F239B"/>
    <w:rsid w:val="002F5EA5"/>
    <w:rsid w:val="002F72CF"/>
    <w:rsid w:val="00300FAB"/>
    <w:rsid w:val="00304A23"/>
    <w:rsid w:val="00305D48"/>
    <w:rsid w:val="00306943"/>
    <w:rsid w:val="0030746A"/>
    <w:rsid w:val="0031034E"/>
    <w:rsid w:val="00313681"/>
    <w:rsid w:val="0032218B"/>
    <w:rsid w:val="00326825"/>
    <w:rsid w:val="00327082"/>
    <w:rsid w:val="003423D4"/>
    <w:rsid w:val="003428BB"/>
    <w:rsid w:val="00344498"/>
    <w:rsid w:val="00351756"/>
    <w:rsid w:val="00352DA7"/>
    <w:rsid w:val="0035424A"/>
    <w:rsid w:val="003568D2"/>
    <w:rsid w:val="00361E26"/>
    <w:rsid w:val="003633C4"/>
    <w:rsid w:val="0036460A"/>
    <w:rsid w:val="00364FE9"/>
    <w:rsid w:val="003668B1"/>
    <w:rsid w:val="003767A4"/>
    <w:rsid w:val="003837DE"/>
    <w:rsid w:val="0038680F"/>
    <w:rsid w:val="003878BC"/>
    <w:rsid w:val="00391C5B"/>
    <w:rsid w:val="00394928"/>
    <w:rsid w:val="0039668E"/>
    <w:rsid w:val="003A224B"/>
    <w:rsid w:val="003A224F"/>
    <w:rsid w:val="003A4DAD"/>
    <w:rsid w:val="003B30FE"/>
    <w:rsid w:val="003B3884"/>
    <w:rsid w:val="003B6B6C"/>
    <w:rsid w:val="003C35B3"/>
    <w:rsid w:val="003D002E"/>
    <w:rsid w:val="003D6ED4"/>
    <w:rsid w:val="003E0B56"/>
    <w:rsid w:val="003E14A0"/>
    <w:rsid w:val="003E3527"/>
    <w:rsid w:val="003E3E70"/>
    <w:rsid w:val="003E5B80"/>
    <w:rsid w:val="003F32F6"/>
    <w:rsid w:val="003F439F"/>
    <w:rsid w:val="003F7E0D"/>
    <w:rsid w:val="00407036"/>
    <w:rsid w:val="00407B62"/>
    <w:rsid w:val="00407BC3"/>
    <w:rsid w:val="004200A5"/>
    <w:rsid w:val="00421D85"/>
    <w:rsid w:val="00422644"/>
    <w:rsid w:val="00422D81"/>
    <w:rsid w:val="00422DF7"/>
    <w:rsid w:val="00431454"/>
    <w:rsid w:val="0043473E"/>
    <w:rsid w:val="00434D7E"/>
    <w:rsid w:val="00435825"/>
    <w:rsid w:val="00442C19"/>
    <w:rsid w:val="004553EC"/>
    <w:rsid w:val="00460CD6"/>
    <w:rsid w:val="00463C6D"/>
    <w:rsid w:val="0046730F"/>
    <w:rsid w:val="00470543"/>
    <w:rsid w:val="00472E0F"/>
    <w:rsid w:val="00474D2B"/>
    <w:rsid w:val="00476D3C"/>
    <w:rsid w:val="0049378A"/>
    <w:rsid w:val="00495623"/>
    <w:rsid w:val="00497ADA"/>
    <w:rsid w:val="004A3E3B"/>
    <w:rsid w:val="004B32C5"/>
    <w:rsid w:val="004B407B"/>
    <w:rsid w:val="004B593F"/>
    <w:rsid w:val="004B5E3D"/>
    <w:rsid w:val="004C176D"/>
    <w:rsid w:val="004C459A"/>
    <w:rsid w:val="004D05A3"/>
    <w:rsid w:val="004D0E37"/>
    <w:rsid w:val="004E2068"/>
    <w:rsid w:val="004E2D43"/>
    <w:rsid w:val="004E2FB3"/>
    <w:rsid w:val="004E5B23"/>
    <w:rsid w:val="004E641C"/>
    <w:rsid w:val="004F144B"/>
    <w:rsid w:val="004F27DA"/>
    <w:rsid w:val="004F3BCF"/>
    <w:rsid w:val="004F51BA"/>
    <w:rsid w:val="004F5242"/>
    <w:rsid w:val="00504F50"/>
    <w:rsid w:val="0050521C"/>
    <w:rsid w:val="00505622"/>
    <w:rsid w:val="0050605A"/>
    <w:rsid w:val="005132B0"/>
    <w:rsid w:val="00521BDC"/>
    <w:rsid w:val="00521E1B"/>
    <w:rsid w:val="00521F05"/>
    <w:rsid w:val="00522AEC"/>
    <w:rsid w:val="00530786"/>
    <w:rsid w:val="00534839"/>
    <w:rsid w:val="00536E2D"/>
    <w:rsid w:val="00544F80"/>
    <w:rsid w:val="00545526"/>
    <w:rsid w:val="005460BE"/>
    <w:rsid w:val="005468E3"/>
    <w:rsid w:val="00546C74"/>
    <w:rsid w:val="00555BB6"/>
    <w:rsid w:val="00560BAB"/>
    <w:rsid w:val="00563619"/>
    <w:rsid w:val="00563DE2"/>
    <w:rsid w:val="005710A2"/>
    <w:rsid w:val="005758D5"/>
    <w:rsid w:val="00577C31"/>
    <w:rsid w:val="005833BB"/>
    <w:rsid w:val="00584336"/>
    <w:rsid w:val="005851F9"/>
    <w:rsid w:val="00590DFD"/>
    <w:rsid w:val="00597689"/>
    <w:rsid w:val="005A3D13"/>
    <w:rsid w:val="005C26BF"/>
    <w:rsid w:val="005C4629"/>
    <w:rsid w:val="005D0EF9"/>
    <w:rsid w:val="005D3FD9"/>
    <w:rsid w:val="005E0C4D"/>
    <w:rsid w:val="005E228B"/>
    <w:rsid w:val="005E253C"/>
    <w:rsid w:val="005E42F4"/>
    <w:rsid w:val="00603D5B"/>
    <w:rsid w:val="0060532F"/>
    <w:rsid w:val="0061403F"/>
    <w:rsid w:val="00614ED9"/>
    <w:rsid w:val="00614F7B"/>
    <w:rsid w:val="006154EA"/>
    <w:rsid w:val="00621FE3"/>
    <w:rsid w:val="00623CC2"/>
    <w:rsid w:val="00624BEE"/>
    <w:rsid w:val="00624F27"/>
    <w:rsid w:val="00627EA0"/>
    <w:rsid w:val="00632A5A"/>
    <w:rsid w:val="00644F81"/>
    <w:rsid w:val="00650FFA"/>
    <w:rsid w:val="00656655"/>
    <w:rsid w:val="00656DD4"/>
    <w:rsid w:val="006610E8"/>
    <w:rsid w:val="00664403"/>
    <w:rsid w:val="00667FCE"/>
    <w:rsid w:val="00673777"/>
    <w:rsid w:val="00677D0F"/>
    <w:rsid w:val="00692FB0"/>
    <w:rsid w:val="00693DFF"/>
    <w:rsid w:val="00694705"/>
    <w:rsid w:val="00696359"/>
    <w:rsid w:val="006A01A1"/>
    <w:rsid w:val="006A0D4D"/>
    <w:rsid w:val="006B231D"/>
    <w:rsid w:val="006B3005"/>
    <w:rsid w:val="006B42A9"/>
    <w:rsid w:val="006C12C0"/>
    <w:rsid w:val="006C167E"/>
    <w:rsid w:val="006C1E9A"/>
    <w:rsid w:val="006C6F37"/>
    <w:rsid w:val="006D14F7"/>
    <w:rsid w:val="006D368B"/>
    <w:rsid w:val="006D4332"/>
    <w:rsid w:val="006D72DF"/>
    <w:rsid w:val="006D7D8D"/>
    <w:rsid w:val="006E6014"/>
    <w:rsid w:val="006F3705"/>
    <w:rsid w:val="006F65F0"/>
    <w:rsid w:val="00702914"/>
    <w:rsid w:val="00710FAD"/>
    <w:rsid w:val="00715FF9"/>
    <w:rsid w:val="00723DB8"/>
    <w:rsid w:val="0074080E"/>
    <w:rsid w:val="007441A1"/>
    <w:rsid w:val="00744C45"/>
    <w:rsid w:val="007467CD"/>
    <w:rsid w:val="0075252C"/>
    <w:rsid w:val="007529D2"/>
    <w:rsid w:val="00756828"/>
    <w:rsid w:val="00764092"/>
    <w:rsid w:val="00765632"/>
    <w:rsid w:val="0076616B"/>
    <w:rsid w:val="00766535"/>
    <w:rsid w:val="00767A93"/>
    <w:rsid w:val="00774D74"/>
    <w:rsid w:val="007830AF"/>
    <w:rsid w:val="00784859"/>
    <w:rsid w:val="00793399"/>
    <w:rsid w:val="00793B5D"/>
    <w:rsid w:val="007950C4"/>
    <w:rsid w:val="00795960"/>
    <w:rsid w:val="007A1F42"/>
    <w:rsid w:val="007A56E2"/>
    <w:rsid w:val="007A657D"/>
    <w:rsid w:val="007B0C69"/>
    <w:rsid w:val="007B12A8"/>
    <w:rsid w:val="007B1D5D"/>
    <w:rsid w:val="007B48AC"/>
    <w:rsid w:val="007B6C76"/>
    <w:rsid w:val="007C5CE8"/>
    <w:rsid w:val="007C5EC7"/>
    <w:rsid w:val="007C7C8F"/>
    <w:rsid w:val="007D7E48"/>
    <w:rsid w:val="007E20E3"/>
    <w:rsid w:val="007E3200"/>
    <w:rsid w:val="007E59D3"/>
    <w:rsid w:val="007F020E"/>
    <w:rsid w:val="007F2C9A"/>
    <w:rsid w:val="007F2D7D"/>
    <w:rsid w:val="007F3535"/>
    <w:rsid w:val="007F59AF"/>
    <w:rsid w:val="00810A6D"/>
    <w:rsid w:val="00817113"/>
    <w:rsid w:val="008247B6"/>
    <w:rsid w:val="00824B8F"/>
    <w:rsid w:val="00824CA3"/>
    <w:rsid w:val="00825AF6"/>
    <w:rsid w:val="00831D2C"/>
    <w:rsid w:val="0083586C"/>
    <w:rsid w:val="00837447"/>
    <w:rsid w:val="00837EF4"/>
    <w:rsid w:val="008444FA"/>
    <w:rsid w:val="00850711"/>
    <w:rsid w:val="008521F7"/>
    <w:rsid w:val="00852D5B"/>
    <w:rsid w:val="00856BB3"/>
    <w:rsid w:val="00861E4A"/>
    <w:rsid w:val="00862FDD"/>
    <w:rsid w:val="008630E7"/>
    <w:rsid w:val="00866E03"/>
    <w:rsid w:val="00867E94"/>
    <w:rsid w:val="008705FA"/>
    <w:rsid w:val="0088333F"/>
    <w:rsid w:val="008875B1"/>
    <w:rsid w:val="008926E1"/>
    <w:rsid w:val="008A32AB"/>
    <w:rsid w:val="008A4EBD"/>
    <w:rsid w:val="008A61B6"/>
    <w:rsid w:val="008B13AB"/>
    <w:rsid w:val="008B594F"/>
    <w:rsid w:val="008B7075"/>
    <w:rsid w:val="008C4587"/>
    <w:rsid w:val="008C5F36"/>
    <w:rsid w:val="008D52CE"/>
    <w:rsid w:val="008E0187"/>
    <w:rsid w:val="008E0E15"/>
    <w:rsid w:val="008F6BDE"/>
    <w:rsid w:val="00903BEB"/>
    <w:rsid w:val="00906DC7"/>
    <w:rsid w:val="00912FB4"/>
    <w:rsid w:val="009308D0"/>
    <w:rsid w:val="00940A3E"/>
    <w:rsid w:val="00942DBB"/>
    <w:rsid w:val="00946E37"/>
    <w:rsid w:val="00947FA3"/>
    <w:rsid w:val="009547B9"/>
    <w:rsid w:val="00955D38"/>
    <w:rsid w:val="00956423"/>
    <w:rsid w:val="00961261"/>
    <w:rsid w:val="00961924"/>
    <w:rsid w:val="00963F83"/>
    <w:rsid w:val="00966216"/>
    <w:rsid w:val="00971E32"/>
    <w:rsid w:val="00976AE8"/>
    <w:rsid w:val="009845CA"/>
    <w:rsid w:val="009962B6"/>
    <w:rsid w:val="009A035D"/>
    <w:rsid w:val="009A5413"/>
    <w:rsid w:val="009A61A2"/>
    <w:rsid w:val="009B75E6"/>
    <w:rsid w:val="009C315E"/>
    <w:rsid w:val="009C4EB0"/>
    <w:rsid w:val="009C6C08"/>
    <w:rsid w:val="009D0718"/>
    <w:rsid w:val="009D17EC"/>
    <w:rsid w:val="009D19C6"/>
    <w:rsid w:val="009D5689"/>
    <w:rsid w:val="009F44CD"/>
    <w:rsid w:val="00A012FA"/>
    <w:rsid w:val="00A05012"/>
    <w:rsid w:val="00A151F5"/>
    <w:rsid w:val="00A16ED2"/>
    <w:rsid w:val="00A2038F"/>
    <w:rsid w:val="00A23344"/>
    <w:rsid w:val="00A24EC8"/>
    <w:rsid w:val="00A303B1"/>
    <w:rsid w:val="00A32EF9"/>
    <w:rsid w:val="00A34681"/>
    <w:rsid w:val="00A43834"/>
    <w:rsid w:val="00A43B25"/>
    <w:rsid w:val="00A55205"/>
    <w:rsid w:val="00A626B0"/>
    <w:rsid w:val="00A66FB8"/>
    <w:rsid w:val="00A70C04"/>
    <w:rsid w:val="00A74F9B"/>
    <w:rsid w:val="00A80062"/>
    <w:rsid w:val="00A84C59"/>
    <w:rsid w:val="00A852FD"/>
    <w:rsid w:val="00A87D27"/>
    <w:rsid w:val="00A9200C"/>
    <w:rsid w:val="00A9258E"/>
    <w:rsid w:val="00A97224"/>
    <w:rsid w:val="00AA1247"/>
    <w:rsid w:val="00AA2E3D"/>
    <w:rsid w:val="00AA55C6"/>
    <w:rsid w:val="00AC11DA"/>
    <w:rsid w:val="00AC1FBB"/>
    <w:rsid w:val="00AC3446"/>
    <w:rsid w:val="00AC400D"/>
    <w:rsid w:val="00AC5C96"/>
    <w:rsid w:val="00AE6A3B"/>
    <w:rsid w:val="00AE7381"/>
    <w:rsid w:val="00AF1F0D"/>
    <w:rsid w:val="00B03920"/>
    <w:rsid w:val="00B14AC3"/>
    <w:rsid w:val="00B15038"/>
    <w:rsid w:val="00B15DA9"/>
    <w:rsid w:val="00B21535"/>
    <w:rsid w:val="00B21E6D"/>
    <w:rsid w:val="00B22814"/>
    <w:rsid w:val="00B24CDD"/>
    <w:rsid w:val="00B25AA5"/>
    <w:rsid w:val="00B25DEB"/>
    <w:rsid w:val="00B272D8"/>
    <w:rsid w:val="00B31480"/>
    <w:rsid w:val="00B37C35"/>
    <w:rsid w:val="00B42A61"/>
    <w:rsid w:val="00B446B2"/>
    <w:rsid w:val="00B45A2B"/>
    <w:rsid w:val="00B51AEA"/>
    <w:rsid w:val="00B53EB9"/>
    <w:rsid w:val="00B54036"/>
    <w:rsid w:val="00B5528A"/>
    <w:rsid w:val="00B5793D"/>
    <w:rsid w:val="00B730C8"/>
    <w:rsid w:val="00B76E55"/>
    <w:rsid w:val="00B77AA1"/>
    <w:rsid w:val="00B8169F"/>
    <w:rsid w:val="00B922F7"/>
    <w:rsid w:val="00BA1F0F"/>
    <w:rsid w:val="00BA46D9"/>
    <w:rsid w:val="00BA4B46"/>
    <w:rsid w:val="00BA5BCB"/>
    <w:rsid w:val="00BA62EF"/>
    <w:rsid w:val="00BA6AE9"/>
    <w:rsid w:val="00BB2E71"/>
    <w:rsid w:val="00BB46FF"/>
    <w:rsid w:val="00BC091D"/>
    <w:rsid w:val="00BC1828"/>
    <w:rsid w:val="00BC30EE"/>
    <w:rsid w:val="00BC49A9"/>
    <w:rsid w:val="00BD224E"/>
    <w:rsid w:val="00BD4B0E"/>
    <w:rsid w:val="00BD4B85"/>
    <w:rsid w:val="00BE070D"/>
    <w:rsid w:val="00BE3E02"/>
    <w:rsid w:val="00BE3EA5"/>
    <w:rsid w:val="00BE7E66"/>
    <w:rsid w:val="00C04950"/>
    <w:rsid w:val="00C06994"/>
    <w:rsid w:val="00C130C2"/>
    <w:rsid w:val="00C13E64"/>
    <w:rsid w:val="00C164FA"/>
    <w:rsid w:val="00C20AF3"/>
    <w:rsid w:val="00C2708C"/>
    <w:rsid w:val="00C36BF8"/>
    <w:rsid w:val="00C3732F"/>
    <w:rsid w:val="00C423B0"/>
    <w:rsid w:val="00C438E2"/>
    <w:rsid w:val="00C457C7"/>
    <w:rsid w:val="00C47504"/>
    <w:rsid w:val="00C52752"/>
    <w:rsid w:val="00C56162"/>
    <w:rsid w:val="00C56A47"/>
    <w:rsid w:val="00C60548"/>
    <w:rsid w:val="00C668DB"/>
    <w:rsid w:val="00C6719E"/>
    <w:rsid w:val="00C76459"/>
    <w:rsid w:val="00C80B0B"/>
    <w:rsid w:val="00C92331"/>
    <w:rsid w:val="00C94F1A"/>
    <w:rsid w:val="00CA3FD8"/>
    <w:rsid w:val="00CC5CA6"/>
    <w:rsid w:val="00CC78C5"/>
    <w:rsid w:val="00CD4810"/>
    <w:rsid w:val="00CD4E46"/>
    <w:rsid w:val="00CD727F"/>
    <w:rsid w:val="00CD786F"/>
    <w:rsid w:val="00CE509F"/>
    <w:rsid w:val="00CF00B9"/>
    <w:rsid w:val="00CF05A6"/>
    <w:rsid w:val="00CF142E"/>
    <w:rsid w:val="00CF1CE7"/>
    <w:rsid w:val="00CF608F"/>
    <w:rsid w:val="00D02139"/>
    <w:rsid w:val="00D04BEB"/>
    <w:rsid w:val="00D05184"/>
    <w:rsid w:val="00D078C5"/>
    <w:rsid w:val="00D10D7B"/>
    <w:rsid w:val="00D16C75"/>
    <w:rsid w:val="00D2199C"/>
    <w:rsid w:val="00D23BCD"/>
    <w:rsid w:val="00D24A39"/>
    <w:rsid w:val="00D27943"/>
    <w:rsid w:val="00D321AE"/>
    <w:rsid w:val="00D5609D"/>
    <w:rsid w:val="00D56E1B"/>
    <w:rsid w:val="00D579F8"/>
    <w:rsid w:val="00D649F7"/>
    <w:rsid w:val="00D70447"/>
    <w:rsid w:val="00D70741"/>
    <w:rsid w:val="00D71C89"/>
    <w:rsid w:val="00D71F55"/>
    <w:rsid w:val="00D72CA0"/>
    <w:rsid w:val="00D77F98"/>
    <w:rsid w:val="00D809B2"/>
    <w:rsid w:val="00D8532B"/>
    <w:rsid w:val="00D927EC"/>
    <w:rsid w:val="00D9751D"/>
    <w:rsid w:val="00D979A4"/>
    <w:rsid w:val="00DA2D10"/>
    <w:rsid w:val="00DA7C50"/>
    <w:rsid w:val="00DB43B3"/>
    <w:rsid w:val="00DB4D27"/>
    <w:rsid w:val="00DB4FAD"/>
    <w:rsid w:val="00DC0419"/>
    <w:rsid w:val="00DC7649"/>
    <w:rsid w:val="00DD555B"/>
    <w:rsid w:val="00DD56A6"/>
    <w:rsid w:val="00DD66D5"/>
    <w:rsid w:val="00DD7C46"/>
    <w:rsid w:val="00DE0FA9"/>
    <w:rsid w:val="00DE4289"/>
    <w:rsid w:val="00DE78CB"/>
    <w:rsid w:val="00DF2978"/>
    <w:rsid w:val="00DF3194"/>
    <w:rsid w:val="00DF5323"/>
    <w:rsid w:val="00DF7A9D"/>
    <w:rsid w:val="00E047D7"/>
    <w:rsid w:val="00E10ADA"/>
    <w:rsid w:val="00E10B77"/>
    <w:rsid w:val="00E10E5D"/>
    <w:rsid w:val="00E13816"/>
    <w:rsid w:val="00E20051"/>
    <w:rsid w:val="00E25FED"/>
    <w:rsid w:val="00E310AF"/>
    <w:rsid w:val="00E31D8D"/>
    <w:rsid w:val="00E341B3"/>
    <w:rsid w:val="00E51279"/>
    <w:rsid w:val="00E54027"/>
    <w:rsid w:val="00E54091"/>
    <w:rsid w:val="00E565FA"/>
    <w:rsid w:val="00E603DC"/>
    <w:rsid w:val="00E61B5C"/>
    <w:rsid w:val="00E62013"/>
    <w:rsid w:val="00E6317C"/>
    <w:rsid w:val="00E64E10"/>
    <w:rsid w:val="00E65F71"/>
    <w:rsid w:val="00E77DC9"/>
    <w:rsid w:val="00E81784"/>
    <w:rsid w:val="00E81F25"/>
    <w:rsid w:val="00E8239E"/>
    <w:rsid w:val="00E83D49"/>
    <w:rsid w:val="00E846D5"/>
    <w:rsid w:val="00E8671C"/>
    <w:rsid w:val="00E87CE7"/>
    <w:rsid w:val="00E90971"/>
    <w:rsid w:val="00E92330"/>
    <w:rsid w:val="00E97845"/>
    <w:rsid w:val="00EB2812"/>
    <w:rsid w:val="00EB39BF"/>
    <w:rsid w:val="00EB54E5"/>
    <w:rsid w:val="00EB79D3"/>
    <w:rsid w:val="00EC2524"/>
    <w:rsid w:val="00EC2B92"/>
    <w:rsid w:val="00EC2C25"/>
    <w:rsid w:val="00EC41D2"/>
    <w:rsid w:val="00EC7007"/>
    <w:rsid w:val="00EC7523"/>
    <w:rsid w:val="00EC7F89"/>
    <w:rsid w:val="00ED0917"/>
    <w:rsid w:val="00ED123E"/>
    <w:rsid w:val="00ED3364"/>
    <w:rsid w:val="00ED3B2D"/>
    <w:rsid w:val="00ED5452"/>
    <w:rsid w:val="00ED576C"/>
    <w:rsid w:val="00ED58C6"/>
    <w:rsid w:val="00ED5C99"/>
    <w:rsid w:val="00ED6890"/>
    <w:rsid w:val="00EE3FCE"/>
    <w:rsid w:val="00EE43C9"/>
    <w:rsid w:val="00EE62A5"/>
    <w:rsid w:val="00EE71D7"/>
    <w:rsid w:val="00EF64EE"/>
    <w:rsid w:val="00EF753A"/>
    <w:rsid w:val="00EF7FE4"/>
    <w:rsid w:val="00F0246B"/>
    <w:rsid w:val="00F0553E"/>
    <w:rsid w:val="00F10160"/>
    <w:rsid w:val="00F10617"/>
    <w:rsid w:val="00F10FBC"/>
    <w:rsid w:val="00F1132A"/>
    <w:rsid w:val="00F11C94"/>
    <w:rsid w:val="00F151FD"/>
    <w:rsid w:val="00F15920"/>
    <w:rsid w:val="00F17F93"/>
    <w:rsid w:val="00F2166F"/>
    <w:rsid w:val="00F24F45"/>
    <w:rsid w:val="00F25DFA"/>
    <w:rsid w:val="00F27C0B"/>
    <w:rsid w:val="00F32816"/>
    <w:rsid w:val="00F4471E"/>
    <w:rsid w:val="00F4518A"/>
    <w:rsid w:val="00F544E0"/>
    <w:rsid w:val="00F562BE"/>
    <w:rsid w:val="00F708BE"/>
    <w:rsid w:val="00F7423D"/>
    <w:rsid w:val="00F82B58"/>
    <w:rsid w:val="00F84BAC"/>
    <w:rsid w:val="00F866B0"/>
    <w:rsid w:val="00F90D83"/>
    <w:rsid w:val="00F97CC5"/>
    <w:rsid w:val="00FA4536"/>
    <w:rsid w:val="00FA6D70"/>
    <w:rsid w:val="00FB211C"/>
    <w:rsid w:val="00FB3624"/>
    <w:rsid w:val="00FB5D54"/>
    <w:rsid w:val="00FB6D59"/>
    <w:rsid w:val="00FC0F04"/>
    <w:rsid w:val="00FC4AC8"/>
    <w:rsid w:val="00FD0F34"/>
    <w:rsid w:val="00FD5DD3"/>
    <w:rsid w:val="00FD637E"/>
    <w:rsid w:val="00FE56BC"/>
    <w:rsid w:val="00FF2F50"/>
    <w:rsid w:val="00FF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257DEC1-FB9A-4860-B830-CA497A02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link w:val="Heading1Char"/>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link w:val="BodyTextIndent3Char"/>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link w:val="CommentTextChar"/>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2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C79DD"/>
    <w:rPr>
      <w:b/>
      <w:bCs/>
    </w:rPr>
  </w:style>
  <w:style w:type="character" w:customStyle="1" w:styleId="CommentTextChar">
    <w:name w:val="Comment Text Char"/>
    <w:basedOn w:val="DefaultParagraphFont"/>
    <w:link w:val="CommentText"/>
    <w:semiHidden/>
    <w:rsid w:val="002C79DD"/>
  </w:style>
  <w:style w:type="character" w:customStyle="1" w:styleId="CommentSubjectChar">
    <w:name w:val="Comment Subject Char"/>
    <w:basedOn w:val="CommentTextChar"/>
    <w:link w:val="CommentSubject"/>
    <w:rsid w:val="002C79DD"/>
    <w:rPr>
      <w:b/>
      <w:bCs/>
    </w:rPr>
  </w:style>
  <w:style w:type="character" w:customStyle="1" w:styleId="BodyTextIndent3Char">
    <w:name w:val="Body Text Indent 3 Char"/>
    <w:basedOn w:val="DefaultParagraphFont"/>
    <w:link w:val="BodyTextIndent3"/>
    <w:rsid w:val="004D05A3"/>
    <w:rPr>
      <w:b/>
      <w:bCs/>
      <w:sz w:val="24"/>
      <w:szCs w:val="24"/>
    </w:rPr>
  </w:style>
  <w:style w:type="character" w:customStyle="1" w:styleId="Heading1Char">
    <w:name w:val="Heading 1 Char"/>
    <w:basedOn w:val="DefaultParagraphFont"/>
    <w:link w:val="Heading1"/>
    <w:rsid w:val="00F82B5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02990983">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1917203016">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BC81EF-FDF6-4E8C-BEAC-307A1876F1ED}">
  <ds:schemaRefs>
    <ds:schemaRef ds:uri="http://schemas.openxmlformats.org/officeDocument/2006/bibliography"/>
  </ds:schemaRefs>
</ds:datastoreItem>
</file>

<file path=customXml/itemProps2.xml><?xml version="1.0" encoding="utf-8"?>
<ds:datastoreItem xmlns:ds="http://schemas.openxmlformats.org/officeDocument/2006/customXml" ds:itemID="{695170DB-D87F-49DC-8811-37A89ECFC0E1}"/>
</file>

<file path=customXml/itemProps3.xml><?xml version="1.0" encoding="utf-8"?>
<ds:datastoreItem xmlns:ds="http://schemas.openxmlformats.org/officeDocument/2006/customXml" ds:itemID="{DA114571-AA7E-4EC9-A5B1-DEA2E4AD6447}"/>
</file>

<file path=customXml/itemProps4.xml><?xml version="1.0" encoding="utf-8"?>
<ds:datastoreItem xmlns:ds="http://schemas.openxmlformats.org/officeDocument/2006/customXml" ds:itemID="{9A7F6C5D-D368-493E-BB4A-4830202884BA}"/>
</file>

<file path=customXml/itemProps5.xml><?xml version="1.0" encoding="utf-8"?>
<ds:datastoreItem xmlns:ds="http://schemas.openxmlformats.org/officeDocument/2006/customXml" ds:itemID="{1DDC5753-48E0-47FD-BE08-2E8A1D798680}"/>
</file>

<file path=docProps/app.xml><?xml version="1.0" encoding="utf-8"?>
<Properties xmlns="http://schemas.openxmlformats.org/officeDocument/2006/extended-properties" xmlns:vt="http://schemas.openxmlformats.org/officeDocument/2006/docPropsVTypes">
  <Template>Normal</Template>
  <TotalTime>0</TotalTime>
  <Pages>12</Pages>
  <Words>2698</Words>
  <Characters>14405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rzk7kq</dc:creator>
  <cp:lastModifiedBy>Miller, Joe</cp:lastModifiedBy>
  <cp:revision>2</cp:revision>
  <cp:lastPrinted>2016-09-12T15:55:00Z</cp:lastPrinted>
  <dcterms:created xsi:type="dcterms:W3CDTF">2016-09-14T17:04:00Z</dcterms:created>
  <dcterms:modified xsi:type="dcterms:W3CDTF">2016-09-14T17:04:00Z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0x0101006E56B4D1795A2E4DB2F0B01679ED314A00D83ED465A26668459AA6DC672056AAD1</vt:lpwstr>
  </property>
  <property fmtid="{D5CDD505-2E9C-101B-9397-08002B2CF9AE}" pid="4" name="_docset_NoMedatataSyncRequired">
    <vt:lpwstr>False</vt:lpwstr>
  </property>
</Properties>
</file>