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08A" w:rsidRDefault="00BA708A" w:rsidP="00BA708A">
      <w:pPr>
        <w:spacing w:after="0" w:line="240" w:lineRule="auto"/>
        <w:ind w:firstLine="5760"/>
        <w:rPr>
          <w:b/>
          <w:bCs/>
          <w:lang w:val="fr-FR"/>
        </w:rPr>
      </w:pPr>
      <w:bookmarkStart w:id="0" w:name="_Toc118104224"/>
      <w:proofErr w:type="spellStart"/>
      <w:r>
        <w:rPr>
          <w:b/>
          <w:bCs/>
          <w:lang w:val="fr-FR"/>
        </w:rPr>
        <w:t>Exhibit</w:t>
      </w:r>
      <w:proofErr w:type="spellEnd"/>
      <w:r>
        <w:rPr>
          <w:b/>
          <w:bCs/>
          <w:lang w:val="fr-FR"/>
        </w:rPr>
        <w:t xml:space="preserve"> No. DPK-1T</w:t>
      </w:r>
    </w:p>
    <w:p w:rsidR="00BA708A" w:rsidRDefault="00BA708A" w:rsidP="00351163">
      <w:pPr>
        <w:spacing w:after="0" w:line="240" w:lineRule="auto"/>
        <w:ind w:firstLine="5760"/>
        <w:rPr>
          <w:b/>
          <w:bCs/>
        </w:rPr>
      </w:pPr>
      <w:r>
        <w:rPr>
          <w:b/>
          <w:bCs/>
        </w:rPr>
        <w:t xml:space="preserve">Dockets </w:t>
      </w:r>
      <w:r w:rsidR="00351163">
        <w:rPr>
          <w:b/>
        </w:rPr>
        <w:t>UE-090704 UG-090705</w:t>
      </w:r>
      <w:r>
        <w:rPr>
          <w:b/>
          <w:bCs/>
        </w:rPr>
        <w:t xml:space="preserve"> </w:t>
      </w:r>
    </w:p>
    <w:p w:rsidR="00BA708A" w:rsidRDefault="00BA708A" w:rsidP="00BA708A">
      <w:pPr>
        <w:spacing w:after="0" w:line="240" w:lineRule="auto"/>
        <w:ind w:firstLine="5760"/>
        <w:rPr>
          <w:b/>
          <w:bCs/>
        </w:rPr>
      </w:pPr>
      <w:r>
        <w:rPr>
          <w:b/>
          <w:bCs/>
        </w:rPr>
        <w:t>Witness:  Danny P. Kermode</w:t>
      </w:r>
    </w:p>
    <w:p w:rsidR="00BA708A" w:rsidRDefault="00BA708A" w:rsidP="00BA708A">
      <w:pPr>
        <w:spacing w:after="0" w:line="240" w:lineRule="auto"/>
        <w:rPr>
          <w:b/>
          <w:bCs/>
        </w:rPr>
      </w:pPr>
    </w:p>
    <w:p w:rsidR="000159D7" w:rsidRPr="00E24CA8" w:rsidRDefault="000159D7" w:rsidP="00F039BD">
      <w:pPr>
        <w:spacing w:after="0" w:line="240" w:lineRule="auto"/>
        <w:ind w:left="4680" w:hanging="4680"/>
        <w:rPr>
          <w:b/>
          <w:bCs/>
        </w:rPr>
      </w:pPr>
    </w:p>
    <w:p w:rsidR="000159D7" w:rsidRPr="00E24CA8" w:rsidRDefault="000159D7" w:rsidP="00BA708A">
      <w:pPr>
        <w:tabs>
          <w:tab w:val="left" w:pos="6600"/>
        </w:tabs>
        <w:spacing w:after="0" w:line="240" w:lineRule="auto"/>
      </w:pPr>
    </w:p>
    <w:p w:rsidR="00BA708A" w:rsidRDefault="00BA708A" w:rsidP="00BA708A">
      <w:pPr>
        <w:spacing w:after="0" w:line="240" w:lineRule="auto"/>
        <w:jc w:val="both"/>
      </w:pPr>
    </w:p>
    <w:p w:rsidR="00BA708A" w:rsidRPr="00CD191E" w:rsidRDefault="00BA708A" w:rsidP="00BA708A">
      <w:pPr>
        <w:tabs>
          <w:tab w:val="center" w:pos="4680"/>
        </w:tabs>
        <w:spacing w:after="0" w:line="240" w:lineRule="auto"/>
        <w:ind w:right="-108" w:hanging="180"/>
        <w:jc w:val="both"/>
        <w:rPr>
          <w:b/>
        </w:rPr>
      </w:pPr>
      <w:r w:rsidRPr="00CD191E">
        <w:rPr>
          <w:b/>
        </w:rPr>
        <w:t>BEFORE THE WASHINGTON UTILITIES AND TRANSPORTATION COMMISSION</w:t>
      </w:r>
    </w:p>
    <w:p w:rsidR="00BA708A" w:rsidRPr="00CD191E" w:rsidRDefault="00BA708A" w:rsidP="00BA708A">
      <w:pPr>
        <w:spacing w:after="0" w:line="240" w:lineRule="auto"/>
        <w:jc w:val="both"/>
        <w:rPr>
          <w:b/>
        </w:rPr>
      </w:pPr>
    </w:p>
    <w:p w:rsidR="00BA708A" w:rsidRPr="00CD191E" w:rsidRDefault="00BA708A" w:rsidP="00BA708A">
      <w:pPr>
        <w:spacing w:after="0" w:line="240" w:lineRule="auto"/>
        <w:jc w:val="both"/>
        <w:rPr>
          <w:b/>
        </w:rPr>
      </w:pPr>
    </w:p>
    <w:tbl>
      <w:tblPr>
        <w:tblW w:w="0" w:type="auto"/>
        <w:tblInd w:w="124" w:type="dxa"/>
        <w:tblLayout w:type="fixed"/>
        <w:tblCellMar>
          <w:left w:w="124" w:type="dxa"/>
          <w:right w:w="124" w:type="dxa"/>
        </w:tblCellMar>
        <w:tblLook w:val="0000"/>
      </w:tblPr>
      <w:tblGrid>
        <w:gridCol w:w="4590"/>
        <w:gridCol w:w="4590"/>
      </w:tblGrid>
      <w:tr w:rsidR="00BA708A" w:rsidRPr="00CD191E" w:rsidTr="00AB1B3D">
        <w:tc>
          <w:tcPr>
            <w:tcW w:w="4590" w:type="dxa"/>
            <w:tcBorders>
              <w:top w:val="single" w:sz="6" w:space="0" w:color="FFFFFF"/>
              <w:left w:val="single" w:sz="6" w:space="0" w:color="FFFFFF"/>
              <w:bottom w:val="single" w:sz="6" w:space="0" w:color="FFFFFF"/>
              <w:right w:val="single" w:sz="6" w:space="0" w:color="FFFFFF"/>
            </w:tcBorders>
          </w:tcPr>
          <w:p w:rsidR="00BA708A" w:rsidRPr="00CD191E" w:rsidRDefault="00BA708A" w:rsidP="00BA708A">
            <w:pPr>
              <w:spacing w:after="0" w:line="240" w:lineRule="auto"/>
              <w:rPr>
                <w:b/>
              </w:rPr>
            </w:pPr>
            <w:r w:rsidRPr="00CD191E">
              <w:rPr>
                <w:b/>
              </w:rPr>
              <w:t xml:space="preserve">WASHINGTON UTILITIES AND TRANSPORTATION COMMISSION, </w:t>
            </w:r>
          </w:p>
          <w:p w:rsidR="00BA708A" w:rsidRPr="00CD191E" w:rsidRDefault="00BA708A" w:rsidP="00BA708A">
            <w:pPr>
              <w:spacing w:after="0" w:line="240" w:lineRule="auto"/>
              <w:rPr>
                <w:b/>
              </w:rPr>
            </w:pPr>
          </w:p>
          <w:p w:rsidR="00BA708A" w:rsidRPr="00CD191E" w:rsidRDefault="00BA708A" w:rsidP="00BA708A">
            <w:pPr>
              <w:spacing w:after="0" w:line="240" w:lineRule="auto"/>
              <w:rPr>
                <w:b/>
              </w:rPr>
            </w:pPr>
            <w:r w:rsidRPr="00CD191E">
              <w:rPr>
                <w:b/>
              </w:rPr>
              <w:tab/>
            </w:r>
            <w:r w:rsidRPr="00CD191E">
              <w:rPr>
                <w:b/>
              </w:rPr>
              <w:tab/>
              <w:t>Complainant,</w:t>
            </w:r>
          </w:p>
          <w:p w:rsidR="00BA708A" w:rsidRPr="00CD191E" w:rsidRDefault="00BA708A" w:rsidP="00BA708A">
            <w:pPr>
              <w:spacing w:after="0" w:line="240" w:lineRule="auto"/>
              <w:rPr>
                <w:b/>
              </w:rPr>
            </w:pPr>
          </w:p>
          <w:p w:rsidR="00BA708A" w:rsidRPr="00CD191E" w:rsidRDefault="00BA708A" w:rsidP="00BA708A">
            <w:pPr>
              <w:spacing w:after="0" w:line="240" w:lineRule="auto"/>
              <w:rPr>
                <w:b/>
              </w:rPr>
            </w:pPr>
            <w:proofErr w:type="gramStart"/>
            <w:r w:rsidRPr="00CD191E">
              <w:rPr>
                <w:b/>
              </w:rPr>
              <w:t>v</w:t>
            </w:r>
            <w:proofErr w:type="gramEnd"/>
            <w:r w:rsidRPr="00CD191E">
              <w:rPr>
                <w:b/>
              </w:rPr>
              <w:t>.</w:t>
            </w:r>
          </w:p>
          <w:p w:rsidR="00BA708A" w:rsidRPr="00CD191E" w:rsidRDefault="00BA708A" w:rsidP="00BA708A">
            <w:pPr>
              <w:spacing w:after="0" w:line="240" w:lineRule="auto"/>
              <w:rPr>
                <w:b/>
              </w:rPr>
            </w:pPr>
          </w:p>
          <w:p w:rsidR="00BA708A" w:rsidRPr="00CD191E" w:rsidRDefault="00BA708A" w:rsidP="00BA708A">
            <w:pPr>
              <w:spacing w:after="0" w:line="240" w:lineRule="auto"/>
              <w:rPr>
                <w:b/>
              </w:rPr>
            </w:pPr>
            <w:r w:rsidRPr="00CD191E">
              <w:rPr>
                <w:b/>
              </w:rPr>
              <w:t xml:space="preserve">PUGET SOUND ENERGY, INC., </w:t>
            </w:r>
          </w:p>
          <w:p w:rsidR="00BA708A" w:rsidRPr="00CD191E" w:rsidRDefault="00BA708A" w:rsidP="00BA708A">
            <w:pPr>
              <w:spacing w:after="0" w:line="240" w:lineRule="auto"/>
              <w:rPr>
                <w:b/>
              </w:rPr>
            </w:pPr>
          </w:p>
          <w:p w:rsidR="00BA708A" w:rsidRPr="00CD191E" w:rsidRDefault="00BA708A" w:rsidP="00BA708A">
            <w:pPr>
              <w:spacing w:after="0" w:line="240" w:lineRule="auto"/>
              <w:rPr>
                <w:b/>
              </w:rPr>
            </w:pPr>
            <w:r>
              <w:rPr>
                <w:b/>
              </w:rPr>
              <w:tab/>
            </w:r>
            <w:r>
              <w:rPr>
                <w:b/>
              </w:rPr>
              <w:tab/>
              <w:t>Respondent.</w:t>
            </w:r>
          </w:p>
        </w:tc>
        <w:tc>
          <w:tcPr>
            <w:tcW w:w="4590" w:type="dxa"/>
            <w:tcBorders>
              <w:top w:val="single" w:sz="6" w:space="0" w:color="FFFFFF"/>
              <w:left w:val="single" w:sz="7" w:space="0" w:color="000000"/>
              <w:bottom w:val="single" w:sz="6" w:space="0" w:color="FFFFFF"/>
              <w:right w:val="single" w:sz="6" w:space="0" w:color="FFFFFF"/>
            </w:tcBorders>
          </w:tcPr>
          <w:p w:rsidR="00BA708A" w:rsidRPr="00CD191E" w:rsidRDefault="00556776" w:rsidP="00BA708A">
            <w:pPr>
              <w:spacing w:after="0" w:line="240" w:lineRule="auto"/>
              <w:ind w:firstLine="720"/>
              <w:rPr>
                <w:b/>
              </w:rPr>
            </w:pPr>
            <w:r>
              <w:rPr>
                <w:b/>
              </w:rPr>
              <w:t>DOCKET UE-090704</w:t>
            </w:r>
          </w:p>
          <w:p w:rsidR="00BA708A" w:rsidRPr="00CD191E" w:rsidRDefault="00556776" w:rsidP="00BA708A">
            <w:pPr>
              <w:spacing w:after="0" w:line="240" w:lineRule="auto"/>
              <w:ind w:firstLine="720"/>
              <w:rPr>
                <w:b/>
              </w:rPr>
            </w:pPr>
            <w:r>
              <w:rPr>
                <w:b/>
              </w:rPr>
              <w:t>DOCKET UG-090705</w:t>
            </w:r>
          </w:p>
          <w:p w:rsidR="00BA708A" w:rsidRPr="00CD191E" w:rsidRDefault="00BA708A" w:rsidP="00BA708A">
            <w:pPr>
              <w:spacing w:after="0" w:line="240" w:lineRule="auto"/>
              <w:ind w:firstLine="720"/>
              <w:rPr>
                <w:b/>
                <w:i/>
              </w:rPr>
            </w:pPr>
            <w:r w:rsidRPr="00CD191E">
              <w:rPr>
                <w:b/>
              </w:rPr>
              <w:t>(</w:t>
            </w:r>
            <w:r w:rsidRPr="00CD191E">
              <w:rPr>
                <w:b/>
                <w:i/>
              </w:rPr>
              <w:t>Consolidated)</w:t>
            </w:r>
          </w:p>
          <w:p w:rsidR="00BA708A" w:rsidRPr="00CD191E" w:rsidRDefault="00BA708A" w:rsidP="00BA708A">
            <w:pPr>
              <w:spacing w:after="0" w:line="240" w:lineRule="auto"/>
              <w:ind w:firstLine="720"/>
              <w:rPr>
                <w:b/>
                <w:i/>
              </w:rPr>
            </w:pPr>
          </w:p>
          <w:p w:rsidR="00BA708A" w:rsidRPr="00CD191E" w:rsidRDefault="00BA708A" w:rsidP="00BA708A">
            <w:pPr>
              <w:spacing w:after="0" w:line="240" w:lineRule="auto"/>
              <w:ind w:firstLine="720"/>
              <w:rPr>
                <w:b/>
              </w:rPr>
            </w:pPr>
          </w:p>
          <w:p w:rsidR="00BA708A" w:rsidRPr="00CD191E" w:rsidRDefault="00BA708A" w:rsidP="00BA708A">
            <w:pPr>
              <w:spacing w:after="0" w:line="240" w:lineRule="auto"/>
              <w:rPr>
                <w:b/>
              </w:rPr>
            </w:pPr>
          </w:p>
          <w:p w:rsidR="00BA708A" w:rsidRPr="00CD191E" w:rsidRDefault="00BA708A" w:rsidP="00BA708A">
            <w:pPr>
              <w:spacing w:after="0" w:line="240" w:lineRule="auto"/>
              <w:ind w:left="720"/>
              <w:rPr>
                <w:b/>
              </w:rPr>
            </w:pPr>
          </w:p>
          <w:p w:rsidR="00BA708A" w:rsidRPr="00CD191E" w:rsidRDefault="00BA708A" w:rsidP="00BA708A">
            <w:pPr>
              <w:spacing w:after="0" w:line="240" w:lineRule="auto"/>
              <w:ind w:left="720"/>
              <w:rPr>
                <w:b/>
              </w:rPr>
            </w:pPr>
          </w:p>
        </w:tc>
      </w:tr>
      <w:tr w:rsidR="00BA708A" w:rsidRPr="00CD191E" w:rsidTr="00AB1B3D">
        <w:tc>
          <w:tcPr>
            <w:tcW w:w="4590" w:type="dxa"/>
            <w:tcBorders>
              <w:top w:val="single" w:sz="6" w:space="0" w:color="FFFFFF"/>
              <w:left w:val="single" w:sz="6" w:space="0" w:color="FFFFFF"/>
              <w:bottom w:val="single" w:sz="7" w:space="0" w:color="000000"/>
              <w:right w:val="single" w:sz="6" w:space="0" w:color="FFFFFF"/>
            </w:tcBorders>
          </w:tcPr>
          <w:p w:rsidR="00BA708A" w:rsidRPr="00CD191E" w:rsidRDefault="00BA708A" w:rsidP="00BA708A">
            <w:pPr>
              <w:spacing w:after="0" w:line="240" w:lineRule="auto"/>
              <w:rPr>
                <w:b/>
              </w:rPr>
            </w:pPr>
          </w:p>
        </w:tc>
        <w:tc>
          <w:tcPr>
            <w:tcW w:w="4590" w:type="dxa"/>
            <w:tcBorders>
              <w:top w:val="single" w:sz="6" w:space="0" w:color="FFFFFF"/>
              <w:left w:val="single" w:sz="7" w:space="0" w:color="000000"/>
              <w:bottom w:val="single" w:sz="6" w:space="0" w:color="FFFFFF"/>
              <w:right w:val="single" w:sz="6" w:space="0" w:color="FFFFFF"/>
            </w:tcBorders>
          </w:tcPr>
          <w:p w:rsidR="00BA708A" w:rsidRPr="00CD191E" w:rsidRDefault="00BA708A" w:rsidP="00BA708A">
            <w:pPr>
              <w:spacing w:after="0" w:line="240" w:lineRule="auto"/>
              <w:rPr>
                <w:b/>
              </w:rPr>
            </w:pPr>
          </w:p>
        </w:tc>
      </w:tr>
    </w:tbl>
    <w:p w:rsidR="00BA708A" w:rsidRPr="00CD191E" w:rsidRDefault="00BA708A" w:rsidP="00BA708A">
      <w:pPr>
        <w:spacing w:after="0" w:line="240" w:lineRule="auto"/>
        <w:rPr>
          <w:b/>
        </w:rPr>
      </w:pPr>
    </w:p>
    <w:p w:rsidR="00BA708A" w:rsidRDefault="00BA708A" w:rsidP="00BA708A">
      <w:pPr>
        <w:spacing w:after="0" w:line="240" w:lineRule="auto"/>
        <w:rPr>
          <w:b/>
          <w:bCs/>
        </w:rPr>
      </w:pPr>
    </w:p>
    <w:p w:rsidR="000159D7" w:rsidRPr="00E24CA8" w:rsidRDefault="000159D7" w:rsidP="000159D7">
      <w:pPr>
        <w:pStyle w:val="BodyText2"/>
        <w:spacing w:line="240" w:lineRule="auto"/>
        <w:rPr>
          <w:b/>
        </w:rPr>
      </w:pPr>
    </w:p>
    <w:p w:rsidR="000159D7" w:rsidRPr="00E24CA8" w:rsidRDefault="000159D7" w:rsidP="000159D7">
      <w:pPr>
        <w:pStyle w:val="BodyText2"/>
        <w:spacing w:line="240" w:lineRule="auto"/>
        <w:jc w:val="center"/>
        <w:rPr>
          <w:b/>
          <w:caps/>
        </w:rPr>
      </w:pPr>
      <w:r w:rsidRPr="00E24CA8">
        <w:rPr>
          <w:b/>
          <w:caps/>
        </w:rPr>
        <w:t xml:space="preserve">TESTIMONY OF </w:t>
      </w:r>
    </w:p>
    <w:p w:rsidR="000159D7" w:rsidRPr="00E24CA8" w:rsidRDefault="000159D7" w:rsidP="000159D7">
      <w:pPr>
        <w:pStyle w:val="BodyText2"/>
        <w:spacing w:line="240" w:lineRule="auto"/>
        <w:jc w:val="center"/>
        <w:rPr>
          <w:b/>
          <w:caps/>
        </w:rPr>
      </w:pPr>
    </w:p>
    <w:p w:rsidR="000159D7" w:rsidRPr="00E24CA8" w:rsidRDefault="00BA708A" w:rsidP="000159D7">
      <w:pPr>
        <w:pStyle w:val="BodyText2"/>
        <w:spacing w:line="240" w:lineRule="auto"/>
        <w:jc w:val="center"/>
        <w:rPr>
          <w:b/>
          <w:caps/>
        </w:rPr>
      </w:pPr>
      <w:r w:rsidRPr="00E24CA8">
        <w:rPr>
          <w:b/>
        </w:rPr>
        <w:t>DANNY P. KERMODE</w:t>
      </w:r>
    </w:p>
    <w:p w:rsidR="000159D7" w:rsidRPr="00E24CA8" w:rsidRDefault="000159D7" w:rsidP="000159D7">
      <w:pPr>
        <w:pStyle w:val="BodyText2"/>
        <w:spacing w:line="240" w:lineRule="auto"/>
        <w:jc w:val="center"/>
        <w:rPr>
          <w:b/>
          <w:caps/>
        </w:rPr>
      </w:pPr>
    </w:p>
    <w:p w:rsidR="000159D7" w:rsidRPr="00E24CA8" w:rsidRDefault="000159D7" w:rsidP="000159D7">
      <w:pPr>
        <w:tabs>
          <w:tab w:val="center" w:pos="4680"/>
        </w:tabs>
        <w:spacing w:after="0" w:line="240" w:lineRule="auto"/>
        <w:jc w:val="center"/>
        <w:rPr>
          <w:b/>
          <w:bCs/>
        </w:rPr>
      </w:pPr>
      <w:r w:rsidRPr="00E24CA8">
        <w:rPr>
          <w:b/>
          <w:bCs/>
        </w:rPr>
        <w:t>STAFF OF</w:t>
      </w:r>
    </w:p>
    <w:p w:rsidR="000159D7" w:rsidRPr="00E24CA8" w:rsidRDefault="000159D7" w:rsidP="000159D7">
      <w:pPr>
        <w:tabs>
          <w:tab w:val="center" w:pos="4680"/>
        </w:tabs>
        <w:spacing w:after="0" w:line="240" w:lineRule="auto"/>
        <w:jc w:val="center"/>
        <w:rPr>
          <w:b/>
          <w:bCs/>
        </w:rPr>
      </w:pPr>
      <w:smartTag w:uri="urn:schemas-microsoft-com:office:smarttags" w:element="place">
        <w:smartTag w:uri="urn:schemas-microsoft-com:office:smarttags" w:element="State">
          <w:r w:rsidRPr="00E24CA8">
            <w:rPr>
              <w:b/>
              <w:bCs/>
            </w:rPr>
            <w:t>WASHINGTON</w:t>
          </w:r>
        </w:smartTag>
      </w:smartTag>
      <w:r w:rsidRPr="00E24CA8">
        <w:rPr>
          <w:b/>
          <w:bCs/>
        </w:rPr>
        <w:t xml:space="preserve"> UTILITIES AND</w:t>
      </w:r>
    </w:p>
    <w:p w:rsidR="000159D7" w:rsidRPr="00E24CA8" w:rsidRDefault="000159D7" w:rsidP="000159D7">
      <w:pPr>
        <w:tabs>
          <w:tab w:val="center" w:pos="4680"/>
        </w:tabs>
        <w:spacing w:after="0" w:line="240" w:lineRule="auto"/>
        <w:jc w:val="center"/>
        <w:rPr>
          <w:b/>
          <w:bCs/>
        </w:rPr>
      </w:pPr>
      <w:r w:rsidRPr="00E24CA8">
        <w:rPr>
          <w:b/>
          <w:bCs/>
        </w:rPr>
        <w:t>TRANSPORTATION COMMISSION</w:t>
      </w:r>
    </w:p>
    <w:p w:rsidR="000159D7" w:rsidRDefault="000159D7" w:rsidP="000159D7">
      <w:pPr>
        <w:spacing w:line="240" w:lineRule="auto"/>
        <w:jc w:val="center"/>
        <w:rPr>
          <w:b/>
          <w:bCs/>
        </w:rPr>
      </w:pPr>
    </w:p>
    <w:p w:rsidR="000159D7" w:rsidRDefault="00556776" w:rsidP="000159D7">
      <w:pPr>
        <w:spacing w:line="240" w:lineRule="auto"/>
        <w:jc w:val="center"/>
        <w:rPr>
          <w:b/>
          <w:bCs/>
          <w:i/>
        </w:rPr>
      </w:pPr>
      <w:r>
        <w:rPr>
          <w:b/>
          <w:bCs/>
          <w:i/>
        </w:rPr>
        <w:t>Working Capital</w:t>
      </w:r>
    </w:p>
    <w:p w:rsidR="001F479A" w:rsidRPr="00E24CA8" w:rsidRDefault="001F479A" w:rsidP="000159D7">
      <w:pPr>
        <w:spacing w:line="240" w:lineRule="auto"/>
        <w:jc w:val="center"/>
        <w:rPr>
          <w:b/>
          <w:bCs/>
          <w:i/>
        </w:rPr>
      </w:pPr>
    </w:p>
    <w:p w:rsidR="000159D7" w:rsidRDefault="00556776" w:rsidP="000159D7">
      <w:pPr>
        <w:spacing w:line="240" w:lineRule="auto"/>
        <w:jc w:val="center"/>
        <w:rPr>
          <w:b/>
        </w:rPr>
      </w:pPr>
      <w:r>
        <w:rPr>
          <w:b/>
        </w:rPr>
        <w:t>November 17,</w:t>
      </w:r>
      <w:r w:rsidR="000159D7" w:rsidRPr="00E24CA8">
        <w:rPr>
          <w:b/>
        </w:rPr>
        <w:t xml:space="preserve"> 200</w:t>
      </w:r>
      <w:r>
        <w:rPr>
          <w:b/>
        </w:rPr>
        <w:t>9</w:t>
      </w:r>
    </w:p>
    <w:p w:rsidR="00BA708A" w:rsidRDefault="00BA708A" w:rsidP="00BA708A">
      <w:pPr>
        <w:spacing w:line="240" w:lineRule="auto"/>
        <w:rPr>
          <w:b/>
        </w:rPr>
      </w:pPr>
    </w:p>
    <w:p w:rsidR="00BA708A" w:rsidRDefault="00BA708A" w:rsidP="00BA708A">
      <w:pPr>
        <w:spacing w:line="240" w:lineRule="auto"/>
        <w:rPr>
          <w:b/>
        </w:rPr>
      </w:pPr>
    </w:p>
    <w:p w:rsidR="00BA708A" w:rsidRDefault="00BA708A" w:rsidP="00BA708A">
      <w:pPr>
        <w:spacing w:line="240" w:lineRule="auto"/>
        <w:rPr>
          <w:b/>
          <w:bCs/>
        </w:rPr>
        <w:sectPr w:rsidR="00BA708A" w:rsidSect="0055541D">
          <w:footerReference w:type="even" r:id="rId8"/>
          <w:footerReference w:type="default" r:id="rId9"/>
          <w:pgSz w:w="12240" w:h="15840" w:code="1"/>
          <w:pgMar w:top="1440" w:right="1440" w:bottom="1440" w:left="1440" w:header="720" w:footer="1152" w:gutter="0"/>
          <w:cols w:space="720"/>
          <w:titlePg/>
          <w:docGrid w:linePitch="360"/>
        </w:sectPr>
      </w:pPr>
    </w:p>
    <w:p w:rsidR="00E90B57" w:rsidRDefault="00E90B57">
      <w:pPr>
        <w:spacing w:after="0" w:line="240" w:lineRule="auto"/>
        <w:rPr>
          <w:b/>
          <w:bCs/>
        </w:rPr>
      </w:pPr>
    </w:p>
    <w:sdt>
      <w:sdtPr>
        <w:rPr>
          <w:b w:val="0"/>
          <w:bCs w:val="0"/>
        </w:rPr>
        <w:id w:val="43274257"/>
        <w:docPartObj>
          <w:docPartGallery w:val="Table of Contents"/>
          <w:docPartUnique/>
        </w:docPartObj>
      </w:sdtPr>
      <w:sdtEndPr>
        <w:rPr>
          <w:rFonts w:eastAsia="Calibri"/>
          <w:szCs w:val="22"/>
        </w:rPr>
      </w:sdtEndPr>
      <w:sdtContent>
        <w:p w:rsidR="00F039BD" w:rsidRDefault="00F039BD" w:rsidP="00F039BD">
          <w:pPr>
            <w:pStyle w:val="TOCHeading"/>
          </w:pPr>
          <w:r>
            <w:t>TABLE OF CONTENTS</w:t>
          </w:r>
        </w:p>
        <w:p w:rsidR="00F039BD" w:rsidRDefault="00F039BD" w:rsidP="00F039BD">
          <w:pPr>
            <w:pStyle w:val="TOC1"/>
            <w:tabs>
              <w:tab w:val="left" w:pos="440"/>
              <w:tab w:val="right" w:leader="dot" w:pos="9350"/>
            </w:tabs>
            <w:rPr>
              <w:rFonts w:asciiTheme="minorHAnsi" w:eastAsiaTheme="minorEastAsia" w:hAnsiTheme="minorHAnsi" w:cstheme="minorBidi"/>
              <w:noProof/>
              <w:sz w:val="22"/>
              <w:lang w:bidi="ar-SA"/>
            </w:rPr>
          </w:pPr>
          <w:r>
            <w:fldChar w:fldCharType="begin"/>
          </w:r>
          <w:r>
            <w:instrText xml:space="preserve"> TOC \o "1-3" \h \z \u </w:instrText>
          </w:r>
          <w:r>
            <w:fldChar w:fldCharType="separate"/>
          </w:r>
          <w:hyperlink w:anchor="_Toc246088114" w:history="1">
            <w:r w:rsidRPr="001A3837">
              <w:rPr>
                <w:rStyle w:val="Hyperlink"/>
                <w:noProof/>
              </w:rPr>
              <w:t>I.</w:t>
            </w:r>
            <w:r>
              <w:rPr>
                <w:rFonts w:asciiTheme="minorHAnsi" w:eastAsiaTheme="minorEastAsia" w:hAnsiTheme="minorHAnsi" w:cstheme="minorBidi"/>
                <w:noProof/>
                <w:sz w:val="22"/>
                <w:lang w:bidi="ar-SA"/>
              </w:rPr>
              <w:tab/>
            </w:r>
            <w:r w:rsidRPr="001A3837">
              <w:rPr>
                <w:rStyle w:val="Hyperlink"/>
                <w:noProof/>
              </w:rPr>
              <w:t>INTRODUCTION</w:t>
            </w:r>
            <w:r>
              <w:rPr>
                <w:noProof/>
                <w:webHidden/>
              </w:rPr>
              <w:tab/>
            </w:r>
            <w:r>
              <w:rPr>
                <w:noProof/>
                <w:webHidden/>
              </w:rPr>
              <w:fldChar w:fldCharType="begin"/>
            </w:r>
            <w:r>
              <w:rPr>
                <w:noProof/>
                <w:webHidden/>
              </w:rPr>
              <w:instrText xml:space="preserve"> PAGEREF _Toc246088114 \h </w:instrText>
            </w:r>
            <w:r>
              <w:rPr>
                <w:noProof/>
                <w:webHidden/>
              </w:rPr>
            </w:r>
            <w:r>
              <w:rPr>
                <w:noProof/>
                <w:webHidden/>
              </w:rPr>
              <w:fldChar w:fldCharType="separate"/>
            </w:r>
            <w:r w:rsidR="002E223C">
              <w:rPr>
                <w:noProof/>
                <w:webHidden/>
              </w:rPr>
              <w:t>1</w:t>
            </w:r>
            <w:r>
              <w:rPr>
                <w:noProof/>
                <w:webHidden/>
              </w:rPr>
              <w:fldChar w:fldCharType="end"/>
            </w:r>
          </w:hyperlink>
        </w:p>
        <w:p w:rsidR="00F039BD" w:rsidRDefault="00F039BD" w:rsidP="00F039BD">
          <w:pPr>
            <w:pStyle w:val="TOC1"/>
            <w:tabs>
              <w:tab w:val="left" w:pos="660"/>
              <w:tab w:val="right" w:leader="dot" w:pos="9350"/>
            </w:tabs>
            <w:rPr>
              <w:rFonts w:asciiTheme="minorHAnsi" w:eastAsiaTheme="minorEastAsia" w:hAnsiTheme="minorHAnsi" w:cstheme="minorBidi"/>
              <w:noProof/>
              <w:sz w:val="22"/>
              <w:lang w:bidi="ar-SA"/>
            </w:rPr>
          </w:pPr>
          <w:hyperlink w:anchor="_Toc246088115" w:history="1">
            <w:r w:rsidRPr="001A3837">
              <w:rPr>
                <w:rStyle w:val="Hyperlink"/>
                <w:noProof/>
              </w:rPr>
              <w:t>II.</w:t>
            </w:r>
            <w:r>
              <w:rPr>
                <w:rFonts w:asciiTheme="minorHAnsi" w:eastAsiaTheme="minorEastAsia" w:hAnsiTheme="minorHAnsi" w:cstheme="minorBidi"/>
                <w:noProof/>
                <w:sz w:val="22"/>
                <w:lang w:bidi="ar-SA"/>
              </w:rPr>
              <w:tab/>
            </w:r>
            <w:r w:rsidRPr="001A3837">
              <w:rPr>
                <w:rStyle w:val="Hyperlink"/>
                <w:noProof/>
              </w:rPr>
              <w:t>SCOPE AND SUMMARY OF TESTIMONY</w:t>
            </w:r>
            <w:r>
              <w:rPr>
                <w:noProof/>
                <w:webHidden/>
              </w:rPr>
              <w:tab/>
            </w:r>
            <w:r>
              <w:rPr>
                <w:noProof/>
                <w:webHidden/>
              </w:rPr>
              <w:fldChar w:fldCharType="begin"/>
            </w:r>
            <w:r>
              <w:rPr>
                <w:noProof/>
                <w:webHidden/>
              </w:rPr>
              <w:instrText xml:space="preserve"> PAGEREF _Toc246088115 \h </w:instrText>
            </w:r>
            <w:r>
              <w:rPr>
                <w:noProof/>
                <w:webHidden/>
              </w:rPr>
            </w:r>
            <w:r>
              <w:rPr>
                <w:noProof/>
                <w:webHidden/>
              </w:rPr>
              <w:fldChar w:fldCharType="separate"/>
            </w:r>
            <w:r w:rsidR="002E223C">
              <w:rPr>
                <w:noProof/>
                <w:webHidden/>
              </w:rPr>
              <w:t>3</w:t>
            </w:r>
            <w:r>
              <w:rPr>
                <w:noProof/>
                <w:webHidden/>
              </w:rPr>
              <w:fldChar w:fldCharType="end"/>
            </w:r>
          </w:hyperlink>
        </w:p>
        <w:p w:rsidR="00F039BD" w:rsidRDefault="00F039BD" w:rsidP="00F039BD">
          <w:pPr>
            <w:pStyle w:val="TOC1"/>
            <w:tabs>
              <w:tab w:val="left" w:pos="660"/>
              <w:tab w:val="right" w:leader="dot" w:pos="9350"/>
            </w:tabs>
            <w:rPr>
              <w:rFonts w:asciiTheme="minorHAnsi" w:eastAsiaTheme="minorEastAsia" w:hAnsiTheme="minorHAnsi" w:cstheme="minorBidi"/>
              <w:noProof/>
              <w:sz w:val="22"/>
              <w:lang w:bidi="ar-SA"/>
            </w:rPr>
          </w:pPr>
          <w:hyperlink w:anchor="_Toc246088116" w:history="1">
            <w:r w:rsidRPr="001A3837">
              <w:rPr>
                <w:rStyle w:val="Hyperlink"/>
                <w:noProof/>
              </w:rPr>
              <w:t xml:space="preserve">III. </w:t>
            </w:r>
            <w:r>
              <w:rPr>
                <w:rFonts w:asciiTheme="minorHAnsi" w:eastAsiaTheme="minorEastAsia" w:hAnsiTheme="minorHAnsi" w:cstheme="minorBidi"/>
                <w:noProof/>
                <w:sz w:val="22"/>
                <w:lang w:bidi="ar-SA"/>
              </w:rPr>
              <w:tab/>
            </w:r>
            <w:r w:rsidRPr="001A3837">
              <w:rPr>
                <w:rStyle w:val="Hyperlink"/>
                <w:noProof/>
              </w:rPr>
              <w:t>INVESTOR-SUPPLIED WORKING CAPITAL</w:t>
            </w:r>
            <w:r>
              <w:rPr>
                <w:noProof/>
                <w:webHidden/>
              </w:rPr>
              <w:tab/>
            </w:r>
            <w:r>
              <w:rPr>
                <w:noProof/>
                <w:webHidden/>
              </w:rPr>
              <w:fldChar w:fldCharType="begin"/>
            </w:r>
            <w:r>
              <w:rPr>
                <w:noProof/>
                <w:webHidden/>
              </w:rPr>
              <w:instrText xml:space="preserve"> PAGEREF _Toc246088116 \h </w:instrText>
            </w:r>
            <w:r>
              <w:rPr>
                <w:noProof/>
                <w:webHidden/>
              </w:rPr>
            </w:r>
            <w:r>
              <w:rPr>
                <w:noProof/>
                <w:webHidden/>
              </w:rPr>
              <w:fldChar w:fldCharType="separate"/>
            </w:r>
            <w:r w:rsidR="002E223C">
              <w:rPr>
                <w:noProof/>
                <w:webHidden/>
              </w:rPr>
              <w:t>4</w:t>
            </w:r>
            <w:r>
              <w:rPr>
                <w:noProof/>
                <w:webHidden/>
              </w:rPr>
              <w:fldChar w:fldCharType="end"/>
            </w:r>
          </w:hyperlink>
        </w:p>
        <w:p w:rsidR="00F039BD" w:rsidRDefault="00F039BD" w:rsidP="00F039BD">
          <w:pPr>
            <w:pStyle w:val="TOC2"/>
            <w:tabs>
              <w:tab w:val="left" w:pos="880"/>
              <w:tab w:val="right" w:leader="dot" w:pos="9350"/>
            </w:tabs>
            <w:rPr>
              <w:rFonts w:asciiTheme="minorHAnsi" w:eastAsiaTheme="minorEastAsia" w:hAnsiTheme="minorHAnsi" w:cstheme="minorBidi"/>
              <w:noProof/>
              <w:sz w:val="22"/>
              <w:lang w:bidi="ar-SA"/>
            </w:rPr>
          </w:pPr>
          <w:hyperlink w:anchor="_Toc246088117" w:history="1">
            <w:r w:rsidRPr="001A3837">
              <w:rPr>
                <w:rStyle w:val="Hyperlink"/>
                <w:noProof/>
              </w:rPr>
              <w:t>A.</w:t>
            </w:r>
            <w:r>
              <w:rPr>
                <w:rFonts w:asciiTheme="minorHAnsi" w:eastAsiaTheme="minorEastAsia" w:hAnsiTheme="minorHAnsi" w:cstheme="minorBidi"/>
                <w:noProof/>
                <w:sz w:val="22"/>
                <w:lang w:bidi="ar-SA"/>
              </w:rPr>
              <w:tab/>
            </w:r>
            <w:r>
              <w:rPr>
                <w:rStyle w:val="Hyperlink"/>
                <w:noProof/>
              </w:rPr>
              <w:t>Overview of Company Proposal</w:t>
            </w:r>
            <w:r>
              <w:rPr>
                <w:noProof/>
                <w:webHidden/>
              </w:rPr>
              <w:tab/>
            </w:r>
            <w:r>
              <w:rPr>
                <w:noProof/>
                <w:webHidden/>
              </w:rPr>
              <w:fldChar w:fldCharType="begin"/>
            </w:r>
            <w:r>
              <w:rPr>
                <w:noProof/>
                <w:webHidden/>
              </w:rPr>
              <w:instrText xml:space="preserve"> PAGEREF _Toc246088117 \h </w:instrText>
            </w:r>
            <w:r>
              <w:rPr>
                <w:noProof/>
                <w:webHidden/>
              </w:rPr>
            </w:r>
            <w:r>
              <w:rPr>
                <w:noProof/>
                <w:webHidden/>
              </w:rPr>
              <w:fldChar w:fldCharType="separate"/>
            </w:r>
            <w:r w:rsidR="002E223C">
              <w:rPr>
                <w:noProof/>
                <w:webHidden/>
              </w:rPr>
              <w:t>4</w:t>
            </w:r>
            <w:r>
              <w:rPr>
                <w:noProof/>
                <w:webHidden/>
              </w:rPr>
              <w:fldChar w:fldCharType="end"/>
            </w:r>
          </w:hyperlink>
        </w:p>
        <w:p w:rsidR="00F039BD" w:rsidRDefault="00F039BD" w:rsidP="00F039BD">
          <w:pPr>
            <w:pStyle w:val="TOC2"/>
            <w:tabs>
              <w:tab w:val="left" w:pos="880"/>
              <w:tab w:val="right" w:leader="dot" w:pos="9350"/>
            </w:tabs>
            <w:rPr>
              <w:rFonts w:asciiTheme="minorHAnsi" w:eastAsiaTheme="minorEastAsia" w:hAnsiTheme="minorHAnsi" w:cstheme="minorBidi"/>
              <w:noProof/>
              <w:sz w:val="22"/>
              <w:lang w:bidi="ar-SA"/>
            </w:rPr>
          </w:pPr>
          <w:hyperlink w:anchor="_Toc246088118" w:history="1">
            <w:r w:rsidRPr="001A3837">
              <w:rPr>
                <w:rStyle w:val="Hyperlink"/>
                <w:noProof/>
              </w:rPr>
              <w:t xml:space="preserve">B.  </w:t>
            </w:r>
            <w:r>
              <w:rPr>
                <w:rFonts w:asciiTheme="minorHAnsi" w:eastAsiaTheme="minorEastAsia" w:hAnsiTheme="minorHAnsi" w:cstheme="minorBidi"/>
                <w:noProof/>
                <w:sz w:val="22"/>
                <w:lang w:bidi="ar-SA"/>
              </w:rPr>
              <w:tab/>
            </w:r>
            <w:r w:rsidRPr="001A3837">
              <w:rPr>
                <w:rStyle w:val="Hyperlink"/>
                <w:noProof/>
              </w:rPr>
              <w:t>C</w:t>
            </w:r>
            <w:r w:rsidRPr="001A3837">
              <w:rPr>
                <w:rStyle w:val="Hyperlink"/>
                <w:i/>
                <w:noProof/>
              </w:rPr>
              <w:t>omputation</w:t>
            </w:r>
            <w:r w:rsidRPr="001A3837">
              <w:rPr>
                <w:rStyle w:val="Hyperlink"/>
                <w:noProof/>
              </w:rPr>
              <w:t xml:space="preserve"> of Total Investor-Supplied Working Capital</w:t>
            </w:r>
            <w:r>
              <w:rPr>
                <w:noProof/>
                <w:webHidden/>
              </w:rPr>
              <w:tab/>
            </w:r>
            <w:r>
              <w:rPr>
                <w:noProof/>
                <w:webHidden/>
              </w:rPr>
              <w:fldChar w:fldCharType="begin"/>
            </w:r>
            <w:r>
              <w:rPr>
                <w:noProof/>
                <w:webHidden/>
              </w:rPr>
              <w:instrText xml:space="preserve"> PAGEREF _Toc246088118 \h </w:instrText>
            </w:r>
            <w:r>
              <w:rPr>
                <w:noProof/>
                <w:webHidden/>
              </w:rPr>
            </w:r>
            <w:r>
              <w:rPr>
                <w:noProof/>
                <w:webHidden/>
              </w:rPr>
              <w:fldChar w:fldCharType="separate"/>
            </w:r>
            <w:r w:rsidR="002E223C">
              <w:rPr>
                <w:noProof/>
                <w:webHidden/>
              </w:rPr>
              <w:t>6</w:t>
            </w:r>
            <w:r>
              <w:rPr>
                <w:noProof/>
                <w:webHidden/>
              </w:rPr>
              <w:fldChar w:fldCharType="end"/>
            </w:r>
          </w:hyperlink>
        </w:p>
        <w:p w:rsidR="00F039BD" w:rsidRDefault="00F039BD" w:rsidP="00F039BD">
          <w:pPr>
            <w:pStyle w:val="TOC2"/>
            <w:tabs>
              <w:tab w:val="left" w:pos="880"/>
              <w:tab w:val="right" w:leader="dot" w:pos="9350"/>
            </w:tabs>
            <w:rPr>
              <w:rFonts w:asciiTheme="minorHAnsi" w:eastAsiaTheme="minorEastAsia" w:hAnsiTheme="minorHAnsi" w:cstheme="minorBidi"/>
              <w:noProof/>
              <w:sz w:val="22"/>
              <w:lang w:bidi="ar-SA"/>
            </w:rPr>
          </w:pPr>
          <w:hyperlink w:anchor="_Toc246088119" w:history="1">
            <w:r w:rsidRPr="001A3837">
              <w:rPr>
                <w:rStyle w:val="Hyperlink"/>
                <w:noProof/>
              </w:rPr>
              <w:t xml:space="preserve">C.  </w:t>
            </w:r>
            <w:r>
              <w:rPr>
                <w:rFonts w:asciiTheme="minorHAnsi" w:eastAsiaTheme="minorEastAsia" w:hAnsiTheme="minorHAnsi" w:cstheme="minorBidi"/>
                <w:noProof/>
                <w:sz w:val="22"/>
                <w:lang w:bidi="ar-SA"/>
              </w:rPr>
              <w:tab/>
            </w:r>
            <w:r w:rsidRPr="001A3837">
              <w:rPr>
                <w:rStyle w:val="Hyperlink"/>
                <w:i/>
                <w:noProof/>
              </w:rPr>
              <w:t>Allocation</w:t>
            </w:r>
            <w:r w:rsidRPr="001A3837">
              <w:rPr>
                <w:rStyle w:val="Hyperlink"/>
                <w:noProof/>
              </w:rPr>
              <w:t xml:space="preserve"> of Total Investor-Supplied Working Capital</w:t>
            </w:r>
            <w:r>
              <w:rPr>
                <w:noProof/>
                <w:webHidden/>
              </w:rPr>
              <w:tab/>
            </w:r>
            <w:r>
              <w:rPr>
                <w:noProof/>
                <w:webHidden/>
              </w:rPr>
              <w:fldChar w:fldCharType="begin"/>
            </w:r>
            <w:r>
              <w:rPr>
                <w:noProof/>
                <w:webHidden/>
              </w:rPr>
              <w:instrText xml:space="preserve"> PAGEREF _Toc246088119 \h </w:instrText>
            </w:r>
            <w:r>
              <w:rPr>
                <w:noProof/>
                <w:webHidden/>
              </w:rPr>
            </w:r>
            <w:r>
              <w:rPr>
                <w:noProof/>
                <w:webHidden/>
              </w:rPr>
              <w:fldChar w:fldCharType="separate"/>
            </w:r>
            <w:r w:rsidR="002E223C">
              <w:rPr>
                <w:noProof/>
                <w:webHidden/>
              </w:rPr>
              <w:t>9</w:t>
            </w:r>
            <w:r>
              <w:rPr>
                <w:noProof/>
                <w:webHidden/>
              </w:rPr>
              <w:fldChar w:fldCharType="end"/>
            </w:r>
          </w:hyperlink>
        </w:p>
        <w:p w:rsidR="00F039BD" w:rsidRDefault="00F039BD" w:rsidP="00F039BD">
          <w:pPr>
            <w:pStyle w:val="TOC2"/>
            <w:tabs>
              <w:tab w:val="left" w:pos="880"/>
              <w:tab w:val="right" w:leader="dot" w:pos="9350"/>
            </w:tabs>
            <w:rPr>
              <w:noProof/>
            </w:rPr>
          </w:pPr>
          <w:hyperlink w:anchor="_Toc246088120" w:history="1">
            <w:r w:rsidRPr="001A3837">
              <w:rPr>
                <w:rStyle w:val="Hyperlink"/>
                <w:noProof/>
              </w:rPr>
              <w:t xml:space="preserve">D.  </w:t>
            </w:r>
            <w:r>
              <w:rPr>
                <w:rFonts w:asciiTheme="minorHAnsi" w:eastAsiaTheme="minorEastAsia" w:hAnsiTheme="minorHAnsi" w:cstheme="minorBidi"/>
                <w:noProof/>
                <w:sz w:val="22"/>
                <w:lang w:bidi="ar-SA"/>
              </w:rPr>
              <w:tab/>
            </w:r>
            <w:r w:rsidRPr="001A3837">
              <w:rPr>
                <w:rStyle w:val="Hyperlink"/>
                <w:noProof/>
              </w:rPr>
              <w:t>Summary</w:t>
            </w:r>
            <w:r>
              <w:rPr>
                <w:noProof/>
                <w:webHidden/>
              </w:rPr>
              <w:tab/>
            </w:r>
            <w:r>
              <w:rPr>
                <w:noProof/>
                <w:webHidden/>
              </w:rPr>
              <w:fldChar w:fldCharType="begin"/>
            </w:r>
            <w:r>
              <w:rPr>
                <w:noProof/>
                <w:webHidden/>
              </w:rPr>
              <w:instrText xml:space="preserve"> PAGEREF _Toc246088120 \h </w:instrText>
            </w:r>
            <w:r>
              <w:rPr>
                <w:noProof/>
                <w:webHidden/>
              </w:rPr>
            </w:r>
            <w:r>
              <w:rPr>
                <w:noProof/>
                <w:webHidden/>
              </w:rPr>
              <w:fldChar w:fldCharType="separate"/>
            </w:r>
            <w:r w:rsidR="002E223C">
              <w:rPr>
                <w:noProof/>
                <w:webHidden/>
              </w:rPr>
              <w:t>13</w:t>
            </w:r>
            <w:r>
              <w:rPr>
                <w:noProof/>
                <w:webHidden/>
              </w:rPr>
              <w:fldChar w:fldCharType="end"/>
            </w:r>
          </w:hyperlink>
        </w:p>
        <w:p w:rsidR="00F039BD" w:rsidRDefault="00F039BD">
          <w:pPr>
            <w:spacing w:after="0" w:line="240" w:lineRule="auto"/>
            <w:rPr>
              <w:noProof/>
            </w:rPr>
          </w:pPr>
          <w:r>
            <w:rPr>
              <w:noProof/>
            </w:rPr>
            <w:br w:type="page"/>
          </w:r>
        </w:p>
        <w:p w:rsidR="00F039BD" w:rsidRPr="00F039BD" w:rsidRDefault="00F039BD" w:rsidP="00F039BD">
          <w:pPr>
            <w:rPr>
              <w:noProof/>
            </w:rPr>
          </w:pPr>
        </w:p>
        <w:p w:rsidR="009042F7" w:rsidRPr="00DA1545" w:rsidRDefault="00F039BD" w:rsidP="00F039BD">
          <w:pPr>
            <w:spacing w:after="0" w:line="240" w:lineRule="auto"/>
            <w:jc w:val="center"/>
            <w:rPr>
              <w:b/>
              <w:bCs/>
            </w:rPr>
          </w:pPr>
          <w:r>
            <w:fldChar w:fldCharType="end"/>
          </w:r>
          <w:r w:rsidR="009042F7">
            <w:rPr>
              <w:b/>
              <w:bCs/>
            </w:rPr>
            <w:t>LIST OF EXHIBITS</w:t>
          </w:r>
        </w:p>
        <w:p w:rsidR="009042F7" w:rsidRDefault="009042F7" w:rsidP="009042F7">
          <w:pPr>
            <w:tabs>
              <w:tab w:val="left" w:pos="720"/>
              <w:tab w:val="left" w:pos="1440"/>
              <w:tab w:val="left" w:pos="2160"/>
              <w:tab w:val="right" w:leader="dot" w:pos="9000"/>
            </w:tabs>
            <w:spacing w:after="0" w:line="240" w:lineRule="auto"/>
            <w:rPr>
              <w:bCs/>
            </w:rPr>
          </w:pPr>
        </w:p>
        <w:p w:rsidR="009042F7" w:rsidRDefault="009042F7" w:rsidP="009042F7">
          <w:pPr>
            <w:tabs>
              <w:tab w:val="left" w:pos="720"/>
              <w:tab w:val="left" w:pos="1440"/>
              <w:tab w:val="left" w:pos="2160"/>
              <w:tab w:val="right" w:leader="dot" w:pos="9000"/>
            </w:tabs>
            <w:spacing w:after="0" w:line="240" w:lineRule="auto"/>
            <w:rPr>
              <w:bCs/>
            </w:rPr>
          </w:pPr>
        </w:p>
        <w:p w:rsidR="009042F7" w:rsidRDefault="009042F7" w:rsidP="009042F7">
          <w:pPr>
            <w:pStyle w:val="AnswerinTestimony"/>
          </w:pPr>
          <w:r w:rsidRPr="00E24CA8">
            <w:t>Exhibit</w:t>
          </w:r>
          <w:r>
            <w:t xml:space="preserve"> No. DPK-2,</w:t>
          </w:r>
          <w:r w:rsidRPr="00E24CA8">
            <w:t xml:space="preserve"> </w:t>
          </w:r>
          <w:r>
            <w:t>Staff Schedule of Investor-Supplied Working Capital</w:t>
          </w:r>
        </w:p>
        <w:p w:rsidR="009042F7" w:rsidRDefault="009042F7" w:rsidP="009042F7">
          <w:pPr>
            <w:pStyle w:val="AnswerinTestimony"/>
          </w:pPr>
          <w:r w:rsidRPr="00E24CA8">
            <w:t>Exhibit</w:t>
          </w:r>
          <w:r>
            <w:t xml:space="preserve"> No. DPK-3,</w:t>
          </w:r>
          <w:r w:rsidRPr="00E24CA8">
            <w:t xml:space="preserve"> </w:t>
          </w:r>
          <w:r>
            <w:t>Staff Schedule of the Allocation of Investor-Supplied Working Capital</w:t>
          </w:r>
        </w:p>
        <w:p w:rsidR="009042F7" w:rsidRDefault="009042F7">
          <w:pPr>
            <w:pStyle w:val="TOCHeading"/>
            <w:rPr>
              <w:rFonts w:eastAsia="Calibri"/>
              <w:b w:val="0"/>
              <w:bCs w:val="0"/>
              <w:szCs w:val="22"/>
            </w:rPr>
          </w:pPr>
        </w:p>
        <w:p w:rsidR="00E90B57" w:rsidRDefault="00837B63"/>
      </w:sdtContent>
    </w:sdt>
    <w:p w:rsidR="00BA708A" w:rsidRDefault="00BA708A" w:rsidP="00BA708A">
      <w:pPr>
        <w:tabs>
          <w:tab w:val="left" w:pos="720"/>
          <w:tab w:val="left" w:pos="1440"/>
          <w:tab w:val="left" w:pos="2160"/>
          <w:tab w:val="right" w:leader="dot" w:pos="9000"/>
        </w:tabs>
        <w:spacing w:after="0" w:line="240" w:lineRule="auto"/>
        <w:rPr>
          <w:bCs/>
        </w:rPr>
      </w:pPr>
    </w:p>
    <w:p w:rsidR="00BA708A" w:rsidRDefault="00BA708A" w:rsidP="00BA708A">
      <w:pPr>
        <w:spacing w:after="0" w:line="240" w:lineRule="auto"/>
        <w:rPr>
          <w:b/>
          <w:bCs/>
        </w:rPr>
      </w:pPr>
    </w:p>
    <w:p w:rsidR="00BA708A" w:rsidRPr="00E24CA8" w:rsidRDefault="00BA708A" w:rsidP="00BA708A">
      <w:pPr>
        <w:spacing w:line="240" w:lineRule="auto"/>
        <w:rPr>
          <w:b/>
          <w:bCs/>
        </w:rPr>
      </w:pPr>
    </w:p>
    <w:p w:rsidR="000159D7" w:rsidRPr="00E24CA8" w:rsidRDefault="000159D7" w:rsidP="00E90B57">
      <w:pPr>
        <w:pStyle w:val="Heading1"/>
        <w:sectPr w:rsidR="000159D7" w:rsidRPr="00E24CA8" w:rsidSect="00B40814">
          <w:footerReference w:type="first" r:id="rId10"/>
          <w:pgSz w:w="12240" w:h="15840" w:code="1"/>
          <w:pgMar w:top="1440" w:right="1440" w:bottom="1440" w:left="1440" w:header="720" w:footer="1152" w:gutter="0"/>
          <w:pgNumType w:fmt="lowerRoman" w:start="1"/>
          <w:cols w:space="720"/>
          <w:titlePg/>
          <w:docGrid w:linePitch="360"/>
        </w:sectPr>
      </w:pPr>
    </w:p>
    <w:p w:rsidR="000159D7" w:rsidRPr="00B27367" w:rsidRDefault="000159D7" w:rsidP="00E90B57">
      <w:pPr>
        <w:pStyle w:val="Heading1"/>
      </w:pPr>
      <w:bookmarkStart w:id="1" w:name="_Toc246088114"/>
      <w:r w:rsidRPr="00B27367">
        <w:lastRenderedPageBreak/>
        <w:t>I.</w:t>
      </w:r>
      <w:r w:rsidRPr="00B27367">
        <w:tab/>
      </w:r>
      <w:r w:rsidRPr="00E90B57">
        <w:t>INTRODUCTION</w:t>
      </w:r>
      <w:bookmarkEnd w:id="0"/>
      <w:bookmarkEnd w:id="1"/>
    </w:p>
    <w:p w:rsidR="000159D7" w:rsidRPr="00E24CA8" w:rsidRDefault="000159D7" w:rsidP="00BA708A">
      <w:pPr>
        <w:tabs>
          <w:tab w:val="left" w:pos="-1440"/>
        </w:tabs>
        <w:spacing w:after="0" w:line="480" w:lineRule="auto"/>
        <w:ind w:left="720" w:hanging="720"/>
        <w:rPr>
          <w:b/>
          <w:bCs/>
        </w:rPr>
      </w:pPr>
    </w:p>
    <w:p w:rsidR="000159D7" w:rsidRPr="00E24CA8" w:rsidRDefault="000159D7" w:rsidP="00BA708A">
      <w:pPr>
        <w:tabs>
          <w:tab w:val="left" w:pos="-1440"/>
        </w:tabs>
        <w:spacing w:after="0" w:line="480" w:lineRule="auto"/>
        <w:ind w:left="720" w:hanging="720"/>
        <w:rPr>
          <w:b/>
          <w:bCs/>
        </w:rPr>
      </w:pPr>
      <w:r w:rsidRPr="00E24CA8">
        <w:rPr>
          <w:b/>
          <w:bCs/>
        </w:rPr>
        <w:t>Q.</w:t>
      </w:r>
      <w:r w:rsidRPr="00E24CA8">
        <w:rPr>
          <w:b/>
          <w:bCs/>
        </w:rPr>
        <w:tab/>
        <w:t xml:space="preserve">Please state your name and business address.  </w:t>
      </w:r>
    </w:p>
    <w:p w:rsidR="000159D7" w:rsidRPr="00E24CA8" w:rsidRDefault="000159D7" w:rsidP="00BA708A">
      <w:pPr>
        <w:pStyle w:val="AnswerinTestimony"/>
      </w:pPr>
      <w:r w:rsidRPr="00E24CA8">
        <w:t>A.</w:t>
      </w:r>
      <w:r w:rsidRPr="00E24CA8">
        <w:tab/>
        <w:t>My name is Danny P. Kermode.  My business address is</w:t>
      </w:r>
      <w:r w:rsidR="00273228">
        <w:t xml:space="preserve"> T</w:t>
      </w:r>
      <w:r>
        <w:t xml:space="preserve">he Richard </w:t>
      </w:r>
      <w:proofErr w:type="spellStart"/>
      <w:r>
        <w:t>Hemstad</w:t>
      </w:r>
      <w:proofErr w:type="spellEnd"/>
      <w:r>
        <w:t xml:space="preserve"> Building,</w:t>
      </w:r>
      <w:r w:rsidRPr="00E24CA8">
        <w:t xml:space="preserve"> 1300 S. Evergreen Park Drive S.W., P.O. Box 47250, </w:t>
      </w:r>
      <w:smartTag w:uri="urn:schemas-microsoft-com:office:smarttags" w:element="City">
        <w:r w:rsidRPr="00E24CA8">
          <w:t>Olympia</w:t>
        </w:r>
      </w:smartTag>
      <w:r w:rsidRPr="00E24CA8">
        <w:t xml:space="preserve">, </w:t>
      </w:r>
      <w:smartTag w:uri="urn:schemas-microsoft-com:office:smarttags" w:element="State">
        <w:r w:rsidRPr="00E24CA8">
          <w:t>WA</w:t>
        </w:r>
      </w:smartTag>
      <w:r w:rsidRPr="00E24CA8">
        <w:t xml:space="preserve">  </w:t>
      </w:r>
      <w:smartTag w:uri="urn:schemas-microsoft-com:office:smarttags" w:element="PostalCode">
        <w:r w:rsidRPr="00E24CA8">
          <w:t>98504</w:t>
        </w:r>
      </w:smartTag>
      <w:r w:rsidRPr="00E24CA8">
        <w:t>.  My email address is dkermode@utc.wa.gov.</w:t>
      </w:r>
    </w:p>
    <w:p w:rsidR="000159D7" w:rsidRPr="00E24CA8" w:rsidRDefault="000159D7" w:rsidP="00BA708A">
      <w:pPr>
        <w:spacing w:after="0" w:line="480" w:lineRule="auto"/>
      </w:pPr>
    </w:p>
    <w:p w:rsidR="000159D7" w:rsidRPr="00E24CA8" w:rsidRDefault="000159D7" w:rsidP="00BA708A">
      <w:pPr>
        <w:tabs>
          <w:tab w:val="left" w:pos="-1440"/>
        </w:tabs>
        <w:spacing w:after="0" w:line="480" w:lineRule="auto"/>
        <w:ind w:left="720" w:hanging="720"/>
        <w:rPr>
          <w:b/>
          <w:bCs/>
        </w:rPr>
      </w:pPr>
      <w:r w:rsidRPr="00E24CA8">
        <w:rPr>
          <w:b/>
          <w:bCs/>
        </w:rPr>
        <w:t>Q.</w:t>
      </w:r>
      <w:r w:rsidRPr="00E24CA8">
        <w:rPr>
          <w:b/>
          <w:bCs/>
        </w:rPr>
        <w:tab/>
        <w:t xml:space="preserve">By whom are you employed and in what capacity?  </w:t>
      </w:r>
    </w:p>
    <w:p w:rsidR="000159D7" w:rsidRPr="00E24CA8" w:rsidRDefault="000159D7" w:rsidP="00BA708A">
      <w:pPr>
        <w:tabs>
          <w:tab w:val="left" w:pos="-1440"/>
        </w:tabs>
        <w:spacing w:after="0" w:line="480" w:lineRule="auto"/>
        <w:ind w:left="720" w:hanging="720"/>
      </w:pPr>
      <w:r w:rsidRPr="00E24CA8">
        <w:t>A.</w:t>
      </w:r>
      <w:r w:rsidRPr="00E24CA8">
        <w:tab/>
        <w:t xml:space="preserve">I am employed by the Washington Utilities and Transportation Commission </w:t>
      </w:r>
      <w:r w:rsidR="00B27367">
        <w:t>(“</w:t>
      </w:r>
      <w:r w:rsidR="00D4720E">
        <w:t>Commission</w:t>
      </w:r>
      <w:r w:rsidR="00B27367">
        <w:t xml:space="preserve">”) </w:t>
      </w:r>
      <w:r w:rsidRPr="00E24CA8">
        <w:t>as a Regulatory Analyst.</w:t>
      </w:r>
    </w:p>
    <w:p w:rsidR="000159D7" w:rsidRPr="00E24CA8" w:rsidRDefault="000159D7" w:rsidP="00BA708A">
      <w:pPr>
        <w:spacing w:after="0" w:line="480" w:lineRule="auto"/>
        <w:ind w:left="720" w:hanging="720"/>
      </w:pPr>
    </w:p>
    <w:p w:rsidR="000159D7" w:rsidRPr="00E24CA8" w:rsidRDefault="000159D7" w:rsidP="00BA708A">
      <w:pPr>
        <w:tabs>
          <w:tab w:val="left" w:pos="-1440"/>
        </w:tabs>
        <w:spacing w:after="0" w:line="480" w:lineRule="auto"/>
        <w:ind w:left="720" w:hanging="720"/>
      </w:pPr>
      <w:r w:rsidRPr="00E24CA8">
        <w:rPr>
          <w:b/>
          <w:bCs/>
        </w:rPr>
        <w:t>Q.</w:t>
      </w:r>
      <w:r w:rsidRPr="00E24CA8">
        <w:rPr>
          <w:b/>
          <w:bCs/>
        </w:rPr>
        <w:tab/>
        <w:t xml:space="preserve">How long have you been employed by the </w:t>
      </w:r>
      <w:r w:rsidR="00D4720E">
        <w:rPr>
          <w:b/>
          <w:bCs/>
        </w:rPr>
        <w:t>Commission</w:t>
      </w:r>
      <w:r w:rsidRPr="00E24CA8">
        <w:rPr>
          <w:b/>
          <w:bCs/>
        </w:rPr>
        <w:t>?</w:t>
      </w:r>
    </w:p>
    <w:p w:rsidR="000159D7" w:rsidRPr="00E24CA8" w:rsidRDefault="000159D7" w:rsidP="00BA708A">
      <w:pPr>
        <w:spacing w:after="0" w:line="480" w:lineRule="auto"/>
        <w:ind w:left="720" w:hanging="720"/>
      </w:pPr>
      <w:r w:rsidRPr="00E24CA8">
        <w:t>A.</w:t>
      </w:r>
      <w:r w:rsidRPr="00E24CA8">
        <w:tab/>
        <w:t xml:space="preserve">I have been employed by the </w:t>
      </w:r>
      <w:r w:rsidR="00D4720E">
        <w:t>Commission</w:t>
      </w:r>
      <w:r w:rsidR="00142CA8">
        <w:t xml:space="preserve"> since 1996</w:t>
      </w:r>
      <w:r w:rsidRPr="00E24CA8">
        <w:t xml:space="preserve">.  </w:t>
      </w:r>
    </w:p>
    <w:p w:rsidR="000159D7" w:rsidRPr="00E24CA8" w:rsidRDefault="000159D7" w:rsidP="00BA708A">
      <w:pPr>
        <w:tabs>
          <w:tab w:val="left" w:pos="-1440"/>
        </w:tabs>
        <w:spacing w:after="0" w:line="480" w:lineRule="auto"/>
        <w:ind w:left="720" w:hanging="720"/>
      </w:pPr>
    </w:p>
    <w:p w:rsidR="000159D7" w:rsidRPr="00E24CA8" w:rsidRDefault="000159D7" w:rsidP="00BA708A">
      <w:pPr>
        <w:tabs>
          <w:tab w:val="left" w:pos="-1440"/>
        </w:tabs>
        <w:spacing w:after="0" w:line="480" w:lineRule="auto"/>
        <w:ind w:left="720" w:hanging="720"/>
        <w:rPr>
          <w:b/>
          <w:bCs/>
        </w:rPr>
      </w:pPr>
      <w:r w:rsidRPr="00E24CA8">
        <w:rPr>
          <w:b/>
          <w:bCs/>
        </w:rPr>
        <w:t>Q.</w:t>
      </w:r>
      <w:r w:rsidRPr="00E24CA8">
        <w:rPr>
          <w:b/>
          <w:bCs/>
        </w:rPr>
        <w:tab/>
      </w:r>
      <w:r w:rsidR="00142CA8">
        <w:rPr>
          <w:b/>
          <w:bCs/>
        </w:rPr>
        <w:t>P</w:t>
      </w:r>
      <w:r w:rsidRPr="00E24CA8">
        <w:rPr>
          <w:b/>
          <w:bCs/>
        </w:rPr>
        <w:t>lease describe your educational background</w:t>
      </w:r>
      <w:r w:rsidR="001F479A">
        <w:rPr>
          <w:b/>
          <w:bCs/>
        </w:rPr>
        <w:t>.</w:t>
      </w:r>
      <w:r w:rsidRPr="00E24CA8">
        <w:rPr>
          <w:b/>
          <w:bCs/>
        </w:rPr>
        <w:t xml:space="preserve"> </w:t>
      </w:r>
    </w:p>
    <w:p w:rsidR="000159D7" w:rsidRPr="00E24CA8" w:rsidRDefault="000159D7" w:rsidP="00BA708A">
      <w:pPr>
        <w:pStyle w:val="AnswerinTestimony"/>
      </w:pPr>
      <w:r w:rsidRPr="00E24CA8">
        <w:t>A.</w:t>
      </w:r>
      <w:r w:rsidRPr="00E24CA8">
        <w:tab/>
        <w:t xml:space="preserve">I graduated in 1982 from </w:t>
      </w:r>
      <w:smartTag w:uri="urn:schemas-microsoft-com:office:smarttags" w:element="PlaceName">
        <w:r w:rsidRPr="00E24CA8">
          <w:t>Arizona</w:t>
        </w:r>
      </w:smartTag>
      <w:r w:rsidRPr="00E24CA8">
        <w:t xml:space="preserve"> </w:t>
      </w:r>
      <w:smartTag w:uri="urn:schemas-microsoft-com:office:smarttags" w:element="PlaceType">
        <w:r w:rsidRPr="00E24CA8">
          <w:t>State</w:t>
        </w:r>
      </w:smartTag>
      <w:r w:rsidRPr="00E24CA8">
        <w:t xml:space="preserve"> </w:t>
      </w:r>
      <w:smartTag w:uri="urn:schemas-microsoft-com:office:smarttags" w:element="PlaceType">
        <w:r w:rsidRPr="00E24CA8">
          <w:t>University</w:t>
        </w:r>
      </w:smartTag>
      <w:r w:rsidRPr="00E24CA8">
        <w:t xml:space="preserve"> in </w:t>
      </w:r>
      <w:smartTag w:uri="urn:schemas-microsoft-com:office:smarttags" w:element="place">
        <w:smartTag w:uri="urn:schemas-microsoft-com:office:smarttags" w:element="City">
          <w:r w:rsidRPr="00E24CA8">
            <w:t>Tempe</w:t>
          </w:r>
        </w:smartTag>
        <w:r w:rsidRPr="00E24CA8">
          <w:t xml:space="preserve">, </w:t>
        </w:r>
        <w:smartTag w:uri="urn:schemas-microsoft-com:office:smarttags" w:element="State">
          <w:r w:rsidRPr="00E24CA8">
            <w:t>Arizona</w:t>
          </w:r>
        </w:smartTag>
      </w:smartTag>
      <w:r w:rsidRPr="00E24CA8">
        <w:t xml:space="preserve"> with a Bachelor of Science in Accounting.  Later that same year, I attended </w:t>
      </w:r>
      <w:smartTag w:uri="urn:schemas-microsoft-com:office:smarttags" w:element="PlaceName">
        <w:r w:rsidRPr="00E24CA8">
          <w:t>San Carlos</w:t>
        </w:r>
      </w:smartTag>
      <w:r w:rsidRPr="00E24CA8">
        <w:t xml:space="preserve"> </w:t>
      </w:r>
      <w:smartTag w:uri="urn:schemas-microsoft-com:office:smarttags" w:element="PlaceType">
        <w:r w:rsidRPr="00E24CA8">
          <w:t>University</w:t>
        </w:r>
      </w:smartTag>
      <w:r w:rsidRPr="00E24CA8">
        <w:t xml:space="preserve"> in the </w:t>
      </w:r>
      <w:smartTag w:uri="urn:schemas-microsoft-com:office:smarttags" w:element="place">
        <w:smartTag w:uri="urn:schemas-microsoft-com:office:smarttags" w:element="country-region">
          <w:r w:rsidRPr="00E24CA8">
            <w:t>Philippines</w:t>
          </w:r>
        </w:smartTag>
      </w:smartTag>
      <w:r w:rsidRPr="00E24CA8">
        <w:t xml:space="preserve"> for postgraduate studies in economic analysis and quantitative business analysis.  I am licensed in </w:t>
      </w:r>
      <w:smartTag w:uri="urn:schemas-microsoft-com:office:smarttags" w:element="State">
        <w:smartTag w:uri="urn:schemas-microsoft-com:office:smarttags" w:element="place">
          <w:r w:rsidRPr="00E24CA8">
            <w:t>Washington</w:t>
          </w:r>
        </w:smartTag>
      </w:smartTag>
      <w:r w:rsidRPr="00E24CA8">
        <w:t xml:space="preserve"> as </w:t>
      </w:r>
      <w:r>
        <w:t xml:space="preserve">a </w:t>
      </w:r>
      <w:r w:rsidRPr="00E24CA8">
        <w:t>Certified Public Accountant (</w:t>
      </w:r>
      <w:r w:rsidR="00D55093">
        <w:t>“</w:t>
      </w:r>
      <w:r w:rsidRPr="00E24CA8">
        <w:t>CPA</w:t>
      </w:r>
      <w:r w:rsidR="00D55093">
        <w:t>”</w:t>
      </w:r>
      <w:r w:rsidRPr="00E24CA8">
        <w:t>).</w:t>
      </w:r>
    </w:p>
    <w:p w:rsidR="000159D7" w:rsidRPr="00E24CA8" w:rsidRDefault="000159D7" w:rsidP="00BA708A">
      <w:pPr>
        <w:pStyle w:val="AnswerinTestimony"/>
      </w:pPr>
      <w:r w:rsidRPr="00E24CA8">
        <w:tab/>
      </w:r>
      <w:r w:rsidRPr="00E24CA8">
        <w:tab/>
      </w:r>
      <w:r w:rsidR="00DD4097" w:rsidRPr="00DD4097">
        <w:t>In 1992 and 1993, I was a member of the faculty at the National Association of Regulatory Utility Commissioners (</w:t>
      </w:r>
      <w:r w:rsidR="00D4720E">
        <w:t>“</w:t>
      </w:r>
      <w:r w:rsidR="00DD4097" w:rsidRPr="00DD4097">
        <w:t>NARUC</w:t>
      </w:r>
      <w:r w:rsidR="00D4720E">
        <w:t>”</w:t>
      </w:r>
      <w:r w:rsidR="00DD4097" w:rsidRPr="00DD4097">
        <w:t xml:space="preserve">) Annual Regulatory Studies Program, held at Michigan State University in East Lansing, Michigan.  I taught </w:t>
      </w:r>
      <w:r w:rsidR="00DD4097" w:rsidRPr="00DD4097">
        <w:lastRenderedPageBreak/>
        <w:t>classes in Financial and Regulatory Accounting Standards and in Deferred Tax Accounting.  In 2008 and 2009, I was a member of the faculty at the NARUC Utility Rate School in San Diego, California</w:t>
      </w:r>
      <w:r w:rsidR="00554E33">
        <w:t>.</w:t>
      </w:r>
      <w:r w:rsidR="00DD4097" w:rsidRPr="00DD4097">
        <w:t xml:space="preserve"> </w:t>
      </w:r>
      <w:r w:rsidR="009042F7">
        <w:t xml:space="preserve"> </w:t>
      </w:r>
      <w:r w:rsidR="00DD4097" w:rsidRPr="00DD4097">
        <w:t xml:space="preserve">In addition, in 2008 </w:t>
      </w:r>
      <w:r w:rsidR="00DD4097">
        <w:t xml:space="preserve">and 2009 </w:t>
      </w:r>
      <w:r w:rsidR="00DD4097" w:rsidRPr="00DD4097">
        <w:t xml:space="preserve">I </w:t>
      </w:r>
      <w:r w:rsidR="00554E33">
        <w:t xml:space="preserve">also </w:t>
      </w:r>
      <w:r w:rsidR="00DD4097" w:rsidRPr="00DD4097">
        <w:t xml:space="preserve">taught regulatory accounting at the Institute of Public Utilities’ Advanced Regulatory Studies Program. </w:t>
      </w:r>
      <w:r>
        <w:t xml:space="preserve"> </w:t>
      </w:r>
    </w:p>
    <w:p w:rsidR="000159D7" w:rsidRPr="00E24CA8" w:rsidRDefault="000159D7" w:rsidP="00BA708A">
      <w:pPr>
        <w:pStyle w:val="AnswerinTestimony"/>
      </w:pPr>
      <w:r w:rsidRPr="00E24CA8">
        <w:tab/>
      </w:r>
      <w:r w:rsidRPr="00E24CA8">
        <w:tab/>
        <w:t xml:space="preserve">I published an article in </w:t>
      </w:r>
      <w:r>
        <w:t xml:space="preserve">the </w:t>
      </w:r>
      <w:r w:rsidRPr="00E24CA8">
        <w:t xml:space="preserve">Journal of the American Water Works Association titled </w:t>
      </w:r>
      <w:r w:rsidRPr="00E24CA8">
        <w:rPr>
          <w:i/>
        </w:rPr>
        <w:t>Contributions in Aid of Construction: IRS Final Regulations</w:t>
      </w:r>
      <w:r w:rsidRPr="00E24CA8">
        <w:t xml:space="preserve"> (2002).  I later published an article in the National Regulatory Research Institute’s Journal of Applied Regulation titled </w:t>
      </w:r>
      <w:r w:rsidRPr="00E24CA8">
        <w:rPr>
          <w:i/>
        </w:rPr>
        <w:t xml:space="preserve">Regulatory Provision of Income Taxes for S Corporations and Other Nontaxable Business Forms </w:t>
      </w:r>
      <w:r w:rsidRPr="00E24CA8">
        <w:t xml:space="preserve">(2004). </w:t>
      </w:r>
    </w:p>
    <w:p w:rsidR="000159D7" w:rsidRPr="00E24CA8" w:rsidRDefault="000159D7" w:rsidP="00BA708A">
      <w:pPr>
        <w:pStyle w:val="BodyTextIndent"/>
        <w:spacing w:after="0" w:line="480" w:lineRule="auto"/>
        <w:ind w:left="720" w:hanging="720"/>
      </w:pPr>
    </w:p>
    <w:p w:rsidR="000159D7" w:rsidRPr="00E24CA8" w:rsidRDefault="000159D7" w:rsidP="00BA708A">
      <w:pPr>
        <w:pStyle w:val="BodyTextIndent"/>
        <w:spacing w:after="0" w:line="480" w:lineRule="auto"/>
        <w:ind w:left="0"/>
        <w:rPr>
          <w:b/>
          <w:bCs/>
        </w:rPr>
      </w:pPr>
      <w:r w:rsidRPr="00E24CA8">
        <w:rPr>
          <w:b/>
          <w:bCs/>
        </w:rPr>
        <w:t>Q.</w:t>
      </w:r>
      <w:r w:rsidRPr="00E24CA8">
        <w:rPr>
          <w:b/>
          <w:bCs/>
        </w:rPr>
        <w:tab/>
        <w:t>Please d</w:t>
      </w:r>
      <w:r w:rsidR="00142CA8">
        <w:rPr>
          <w:rStyle w:val="QuestionintestimonyChar"/>
        </w:rPr>
        <w:t>escribe</w:t>
      </w:r>
      <w:r w:rsidRPr="0055541D">
        <w:rPr>
          <w:rStyle w:val="QuestionintestimonyChar"/>
        </w:rPr>
        <w:t xml:space="preserve"> </w:t>
      </w:r>
      <w:r w:rsidRPr="00E24CA8">
        <w:rPr>
          <w:b/>
          <w:bCs/>
        </w:rPr>
        <w:t>your professional background.</w:t>
      </w:r>
    </w:p>
    <w:p w:rsidR="00DD4097" w:rsidRDefault="000159D7" w:rsidP="00DD4097">
      <w:pPr>
        <w:pStyle w:val="AnswerinTestimony"/>
      </w:pPr>
      <w:r w:rsidRPr="00E24CA8">
        <w:rPr>
          <w:bCs/>
        </w:rPr>
        <w:t>A.</w:t>
      </w:r>
      <w:r w:rsidRPr="00E24CA8">
        <w:rPr>
          <w:bCs/>
        </w:rPr>
        <w:tab/>
      </w:r>
      <w:bookmarkStart w:id="2" w:name="_Toc118104225"/>
      <w:r w:rsidR="00DD4097">
        <w:t>I am a financial professional wit</w:t>
      </w:r>
      <w:r w:rsidR="00D4720E">
        <w:t xml:space="preserve">h </w:t>
      </w:r>
      <w:r w:rsidR="00DD4097">
        <w:t xml:space="preserve">25-plus years experience in private practice, industry, and government.  I spent 10 years as a CPA in private practice in Phoenix, Arizona, from 1983 to 1993, where I was an expert witness in a number of utility cases before the Arizona Corporation Commission, the state’s public utility regulatory body.  </w:t>
      </w:r>
    </w:p>
    <w:p w:rsidR="00D4720E" w:rsidRDefault="00DD4097" w:rsidP="00DD4097">
      <w:pPr>
        <w:pStyle w:val="AnswerinTestimony"/>
      </w:pPr>
      <w:r>
        <w:tab/>
      </w:r>
      <w:r>
        <w:tab/>
        <w:t>From 1994 to 1996, I was the controller for the Rocky Mountain Institute, a large internationally-recognized non-profit organization that conducts research and performs s</w:t>
      </w:r>
      <w:r w:rsidR="00F039BD">
        <w:t xml:space="preserve">ervices in the energy field.  </w:t>
      </w:r>
    </w:p>
    <w:p w:rsidR="00D55093" w:rsidRDefault="00D4720E" w:rsidP="00DD4097">
      <w:pPr>
        <w:pStyle w:val="AnswerinTestimony"/>
        <w:rPr>
          <w:b/>
        </w:rPr>
      </w:pPr>
      <w:r>
        <w:tab/>
      </w:r>
      <w:r>
        <w:tab/>
      </w:r>
      <w:r w:rsidR="00DD4097">
        <w:t>Since my employment at the Commission</w:t>
      </w:r>
      <w:r>
        <w:t xml:space="preserve"> in 1996</w:t>
      </w:r>
      <w:r w:rsidR="00DD4097">
        <w:t>, I have testified in numerous cases including three PacifiCorp general rate cases, Dockets UE-032065, UE-050684, and UE-061546</w:t>
      </w:r>
      <w:r w:rsidR="009042F7">
        <w:t>, and</w:t>
      </w:r>
      <w:r w:rsidR="00DD4097">
        <w:t xml:space="preserve"> </w:t>
      </w:r>
      <w:r w:rsidR="00554E33">
        <w:t xml:space="preserve">two Avista </w:t>
      </w:r>
      <w:r w:rsidR="009042F7">
        <w:t xml:space="preserve">general rate </w:t>
      </w:r>
      <w:r w:rsidR="00554E33">
        <w:t xml:space="preserve">cases, </w:t>
      </w:r>
      <w:r w:rsidR="009042F7">
        <w:t xml:space="preserve">Dockets </w:t>
      </w:r>
      <w:r w:rsidR="00DD4097">
        <w:t xml:space="preserve">UE-070804 </w:t>
      </w:r>
      <w:r w:rsidR="007741CF">
        <w:lastRenderedPageBreak/>
        <w:t>and UE-090134</w:t>
      </w:r>
      <w:r w:rsidR="00554E33">
        <w:t>.</w:t>
      </w:r>
      <w:r w:rsidR="00DD4097">
        <w:t xml:space="preserve">  I testified on accounting and income tax issues in the 2001 rate case </w:t>
      </w:r>
      <w:r>
        <w:t xml:space="preserve">of </w:t>
      </w:r>
      <w:r w:rsidR="00DD4097">
        <w:t xml:space="preserve">Olympic Pipeline Company, Docket TO-011472.  I also </w:t>
      </w:r>
      <w:r w:rsidR="007741CF">
        <w:t>testified</w:t>
      </w:r>
      <w:r w:rsidR="00DD4097">
        <w:t xml:space="preserve"> in four water company general rate cases:  American Water Resources, Docket UW-980258; Rainier View Water Co., Inc, Docket UW-010877; </w:t>
      </w:r>
      <w:proofErr w:type="spellStart"/>
      <w:r w:rsidR="00DD4097">
        <w:t>Marbello</w:t>
      </w:r>
      <w:proofErr w:type="spellEnd"/>
      <w:r w:rsidR="00DD4097">
        <w:t xml:space="preserve"> Water Company, Docket UW-041181, and Iliad Water Service, Inc., Docket UW-060343.  I </w:t>
      </w:r>
      <w:r w:rsidR="00C94FC0">
        <w:t xml:space="preserve">also </w:t>
      </w:r>
      <w:r w:rsidR="007741CF">
        <w:t xml:space="preserve">testified </w:t>
      </w:r>
      <w:r w:rsidR="00DD4097">
        <w:t>regarding income taxes in the Verizon Northwest, Inc. general rate case, Docket UT-040788.</w:t>
      </w:r>
    </w:p>
    <w:p w:rsidR="00142CA8" w:rsidRDefault="00142CA8" w:rsidP="00BA708A">
      <w:pPr>
        <w:pStyle w:val="AnswerinTestimony"/>
        <w:rPr>
          <w:b/>
        </w:rPr>
      </w:pPr>
    </w:p>
    <w:p w:rsidR="00CF7AA5" w:rsidRDefault="000159D7" w:rsidP="00E90B57">
      <w:pPr>
        <w:pStyle w:val="Heading1"/>
      </w:pPr>
      <w:bookmarkStart w:id="3" w:name="_Toc246088115"/>
      <w:r w:rsidRPr="00B27367">
        <w:t>II.</w:t>
      </w:r>
      <w:r w:rsidRPr="00B27367">
        <w:tab/>
        <w:t xml:space="preserve">SCOPE </w:t>
      </w:r>
      <w:r w:rsidR="00D4720E">
        <w:t>AND SUMMARY OF TESTIMONY</w:t>
      </w:r>
      <w:bookmarkEnd w:id="3"/>
      <w:r w:rsidR="00E90B57">
        <w:t xml:space="preserve"> </w:t>
      </w:r>
      <w:bookmarkEnd w:id="2"/>
    </w:p>
    <w:p w:rsidR="00142CA8" w:rsidRPr="00CF7AA5" w:rsidRDefault="00142CA8" w:rsidP="00BA708A">
      <w:pPr>
        <w:spacing w:after="0" w:line="480" w:lineRule="auto"/>
        <w:jc w:val="center"/>
      </w:pPr>
    </w:p>
    <w:p w:rsidR="000159D7" w:rsidRPr="00E24CA8" w:rsidRDefault="000159D7" w:rsidP="00BA708A">
      <w:pPr>
        <w:pStyle w:val="BodyTextIndent"/>
        <w:spacing w:after="0" w:line="480" w:lineRule="auto"/>
        <w:ind w:left="720" w:hanging="720"/>
        <w:rPr>
          <w:b/>
        </w:rPr>
      </w:pPr>
      <w:r w:rsidRPr="00E24CA8">
        <w:rPr>
          <w:b/>
        </w:rPr>
        <w:t>Q.</w:t>
      </w:r>
      <w:r w:rsidRPr="00E24CA8">
        <w:rPr>
          <w:b/>
        </w:rPr>
        <w:tab/>
        <w:t xml:space="preserve">What is the </w:t>
      </w:r>
      <w:r w:rsidR="00D4720E">
        <w:rPr>
          <w:b/>
        </w:rPr>
        <w:t>purpose</w:t>
      </w:r>
      <w:r w:rsidRPr="00E24CA8">
        <w:rPr>
          <w:b/>
        </w:rPr>
        <w:t xml:space="preserve"> of your testimony</w:t>
      </w:r>
      <w:r w:rsidR="00B27367">
        <w:rPr>
          <w:b/>
        </w:rPr>
        <w:t xml:space="preserve"> in this general rate case of Puget Sound Energy, Inc. (“PSE” or “the Company”)</w:t>
      </w:r>
      <w:r w:rsidRPr="00E24CA8">
        <w:rPr>
          <w:b/>
        </w:rPr>
        <w:t>?</w:t>
      </w:r>
    </w:p>
    <w:p w:rsidR="006B597E" w:rsidRDefault="000159D7" w:rsidP="008816E9">
      <w:pPr>
        <w:pStyle w:val="AnswerinTestimony"/>
      </w:pPr>
      <w:r w:rsidRPr="00E24CA8">
        <w:t>A.</w:t>
      </w:r>
      <w:r w:rsidRPr="00E24CA8">
        <w:tab/>
      </w:r>
      <w:r w:rsidR="001F479A">
        <w:t xml:space="preserve">The purpose of my testimony is </w:t>
      </w:r>
      <w:r w:rsidR="00C94FC0">
        <w:t xml:space="preserve">to address </w:t>
      </w:r>
      <w:r w:rsidR="009042F7">
        <w:t>the allowance</w:t>
      </w:r>
      <w:r w:rsidR="00ED6575">
        <w:t>s</w:t>
      </w:r>
      <w:r w:rsidR="009042F7">
        <w:t xml:space="preserve"> for i</w:t>
      </w:r>
      <w:r w:rsidR="00C94FC0">
        <w:t>nvestor-</w:t>
      </w:r>
      <w:r w:rsidR="009042F7">
        <w:t>s</w:t>
      </w:r>
      <w:r w:rsidR="00C94FC0">
        <w:t xml:space="preserve">upplied </w:t>
      </w:r>
      <w:r w:rsidR="009042F7">
        <w:t>w</w:t>
      </w:r>
      <w:r w:rsidR="00C94FC0">
        <w:t xml:space="preserve">orking </w:t>
      </w:r>
      <w:r w:rsidR="009042F7">
        <w:t>c</w:t>
      </w:r>
      <w:r w:rsidR="00C94FC0">
        <w:t>apital</w:t>
      </w:r>
      <w:r w:rsidR="009042F7">
        <w:t>,</w:t>
      </w:r>
      <w:r w:rsidR="00C94FC0">
        <w:t xml:space="preserve"> as </w:t>
      </w:r>
      <w:r w:rsidR="009042F7">
        <w:t>presented</w:t>
      </w:r>
      <w:r w:rsidR="00ED6575">
        <w:t xml:space="preserve"> by PSE</w:t>
      </w:r>
      <w:r w:rsidR="00BC4237">
        <w:t xml:space="preserve"> </w:t>
      </w:r>
      <w:r w:rsidR="00ED6575">
        <w:t xml:space="preserve">for </w:t>
      </w:r>
      <w:r w:rsidR="009542B0">
        <w:t xml:space="preserve">its </w:t>
      </w:r>
      <w:r w:rsidR="00ED6575">
        <w:t xml:space="preserve">electric operations </w:t>
      </w:r>
      <w:r w:rsidR="00BC4237">
        <w:t xml:space="preserve">on </w:t>
      </w:r>
      <w:r w:rsidR="00ED6575">
        <w:t>l</w:t>
      </w:r>
      <w:r w:rsidR="00BC4237">
        <w:t xml:space="preserve">ine 45 in Company witness Story’s </w:t>
      </w:r>
      <w:r w:rsidR="00BC4237" w:rsidRPr="00CF7AA5">
        <w:t>Exhibit JHS-</w:t>
      </w:r>
      <w:r w:rsidR="00BC4237">
        <w:t>4,</w:t>
      </w:r>
      <w:r w:rsidR="00BC4237" w:rsidRPr="00CF7AA5">
        <w:t xml:space="preserve"> Page</w:t>
      </w:r>
      <w:r w:rsidR="00BC4237">
        <w:t xml:space="preserve"> 4-A and </w:t>
      </w:r>
      <w:r w:rsidR="00ED6575">
        <w:t xml:space="preserve">for </w:t>
      </w:r>
      <w:r w:rsidR="009542B0">
        <w:t xml:space="preserve">its </w:t>
      </w:r>
      <w:r w:rsidR="00ED6575">
        <w:t xml:space="preserve">natural gas operations </w:t>
      </w:r>
      <w:r w:rsidR="00BC4237">
        <w:t xml:space="preserve">on </w:t>
      </w:r>
      <w:r w:rsidR="00ED6575">
        <w:t>l</w:t>
      </w:r>
      <w:r w:rsidR="00BC4237">
        <w:t xml:space="preserve">ine 45 in Company witness </w:t>
      </w:r>
      <w:proofErr w:type="spellStart"/>
      <w:r w:rsidR="00BC4237">
        <w:t>Stranik’s</w:t>
      </w:r>
      <w:proofErr w:type="spellEnd"/>
      <w:r w:rsidR="00BC4237">
        <w:t xml:space="preserve"> </w:t>
      </w:r>
      <w:r w:rsidR="00BC4237" w:rsidRPr="00CF7AA5">
        <w:t xml:space="preserve">Exhibit No. </w:t>
      </w:r>
      <w:proofErr w:type="gramStart"/>
      <w:r w:rsidR="00BC4237">
        <w:t>MJS</w:t>
      </w:r>
      <w:r w:rsidR="00BC4237" w:rsidRPr="00CF7AA5">
        <w:t>-</w:t>
      </w:r>
      <w:r w:rsidR="00BC4237">
        <w:t>4,</w:t>
      </w:r>
      <w:r w:rsidR="00BC4237" w:rsidRPr="00CF7AA5">
        <w:t xml:space="preserve"> Page </w:t>
      </w:r>
      <w:r w:rsidR="00BC4237">
        <w:t>4-A</w:t>
      </w:r>
      <w:r w:rsidR="00B1598F">
        <w:t>.</w:t>
      </w:r>
      <w:proofErr w:type="gramEnd"/>
      <w:r w:rsidR="009042F7">
        <w:t xml:space="preserve">  </w:t>
      </w:r>
      <w:r w:rsidR="007001BD">
        <w:t>I propose corrections to th</w:t>
      </w:r>
      <w:r w:rsidR="00ED6575">
        <w:t>e</w:t>
      </w:r>
      <w:r w:rsidR="007001BD">
        <w:t xml:space="preserve"> beginning amount</w:t>
      </w:r>
      <w:r w:rsidR="00ED6575">
        <w:t>s</w:t>
      </w:r>
      <w:r w:rsidR="00215A95">
        <w:t xml:space="preserve"> for working capital</w:t>
      </w:r>
      <w:r w:rsidR="00B1598F">
        <w:t xml:space="preserve"> in the columns labeled “Actual Results of Operations”</w:t>
      </w:r>
      <w:r w:rsidR="00215A95">
        <w:t xml:space="preserve"> of their exhibits.</w:t>
      </w:r>
      <w:r w:rsidR="00B1598F">
        <w:t xml:space="preserve"> </w:t>
      </w:r>
      <w:r w:rsidR="007001BD">
        <w:t xml:space="preserve"> </w:t>
      </w:r>
      <w:r w:rsidR="00A53E8A">
        <w:t>The results of the</w:t>
      </w:r>
      <w:r w:rsidR="00ED6575">
        <w:t>se corrections</w:t>
      </w:r>
      <w:r w:rsidR="00464576">
        <w:t xml:space="preserve"> are </w:t>
      </w:r>
      <w:r w:rsidR="00A53E8A">
        <w:t>incorporated</w:t>
      </w:r>
      <w:r w:rsidR="00464576">
        <w:t xml:space="preserve"> in</w:t>
      </w:r>
      <w:r w:rsidR="00A53E8A">
        <w:t>to</w:t>
      </w:r>
      <w:r w:rsidR="00464576">
        <w:t xml:space="preserve"> Staff witness</w:t>
      </w:r>
      <w:r w:rsidR="00B407C4">
        <w:t xml:space="preserve"> </w:t>
      </w:r>
      <w:r w:rsidR="0095475F">
        <w:t>Breda</w:t>
      </w:r>
      <w:r w:rsidR="00B407C4">
        <w:t>’s</w:t>
      </w:r>
      <w:r w:rsidR="0095475F">
        <w:t xml:space="preserve"> Exhibit No. </w:t>
      </w:r>
      <w:proofErr w:type="gramStart"/>
      <w:r w:rsidR="0095475F">
        <w:t>KHB-2</w:t>
      </w:r>
      <w:r w:rsidR="007001BD">
        <w:t>, Page 2.1, Line 40</w:t>
      </w:r>
      <w:r w:rsidR="0095475F">
        <w:t xml:space="preserve"> and </w:t>
      </w:r>
      <w:r w:rsidR="00ED6575">
        <w:t>Exhibit No.</w:t>
      </w:r>
      <w:proofErr w:type="gramEnd"/>
      <w:r w:rsidR="00ED6575">
        <w:t xml:space="preserve"> </w:t>
      </w:r>
      <w:r w:rsidR="0095475F">
        <w:t>KHB-3</w:t>
      </w:r>
      <w:r w:rsidR="007001BD">
        <w:t>, Page 3.1, Line 37</w:t>
      </w:r>
      <w:r w:rsidR="0095475F">
        <w:t xml:space="preserve">. </w:t>
      </w:r>
      <w:r w:rsidR="00CE7515">
        <w:t xml:space="preserve"> </w:t>
      </w:r>
    </w:p>
    <w:p w:rsidR="00A57153" w:rsidRPr="00E24CA8" w:rsidRDefault="00A57153" w:rsidP="00BA708A">
      <w:pPr>
        <w:pStyle w:val="AnswerinTestimony"/>
      </w:pPr>
    </w:p>
    <w:p w:rsidR="000159D7" w:rsidRPr="00E24CA8" w:rsidRDefault="000159D7" w:rsidP="00BA708A">
      <w:pPr>
        <w:pStyle w:val="Questionintestimony"/>
      </w:pPr>
      <w:r w:rsidRPr="00E24CA8">
        <w:t>Q.</w:t>
      </w:r>
      <w:r w:rsidRPr="00E24CA8">
        <w:tab/>
        <w:t>Have you prepared any exhibits in support of your testimony?</w:t>
      </w:r>
    </w:p>
    <w:p w:rsidR="00B407C4" w:rsidRDefault="000159D7" w:rsidP="0095475F">
      <w:pPr>
        <w:pStyle w:val="AnswerinTestimony"/>
      </w:pPr>
      <w:r w:rsidRPr="00E24CA8">
        <w:t>A.</w:t>
      </w:r>
      <w:r w:rsidRPr="00E24CA8">
        <w:tab/>
        <w:t xml:space="preserve">Yes. </w:t>
      </w:r>
      <w:r w:rsidR="00B407C4">
        <w:t xml:space="preserve"> </w:t>
      </w:r>
      <w:r w:rsidRPr="00E24CA8">
        <w:t xml:space="preserve">I have prepared </w:t>
      </w:r>
      <w:r w:rsidR="00B407C4">
        <w:t>the following exhibits in support of my testimony:</w:t>
      </w:r>
    </w:p>
    <w:p w:rsidR="006B597E" w:rsidRDefault="0095475F" w:rsidP="007D2FBE">
      <w:pPr>
        <w:pStyle w:val="AnswerinTestimony"/>
        <w:numPr>
          <w:ilvl w:val="0"/>
          <w:numId w:val="2"/>
        </w:numPr>
        <w:ind w:left="720"/>
      </w:pPr>
      <w:r w:rsidRPr="00E24CA8">
        <w:lastRenderedPageBreak/>
        <w:t>Exhibit</w:t>
      </w:r>
      <w:r>
        <w:t xml:space="preserve"> No. </w:t>
      </w:r>
      <w:r w:rsidR="00554E33">
        <w:t>DPK-2</w:t>
      </w:r>
      <w:r>
        <w:t>,</w:t>
      </w:r>
      <w:r w:rsidRPr="00E24CA8">
        <w:t xml:space="preserve"> </w:t>
      </w:r>
      <w:r w:rsidR="009042F7">
        <w:t xml:space="preserve">Staff </w:t>
      </w:r>
      <w:r w:rsidR="00FC09BF" w:rsidRPr="00FC09BF">
        <w:t>Computation of Total Investor-Supplied Working Capital</w:t>
      </w:r>
    </w:p>
    <w:p w:rsidR="000159D7" w:rsidRPr="007D2FBE" w:rsidRDefault="0095475F" w:rsidP="007D2FBE">
      <w:pPr>
        <w:pStyle w:val="AnswerinTestimony"/>
        <w:numPr>
          <w:ilvl w:val="0"/>
          <w:numId w:val="2"/>
        </w:numPr>
        <w:ind w:left="720"/>
        <w:rPr>
          <w:b/>
        </w:rPr>
      </w:pPr>
      <w:r w:rsidRPr="00E24CA8">
        <w:t>Exhibit</w:t>
      </w:r>
      <w:r>
        <w:t xml:space="preserve"> No. </w:t>
      </w:r>
      <w:r w:rsidR="00554E33">
        <w:t>DPK-3</w:t>
      </w:r>
      <w:r>
        <w:t>,</w:t>
      </w:r>
      <w:r w:rsidRPr="00E24CA8">
        <w:t xml:space="preserve"> </w:t>
      </w:r>
      <w:r w:rsidR="009042F7">
        <w:t xml:space="preserve">Staff </w:t>
      </w:r>
      <w:r w:rsidR="00FC09BF" w:rsidRPr="00FC09BF">
        <w:t>Allocation of Total Investor-Supplied Working Capital</w:t>
      </w:r>
      <w:r w:rsidR="00215A95">
        <w:t>.</w:t>
      </w:r>
      <w:r w:rsidR="00FC09BF" w:rsidRPr="00FC09BF">
        <w:tab/>
      </w:r>
    </w:p>
    <w:p w:rsidR="007D2FBE" w:rsidRPr="007A6B6E" w:rsidRDefault="007D2FBE" w:rsidP="007D2FBE">
      <w:pPr>
        <w:pStyle w:val="AnswerinTestimony"/>
        <w:ind w:left="360" w:firstLine="0"/>
        <w:rPr>
          <w:b/>
        </w:rPr>
      </w:pPr>
    </w:p>
    <w:p w:rsidR="00B407C4" w:rsidRDefault="00CF7AA5" w:rsidP="00E90B57">
      <w:pPr>
        <w:pStyle w:val="Heading1"/>
      </w:pPr>
      <w:bookmarkStart w:id="4" w:name="_Toc246088116"/>
      <w:r>
        <w:t xml:space="preserve">III. </w:t>
      </w:r>
      <w:r>
        <w:tab/>
      </w:r>
      <w:r w:rsidR="009042F7">
        <w:t>DISCUSSION</w:t>
      </w:r>
      <w:bookmarkEnd w:id="4"/>
    </w:p>
    <w:p w:rsidR="006B597E" w:rsidRDefault="006B597E">
      <w:pPr>
        <w:keepNext/>
        <w:spacing w:after="0" w:line="480" w:lineRule="auto"/>
        <w:rPr>
          <w:b/>
        </w:rPr>
      </w:pPr>
    </w:p>
    <w:p w:rsidR="006B597E" w:rsidRDefault="00B407C4" w:rsidP="00E90B57">
      <w:pPr>
        <w:pStyle w:val="Heading2"/>
      </w:pPr>
      <w:bookmarkStart w:id="5" w:name="_Toc246088117"/>
      <w:r>
        <w:t>A.</w:t>
      </w:r>
      <w:r>
        <w:tab/>
      </w:r>
      <w:r w:rsidR="009042F7">
        <w:t>Overview of In</w:t>
      </w:r>
      <w:r w:rsidR="00763721">
        <w:t>v</w:t>
      </w:r>
      <w:r w:rsidR="009042F7">
        <w:t>estor-Supplied Working Capital</w:t>
      </w:r>
      <w:bookmarkEnd w:id="5"/>
    </w:p>
    <w:p w:rsidR="00142CA8" w:rsidRDefault="00142CA8" w:rsidP="001F60EE">
      <w:pPr>
        <w:keepNext/>
        <w:spacing w:after="0" w:line="480" w:lineRule="auto"/>
        <w:ind w:firstLine="720"/>
        <w:jc w:val="center"/>
        <w:rPr>
          <w:b/>
        </w:rPr>
      </w:pPr>
    </w:p>
    <w:p w:rsidR="00AC0B34" w:rsidRDefault="00AC0B34" w:rsidP="00BA708A">
      <w:pPr>
        <w:spacing w:after="0" w:line="480" w:lineRule="auto"/>
      </w:pPr>
      <w:r>
        <w:rPr>
          <w:b/>
        </w:rPr>
        <w:t>Q.</w:t>
      </w:r>
      <w:r>
        <w:rPr>
          <w:b/>
        </w:rPr>
        <w:tab/>
        <w:t>D</w:t>
      </w:r>
      <w:r w:rsidR="002571ED">
        <w:rPr>
          <w:b/>
        </w:rPr>
        <w:t>oes</w:t>
      </w:r>
      <w:r>
        <w:rPr>
          <w:b/>
        </w:rPr>
        <w:t xml:space="preserve"> the Company provide </w:t>
      </w:r>
      <w:r w:rsidR="002571ED">
        <w:rPr>
          <w:b/>
        </w:rPr>
        <w:t xml:space="preserve">for </w:t>
      </w:r>
      <w:r>
        <w:rPr>
          <w:b/>
        </w:rPr>
        <w:t>working capital in its filing?</w:t>
      </w:r>
      <w:r>
        <w:rPr>
          <w:b/>
        </w:rPr>
        <w:tab/>
      </w:r>
    </w:p>
    <w:p w:rsidR="009C68EC" w:rsidRDefault="00AC0B34" w:rsidP="00BA708A">
      <w:pPr>
        <w:spacing w:after="0" w:line="480" w:lineRule="auto"/>
        <w:ind w:left="720" w:hanging="720"/>
      </w:pPr>
      <w:r>
        <w:t>A.</w:t>
      </w:r>
      <w:r>
        <w:tab/>
        <w:t xml:space="preserve">Yes. </w:t>
      </w:r>
      <w:r w:rsidR="00CF7AA5">
        <w:t xml:space="preserve"> PSE</w:t>
      </w:r>
      <w:r>
        <w:t xml:space="preserve"> included </w:t>
      </w:r>
      <w:r w:rsidR="007851E1">
        <w:t xml:space="preserve">working capital </w:t>
      </w:r>
      <w:r>
        <w:t>in its electric</w:t>
      </w:r>
      <w:r w:rsidR="008558E2">
        <w:t xml:space="preserve"> </w:t>
      </w:r>
      <w:r w:rsidR="006365DB">
        <w:t xml:space="preserve">operations </w:t>
      </w:r>
      <w:r>
        <w:t xml:space="preserve">rate base </w:t>
      </w:r>
      <w:r w:rsidR="007851E1">
        <w:t xml:space="preserve">in the amount of </w:t>
      </w:r>
      <w:r>
        <w:t>$</w:t>
      </w:r>
      <w:r w:rsidR="00556776">
        <w:t>130</w:t>
      </w:r>
      <w:r>
        <w:t>.</w:t>
      </w:r>
      <w:r w:rsidR="00BB7C83">
        <w:t>7</w:t>
      </w:r>
      <w:r>
        <w:t xml:space="preserve"> </w:t>
      </w:r>
      <w:r w:rsidR="00B50B57">
        <w:t>m</w:t>
      </w:r>
      <w:r>
        <w:t>illion</w:t>
      </w:r>
      <w:r w:rsidR="00CF7AA5">
        <w:t>,</w:t>
      </w:r>
      <w:r w:rsidR="007851E1">
        <w:t xml:space="preserve"> as shown in </w:t>
      </w:r>
      <w:r w:rsidR="00B407C4">
        <w:t>Company witness Story</w:t>
      </w:r>
      <w:r w:rsidR="007851E1">
        <w:t xml:space="preserve">’s </w:t>
      </w:r>
      <w:r w:rsidRPr="00CF7AA5">
        <w:t>Exhibit JHS-</w:t>
      </w:r>
      <w:r w:rsidR="00BB7C83">
        <w:t>3</w:t>
      </w:r>
      <w:r w:rsidR="00CF7AA5">
        <w:t>,</w:t>
      </w:r>
      <w:r w:rsidR="007851E1" w:rsidRPr="00CF7AA5">
        <w:t xml:space="preserve"> Page</w:t>
      </w:r>
      <w:r w:rsidR="00BB7C83">
        <w:t xml:space="preserve"> 3</w:t>
      </w:r>
      <w:r w:rsidR="007851E1" w:rsidRPr="00CF7AA5">
        <w:t>.0</w:t>
      </w:r>
      <w:r w:rsidR="00BB7C83">
        <w:t>4</w:t>
      </w:r>
      <w:r w:rsidR="00B50B57" w:rsidRPr="00CF7AA5">
        <w:t>.</w:t>
      </w:r>
      <w:r>
        <w:t xml:space="preserve"> </w:t>
      </w:r>
      <w:r w:rsidR="00B50B57">
        <w:t xml:space="preserve"> For its </w:t>
      </w:r>
      <w:r w:rsidR="003B3136">
        <w:t>natural gas</w:t>
      </w:r>
      <w:r w:rsidR="00B50B57">
        <w:t xml:space="preserve"> </w:t>
      </w:r>
      <w:r w:rsidR="006365DB">
        <w:t>operations</w:t>
      </w:r>
      <w:r w:rsidR="007851E1">
        <w:t>,</w:t>
      </w:r>
      <w:r w:rsidR="006365DB">
        <w:t xml:space="preserve"> </w:t>
      </w:r>
      <w:r w:rsidR="00B50B57">
        <w:t>rate base includes $</w:t>
      </w:r>
      <w:r w:rsidR="00BB7C83">
        <w:t>51</w:t>
      </w:r>
      <w:r w:rsidR="00B50B57">
        <w:t>.1 million for working capital</w:t>
      </w:r>
      <w:r w:rsidR="00142CA8">
        <w:t>,</w:t>
      </w:r>
      <w:r w:rsidR="007851E1">
        <w:t xml:space="preserve"> as shown in </w:t>
      </w:r>
      <w:r w:rsidR="00B407C4">
        <w:t xml:space="preserve">Company witness </w:t>
      </w:r>
      <w:proofErr w:type="spellStart"/>
      <w:r w:rsidR="00BB7C83">
        <w:t>Stranik</w:t>
      </w:r>
      <w:r w:rsidR="007851E1">
        <w:t>’s</w:t>
      </w:r>
      <w:proofErr w:type="spellEnd"/>
      <w:r w:rsidR="007851E1">
        <w:t xml:space="preserve"> </w:t>
      </w:r>
      <w:r w:rsidR="007851E1" w:rsidRPr="00CF7AA5">
        <w:t xml:space="preserve">Exhibit No. </w:t>
      </w:r>
      <w:proofErr w:type="gramStart"/>
      <w:r w:rsidR="00AC0FCC">
        <w:t>MJS</w:t>
      </w:r>
      <w:r w:rsidR="007851E1" w:rsidRPr="00CF7AA5">
        <w:t>-</w:t>
      </w:r>
      <w:r w:rsidR="00BB7C83">
        <w:t>3</w:t>
      </w:r>
      <w:r w:rsidR="00CF7AA5">
        <w:t>,</w:t>
      </w:r>
      <w:r w:rsidR="007851E1" w:rsidRPr="00CF7AA5">
        <w:t xml:space="preserve"> Page</w:t>
      </w:r>
      <w:r w:rsidR="00776221" w:rsidRPr="00CF7AA5">
        <w:t xml:space="preserve"> </w:t>
      </w:r>
      <w:r w:rsidR="00BB7C83">
        <w:t>3</w:t>
      </w:r>
      <w:r w:rsidR="007851E1" w:rsidRPr="00CF7AA5">
        <w:t>.0</w:t>
      </w:r>
      <w:r w:rsidR="00BB7C83">
        <w:t>4</w:t>
      </w:r>
      <w:r w:rsidR="00B50B57">
        <w:t>.</w:t>
      </w:r>
      <w:proofErr w:type="gramEnd"/>
      <w:r w:rsidR="00B50B57">
        <w:t xml:space="preserve"> </w:t>
      </w:r>
      <w:r w:rsidR="005B3CDA">
        <w:br/>
      </w:r>
    </w:p>
    <w:p w:rsidR="00AC0B34" w:rsidRDefault="00AC0B34" w:rsidP="00BA708A">
      <w:pPr>
        <w:spacing w:after="0" w:line="480" w:lineRule="auto"/>
      </w:pPr>
      <w:r>
        <w:rPr>
          <w:b/>
        </w:rPr>
        <w:t>Q.</w:t>
      </w:r>
      <w:r>
        <w:rPr>
          <w:b/>
        </w:rPr>
        <w:tab/>
        <w:t>Please briefly discuss working capital and</w:t>
      </w:r>
      <w:r w:rsidR="00B50B57">
        <w:rPr>
          <w:b/>
        </w:rPr>
        <w:t xml:space="preserve"> its significance in rate making. </w:t>
      </w:r>
    </w:p>
    <w:p w:rsidR="00D15E1A" w:rsidRDefault="00AC0B34" w:rsidP="00BA708A">
      <w:pPr>
        <w:spacing w:after="0" w:line="480" w:lineRule="auto"/>
        <w:ind w:left="720" w:hanging="720"/>
      </w:pPr>
      <w:r>
        <w:t>A.</w:t>
      </w:r>
      <w:r>
        <w:tab/>
      </w:r>
      <w:r w:rsidR="00763721">
        <w:t>W</w:t>
      </w:r>
      <w:r w:rsidR="00B50B57">
        <w:t xml:space="preserve">orking capital </w:t>
      </w:r>
      <w:r w:rsidR="004947B8">
        <w:t xml:space="preserve">is </w:t>
      </w:r>
      <w:r w:rsidR="00E10A0A">
        <w:t>a measure of financial liquidity reflecting a company’s ability to meet its day</w:t>
      </w:r>
      <w:r w:rsidR="00104E7A">
        <w:t>-</w:t>
      </w:r>
      <w:r w:rsidR="00E10A0A">
        <w:t>to</w:t>
      </w:r>
      <w:r w:rsidR="00104E7A">
        <w:t>-</w:t>
      </w:r>
      <w:r w:rsidR="00E10A0A">
        <w:t xml:space="preserve">day </w:t>
      </w:r>
      <w:r w:rsidR="004C43AD">
        <w:t xml:space="preserve">operational requirements inherent in </w:t>
      </w:r>
      <w:r w:rsidR="00425CE2">
        <w:t>a</w:t>
      </w:r>
      <w:r w:rsidR="004C43AD">
        <w:t xml:space="preserve"> business cycle.</w:t>
      </w:r>
      <w:r w:rsidR="00CF7AA5">
        <w:t xml:space="preserve"> </w:t>
      </w:r>
      <w:r w:rsidR="004C43AD">
        <w:t xml:space="preserve"> </w:t>
      </w:r>
      <w:r w:rsidR="00425CE2">
        <w:t>A</w:t>
      </w:r>
      <w:r w:rsidR="004C43AD">
        <w:t xml:space="preserve"> business cycle is made up of three basic stages – production, sales and collection</w:t>
      </w:r>
      <w:r w:rsidR="00142CA8">
        <w:t xml:space="preserve"> o</w:t>
      </w:r>
      <w:r w:rsidR="00464576">
        <w:t>f</w:t>
      </w:r>
      <w:r w:rsidR="00142CA8">
        <w:t xml:space="preserve"> revenue from customers</w:t>
      </w:r>
      <w:r w:rsidR="004C43AD">
        <w:t xml:space="preserve">. </w:t>
      </w:r>
      <w:r w:rsidR="00CF7AA5">
        <w:t xml:space="preserve"> </w:t>
      </w:r>
      <w:r w:rsidR="004C43AD">
        <w:t xml:space="preserve">The costs of production and sales are incurred </w:t>
      </w:r>
      <w:r w:rsidR="00FF2DDE">
        <w:t>prior to collection</w:t>
      </w:r>
      <w:r w:rsidR="004947B8">
        <w:t xml:space="preserve"> of the related revenues</w:t>
      </w:r>
      <w:r w:rsidR="00FF2DDE">
        <w:t xml:space="preserve">. </w:t>
      </w:r>
      <w:r w:rsidR="00CF7AA5">
        <w:t xml:space="preserve"> </w:t>
      </w:r>
      <w:r w:rsidR="00FF2DDE">
        <w:t>Working capital is customar</w:t>
      </w:r>
      <w:r w:rsidR="00D55093">
        <w:t>il</w:t>
      </w:r>
      <w:r w:rsidR="00FF2DDE">
        <w:t xml:space="preserve">y defined as </w:t>
      </w:r>
      <w:r w:rsidR="00104E7A">
        <w:t xml:space="preserve">the funds needed by </w:t>
      </w:r>
      <w:r w:rsidR="0013502B">
        <w:t>a</w:t>
      </w:r>
      <w:r w:rsidR="00104E7A">
        <w:t xml:space="preserve"> company to pay its current obligations while waiting for payment from its customers. </w:t>
      </w:r>
    </w:p>
    <w:p w:rsidR="00AC0B34" w:rsidRDefault="005B5768" w:rsidP="00BA708A">
      <w:pPr>
        <w:spacing w:after="0" w:line="480" w:lineRule="auto"/>
        <w:ind w:left="720" w:firstLine="720"/>
      </w:pPr>
      <w:r>
        <w:t>From the regulatory perspective</w:t>
      </w:r>
      <w:r w:rsidR="00104E7A">
        <w:t>,</w:t>
      </w:r>
      <w:r>
        <w:t xml:space="preserve"> </w:t>
      </w:r>
      <w:r w:rsidR="00D45723">
        <w:t>working capital is measured to quantify the amount of investment</w:t>
      </w:r>
      <w:r w:rsidR="00FD12A8">
        <w:t xml:space="preserve"> associated with </w:t>
      </w:r>
      <w:r w:rsidR="004947B8">
        <w:t>it</w:t>
      </w:r>
      <w:r w:rsidR="00763721">
        <w:t xml:space="preserve">.  This </w:t>
      </w:r>
      <w:r w:rsidR="004947B8">
        <w:t>measured amount</w:t>
      </w:r>
      <w:r w:rsidR="0073360A">
        <w:t xml:space="preserve"> is then included in </w:t>
      </w:r>
      <w:r w:rsidR="0073360A">
        <w:lastRenderedPageBreak/>
        <w:t xml:space="preserve">rate base </w:t>
      </w:r>
      <w:r w:rsidR="00FD12A8">
        <w:t>in order to</w:t>
      </w:r>
      <w:r w:rsidR="00D45723">
        <w:t xml:space="preserve"> provide</w:t>
      </w:r>
      <w:r w:rsidR="00FD12A8">
        <w:t xml:space="preserve"> </w:t>
      </w:r>
      <w:r w:rsidR="00D45723">
        <w:t xml:space="preserve">a return on </w:t>
      </w:r>
      <w:r w:rsidR="00FD12A8">
        <w:t xml:space="preserve">the </w:t>
      </w:r>
      <w:r w:rsidR="00D15E1A">
        <w:t xml:space="preserve">related </w:t>
      </w:r>
      <w:r w:rsidR="00D45723">
        <w:t>investment</w:t>
      </w:r>
      <w:r w:rsidR="00FD12A8">
        <w:t>.</w:t>
      </w:r>
      <w:r w:rsidR="00630744">
        <w:t xml:space="preserve"> </w:t>
      </w:r>
      <w:r w:rsidR="00D45723">
        <w:t xml:space="preserve"> </w:t>
      </w:r>
      <w:r w:rsidR="004C43AD">
        <w:t xml:space="preserve"> </w:t>
      </w:r>
      <w:r w:rsidR="00630744">
        <w:br/>
      </w:r>
    </w:p>
    <w:p w:rsidR="006365DB" w:rsidRDefault="006365DB" w:rsidP="00BA708A">
      <w:pPr>
        <w:spacing w:after="0" w:line="480" w:lineRule="auto"/>
        <w:ind w:left="720" w:hanging="720"/>
        <w:rPr>
          <w:b/>
        </w:rPr>
      </w:pPr>
      <w:r>
        <w:rPr>
          <w:b/>
        </w:rPr>
        <w:t>Q.</w:t>
      </w:r>
      <w:r>
        <w:rPr>
          <w:b/>
        </w:rPr>
        <w:tab/>
        <w:t xml:space="preserve">What methodology </w:t>
      </w:r>
      <w:r w:rsidR="00142CA8">
        <w:rPr>
          <w:b/>
        </w:rPr>
        <w:t>did</w:t>
      </w:r>
      <w:r>
        <w:rPr>
          <w:b/>
        </w:rPr>
        <w:t xml:space="preserve"> PSE use to compute its proposed working capital amounts?</w:t>
      </w:r>
    </w:p>
    <w:p w:rsidR="00B04C54" w:rsidRDefault="006365DB" w:rsidP="00BA708A">
      <w:pPr>
        <w:spacing w:after="0" w:line="480" w:lineRule="auto"/>
        <w:ind w:left="720" w:hanging="720"/>
        <w:rPr>
          <w:b/>
        </w:rPr>
      </w:pPr>
      <w:r>
        <w:t>A.</w:t>
      </w:r>
      <w:r>
        <w:tab/>
        <w:t xml:space="preserve">The </w:t>
      </w:r>
      <w:r w:rsidR="00CF7AA5">
        <w:t>C</w:t>
      </w:r>
      <w:r>
        <w:t>ompany used the</w:t>
      </w:r>
      <w:r w:rsidR="003B3136">
        <w:t xml:space="preserve"> balance</w:t>
      </w:r>
      <w:r w:rsidR="00104E7A">
        <w:t>-</w:t>
      </w:r>
      <w:r w:rsidR="003B3136">
        <w:t>sheet approach</w:t>
      </w:r>
      <w:r w:rsidR="00B04C54">
        <w:t>,</w:t>
      </w:r>
      <w:r w:rsidR="003B3136">
        <w:t xml:space="preserve"> more commonly known as the </w:t>
      </w:r>
      <w:r w:rsidR="00B407C4">
        <w:t>“</w:t>
      </w:r>
      <w:r>
        <w:t>Investor</w:t>
      </w:r>
      <w:r w:rsidR="00B407C4">
        <w:t>-</w:t>
      </w:r>
      <w:r>
        <w:t>Supplied Working Capital</w:t>
      </w:r>
      <w:r w:rsidR="00B407C4">
        <w:t>”</w:t>
      </w:r>
      <w:r w:rsidR="00B04C54">
        <w:t xml:space="preserve"> </w:t>
      </w:r>
      <w:r>
        <w:t>approach</w:t>
      </w:r>
      <w:r w:rsidR="00B04C54">
        <w:t>,</w:t>
      </w:r>
      <w:r>
        <w:t xml:space="preserve"> for both its electric and </w:t>
      </w:r>
      <w:r w:rsidR="003B3136">
        <w:t xml:space="preserve">natural </w:t>
      </w:r>
      <w:r>
        <w:t>gas operations</w:t>
      </w:r>
      <w:r w:rsidR="003B3136">
        <w:t>.</w:t>
      </w:r>
      <w:r>
        <w:rPr>
          <w:b/>
        </w:rPr>
        <w:br/>
      </w:r>
    </w:p>
    <w:p w:rsidR="00B04C54" w:rsidRPr="00B04C54" w:rsidRDefault="00B04C54" w:rsidP="00BA708A">
      <w:pPr>
        <w:pStyle w:val="BodyTextIndent2"/>
      </w:pPr>
      <w:r w:rsidRPr="00B04C54">
        <w:t>Q.</w:t>
      </w:r>
      <w:r w:rsidRPr="00B04C54">
        <w:tab/>
        <w:t>Please explain the basic concept of the</w:t>
      </w:r>
      <w:r w:rsidR="00B407C4">
        <w:t xml:space="preserve"> I</w:t>
      </w:r>
      <w:r w:rsidR="00201B1B">
        <w:t>nvestor</w:t>
      </w:r>
      <w:r w:rsidR="00B407C4">
        <w:t>-S</w:t>
      </w:r>
      <w:r w:rsidR="00201B1B">
        <w:t xml:space="preserve">upplied </w:t>
      </w:r>
      <w:r w:rsidR="00B407C4">
        <w:t>W</w:t>
      </w:r>
      <w:r w:rsidR="00201B1B">
        <w:t xml:space="preserve">orking </w:t>
      </w:r>
      <w:r w:rsidR="00B407C4">
        <w:t>C</w:t>
      </w:r>
      <w:r w:rsidR="00201B1B">
        <w:t>apital</w:t>
      </w:r>
      <w:r w:rsidRPr="00B04C54">
        <w:t xml:space="preserve"> method. </w:t>
      </w:r>
    </w:p>
    <w:p w:rsidR="00763721" w:rsidRDefault="00B04C54" w:rsidP="00BA708A">
      <w:pPr>
        <w:spacing w:after="0" w:line="480" w:lineRule="auto"/>
        <w:ind w:left="720" w:hanging="720"/>
      </w:pPr>
      <w:r w:rsidRPr="00B04C54">
        <w:t>A.</w:t>
      </w:r>
      <w:r w:rsidRPr="00B04C54">
        <w:tab/>
        <w:t xml:space="preserve">Broadly speaking, the </w:t>
      </w:r>
      <w:r w:rsidR="00B407C4">
        <w:t>I</w:t>
      </w:r>
      <w:r w:rsidR="00201B1B">
        <w:t>nvestor-</w:t>
      </w:r>
      <w:r w:rsidR="00B407C4">
        <w:t>S</w:t>
      </w:r>
      <w:r w:rsidR="00201B1B">
        <w:t xml:space="preserve">upplied </w:t>
      </w:r>
      <w:r w:rsidR="00B407C4">
        <w:t>W</w:t>
      </w:r>
      <w:r w:rsidR="00201B1B">
        <w:t xml:space="preserve">orking </w:t>
      </w:r>
      <w:r w:rsidR="00B407C4">
        <w:t>C</w:t>
      </w:r>
      <w:r w:rsidR="00201B1B">
        <w:t>apital</w:t>
      </w:r>
      <w:r w:rsidRPr="00B04C54">
        <w:t xml:space="preserve"> </w:t>
      </w:r>
      <w:r w:rsidR="00B407C4">
        <w:t xml:space="preserve">method </w:t>
      </w:r>
      <w:r w:rsidRPr="00B04C54">
        <w:t>measures the difference between the capital invested in a business and the</w:t>
      </w:r>
      <w:r w:rsidR="000F49B9">
        <w:t xml:space="preserve"> long-term</w:t>
      </w:r>
      <w:r w:rsidRPr="00B04C54">
        <w:t xml:space="preserve"> investments in the business.  </w:t>
      </w:r>
      <w:r w:rsidR="00B407C4">
        <w:t>I</w:t>
      </w:r>
      <w:r w:rsidR="00201B1B">
        <w:t>nvestor-supplied working capital</w:t>
      </w:r>
      <w:r w:rsidRPr="00B04C54">
        <w:t xml:space="preserve"> is the amount of invested capital that </w:t>
      </w:r>
      <w:r w:rsidR="00717E26">
        <w:t>is</w:t>
      </w:r>
      <w:r w:rsidRPr="00B04C54">
        <w:t xml:space="preserve"> provided by investors</w:t>
      </w:r>
      <w:r w:rsidR="000F49B9">
        <w:t>,</w:t>
      </w:r>
      <w:r w:rsidRPr="00B04C54">
        <w:t xml:space="preserve"> and available for the </w:t>
      </w:r>
      <w:r w:rsidR="00D55093">
        <w:t>C</w:t>
      </w:r>
      <w:r w:rsidRPr="00B04C54">
        <w:t xml:space="preserve">ompany’s use, over and above the </w:t>
      </w:r>
      <w:r w:rsidR="00D55093">
        <w:t>C</w:t>
      </w:r>
      <w:r w:rsidRPr="00B04C54">
        <w:t xml:space="preserve">ompany’s investments in operating plant, non-operating plant, and other specific items of investment.  </w:t>
      </w:r>
      <w:r w:rsidR="00717E26">
        <w:t>The</w:t>
      </w:r>
      <w:r w:rsidRPr="00B04C54">
        <w:t xml:space="preserve"> excess</w:t>
      </w:r>
      <w:r w:rsidR="00425CE2">
        <w:t xml:space="preserve"> of</w:t>
      </w:r>
      <w:r w:rsidR="00717E26">
        <w:t xml:space="preserve"> </w:t>
      </w:r>
      <w:r w:rsidRPr="00B04C54">
        <w:t xml:space="preserve">invested capital over </w:t>
      </w:r>
      <w:r w:rsidR="00717E26">
        <w:t xml:space="preserve">total </w:t>
      </w:r>
      <w:r w:rsidRPr="00B04C54">
        <w:t>investmen</w:t>
      </w:r>
      <w:r w:rsidR="006B02CF">
        <w:t xml:space="preserve">t </w:t>
      </w:r>
      <w:r w:rsidR="00104E7A">
        <w:t>represents</w:t>
      </w:r>
      <w:r w:rsidRPr="00B04C54">
        <w:t xml:space="preserve"> investor-supplied working capital.   </w:t>
      </w:r>
    </w:p>
    <w:p w:rsidR="00B04C54" w:rsidRDefault="00763721" w:rsidP="00BA708A">
      <w:pPr>
        <w:spacing w:after="0" w:line="480" w:lineRule="auto"/>
        <w:ind w:left="720" w:hanging="720"/>
      </w:pPr>
      <w:r>
        <w:tab/>
      </w:r>
      <w:r>
        <w:tab/>
      </w:r>
      <w:r w:rsidR="00170AC1">
        <w:t>Commonly</w:t>
      </w:r>
      <w:r w:rsidR="009042F7">
        <w:t>,</w:t>
      </w:r>
      <w:r w:rsidR="00170AC1">
        <w:t xml:space="preserve"> </w:t>
      </w:r>
      <w:r>
        <w:t xml:space="preserve">investor-supplied </w:t>
      </w:r>
      <w:r w:rsidR="00170AC1">
        <w:t xml:space="preserve">working capital is first derived as a total </w:t>
      </w:r>
      <w:r>
        <w:t xml:space="preserve">company </w:t>
      </w:r>
      <w:r w:rsidR="00170AC1">
        <w:t>amount</w:t>
      </w:r>
      <w:r>
        <w:t xml:space="preserve"> and</w:t>
      </w:r>
      <w:r w:rsidR="00170AC1">
        <w:t xml:space="preserve"> then </w:t>
      </w:r>
      <w:r>
        <w:t>that total amount</w:t>
      </w:r>
      <w:r w:rsidR="00170AC1">
        <w:t xml:space="preserve"> is allocated to </w:t>
      </w:r>
      <w:r>
        <w:t>the</w:t>
      </w:r>
      <w:r w:rsidR="00170AC1">
        <w:t xml:space="preserve"> different operating and non-operating segments</w:t>
      </w:r>
      <w:r>
        <w:t xml:space="preserve"> of the business</w:t>
      </w:r>
      <w:r w:rsidR="00170AC1">
        <w:t>.</w:t>
      </w:r>
    </w:p>
    <w:p w:rsidR="00965AE1" w:rsidRPr="00B04C54" w:rsidRDefault="00965AE1" w:rsidP="00BA708A">
      <w:pPr>
        <w:spacing w:after="0" w:line="480" w:lineRule="auto"/>
        <w:ind w:left="720" w:hanging="720"/>
        <w:rPr>
          <w:b/>
        </w:rPr>
      </w:pPr>
    </w:p>
    <w:p w:rsidR="00965AE1" w:rsidRPr="000D6D7B" w:rsidRDefault="00965AE1" w:rsidP="00965AE1">
      <w:pPr>
        <w:keepNext/>
        <w:spacing w:after="0" w:line="480" w:lineRule="auto"/>
        <w:ind w:left="720" w:hanging="720"/>
        <w:rPr>
          <w:b/>
        </w:rPr>
      </w:pPr>
      <w:r w:rsidRPr="000D6D7B">
        <w:rPr>
          <w:b/>
        </w:rPr>
        <w:lastRenderedPageBreak/>
        <w:t>Q.</w:t>
      </w:r>
      <w:r w:rsidRPr="000D6D7B">
        <w:rPr>
          <w:b/>
        </w:rPr>
        <w:tab/>
        <w:t xml:space="preserve">Did you review the Company’s </w:t>
      </w:r>
      <w:r w:rsidR="008558E2">
        <w:rPr>
          <w:b/>
        </w:rPr>
        <w:t>i</w:t>
      </w:r>
      <w:r w:rsidR="00201B1B">
        <w:rPr>
          <w:b/>
        </w:rPr>
        <w:t>nvestor-supplied working capital</w:t>
      </w:r>
      <w:r w:rsidR="008558E2">
        <w:rPr>
          <w:b/>
        </w:rPr>
        <w:t xml:space="preserve"> amounts</w:t>
      </w:r>
      <w:r w:rsidR="000F49B9">
        <w:rPr>
          <w:b/>
        </w:rPr>
        <w:t xml:space="preserve"> it propose</w:t>
      </w:r>
      <w:r w:rsidR="00763721">
        <w:rPr>
          <w:b/>
        </w:rPr>
        <w:t>s</w:t>
      </w:r>
      <w:r w:rsidR="000F49B9">
        <w:rPr>
          <w:b/>
        </w:rPr>
        <w:t xml:space="preserve"> to include in its electric and gas rate bases</w:t>
      </w:r>
      <w:r w:rsidRPr="000D6D7B">
        <w:rPr>
          <w:b/>
        </w:rPr>
        <w:t>?</w:t>
      </w:r>
    </w:p>
    <w:p w:rsidR="00965AE1" w:rsidRDefault="00965AE1" w:rsidP="00BA708A">
      <w:pPr>
        <w:spacing w:after="0" w:line="480" w:lineRule="auto"/>
        <w:ind w:left="720" w:hanging="720"/>
        <w:rPr>
          <w:b/>
        </w:rPr>
      </w:pPr>
      <w:r w:rsidRPr="000D6D7B">
        <w:t>A.</w:t>
      </w:r>
      <w:r w:rsidRPr="000D6D7B">
        <w:tab/>
        <w:t>Yes.</w:t>
      </w:r>
      <w:r w:rsidR="000F49B9">
        <w:t xml:space="preserve"> </w:t>
      </w:r>
      <w:r w:rsidR="006B02CF">
        <w:t xml:space="preserve"> My review encompassed PSE</w:t>
      </w:r>
      <w:r w:rsidR="000C0059">
        <w:t>’s</w:t>
      </w:r>
      <w:r w:rsidR="006B02CF">
        <w:t xml:space="preserve"> </w:t>
      </w:r>
      <w:r w:rsidR="00C00736" w:rsidRPr="00C00736">
        <w:rPr>
          <w:i/>
        </w:rPr>
        <w:t>computation</w:t>
      </w:r>
      <w:r w:rsidR="006B02CF">
        <w:t xml:space="preserve"> of </w:t>
      </w:r>
      <w:r w:rsidR="00C00736" w:rsidRPr="00C00736">
        <w:t xml:space="preserve">total investor-supplied working capital and its </w:t>
      </w:r>
      <w:r w:rsidR="00C00736" w:rsidRPr="00C00736">
        <w:rPr>
          <w:i/>
        </w:rPr>
        <w:t>allocation</w:t>
      </w:r>
      <w:r w:rsidR="00C00736" w:rsidRPr="00C00736">
        <w:t xml:space="preserve"> of that total to its gas and electric operations.</w:t>
      </w:r>
      <w:r w:rsidRPr="006B02CF">
        <w:br/>
      </w:r>
    </w:p>
    <w:p w:rsidR="001F7BE2" w:rsidRPr="007527E2" w:rsidRDefault="007527E2" w:rsidP="00E90B57">
      <w:pPr>
        <w:pStyle w:val="Heading2"/>
      </w:pPr>
      <w:bookmarkStart w:id="6" w:name="_Toc246088118"/>
      <w:r>
        <w:t xml:space="preserve">B.  </w:t>
      </w:r>
      <w:r>
        <w:tab/>
      </w:r>
      <w:r w:rsidRPr="00866E7A">
        <w:t>C</w:t>
      </w:r>
      <w:r w:rsidR="008E4E04" w:rsidRPr="008E4E04">
        <w:t>omputation</w:t>
      </w:r>
      <w:r w:rsidRPr="007527E2">
        <w:t xml:space="preserve"> of </w:t>
      </w:r>
      <w:r>
        <w:t>T</w:t>
      </w:r>
      <w:r w:rsidRPr="007527E2">
        <w:t xml:space="preserve">otal </w:t>
      </w:r>
      <w:r>
        <w:t>I</w:t>
      </w:r>
      <w:r w:rsidRPr="007527E2">
        <w:t>nvestor-</w:t>
      </w:r>
      <w:r>
        <w:t>S</w:t>
      </w:r>
      <w:r w:rsidRPr="007527E2">
        <w:t xml:space="preserve">upplied </w:t>
      </w:r>
      <w:r>
        <w:t>W</w:t>
      </w:r>
      <w:r w:rsidRPr="007527E2">
        <w:t xml:space="preserve">orking </w:t>
      </w:r>
      <w:r>
        <w:t>C</w:t>
      </w:r>
      <w:r w:rsidRPr="007527E2">
        <w:t>apital</w:t>
      </w:r>
      <w:bookmarkEnd w:id="6"/>
    </w:p>
    <w:p w:rsidR="001F7BE2" w:rsidRDefault="001F7BE2" w:rsidP="00BA708A">
      <w:pPr>
        <w:spacing w:after="0" w:line="480" w:lineRule="auto"/>
        <w:ind w:left="720" w:hanging="720"/>
        <w:rPr>
          <w:b/>
        </w:rPr>
      </w:pPr>
    </w:p>
    <w:p w:rsidR="00630744" w:rsidRDefault="00630744" w:rsidP="00BA708A">
      <w:pPr>
        <w:spacing w:after="0" w:line="480" w:lineRule="auto"/>
        <w:ind w:left="720" w:hanging="720"/>
        <w:rPr>
          <w:b/>
        </w:rPr>
      </w:pPr>
      <w:r>
        <w:rPr>
          <w:b/>
        </w:rPr>
        <w:t>Q.</w:t>
      </w:r>
      <w:r>
        <w:rPr>
          <w:b/>
        </w:rPr>
        <w:tab/>
      </w:r>
      <w:r w:rsidR="001A4F51">
        <w:rPr>
          <w:b/>
        </w:rPr>
        <w:t>Is the</w:t>
      </w:r>
      <w:r w:rsidR="00B04C54">
        <w:rPr>
          <w:b/>
        </w:rPr>
        <w:t xml:space="preserve"> </w:t>
      </w:r>
      <w:r w:rsidR="001A4F51">
        <w:rPr>
          <w:b/>
        </w:rPr>
        <w:t xml:space="preserve">methodology </w:t>
      </w:r>
      <w:r w:rsidR="00E5324E">
        <w:rPr>
          <w:b/>
        </w:rPr>
        <w:t xml:space="preserve">PSE </w:t>
      </w:r>
      <w:r w:rsidR="00142CA8">
        <w:rPr>
          <w:b/>
        </w:rPr>
        <w:t xml:space="preserve">used </w:t>
      </w:r>
      <w:r w:rsidR="002A6917">
        <w:rPr>
          <w:b/>
        </w:rPr>
        <w:t xml:space="preserve">to </w:t>
      </w:r>
      <w:r w:rsidR="00C00736" w:rsidRPr="00C00736">
        <w:rPr>
          <w:b/>
          <w:i/>
        </w:rPr>
        <w:t>compute</w:t>
      </w:r>
      <w:r w:rsidR="002A6917">
        <w:rPr>
          <w:b/>
        </w:rPr>
        <w:t xml:space="preserve"> </w:t>
      </w:r>
      <w:r w:rsidR="00E5324E">
        <w:rPr>
          <w:b/>
        </w:rPr>
        <w:t xml:space="preserve">total investor-supplied working capital </w:t>
      </w:r>
      <w:r w:rsidR="00D55093">
        <w:rPr>
          <w:b/>
        </w:rPr>
        <w:t xml:space="preserve">consistent with the method </w:t>
      </w:r>
      <w:r w:rsidR="00763721">
        <w:rPr>
          <w:b/>
        </w:rPr>
        <w:t xml:space="preserve">it </w:t>
      </w:r>
      <w:r w:rsidR="001A4F51">
        <w:rPr>
          <w:b/>
        </w:rPr>
        <w:t xml:space="preserve">used in its prior </w:t>
      </w:r>
      <w:r w:rsidR="00D55093">
        <w:rPr>
          <w:b/>
        </w:rPr>
        <w:t xml:space="preserve">general rate </w:t>
      </w:r>
      <w:r w:rsidR="001A4F51">
        <w:rPr>
          <w:b/>
        </w:rPr>
        <w:t>case</w:t>
      </w:r>
      <w:r w:rsidR="00E5324E">
        <w:rPr>
          <w:b/>
        </w:rPr>
        <w:t xml:space="preserve">, </w:t>
      </w:r>
      <w:r w:rsidR="00E5324E" w:rsidRPr="00CF696E">
        <w:rPr>
          <w:b/>
        </w:rPr>
        <w:t>Docket</w:t>
      </w:r>
      <w:r w:rsidR="00763721">
        <w:rPr>
          <w:b/>
        </w:rPr>
        <w:t>s</w:t>
      </w:r>
      <w:r w:rsidR="00E5324E" w:rsidRPr="00CF696E">
        <w:rPr>
          <w:b/>
        </w:rPr>
        <w:t xml:space="preserve"> UE-072300 and UG-072301</w:t>
      </w:r>
      <w:r w:rsidR="001A4F51">
        <w:rPr>
          <w:b/>
        </w:rPr>
        <w:t>?</w:t>
      </w:r>
    </w:p>
    <w:p w:rsidR="00E5324E" w:rsidRDefault="001A4F51" w:rsidP="00AC0FCC">
      <w:pPr>
        <w:spacing w:after="0" w:line="480" w:lineRule="auto"/>
        <w:ind w:left="720" w:hanging="720"/>
        <w:rPr>
          <w:b/>
        </w:rPr>
      </w:pPr>
      <w:r>
        <w:t>A.</w:t>
      </w:r>
      <w:r>
        <w:tab/>
      </w:r>
      <w:r w:rsidR="00D55093">
        <w:t>Yes</w:t>
      </w:r>
      <w:r w:rsidR="00AC0FCC">
        <w:t>.</w:t>
      </w:r>
      <w:r w:rsidR="00D55093">
        <w:t xml:space="preserve"> </w:t>
      </w:r>
      <w:r w:rsidR="00E5324E">
        <w:t xml:space="preserve"> </w:t>
      </w:r>
      <w:r w:rsidR="00763721">
        <w:t>As it did in that last general rate case, t</w:t>
      </w:r>
      <w:r w:rsidR="006A6D82">
        <w:t xml:space="preserve">he Company </w:t>
      </w:r>
      <w:r w:rsidR="00763721">
        <w:t>develops a</w:t>
      </w:r>
      <w:r w:rsidR="006A6D82">
        <w:t xml:space="preserve"> </w:t>
      </w:r>
      <w:r w:rsidR="006A6D82" w:rsidRPr="000D6D7B">
        <w:t xml:space="preserve">single combined computation for its </w:t>
      </w:r>
      <w:r w:rsidR="006A6D82">
        <w:t>n</w:t>
      </w:r>
      <w:r w:rsidR="006A6D82" w:rsidRPr="000D6D7B">
        <w:t xml:space="preserve">atural </w:t>
      </w:r>
      <w:r w:rsidR="006A6D82">
        <w:t>g</w:t>
      </w:r>
      <w:r w:rsidR="006A6D82" w:rsidRPr="000D6D7B">
        <w:t xml:space="preserve">as </w:t>
      </w:r>
      <w:r w:rsidR="00763721">
        <w:t>and electric</w:t>
      </w:r>
      <w:r w:rsidR="00763721" w:rsidRPr="000D6D7B">
        <w:t xml:space="preserve"> </w:t>
      </w:r>
      <w:r w:rsidR="006A6D82" w:rsidRPr="000D6D7B">
        <w:t>operatio</w:t>
      </w:r>
      <w:r w:rsidR="006A6D82">
        <w:t>ns</w:t>
      </w:r>
      <w:r w:rsidR="00425CE2">
        <w:t>,</w:t>
      </w:r>
      <w:r w:rsidR="00763721">
        <w:t xml:space="preserve"> </w:t>
      </w:r>
      <w:r w:rsidR="00425CE2">
        <w:t>although</w:t>
      </w:r>
      <w:r w:rsidR="006A6D82">
        <w:t xml:space="preserve"> the schedule is filed as separate identical exhibits in each witness’ testimony.</w:t>
      </w:r>
      <w:r w:rsidR="006A6D82">
        <w:rPr>
          <w:rStyle w:val="FootnoteReference"/>
        </w:rPr>
        <w:footnoteReference w:id="1"/>
      </w:r>
      <w:r w:rsidR="006A6D82">
        <w:t xml:space="preserve">  </w:t>
      </w:r>
      <w:r w:rsidR="002D6549">
        <w:t>Prior to its last general rate case, the Company compute</w:t>
      </w:r>
      <w:r w:rsidR="00763721">
        <w:t>d</w:t>
      </w:r>
      <w:r w:rsidR="002D6549">
        <w:t xml:space="preserve"> investor-supplied working capital for its electric and gas segments individually </w:t>
      </w:r>
      <w:r w:rsidR="00763721">
        <w:t>through</w:t>
      </w:r>
      <w:r w:rsidR="002D6549">
        <w:t xml:space="preserve"> separate</w:t>
      </w:r>
      <w:r w:rsidR="00763721">
        <w:t xml:space="preserve"> </w:t>
      </w:r>
      <w:r w:rsidR="002D6549">
        <w:t xml:space="preserve">schedules for each segment.  Performing separate computations of investor-supplied working capital tended to understate the proper amount of investor-supplied working capital. </w:t>
      </w:r>
    </w:p>
    <w:p w:rsidR="000D6D7B" w:rsidRDefault="000D6D7B" w:rsidP="00BA708A">
      <w:pPr>
        <w:spacing w:after="0" w:line="480" w:lineRule="auto"/>
        <w:ind w:left="720" w:hanging="720"/>
        <w:rPr>
          <w:b/>
        </w:rPr>
      </w:pPr>
    </w:p>
    <w:p w:rsidR="000D6D7B" w:rsidRPr="000D6D7B" w:rsidRDefault="006B02CF" w:rsidP="00BA708A">
      <w:pPr>
        <w:spacing w:after="0" w:line="480" w:lineRule="auto"/>
        <w:ind w:left="720" w:hanging="720"/>
        <w:rPr>
          <w:b/>
        </w:rPr>
      </w:pPr>
      <w:proofErr w:type="gramStart"/>
      <w:r>
        <w:rPr>
          <w:b/>
        </w:rPr>
        <w:t>Q</w:t>
      </w:r>
      <w:r w:rsidR="000D6D7B" w:rsidRPr="000D6D7B">
        <w:rPr>
          <w:b/>
        </w:rPr>
        <w:t>.</w:t>
      </w:r>
      <w:r w:rsidR="000D6D7B" w:rsidRPr="000D6D7B">
        <w:rPr>
          <w:b/>
        </w:rPr>
        <w:tab/>
        <w:t xml:space="preserve">Please describe your </w:t>
      </w:r>
      <w:r w:rsidR="0071754E">
        <w:rPr>
          <w:b/>
        </w:rPr>
        <w:t>review</w:t>
      </w:r>
      <w:r w:rsidR="000D6D7B" w:rsidRPr="000D6D7B">
        <w:rPr>
          <w:b/>
        </w:rPr>
        <w:t xml:space="preserve"> of the Company’s </w:t>
      </w:r>
      <w:r w:rsidR="00F76B0F">
        <w:rPr>
          <w:b/>
        </w:rPr>
        <w:t>computation of</w:t>
      </w:r>
      <w:r w:rsidR="000D6D7B" w:rsidRPr="000D6D7B">
        <w:rPr>
          <w:b/>
        </w:rPr>
        <w:t xml:space="preserve"> </w:t>
      </w:r>
      <w:r w:rsidR="006A6D82">
        <w:rPr>
          <w:b/>
        </w:rPr>
        <w:t xml:space="preserve">total </w:t>
      </w:r>
      <w:r w:rsidR="00201B1B">
        <w:rPr>
          <w:b/>
        </w:rPr>
        <w:t>investor-supplied working capital</w:t>
      </w:r>
      <w:r w:rsidR="000D6D7B" w:rsidRPr="000D6D7B">
        <w:rPr>
          <w:b/>
        </w:rPr>
        <w:t>.</w:t>
      </w:r>
      <w:proofErr w:type="gramEnd"/>
    </w:p>
    <w:p w:rsidR="008558E2" w:rsidRDefault="000D6D7B" w:rsidP="00D133AA">
      <w:pPr>
        <w:spacing w:after="0" w:line="480" w:lineRule="auto"/>
        <w:ind w:left="720" w:hanging="720"/>
      </w:pPr>
      <w:r w:rsidRPr="000D6D7B">
        <w:t>A.</w:t>
      </w:r>
      <w:r w:rsidRPr="000D6D7B">
        <w:tab/>
      </w:r>
      <w:r w:rsidR="006A6D82">
        <w:t>Total i</w:t>
      </w:r>
      <w:r w:rsidR="00201B1B">
        <w:t>nvestor-supplied working capital</w:t>
      </w:r>
      <w:r w:rsidRPr="000D6D7B">
        <w:t xml:space="preserve"> is a computation involving balance sheet account</w:t>
      </w:r>
      <w:r w:rsidR="00B04C54">
        <w:t>s.</w:t>
      </w:r>
      <w:r w:rsidRPr="000D6D7B">
        <w:t xml:space="preserve"> </w:t>
      </w:r>
      <w:r w:rsidR="00B04C54">
        <w:t xml:space="preserve"> </w:t>
      </w:r>
      <w:r w:rsidRPr="000D6D7B">
        <w:t xml:space="preserve">In order to confirm the </w:t>
      </w:r>
      <w:r w:rsidR="009271DF">
        <w:t>C</w:t>
      </w:r>
      <w:r w:rsidRPr="000D6D7B">
        <w:t xml:space="preserve">ompany’s numbers, </w:t>
      </w:r>
      <w:r w:rsidR="0071754E">
        <w:t>I</w:t>
      </w:r>
      <w:r w:rsidRPr="000D6D7B">
        <w:t xml:space="preserve"> </w:t>
      </w:r>
      <w:r w:rsidR="0071754E">
        <w:t>reviewed</w:t>
      </w:r>
      <w:r w:rsidRPr="000D6D7B">
        <w:t xml:space="preserve"> the balance sheet </w:t>
      </w:r>
      <w:r w:rsidR="003B3136">
        <w:lastRenderedPageBreak/>
        <w:t>accounts</w:t>
      </w:r>
      <w:r w:rsidRPr="000D6D7B">
        <w:t xml:space="preserve"> of </w:t>
      </w:r>
      <w:r w:rsidR="009271DF">
        <w:t>PSE</w:t>
      </w:r>
      <w:r w:rsidRPr="000D6D7B">
        <w:t>’s tr</w:t>
      </w:r>
      <w:r w:rsidR="001722D0">
        <w:t>i</w:t>
      </w:r>
      <w:r w:rsidRPr="000D6D7B">
        <w:t xml:space="preserve">al balance </w:t>
      </w:r>
      <w:r w:rsidR="00425CE2">
        <w:t xml:space="preserve">for the test year </w:t>
      </w:r>
      <w:r w:rsidRPr="000D6D7B">
        <w:t>and compiled each grouping of accounts directly from th</w:t>
      </w:r>
      <w:r w:rsidR="009271DF">
        <w:t xml:space="preserve">at </w:t>
      </w:r>
      <w:r w:rsidRPr="000D6D7B">
        <w:t xml:space="preserve">data. </w:t>
      </w:r>
      <w:r w:rsidR="00CF7AA5">
        <w:t xml:space="preserve"> </w:t>
      </w:r>
      <w:r w:rsidRPr="000D6D7B">
        <w:t xml:space="preserve">This allowed </w:t>
      </w:r>
      <w:r w:rsidR="0071754E">
        <w:t xml:space="preserve">me </w:t>
      </w:r>
      <w:r w:rsidR="009271DF">
        <w:t>not only to confirm</w:t>
      </w:r>
      <w:r w:rsidRPr="000D6D7B">
        <w:t xml:space="preserve"> the groupings provided by </w:t>
      </w:r>
      <w:r w:rsidR="009A2D9F">
        <w:t>PSE</w:t>
      </w:r>
      <w:r w:rsidRPr="000D6D7B">
        <w:t xml:space="preserve"> in its working capital computation, but </w:t>
      </w:r>
      <w:r w:rsidR="00D133AA">
        <w:t xml:space="preserve">also </w:t>
      </w:r>
      <w:r w:rsidR="0071754E">
        <w:t>to review the reasoning the Company used for its classifications</w:t>
      </w:r>
    </w:p>
    <w:p w:rsidR="00F76B0F" w:rsidRDefault="00F76B0F" w:rsidP="00BA708A">
      <w:pPr>
        <w:spacing w:after="0" w:line="480" w:lineRule="auto"/>
        <w:ind w:left="720" w:hanging="720"/>
      </w:pPr>
    </w:p>
    <w:p w:rsidR="00F76B0F" w:rsidRPr="00F76B0F" w:rsidRDefault="008F284B" w:rsidP="00BA708A">
      <w:pPr>
        <w:spacing w:after="0" w:line="480" w:lineRule="auto"/>
        <w:ind w:left="720" w:hanging="720"/>
        <w:rPr>
          <w:b/>
        </w:rPr>
      </w:pPr>
      <w:proofErr w:type="gramStart"/>
      <w:r w:rsidRPr="008F284B">
        <w:rPr>
          <w:b/>
        </w:rPr>
        <w:t>Q.</w:t>
      </w:r>
      <w:r w:rsidRPr="008F284B">
        <w:rPr>
          <w:b/>
        </w:rPr>
        <w:tab/>
        <w:t>Does Staff propose any adjustment to the Company’s calculation of total investor-supplied working capital?</w:t>
      </w:r>
      <w:proofErr w:type="gramEnd"/>
    </w:p>
    <w:p w:rsidR="000D6D7B" w:rsidRPr="00A53E8A" w:rsidRDefault="00F76B0F" w:rsidP="00BA708A">
      <w:pPr>
        <w:spacing w:after="0" w:line="480" w:lineRule="auto"/>
        <w:ind w:left="720" w:hanging="720"/>
      </w:pPr>
      <w:r>
        <w:t>A.</w:t>
      </w:r>
      <w:r>
        <w:tab/>
        <w:t xml:space="preserve">Yes.  </w:t>
      </w:r>
      <w:r w:rsidR="00A53E8A" w:rsidRPr="00C00736">
        <w:t xml:space="preserve">Exhibit No. </w:t>
      </w:r>
      <w:r w:rsidR="00A53E8A">
        <w:t>DPK-2,</w:t>
      </w:r>
      <w:r w:rsidR="00A53E8A" w:rsidRPr="0085646C">
        <w:rPr>
          <w:i/>
        </w:rPr>
        <w:t xml:space="preserve"> </w:t>
      </w:r>
      <w:r w:rsidR="008E4E04" w:rsidRPr="008E4E04">
        <w:t>Staff Computation of Total Investor-Supplied Working Capital</w:t>
      </w:r>
      <w:r w:rsidR="00A53E8A" w:rsidRPr="005D1D87">
        <w:t xml:space="preserve">, </w:t>
      </w:r>
      <w:r>
        <w:t>presents</w:t>
      </w:r>
      <w:r w:rsidR="008558E2">
        <w:t xml:space="preserve"> </w:t>
      </w:r>
      <w:r w:rsidR="00B1598F">
        <w:t>an</w:t>
      </w:r>
      <w:r w:rsidR="008558E2">
        <w:t xml:space="preserve"> adjustment to the Company’s computation of </w:t>
      </w:r>
      <w:r w:rsidR="007E4C18">
        <w:t>its b</w:t>
      </w:r>
      <w:r w:rsidR="00B1598F">
        <w:t xml:space="preserve">eginning </w:t>
      </w:r>
      <w:r w:rsidR="008558E2">
        <w:t>total investor-supplied working capital</w:t>
      </w:r>
      <w:r w:rsidR="00D133AA">
        <w:t>.</w:t>
      </w:r>
      <w:r w:rsidR="00C00736" w:rsidRPr="00C00736">
        <w:t xml:space="preserve"> </w:t>
      </w:r>
      <w:r w:rsidR="003B3136">
        <w:br/>
      </w:r>
    </w:p>
    <w:p w:rsidR="0022508B" w:rsidRPr="007A383F" w:rsidRDefault="0022508B" w:rsidP="00EC5BD8">
      <w:pPr>
        <w:spacing w:after="0" w:line="480" w:lineRule="auto"/>
        <w:ind w:left="720" w:hanging="720"/>
        <w:rPr>
          <w:b/>
        </w:rPr>
      </w:pPr>
      <w:r w:rsidRPr="007A383F">
        <w:rPr>
          <w:b/>
        </w:rPr>
        <w:t>Q.</w:t>
      </w:r>
      <w:r w:rsidRPr="007A383F">
        <w:rPr>
          <w:b/>
        </w:rPr>
        <w:tab/>
      </w:r>
      <w:r>
        <w:rPr>
          <w:b/>
        </w:rPr>
        <w:t xml:space="preserve">Please </w:t>
      </w:r>
      <w:r w:rsidR="00B1598F">
        <w:rPr>
          <w:b/>
        </w:rPr>
        <w:t xml:space="preserve">generally </w:t>
      </w:r>
      <w:r>
        <w:rPr>
          <w:b/>
        </w:rPr>
        <w:t xml:space="preserve">describe </w:t>
      </w:r>
      <w:r w:rsidR="001F32D8">
        <w:rPr>
          <w:b/>
        </w:rPr>
        <w:t>Exhibit</w:t>
      </w:r>
      <w:r w:rsidR="00D133AA">
        <w:rPr>
          <w:b/>
        </w:rPr>
        <w:t xml:space="preserve"> No. </w:t>
      </w:r>
      <w:proofErr w:type="gramStart"/>
      <w:r w:rsidR="0085646C">
        <w:rPr>
          <w:b/>
        </w:rPr>
        <w:t>DPK-2</w:t>
      </w:r>
      <w:r w:rsidR="00D133AA">
        <w:rPr>
          <w:b/>
        </w:rPr>
        <w:t>.</w:t>
      </w:r>
      <w:proofErr w:type="gramEnd"/>
    </w:p>
    <w:p w:rsidR="001C0D7C" w:rsidRDefault="0022508B" w:rsidP="00BA708A">
      <w:pPr>
        <w:spacing w:after="0" w:line="480" w:lineRule="auto"/>
        <w:ind w:left="720" w:hanging="720"/>
      </w:pPr>
      <w:r>
        <w:t>A.</w:t>
      </w:r>
      <w:r w:rsidR="009271DF">
        <w:tab/>
      </w:r>
      <w:r w:rsidR="001722D0">
        <w:t>E</w:t>
      </w:r>
      <w:r>
        <w:t xml:space="preserve">xhibit No. </w:t>
      </w:r>
      <w:r w:rsidR="0085646C">
        <w:t>DPK-2</w:t>
      </w:r>
      <w:r w:rsidR="00A56B45">
        <w:t xml:space="preserve"> is a one</w:t>
      </w:r>
      <w:r>
        <w:t xml:space="preserve">-page exhibit that </w:t>
      </w:r>
      <w:r w:rsidR="009271DF">
        <w:t xml:space="preserve">is </w:t>
      </w:r>
      <w:r>
        <w:t>bas</w:t>
      </w:r>
      <w:r w:rsidR="009271DF">
        <w:t>ed upon</w:t>
      </w:r>
      <w:r>
        <w:t xml:space="preserve"> the </w:t>
      </w:r>
      <w:r w:rsidR="009271DF">
        <w:t>C</w:t>
      </w:r>
      <w:r>
        <w:t>ompany’s average-of-monthly averages (</w:t>
      </w:r>
      <w:r w:rsidR="009271DF">
        <w:t>“</w:t>
      </w:r>
      <w:r>
        <w:t>AMA</w:t>
      </w:r>
      <w:r w:rsidR="009271DF">
        <w:t>”</w:t>
      </w:r>
      <w:r>
        <w:t xml:space="preserve">) of its balance sheet accounts for the test </w:t>
      </w:r>
      <w:r w:rsidR="009271DF">
        <w:t>year</w:t>
      </w:r>
      <w:r>
        <w:t xml:space="preserve"> ended </w:t>
      </w:r>
      <w:r w:rsidR="00AF1DEB">
        <w:t>December 31,</w:t>
      </w:r>
      <w:r w:rsidR="00A56B45">
        <w:t xml:space="preserve"> </w:t>
      </w:r>
      <w:r w:rsidR="00AF1DEB">
        <w:t>2008</w:t>
      </w:r>
      <w:r>
        <w:t xml:space="preserve">.  </w:t>
      </w:r>
      <w:r w:rsidR="00A56B45">
        <w:t>C</w:t>
      </w:r>
      <w:r w:rsidR="001722D0">
        <w:t xml:space="preserve">olumn (a) of the schedule provides </w:t>
      </w:r>
      <w:r w:rsidR="00A56B45">
        <w:t>a description of the line items in the schedule.</w:t>
      </w:r>
      <w:r w:rsidR="001722D0">
        <w:t xml:space="preserve"> </w:t>
      </w:r>
      <w:r w:rsidR="009271DF">
        <w:t xml:space="preserve"> </w:t>
      </w:r>
      <w:r w:rsidR="001722D0">
        <w:t>C</w:t>
      </w:r>
      <w:r>
        <w:t>olumn</w:t>
      </w:r>
      <w:r w:rsidR="00055627">
        <w:t xml:space="preserve"> (b)</w:t>
      </w:r>
      <w:r w:rsidR="00F76B0F">
        <w:t xml:space="preserve"> </w:t>
      </w:r>
      <w:r>
        <w:t xml:space="preserve">shows </w:t>
      </w:r>
      <w:r w:rsidR="009271DF">
        <w:t>PSE</w:t>
      </w:r>
      <w:r>
        <w:t xml:space="preserve">’s </w:t>
      </w:r>
      <w:r w:rsidR="00A24825">
        <w:t xml:space="preserve">computation of Total Investor-Supplied Working Capital </w:t>
      </w:r>
      <w:r w:rsidR="00AF1DEB">
        <w:t>for the test year</w:t>
      </w:r>
      <w:r>
        <w:t xml:space="preserve">. </w:t>
      </w:r>
      <w:r w:rsidR="009271DF">
        <w:t xml:space="preserve"> </w:t>
      </w:r>
      <w:r w:rsidR="007E4C18">
        <w:t>C</w:t>
      </w:r>
      <w:r w:rsidR="004B7DFE">
        <w:t>olumn (c)</w:t>
      </w:r>
      <w:r w:rsidR="00F76B0F">
        <w:t xml:space="preserve"> </w:t>
      </w:r>
      <w:r>
        <w:t>reflect</w:t>
      </w:r>
      <w:r w:rsidR="007E4C18">
        <w:t>s</w:t>
      </w:r>
      <w:r>
        <w:t xml:space="preserve"> </w:t>
      </w:r>
      <w:r w:rsidR="00A24825">
        <w:t>Staff</w:t>
      </w:r>
      <w:r w:rsidR="00A53E8A">
        <w:t>’s</w:t>
      </w:r>
      <w:r w:rsidR="00A24825">
        <w:t xml:space="preserve"> adjustment to </w:t>
      </w:r>
      <w:r w:rsidR="00F76B0F">
        <w:t xml:space="preserve">total </w:t>
      </w:r>
      <w:r w:rsidR="00201B1B">
        <w:t>investor-supplied working capital</w:t>
      </w:r>
      <w:r>
        <w:t xml:space="preserve">. </w:t>
      </w:r>
      <w:r w:rsidR="004B7DFE">
        <w:t xml:space="preserve"> C</w:t>
      </w:r>
      <w:r w:rsidR="00055627">
        <w:t>olumn (</w:t>
      </w:r>
      <w:r w:rsidR="007E4C18">
        <w:t>d</w:t>
      </w:r>
      <w:r w:rsidR="00055627">
        <w:t>)</w:t>
      </w:r>
      <w:r w:rsidR="00F76B0F">
        <w:t xml:space="preserve"> </w:t>
      </w:r>
      <w:r>
        <w:t>is the</w:t>
      </w:r>
      <w:r w:rsidR="00055627">
        <w:t xml:space="preserve"> </w:t>
      </w:r>
      <w:r w:rsidR="004B7DFE">
        <w:t xml:space="preserve">Staff adjusted </w:t>
      </w:r>
      <w:r w:rsidR="000E5E1C">
        <w:t xml:space="preserve">total </w:t>
      </w:r>
      <w:r w:rsidR="00201B1B">
        <w:t>investor-supplied working capital</w:t>
      </w:r>
      <w:r w:rsidR="00A24825">
        <w:t xml:space="preserve"> </w:t>
      </w:r>
      <w:r w:rsidR="004B7DFE">
        <w:t>amount</w:t>
      </w:r>
      <w:r w:rsidR="00055627">
        <w:t>.</w:t>
      </w:r>
      <w:r w:rsidR="00055627" w:rsidRPr="00055627">
        <w:t xml:space="preserve"> </w:t>
      </w:r>
      <w:r w:rsidR="00055627">
        <w:t xml:space="preserve"> </w:t>
      </w:r>
      <w:r w:rsidR="001302D9">
        <w:t xml:space="preserve">The schedule follows the </w:t>
      </w:r>
      <w:r w:rsidR="00A24825">
        <w:t xml:space="preserve">same </w:t>
      </w:r>
      <w:r w:rsidR="00D133AA">
        <w:t>I</w:t>
      </w:r>
      <w:r w:rsidR="00201B1B">
        <w:t>nvestor-</w:t>
      </w:r>
      <w:r w:rsidR="00D133AA">
        <w:t>S</w:t>
      </w:r>
      <w:r w:rsidR="00201B1B">
        <w:t xml:space="preserve">upplied </w:t>
      </w:r>
      <w:r w:rsidR="00D133AA">
        <w:t>W</w:t>
      </w:r>
      <w:r w:rsidR="00201B1B">
        <w:t xml:space="preserve">orking </w:t>
      </w:r>
      <w:r w:rsidR="00D133AA">
        <w:t>C</w:t>
      </w:r>
      <w:r w:rsidR="00201B1B">
        <w:t>apital</w:t>
      </w:r>
      <w:r w:rsidR="00A24825">
        <w:t xml:space="preserve"> </w:t>
      </w:r>
      <w:r w:rsidR="001302D9">
        <w:t xml:space="preserve">format </w:t>
      </w:r>
      <w:r w:rsidR="009271DF">
        <w:t>us</w:t>
      </w:r>
      <w:r w:rsidR="001302D9">
        <w:t>ed by t</w:t>
      </w:r>
      <w:r w:rsidR="004B7DFE">
        <w:t xml:space="preserve">he </w:t>
      </w:r>
      <w:r w:rsidR="009271DF">
        <w:t>C</w:t>
      </w:r>
      <w:r w:rsidR="004B7DFE">
        <w:t>ompany in its c</w:t>
      </w:r>
      <w:r w:rsidR="009271DF">
        <w:t>ase</w:t>
      </w:r>
      <w:r w:rsidR="001302D9">
        <w:t>.</w:t>
      </w:r>
    </w:p>
    <w:p w:rsidR="0071754E" w:rsidRDefault="001C0D7C" w:rsidP="00BA708A">
      <w:pPr>
        <w:spacing w:after="0" w:line="480" w:lineRule="auto"/>
        <w:ind w:left="720" w:firstLine="720"/>
      </w:pPr>
      <w:r>
        <w:t>Starting a</w:t>
      </w:r>
      <w:r w:rsidR="00055627">
        <w:t xml:space="preserve">t the </w:t>
      </w:r>
      <w:r w:rsidR="00D133AA">
        <w:t>l</w:t>
      </w:r>
      <w:r w:rsidR="00B85A8F">
        <w:t>ine 1</w:t>
      </w:r>
      <w:r w:rsidR="00055627">
        <w:t xml:space="preserve"> of </w:t>
      </w:r>
      <w:r w:rsidR="00B85A8F">
        <w:t xml:space="preserve">the </w:t>
      </w:r>
      <w:r w:rsidR="00F76B0F">
        <w:t>e</w:t>
      </w:r>
      <w:r w:rsidR="00B85A8F">
        <w:t>xhibit</w:t>
      </w:r>
      <w:r w:rsidR="001302D9">
        <w:t>,</w:t>
      </w:r>
      <w:r w:rsidR="00055627">
        <w:t xml:space="preserve"> the schedule </w:t>
      </w:r>
      <w:r w:rsidR="00B85A8F">
        <w:t>begins with</w:t>
      </w:r>
      <w:r w:rsidR="00055627">
        <w:t xml:space="preserve"> the computation of Average Invested Capital.</w:t>
      </w:r>
      <w:r w:rsidR="001302D9">
        <w:t xml:space="preserve">  Following </w:t>
      </w:r>
      <w:r w:rsidR="00B85A8F">
        <w:t xml:space="preserve">the Total </w:t>
      </w:r>
      <w:r w:rsidR="001302D9">
        <w:t xml:space="preserve">Average </w:t>
      </w:r>
      <w:r w:rsidR="009271DF">
        <w:t>Invest</w:t>
      </w:r>
      <w:r w:rsidR="00B85A8F">
        <w:t>ed Capital (</w:t>
      </w:r>
      <w:r w:rsidR="00C931CB">
        <w:t>l</w:t>
      </w:r>
      <w:r w:rsidR="00B85A8F">
        <w:t>ine 14)</w:t>
      </w:r>
      <w:r w:rsidR="001247BD">
        <w:t xml:space="preserve">, </w:t>
      </w:r>
      <w:r w:rsidR="001302D9">
        <w:t>the computation</w:t>
      </w:r>
      <w:r w:rsidR="00712B45">
        <w:t>s for</w:t>
      </w:r>
      <w:r w:rsidR="001302D9">
        <w:t xml:space="preserve"> Average Operating Investments for Electric</w:t>
      </w:r>
      <w:r w:rsidR="00B85A8F">
        <w:t>,</w:t>
      </w:r>
      <w:r w:rsidR="001302D9">
        <w:t xml:space="preserve"> Gas</w:t>
      </w:r>
      <w:r w:rsidR="00B85A8F">
        <w:t xml:space="preserve">, </w:t>
      </w:r>
      <w:r w:rsidR="00B85A8F">
        <w:lastRenderedPageBreak/>
        <w:t>Construction Work in Progress, and Non-</w:t>
      </w:r>
      <w:r w:rsidR="00C931CB">
        <w:t>O</w:t>
      </w:r>
      <w:r w:rsidR="00B85A8F">
        <w:t>perating Investments are</w:t>
      </w:r>
      <w:r w:rsidR="001302D9">
        <w:t xml:space="preserve"> shown.</w:t>
      </w:r>
      <w:r>
        <w:t xml:space="preserve"> </w:t>
      </w:r>
      <w:r w:rsidR="009271DF">
        <w:t xml:space="preserve"> </w:t>
      </w:r>
      <w:r w:rsidR="00C931CB">
        <w:t xml:space="preserve">The </w:t>
      </w:r>
      <w:r w:rsidR="0071754E">
        <w:t>exhibit reflects the T</w:t>
      </w:r>
      <w:r w:rsidR="00C931CB">
        <w:t xml:space="preserve">otal Average Investment at </w:t>
      </w:r>
      <w:r w:rsidR="00D133AA">
        <w:t>l</w:t>
      </w:r>
      <w:r w:rsidR="00C931CB">
        <w:t xml:space="preserve">ine 63. </w:t>
      </w:r>
      <w:r w:rsidR="00D133AA">
        <w:t xml:space="preserve"> </w:t>
      </w:r>
      <w:r w:rsidR="00C931CB">
        <w:t>Lastly, li</w:t>
      </w:r>
      <w:r w:rsidR="001247BD">
        <w:t xml:space="preserve">ne </w:t>
      </w:r>
      <w:r w:rsidR="00385398">
        <w:t>65</w:t>
      </w:r>
      <w:r w:rsidR="001247BD">
        <w:t xml:space="preserve"> </w:t>
      </w:r>
      <w:r w:rsidR="00C931CB">
        <w:t xml:space="preserve">shows </w:t>
      </w:r>
      <w:r w:rsidR="00D133AA">
        <w:t>T</w:t>
      </w:r>
      <w:r w:rsidR="00C931CB">
        <w:t>o</w:t>
      </w:r>
      <w:r w:rsidR="001247BD">
        <w:t xml:space="preserve">tal </w:t>
      </w:r>
      <w:r w:rsidR="00C931CB">
        <w:t>I</w:t>
      </w:r>
      <w:r w:rsidR="001247BD">
        <w:t>nvestor-</w:t>
      </w:r>
      <w:r w:rsidR="00C931CB">
        <w:t>S</w:t>
      </w:r>
      <w:r w:rsidR="001247BD">
        <w:t xml:space="preserve">upplied </w:t>
      </w:r>
      <w:r w:rsidR="00C931CB">
        <w:t>Working C</w:t>
      </w:r>
      <w:r w:rsidR="001247BD">
        <w:t xml:space="preserve">apital before allocation. </w:t>
      </w:r>
      <w:r w:rsidR="001302D9">
        <w:t xml:space="preserve">    </w:t>
      </w:r>
    </w:p>
    <w:p w:rsidR="008558E2" w:rsidRDefault="008558E2" w:rsidP="001F77E8">
      <w:pPr>
        <w:spacing w:after="0" w:line="480" w:lineRule="auto"/>
        <w:ind w:left="720" w:hanging="720"/>
      </w:pPr>
    </w:p>
    <w:p w:rsidR="008558E2" w:rsidRPr="007A383F" w:rsidRDefault="008558E2" w:rsidP="008558E2">
      <w:pPr>
        <w:pStyle w:val="Questionintestimony"/>
      </w:pPr>
      <w:proofErr w:type="gramStart"/>
      <w:r>
        <w:t>Q.</w:t>
      </w:r>
      <w:r>
        <w:tab/>
      </w:r>
      <w:r w:rsidR="00F76B0F">
        <w:t>Please explain the a</w:t>
      </w:r>
      <w:r>
        <w:t xml:space="preserve">djustment </w:t>
      </w:r>
      <w:r w:rsidR="00F76B0F">
        <w:t>Staff</w:t>
      </w:r>
      <w:r w:rsidR="00D14A5E">
        <w:t xml:space="preserve"> propose</w:t>
      </w:r>
      <w:r w:rsidR="00F76B0F">
        <w:t>s</w:t>
      </w:r>
      <w:r>
        <w:t xml:space="preserve"> to the Company’s </w:t>
      </w:r>
      <w:r w:rsidR="008E4E04" w:rsidRPr="008E4E04">
        <w:t>computation</w:t>
      </w:r>
      <w:r>
        <w:t xml:space="preserve"> of total investor-supplied working capital?</w:t>
      </w:r>
      <w:proofErr w:type="gramEnd"/>
      <w:r>
        <w:t xml:space="preserve">  </w:t>
      </w:r>
    </w:p>
    <w:p w:rsidR="00954684" w:rsidRDefault="00D14A5E" w:rsidP="008558E2">
      <w:pPr>
        <w:spacing w:after="0" w:line="480" w:lineRule="auto"/>
        <w:ind w:left="720" w:hanging="720"/>
      </w:pPr>
      <w:r>
        <w:t>A.</w:t>
      </w:r>
      <w:r>
        <w:tab/>
      </w:r>
      <w:r w:rsidR="00A66A45">
        <w:t>Staff</w:t>
      </w:r>
      <w:r w:rsidR="000E5E1C">
        <w:t xml:space="preserve">’s proposed adjustment </w:t>
      </w:r>
      <w:r w:rsidR="00507C75">
        <w:t xml:space="preserve">removes </w:t>
      </w:r>
      <w:r w:rsidR="008816E9">
        <w:t xml:space="preserve">from </w:t>
      </w:r>
      <w:r w:rsidR="00F76B0F">
        <w:t xml:space="preserve">total </w:t>
      </w:r>
      <w:r w:rsidR="008816E9">
        <w:t>working capital</w:t>
      </w:r>
      <w:r w:rsidR="00B1598F">
        <w:t>,</w:t>
      </w:r>
      <w:r w:rsidR="008816E9">
        <w:t xml:space="preserve"> </w:t>
      </w:r>
      <w:r w:rsidR="00125779">
        <w:t xml:space="preserve">two </w:t>
      </w:r>
      <w:r w:rsidR="008816E9">
        <w:t xml:space="preserve">amounts related to </w:t>
      </w:r>
      <w:r w:rsidR="00844C37">
        <w:t xml:space="preserve">the </w:t>
      </w:r>
      <w:r w:rsidR="008816E9">
        <w:t>Crystal Mountain environmental remediation</w:t>
      </w:r>
      <w:r w:rsidR="00125779">
        <w:t>:  1)</w:t>
      </w:r>
      <w:r w:rsidR="00125779" w:rsidRPr="00125779">
        <w:t xml:space="preserve"> </w:t>
      </w:r>
      <w:r w:rsidR="00125779">
        <w:t>a Crystal Mountain insurance receivable of $7.5 million; and 2) an offsetting accrued liability of $624,000</w:t>
      </w:r>
      <w:r w:rsidR="008816E9">
        <w:t>.</w:t>
      </w:r>
      <w:r w:rsidR="00507C75">
        <w:t xml:space="preserve"> </w:t>
      </w:r>
      <w:r w:rsidR="00F039BD">
        <w:t xml:space="preserve"> </w:t>
      </w:r>
      <w:proofErr w:type="gramStart"/>
      <w:r w:rsidR="00125779">
        <w:t>R</w:t>
      </w:r>
      <w:r w:rsidR="008558E2">
        <w:t>emov</w:t>
      </w:r>
      <w:r w:rsidR="00125779">
        <w:t>ing these amounts</w:t>
      </w:r>
      <w:r w:rsidR="008558E2">
        <w:t xml:space="preserve"> from working capital </w:t>
      </w:r>
      <w:r w:rsidR="00125779">
        <w:t>results in their inclusion in</w:t>
      </w:r>
      <w:r w:rsidR="008558E2">
        <w:t xml:space="preserve"> non-operating investments</w:t>
      </w:r>
      <w:r w:rsidR="00125779">
        <w:t>.</w:t>
      </w:r>
      <w:proofErr w:type="gramEnd"/>
      <w:r w:rsidR="009542B0">
        <w:t xml:space="preserve">  </w:t>
      </w:r>
    </w:p>
    <w:p w:rsidR="00125779" w:rsidRDefault="00954684" w:rsidP="008558E2">
      <w:pPr>
        <w:spacing w:after="0" w:line="480" w:lineRule="auto"/>
        <w:ind w:left="720" w:hanging="720"/>
      </w:pPr>
      <w:r>
        <w:tab/>
      </w:r>
      <w:r>
        <w:tab/>
      </w:r>
      <w:r w:rsidR="009542B0">
        <w:t>Staff remov</w:t>
      </w:r>
      <w:r>
        <w:t>es</w:t>
      </w:r>
      <w:r w:rsidR="009542B0">
        <w:t xml:space="preserve"> the</w:t>
      </w:r>
      <w:r>
        <w:t>se</w:t>
      </w:r>
      <w:r w:rsidR="009542B0">
        <w:t xml:space="preserve"> Crystal Mountain amounts from working capital because Commission has not approved any deferral or petition for recovery </w:t>
      </w:r>
      <w:r>
        <w:t>of</w:t>
      </w:r>
      <w:r w:rsidR="0043291F">
        <w:t xml:space="preserve"> the costs.  Although the C</w:t>
      </w:r>
      <w:r w:rsidR="009542B0">
        <w:t>ompany requested deferral of the costs in Docket UE-070724</w:t>
      </w:r>
      <w:r w:rsidR="0043291F">
        <w:t>,</w:t>
      </w:r>
      <w:r w:rsidR="009542B0">
        <w:t xml:space="preserve"> </w:t>
      </w:r>
      <w:r w:rsidR="0043291F">
        <w:t xml:space="preserve">the request </w:t>
      </w:r>
      <w:r w:rsidR="009542B0">
        <w:t>was later withdrawn.</w:t>
      </w:r>
      <w:r w:rsidR="009542B0">
        <w:rPr>
          <w:rStyle w:val="FootnoteReference"/>
        </w:rPr>
        <w:footnoteReference w:id="2"/>
      </w:r>
      <w:r w:rsidR="009542B0">
        <w:t xml:space="preserve">    </w:t>
      </w:r>
    </w:p>
    <w:p w:rsidR="008558E2" w:rsidRDefault="00125779" w:rsidP="008558E2">
      <w:pPr>
        <w:spacing w:after="0" w:line="480" w:lineRule="auto"/>
        <w:ind w:left="720" w:hanging="720"/>
      </w:pPr>
      <w:r>
        <w:tab/>
      </w:r>
      <w:r>
        <w:tab/>
      </w:r>
      <w:r w:rsidR="00E12816">
        <w:t xml:space="preserve">The net </w:t>
      </w:r>
      <w:r>
        <w:t xml:space="preserve">effect of Staff’s </w:t>
      </w:r>
      <w:r w:rsidR="008558E2">
        <w:t>adjustment increase</w:t>
      </w:r>
      <w:r w:rsidR="00E12816">
        <w:t>s</w:t>
      </w:r>
      <w:r w:rsidR="008558E2">
        <w:t xml:space="preserve"> non-operating investments by $6.9 million, </w:t>
      </w:r>
      <w:r>
        <w:t xml:space="preserve">which </w:t>
      </w:r>
      <w:r w:rsidR="008558E2">
        <w:t>reduc</w:t>
      </w:r>
      <w:r>
        <w:t>es</w:t>
      </w:r>
      <w:r w:rsidR="008558E2">
        <w:t xml:space="preserve"> total investor-supplied working capital by the same amount</w:t>
      </w:r>
      <w:r>
        <w:t xml:space="preserve"> and </w:t>
      </w:r>
      <w:r w:rsidR="00E12816">
        <w:t>result</w:t>
      </w:r>
      <w:r>
        <w:t>s</w:t>
      </w:r>
      <w:r w:rsidR="00E12816">
        <w:t xml:space="preserve"> in a Staff total investor-supplied working capital of $188.5 million</w:t>
      </w:r>
      <w:r w:rsidR="008558E2">
        <w:t>.</w:t>
      </w:r>
    </w:p>
    <w:p w:rsidR="008558E2" w:rsidRDefault="008558E2" w:rsidP="008558E2">
      <w:pPr>
        <w:spacing w:after="0" w:line="480" w:lineRule="auto"/>
        <w:ind w:left="720" w:hanging="720"/>
      </w:pPr>
    </w:p>
    <w:p w:rsidR="007527E2" w:rsidRPr="007527E2" w:rsidRDefault="009D56BF" w:rsidP="008B7E78">
      <w:pPr>
        <w:pStyle w:val="Heading2"/>
      </w:pPr>
      <w:bookmarkStart w:id="7" w:name="_Toc246088119"/>
      <w:r>
        <w:lastRenderedPageBreak/>
        <w:t>C</w:t>
      </w:r>
      <w:r w:rsidR="007527E2">
        <w:t xml:space="preserve">.  </w:t>
      </w:r>
      <w:r w:rsidR="007527E2">
        <w:tab/>
      </w:r>
      <w:r w:rsidR="008F284B" w:rsidRPr="00954684">
        <w:t>Allocation</w:t>
      </w:r>
      <w:r w:rsidR="007527E2" w:rsidRPr="007527E2">
        <w:t xml:space="preserve"> of </w:t>
      </w:r>
      <w:r w:rsidR="007527E2">
        <w:t>T</w:t>
      </w:r>
      <w:r w:rsidR="007527E2" w:rsidRPr="007527E2">
        <w:t xml:space="preserve">otal </w:t>
      </w:r>
      <w:r w:rsidR="007527E2">
        <w:t>I</w:t>
      </w:r>
      <w:r w:rsidR="007527E2" w:rsidRPr="007527E2">
        <w:t>nvestor-</w:t>
      </w:r>
      <w:r w:rsidR="007527E2">
        <w:t>S</w:t>
      </w:r>
      <w:r w:rsidR="007527E2" w:rsidRPr="007527E2">
        <w:t xml:space="preserve">upplied </w:t>
      </w:r>
      <w:r w:rsidR="007527E2">
        <w:t>W</w:t>
      </w:r>
      <w:r w:rsidR="007527E2" w:rsidRPr="007527E2">
        <w:t xml:space="preserve">orking </w:t>
      </w:r>
      <w:r w:rsidR="007527E2">
        <w:t>C</w:t>
      </w:r>
      <w:r w:rsidR="007527E2" w:rsidRPr="007527E2">
        <w:t>apital</w:t>
      </w:r>
      <w:bookmarkEnd w:id="7"/>
    </w:p>
    <w:p w:rsidR="007527E2" w:rsidRDefault="007527E2" w:rsidP="00F039BD">
      <w:pPr>
        <w:keepNext/>
        <w:spacing w:after="0" w:line="480" w:lineRule="auto"/>
        <w:ind w:left="720" w:hanging="720"/>
      </w:pPr>
    </w:p>
    <w:p w:rsidR="008558E2" w:rsidRPr="007A383F" w:rsidRDefault="008558E2" w:rsidP="008558E2">
      <w:pPr>
        <w:pStyle w:val="Questionintestimony"/>
      </w:pPr>
      <w:r w:rsidRPr="00381B19">
        <w:t>Q.</w:t>
      </w:r>
      <w:r w:rsidRPr="00381B19">
        <w:tab/>
      </w:r>
      <w:r>
        <w:t>Briefly describe how total inv</w:t>
      </w:r>
      <w:r w:rsidR="00743A84">
        <w:t>estor-supplied working capital</w:t>
      </w:r>
      <w:r w:rsidR="00125779">
        <w:t>, once computed,</w:t>
      </w:r>
      <w:r w:rsidR="00743A84">
        <w:t xml:space="preserve"> </w:t>
      </w:r>
      <w:r>
        <w:t xml:space="preserve">is </w:t>
      </w:r>
      <w:r w:rsidRPr="00954684">
        <w:rPr>
          <w:i/>
        </w:rPr>
        <w:t>allocated</w:t>
      </w:r>
      <w:r>
        <w:t xml:space="preserve"> to the different </w:t>
      </w:r>
      <w:r w:rsidR="0077033E">
        <w:t xml:space="preserve">business </w:t>
      </w:r>
      <w:r>
        <w:t>segments.</w:t>
      </w:r>
    </w:p>
    <w:p w:rsidR="00743A84" w:rsidRDefault="008558E2" w:rsidP="008558E2">
      <w:pPr>
        <w:spacing w:after="0" w:line="480" w:lineRule="auto"/>
        <w:ind w:left="720" w:hanging="720"/>
      </w:pPr>
      <w:r>
        <w:t>A.</w:t>
      </w:r>
      <w:r>
        <w:tab/>
      </w:r>
      <w:r w:rsidR="00743A84">
        <w:t>Once total investor-supplied working capital is derived</w:t>
      </w:r>
      <w:r w:rsidR="0077033E">
        <w:t>,</w:t>
      </w:r>
      <w:r w:rsidR="00743A84">
        <w:t xml:space="preserve"> it must be allocated to the different operating and non-operating segments of the </w:t>
      </w:r>
      <w:r w:rsidR="0077033E">
        <w:t>C</w:t>
      </w:r>
      <w:r w:rsidR="00743A84">
        <w:t>ompany.  To correctly allocate</w:t>
      </w:r>
      <w:r w:rsidR="0077033E">
        <w:t>,</w:t>
      </w:r>
      <w:r w:rsidR="00743A84">
        <w:t xml:space="preserve"> we </w:t>
      </w:r>
      <w:r w:rsidR="0077033E">
        <w:t xml:space="preserve">must </w:t>
      </w:r>
      <w:r w:rsidR="00743A84">
        <w:t xml:space="preserve">assume a relationship between </w:t>
      </w:r>
      <w:r w:rsidR="0077033E">
        <w:t xml:space="preserve">the </w:t>
      </w:r>
      <w:r w:rsidR="00743A84">
        <w:t xml:space="preserve">total working capital amount and each of the operating segments.  </w:t>
      </w:r>
      <w:r w:rsidR="0077033E">
        <w:t>The assumption we make</w:t>
      </w:r>
      <w:r>
        <w:t xml:space="preserve"> is that the relationship of total </w:t>
      </w:r>
      <w:r w:rsidR="00743A84">
        <w:t xml:space="preserve">investor-supplied </w:t>
      </w:r>
      <w:r>
        <w:t xml:space="preserve">working capital to total </w:t>
      </w:r>
      <w:r w:rsidR="00836492">
        <w:t xml:space="preserve">average </w:t>
      </w:r>
      <w:r>
        <w:t xml:space="preserve">investment is the same relationship </w:t>
      </w:r>
      <w:r w:rsidR="00836492">
        <w:t xml:space="preserve">that each segment’s </w:t>
      </w:r>
      <w:r>
        <w:t xml:space="preserve">working capital </w:t>
      </w:r>
      <w:r w:rsidR="00836492">
        <w:t xml:space="preserve">has </w:t>
      </w:r>
      <w:r>
        <w:t>to</w:t>
      </w:r>
      <w:r w:rsidR="00836492">
        <w:t xml:space="preserve"> its related </w:t>
      </w:r>
      <w:r>
        <w:t>investment.</w:t>
      </w:r>
    </w:p>
    <w:p w:rsidR="007C218C" w:rsidRDefault="003E3301" w:rsidP="00743A84">
      <w:pPr>
        <w:spacing w:after="0" w:line="480" w:lineRule="auto"/>
        <w:ind w:left="720" w:firstLine="720"/>
      </w:pPr>
      <w:r>
        <w:t>For example</w:t>
      </w:r>
      <w:r w:rsidR="008558E2">
        <w:t xml:space="preserve">, if </w:t>
      </w:r>
      <w:r w:rsidR="00836492">
        <w:t xml:space="preserve">the computed total investor-supplied </w:t>
      </w:r>
      <w:r w:rsidR="008558E2">
        <w:t xml:space="preserve">working capital is </w:t>
      </w:r>
      <w:r w:rsidR="00743A84">
        <w:t>two</w:t>
      </w:r>
      <w:r w:rsidR="008558E2">
        <w:t xml:space="preserve"> percent of </w:t>
      </w:r>
      <w:r w:rsidR="00836492">
        <w:t xml:space="preserve">the </w:t>
      </w:r>
      <w:r w:rsidR="008558E2">
        <w:t xml:space="preserve">total </w:t>
      </w:r>
      <w:r w:rsidR="00836492">
        <w:t xml:space="preserve">average </w:t>
      </w:r>
      <w:r w:rsidR="008558E2">
        <w:t xml:space="preserve">investment, then </w:t>
      </w:r>
      <w:r w:rsidR="00836492">
        <w:t xml:space="preserve">it is assumed that </w:t>
      </w:r>
      <w:r w:rsidR="005979F5">
        <w:t xml:space="preserve">each segment’s </w:t>
      </w:r>
      <w:r w:rsidR="008558E2">
        <w:t xml:space="preserve">working capital will </w:t>
      </w:r>
      <w:r w:rsidR="005979F5">
        <w:t xml:space="preserve">also </w:t>
      </w:r>
      <w:r w:rsidR="008558E2">
        <w:t xml:space="preserve">be </w:t>
      </w:r>
      <w:r w:rsidR="00743A84">
        <w:t>two</w:t>
      </w:r>
      <w:r w:rsidR="008558E2">
        <w:t xml:space="preserve"> percent of </w:t>
      </w:r>
      <w:r w:rsidR="005979F5">
        <w:t xml:space="preserve">each </w:t>
      </w:r>
      <w:r w:rsidR="008558E2">
        <w:t xml:space="preserve">segment’s average investment.  This relationship is called the </w:t>
      </w:r>
      <w:r w:rsidR="00125779">
        <w:t>“</w:t>
      </w:r>
      <w:r w:rsidR="008E4E04" w:rsidRPr="008E4E04">
        <w:t>Working Capital Ratio</w:t>
      </w:r>
      <w:r w:rsidR="00125779">
        <w:t>”</w:t>
      </w:r>
      <w:r w:rsidR="008558E2">
        <w:t xml:space="preserve">.  </w:t>
      </w:r>
      <w:r w:rsidR="005979F5">
        <w:t xml:space="preserve">To allocate total investor-supplied working capital, the </w:t>
      </w:r>
      <w:r w:rsidR="0077033E">
        <w:t>W</w:t>
      </w:r>
      <w:r w:rsidR="005979F5">
        <w:t xml:space="preserve">orking </w:t>
      </w:r>
      <w:r w:rsidR="0077033E">
        <w:t>C</w:t>
      </w:r>
      <w:r w:rsidR="005979F5">
        <w:t xml:space="preserve">apital </w:t>
      </w:r>
      <w:r w:rsidR="0077033E">
        <w:t>R</w:t>
      </w:r>
      <w:r w:rsidR="005979F5">
        <w:t>atio is applied to each operating segment</w:t>
      </w:r>
      <w:r w:rsidR="00743A84">
        <w:t>’</w:t>
      </w:r>
      <w:r w:rsidR="005979F5">
        <w:t xml:space="preserve">s total average investment. </w:t>
      </w:r>
      <w:r w:rsidR="00743A84">
        <w:t xml:space="preserve"> </w:t>
      </w:r>
      <w:r w:rsidR="0077033E">
        <w:t>T</w:t>
      </w:r>
      <w:r w:rsidR="005979F5">
        <w:t xml:space="preserve">he result is the working capital allowance </w:t>
      </w:r>
      <w:r w:rsidR="00743A84">
        <w:t>included</w:t>
      </w:r>
      <w:r w:rsidR="005979F5">
        <w:t xml:space="preserve"> in rate base for</w:t>
      </w:r>
      <w:r w:rsidR="00743A84">
        <w:t xml:space="preserve"> </w:t>
      </w:r>
      <w:r w:rsidR="005979F5">
        <w:t xml:space="preserve">PSE’s electric and gas operations.  </w:t>
      </w:r>
    </w:p>
    <w:p w:rsidR="007C218C" w:rsidRDefault="007C218C" w:rsidP="00743A84">
      <w:pPr>
        <w:spacing w:after="0" w:line="480" w:lineRule="auto"/>
        <w:ind w:left="720" w:firstLine="720"/>
      </w:pPr>
    </w:p>
    <w:p w:rsidR="007C218C" w:rsidRDefault="000E72DF" w:rsidP="007C218C">
      <w:pPr>
        <w:pStyle w:val="Questionintestimony"/>
      </w:pPr>
      <w:proofErr w:type="gramStart"/>
      <w:r>
        <w:t>Q.</w:t>
      </w:r>
      <w:r>
        <w:tab/>
        <w:t xml:space="preserve">Please </w:t>
      </w:r>
      <w:r w:rsidR="00E12816">
        <w:t>summarize</w:t>
      </w:r>
      <w:r w:rsidR="007C218C" w:rsidRPr="007A383F">
        <w:t xml:space="preserve"> the </w:t>
      </w:r>
      <w:r w:rsidR="007C218C">
        <w:t>Company’s proposed allocation of its total investor-supplied working capital</w:t>
      </w:r>
      <w:r w:rsidR="007C218C" w:rsidRPr="007A383F">
        <w:t>?</w:t>
      </w:r>
      <w:proofErr w:type="gramEnd"/>
    </w:p>
    <w:p w:rsidR="007C218C" w:rsidRDefault="007C218C" w:rsidP="007C218C">
      <w:pPr>
        <w:pStyle w:val="AnswerinTestimony"/>
      </w:pPr>
      <w:r>
        <w:t>A.</w:t>
      </w:r>
      <w:r>
        <w:tab/>
        <w:t xml:space="preserve">PSE is proposing a total investor-supplied working capital of $195 million.  Of that amount, the Company proposes to allocate $130.7 million to its electric operations </w:t>
      </w:r>
      <w:r>
        <w:lastRenderedPageBreak/>
        <w:t>and $51.1 million to its gas operations.   The remaining $13.6 million is allocated to non-operating.</w:t>
      </w:r>
    </w:p>
    <w:p w:rsidR="007C218C" w:rsidRDefault="007C218C" w:rsidP="007C218C">
      <w:pPr>
        <w:pStyle w:val="AnswerinTestimony"/>
      </w:pPr>
    </w:p>
    <w:p w:rsidR="007C218C" w:rsidRPr="000D6D7B" w:rsidRDefault="007C218C" w:rsidP="007C218C">
      <w:pPr>
        <w:spacing w:after="0" w:line="480" w:lineRule="auto"/>
        <w:ind w:left="720" w:hanging="720"/>
        <w:rPr>
          <w:b/>
        </w:rPr>
      </w:pPr>
      <w:r>
        <w:rPr>
          <w:b/>
        </w:rPr>
        <w:t>Q.</w:t>
      </w:r>
      <w:r>
        <w:rPr>
          <w:b/>
        </w:rPr>
        <w:tab/>
        <w:t>Is the methodology used by PSE to</w:t>
      </w:r>
      <w:r w:rsidRPr="00C00736">
        <w:rPr>
          <w:b/>
          <w:i/>
        </w:rPr>
        <w:t xml:space="preserve"> allocate</w:t>
      </w:r>
      <w:r>
        <w:rPr>
          <w:b/>
        </w:rPr>
        <w:t xml:space="preserve"> total investor-supplied working capital consistent with the method it used in its prior general rate case?</w:t>
      </w:r>
    </w:p>
    <w:p w:rsidR="007C218C" w:rsidRDefault="007C218C" w:rsidP="007C218C">
      <w:pPr>
        <w:pStyle w:val="AnswerinTestimony"/>
      </w:pPr>
      <w:r w:rsidRPr="000D6D7B">
        <w:t>A.</w:t>
      </w:r>
      <w:r w:rsidRPr="000D6D7B">
        <w:tab/>
      </w:r>
      <w:r>
        <w:t xml:space="preserve">No.  In the prior case, PSE did not reduce the gas operation’s total investment by Construction Work in Progress (“CWIP”) in order to compute the </w:t>
      </w:r>
      <w:r w:rsidR="008F284B" w:rsidRPr="008F284B">
        <w:t>Working Capital Ratio</w:t>
      </w:r>
      <w:r w:rsidRPr="000E72DF">
        <w:t>,</w:t>
      </w:r>
      <w:r>
        <w:t xml:space="preserve"> even though in the same case it reduced the electric operation’s total investment for CWIP.  </w:t>
      </w:r>
    </w:p>
    <w:p w:rsidR="007C218C" w:rsidRDefault="007C218C" w:rsidP="007C218C">
      <w:pPr>
        <w:pStyle w:val="AnswerinTestimony"/>
      </w:pPr>
      <w:r>
        <w:tab/>
      </w:r>
      <w:r>
        <w:tab/>
        <w:t>In contrast, in the current case, the Company has proposed a CWIP deduction for both operating segments including its gas segment.</w:t>
      </w:r>
      <w:r>
        <w:rPr>
          <w:rStyle w:val="FootnoteReference"/>
        </w:rPr>
        <w:footnoteReference w:id="3"/>
      </w:r>
      <w:r>
        <w:t xml:space="preserve">  However, as discussed below, th</w:t>
      </w:r>
      <w:r w:rsidR="00125779">
        <w:t>at</w:t>
      </w:r>
      <w:r>
        <w:t xml:space="preserve"> change did not go far enough to be fully consistent with Staff’s position that all CWIP should be removed prior to computing the </w:t>
      </w:r>
      <w:r w:rsidR="000E72DF">
        <w:t>W</w:t>
      </w:r>
      <w:r>
        <w:t xml:space="preserve">orking </w:t>
      </w:r>
      <w:r w:rsidR="000E72DF">
        <w:t>C</w:t>
      </w:r>
      <w:r>
        <w:t xml:space="preserve">apital </w:t>
      </w:r>
      <w:r w:rsidR="000E72DF">
        <w:t>R</w:t>
      </w:r>
      <w:r>
        <w:t>atio.</w:t>
      </w:r>
      <w:r w:rsidR="00125779">
        <w:t xml:space="preserve">  Staff, therefore, present</w:t>
      </w:r>
      <w:r w:rsidR="00B72A11">
        <w:t xml:space="preserve">s an adjustment </w:t>
      </w:r>
      <w:r w:rsidR="00125779">
        <w:t xml:space="preserve">to </w:t>
      </w:r>
      <w:r w:rsidR="00B72A11">
        <w:t>remove all CWIP from the development of the Working Capital Ratio.</w:t>
      </w:r>
    </w:p>
    <w:p w:rsidR="007C218C" w:rsidRDefault="007C218C" w:rsidP="007C218C">
      <w:pPr>
        <w:pStyle w:val="AnswerinTestimony"/>
        <w:ind w:firstLine="720"/>
      </w:pPr>
      <w:r>
        <w:t xml:space="preserve"> Other than this change, the Company’s methodology for the allocation of </w:t>
      </w:r>
      <w:r w:rsidRPr="00C00736">
        <w:t>total investor-supplied working capital</w:t>
      </w:r>
      <w:r>
        <w:rPr>
          <w:b/>
        </w:rPr>
        <w:t xml:space="preserve"> </w:t>
      </w:r>
      <w:r>
        <w:t>is consistent with the prior case</w:t>
      </w:r>
      <w:r w:rsidR="00B72A11">
        <w:t xml:space="preserve"> and has been accepted by Staff</w:t>
      </w:r>
      <w:r>
        <w:t xml:space="preserve">. </w:t>
      </w:r>
    </w:p>
    <w:p w:rsidR="007C218C" w:rsidRDefault="007C218C" w:rsidP="007C218C">
      <w:pPr>
        <w:pStyle w:val="AnswerinTestimony"/>
        <w:ind w:firstLine="720"/>
      </w:pPr>
    </w:p>
    <w:p w:rsidR="007C218C" w:rsidRPr="007A383F" w:rsidRDefault="007C218C" w:rsidP="007C218C">
      <w:pPr>
        <w:pStyle w:val="Questionintestimony"/>
      </w:pPr>
      <w:proofErr w:type="gramStart"/>
      <w:r>
        <w:t>Q.</w:t>
      </w:r>
      <w:r>
        <w:tab/>
        <w:t>Please discuss in more detail your adjustment to the Company’s computation of the Working Capital Ratio?</w:t>
      </w:r>
      <w:proofErr w:type="gramEnd"/>
      <w:r>
        <w:t xml:space="preserve">  </w:t>
      </w:r>
    </w:p>
    <w:p w:rsidR="007C218C" w:rsidRDefault="007C218C" w:rsidP="007C218C">
      <w:pPr>
        <w:pStyle w:val="AnswerinTestimony"/>
      </w:pPr>
      <w:r>
        <w:lastRenderedPageBreak/>
        <w:t>A.</w:t>
      </w:r>
      <w:r>
        <w:tab/>
        <w:t xml:space="preserve">In Company witness Story’s </w:t>
      </w:r>
      <w:r w:rsidRPr="00CF7AA5">
        <w:t xml:space="preserve">Exhibit No. </w:t>
      </w:r>
      <w:proofErr w:type="gramStart"/>
      <w:r w:rsidRPr="00CF7AA5">
        <w:t>JHS-</w:t>
      </w:r>
      <w:r>
        <w:t>3,</w:t>
      </w:r>
      <w:r w:rsidRPr="00CF7AA5">
        <w:t xml:space="preserve"> Page</w:t>
      </w:r>
      <w:r>
        <w:t xml:space="preserve"> 3</w:t>
      </w:r>
      <w:r w:rsidRPr="00CF7AA5">
        <w:t>.0</w:t>
      </w:r>
      <w:r>
        <w:t xml:space="preserve">4 for PSE’s electric operations and Company witness </w:t>
      </w:r>
      <w:proofErr w:type="spellStart"/>
      <w:r>
        <w:t>Stranik’s</w:t>
      </w:r>
      <w:proofErr w:type="spellEnd"/>
      <w:r>
        <w:t xml:space="preserve"> </w:t>
      </w:r>
      <w:r w:rsidRPr="00CF7AA5">
        <w:t>Exhibit No.</w:t>
      </w:r>
      <w:proofErr w:type="gramEnd"/>
      <w:r w:rsidRPr="00CF7AA5">
        <w:t xml:space="preserve"> </w:t>
      </w:r>
      <w:r>
        <w:t>MJS</w:t>
      </w:r>
      <w:r w:rsidRPr="00CF7AA5">
        <w:t>-</w:t>
      </w:r>
      <w:r>
        <w:t>3,</w:t>
      </w:r>
      <w:r w:rsidRPr="00CF7AA5">
        <w:t xml:space="preserve"> Page </w:t>
      </w:r>
      <w:r>
        <w:t>3</w:t>
      </w:r>
      <w:r w:rsidRPr="00CF7AA5">
        <w:t>.0</w:t>
      </w:r>
      <w:r>
        <w:t>4 for PSE’s natural gas operations, the Company correctly reduce</w:t>
      </w:r>
      <w:r w:rsidR="00B72A11">
        <w:t>s</w:t>
      </w:r>
      <w:r w:rsidR="00B24F1E">
        <w:t xml:space="preserve"> </w:t>
      </w:r>
      <w:r>
        <w:t xml:space="preserve">total investment by the amount of its CWIP.  However, the Company’s CWIP adjustments only reduce the electric computation by CWIP solely related to electric operations.  Similarly, total investment for gas is reduced only for gas-related CWIP. </w:t>
      </w:r>
    </w:p>
    <w:p w:rsidR="007C218C" w:rsidRDefault="007C218C" w:rsidP="007C218C">
      <w:pPr>
        <w:pStyle w:val="AnswerinTestimony"/>
      </w:pPr>
      <w:r>
        <w:tab/>
      </w:r>
      <w:r>
        <w:tab/>
      </w:r>
      <w:r w:rsidR="00B24F1E">
        <w:t>The W</w:t>
      </w:r>
      <w:r>
        <w:t xml:space="preserve">orking </w:t>
      </w:r>
      <w:r w:rsidR="00B24F1E">
        <w:t>C</w:t>
      </w:r>
      <w:r>
        <w:t xml:space="preserve">apital </w:t>
      </w:r>
      <w:r w:rsidR="00B24F1E">
        <w:t>R</w:t>
      </w:r>
      <w:r>
        <w:t xml:space="preserve">atio </w:t>
      </w:r>
      <w:r w:rsidR="00B24F1E">
        <w:t>should be</w:t>
      </w:r>
      <w:r>
        <w:t xml:space="preserve"> computed without the inclusion of any</w:t>
      </w:r>
      <w:r w:rsidR="000E72DF">
        <w:t xml:space="preserve"> CWIP because </w:t>
      </w:r>
      <w:r>
        <w:t>CWIP does not use or produce working capital and</w:t>
      </w:r>
      <w:r w:rsidR="00B24F1E">
        <w:t>,</w:t>
      </w:r>
      <w:r>
        <w:t xml:space="preserve"> therefore</w:t>
      </w:r>
      <w:r w:rsidR="00B24F1E">
        <w:t>,</w:t>
      </w:r>
      <w:r>
        <w:t xml:space="preserve"> should not be used as a component of a working capital allocator.  </w:t>
      </w:r>
      <w:r w:rsidR="00B24F1E">
        <w:t xml:space="preserve">Therefore, </w:t>
      </w:r>
      <w:r>
        <w:t xml:space="preserve">all CWIP must be removed prior to the computation of the </w:t>
      </w:r>
      <w:r w:rsidR="00B24F1E">
        <w:t>Working C</w:t>
      </w:r>
      <w:r>
        <w:t xml:space="preserve">apital </w:t>
      </w:r>
      <w:r w:rsidR="00B24F1E">
        <w:t>R</w:t>
      </w:r>
      <w:r>
        <w:t xml:space="preserve">atio.  Staff’s proposed adjustment reduces total investment for the additional CWIP amounts not recognized by the Company </w:t>
      </w:r>
      <w:r w:rsidR="00B24F1E">
        <w:t>in its allocation to</w:t>
      </w:r>
      <w:r>
        <w:t xml:space="preserve"> both its electric and gas operations.</w:t>
      </w:r>
    </w:p>
    <w:p w:rsidR="007C218C" w:rsidRDefault="007C218C" w:rsidP="007C218C">
      <w:pPr>
        <w:pStyle w:val="AnswerinTestimony"/>
      </w:pPr>
    </w:p>
    <w:p w:rsidR="007C218C" w:rsidRDefault="00954684" w:rsidP="007C218C">
      <w:pPr>
        <w:pStyle w:val="AnswerinTestimony"/>
      </w:pPr>
      <w:r>
        <w:rPr>
          <w:b/>
        </w:rPr>
        <w:t>Q.</w:t>
      </w:r>
      <w:r>
        <w:rPr>
          <w:b/>
        </w:rPr>
        <w:tab/>
        <w:t>Does Staff’s</w:t>
      </w:r>
      <w:r w:rsidR="007C218C">
        <w:rPr>
          <w:b/>
        </w:rPr>
        <w:t xml:space="preserve"> adjustment affect the total investor-supplied working capital computed on your Exhibit </w:t>
      </w:r>
      <w:proofErr w:type="gramStart"/>
      <w:r w:rsidR="007C218C">
        <w:rPr>
          <w:b/>
        </w:rPr>
        <w:t>No.</w:t>
      </w:r>
      <w:proofErr w:type="gramEnd"/>
      <w:r w:rsidR="007C218C">
        <w:rPr>
          <w:b/>
        </w:rPr>
        <w:t xml:space="preserve"> </w:t>
      </w:r>
      <w:proofErr w:type="gramStart"/>
      <w:r w:rsidR="007C218C">
        <w:rPr>
          <w:b/>
        </w:rPr>
        <w:t>DPK-2?</w:t>
      </w:r>
      <w:proofErr w:type="gramEnd"/>
    </w:p>
    <w:p w:rsidR="007C218C" w:rsidRDefault="007C218C" w:rsidP="007C218C">
      <w:pPr>
        <w:pStyle w:val="AnswerinTestimony"/>
      </w:pPr>
      <w:r>
        <w:t>A.</w:t>
      </w:r>
      <w:r>
        <w:tab/>
        <w:t>No.  This adjustment does not affect Staff’s total investor-supplied working capital, which stays at $</w:t>
      </w:r>
      <w:r w:rsidR="00E12816">
        <w:t>188.5</w:t>
      </w:r>
      <w:r>
        <w:t xml:space="preserve"> million.  It does, however</w:t>
      </w:r>
      <w:r w:rsidR="00B24F1E">
        <w:t>,</w:t>
      </w:r>
      <w:r>
        <w:t xml:space="preserve"> effect</w:t>
      </w:r>
      <w:r w:rsidR="00947656">
        <w:t xml:space="preserve"> </w:t>
      </w:r>
      <w:r>
        <w:t>the allocation of the $1</w:t>
      </w:r>
      <w:r w:rsidR="00947656">
        <w:t>88</w:t>
      </w:r>
      <w:r>
        <w:t xml:space="preserve">.5 million to the different </w:t>
      </w:r>
      <w:r w:rsidR="00B24F1E">
        <w:t xml:space="preserve">business </w:t>
      </w:r>
      <w:r>
        <w:t xml:space="preserve">segments, including non-operating.  </w:t>
      </w:r>
    </w:p>
    <w:p w:rsidR="007C218C" w:rsidRDefault="007C218C" w:rsidP="007C218C">
      <w:pPr>
        <w:pStyle w:val="AnswerinTestimony"/>
      </w:pPr>
      <w:r>
        <w:t xml:space="preserve"> </w:t>
      </w:r>
    </w:p>
    <w:p w:rsidR="007C218C" w:rsidRDefault="0052370B" w:rsidP="007C218C">
      <w:pPr>
        <w:pStyle w:val="AnswerinTestimony"/>
      </w:pPr>
      <w:r>
        <w:rPr>
          <w:b/>
        </w:rPr>
        <w:t>Q.</w:t>
      </w:r>
      <w:r>
        <w:rPr>
          <w:b/>
        </w:rPr>
        <w:tab/>
        <w:t>What is the result of Staff’s adjustment to</w:t>
      </w:r>
      <w:r w:rsidR="007C218C">
        <w:rPr>
          <w:b/>
        </w:rPr>
        <w:t xml:space="preserve"> </w:t>
      </w:r>
      <w:r w:rsidR="00B24F1E">
        <w:rPr>
          <w:b/>
        </w:rPr>
        <w:t xml:space="preserve">the allocation of total working </w:t>
      </w:r>
      <w:r w:rsidR="00B72A11">
        <w:rPr>
          <w:b/>
        </w:rPr>
        <w:t xml:space="preserve">capital </w:t>
      </w:r>
      <w:r w:rsidR="007C218C">
        <w:rPr>
          <w:b/>
        </w:rPr>
        <w:t xml:space="preserve">to the different operating </w:t>
      </w:r>
      <w:proofErr w:type="gramStart"/>
      <w:r w:rsidR="007C218C">
        <w:rPr>
          <w:b/>
        </w:rPr>
        <w:t>segments.</w:t>
      </w:r>
      <w:proofErr w:type="gramEnd"/>
      <w:r w:rsidR="007C218C">
        <w:rPr>
          <w:b/>
        </w:rPr>
        <w:t xml:space="preserve"> </w:t>
      </w:r>
    </w:p>
    <w:p w:rsidR="007C218C" w:rsidRDefault="007C218C" w:rsidP="007C218C">
      <w:pPr>
        <w:pStyle w:val="AnswerinTestimony"/>
      </w:pPr>
      <w:r>
        <w:t>A.</w:t>
      </w:r>
      <w:r>
        <w:tab/>
        <w:t>This a</w:t>
      </w:r>
      <w:r w:rsidR="00B24F1E">
        <w:t xml:space="preserve">djustment to </w:t>
      </w:r>
      <w:r>
        <w:t xml:space="preserve">the </w:t>
      </w:r>
      <w:r w:rsidR="00B24F1E">
        <w:t>W</w:t>
      </w:r>
      <w:r>
        <w:t xml:space="preserve">orking </w:t>
      </w:r>
      <w:r w:rsidR="00B24F1E">
        <w:t>C</w:t>
      </w:r>
      <w:r>
        <w:t xml:space="preserve">apital </w:t>
      </w:r>
      <w:r w:rsidR="00B24F1E">
        <w:t>R</w:t>
      </w:r>
      <w:r>
        <w:t>atio</w:t>
      </w:r>
      <w:r w:rsidR="00947656">
        <w:t>,</w:t>
      </w:r>
      <w:r>
        <w:t xml:space="preserve"> </w:t>
      </w:r>
      <w:r w:rsidR="00947656">
        <w:t xml:space="preserve">combined with the decrease in total investor-supplied working capital, decreases the </w:t>
      </w:r>
      <w:r w:rsidR="00B72A11">
        <w:t xml:space="preserve">Company’s </w:t>
      </w:r>
      <w:r w:rsidR="00947656">
        <w:t xml:space="preserve">amount allocated to </w:t>
      </w:r>
      <w:r w:rsidR="00947656">
        <w:lastRenderedPageBreak/>
        <w:t xml:space="preserve">electric </w:t>
      </w:r>
      <w:r w:rsidR="00B72A11">
        <w:t xml:space="preserve">operations </w:t>
      </w:r>
      <w:r w:rsidR="00947656">
        <w:t>by $3 million</w:t>
      </w:r>
      <w:r w:rsidR="00B72A11">
        <w:t>,</w:t>
      </w:r>
      <w:r w:rsidR="00947656">
        <w:t xml:space="preserve"> whereas the </w:t>
      </w:r>
      <w:r w:rsidR="00B72A11">
        <w:t>Company</w:t>
      </w:r>
      <w:r w:rsidR="00866E7A">
        <w:t>’s</w:t>
      </w:r>
      <w:r w:rsidR="00B72A11">
        <w:t xml:space="preserve"> </w:t>
      </w:r>
      <w:r w:rsidR="00947656">
        <w:t>amount allocated to</w:t>
      </w:r>
      <w:r>
        <w:t xml:space="preserve"> gas operations </w:t>
      </w:r>
      <w:r w:rsidR="00947656">
        <w:t xml:space="preserve">increases by only $173,813. </w:t>
      </w:r>
      <w:proofErr w:type="gramStart"/>
      <w:r w:rsidR="00947656">
        <w:t>T</w:t>
      </w:r>
      <w:r>
        <w:t xml:space="preserve">he amount of total working capital allocated </w:t>
      </w:r>
      <w:r w:rsidR="00B72A11">
        <w:t xml:space="preserve">by PSE </w:t>
      </w:r>
      <w:r>
        <w:t xml:space="preserve">to non-operating </w:t>
      </w:r>
      <w:r w:rsidR="00A428A8">
        <w:t>decrease</w:t>
      </w:r>
      <w:r w:rsidR="00B72A11">
        <w:t>s</w:t>
      </w:r>
      <w:r w:rsidR="00A428A8">
        <w:t xml:space="preserve"> </w:t>
      </w:r>
      <w:r>
        <w:t>by $</w:t>
      </w:r>
      <w:r w:rsidR="00947656">
        <w:t>4</w:t>
      </w:r>
      <w:r>
        <w:t>.</w:t>
      </w:r>
      <w:r w:rsidR="00947656">
        <w:t>0</w:t>
      </w:r>
      <w:r>
        <w:t xml:space="preserve"> million</w:t>
      </w:r>
      <w:r w:rsidR="00866E7A">
        <w:t>, as a result of Staf</w:t>
      </w:r>
      <w:r w:rsidR="007A158C">
        <w:t>f</w:t>
      </w:r>
      <w:r w:rsidR="00866E7A">
        <w:t>’s adjustment</w:t>
      </w:r>
      <w:r>
        <w:t>.</w:t>
      </w:r>
      <w:proofErr w:type="gramEnd"/>
      <w:r>
        <w:t xml:space="preserve"> </w:t>
      </w:r>
    </w:p>
    <w:p w:rsidR="007C218C" w:rsidRDefault="007C218C" w:rsidP="007C218C">
      <w:pPr>
        <w:pStyle w:val="AnswerinTestimony"/>
      </w:pPr>
    </w:p>
    <w:p w:rsidR="007C218C" w:rsidRDefault="007C218C" w:rsidP="007C218C">
      <w:pPr>
        <w:pStyle w:val="Questionintestimony"/>
      </w:pPr>
      <w:r w:rsidRPr="007A383F">
        <w:t>Q.</w:t>
      </w:r>
      <w:r w:rsidRPr="007A383F">
        <w:tab/>
      </w:r>
      <w:r w:rsidR="00954684">
        <w:t xml:space="preserve">Have you prepared an exhibit that </w:t>
      </w:r>
      <w:r w:rsidR="0052370B">
        <w:t xml:space="preserve">summarizes </w:t>
      </w:r>
      <w:r w:rsidR="00954684">
        <w:t xml:space="preserve">Staff’s </w:t>
      </w:r>
      <w:r w:rsidR="00B24F1E">
        <w:t xml:space="preserve">allocation of its </w:t>
      </w:r>
      <w:r>
        <w:t>total investor-supplied working capital</w:t>
      </w:r>
      <w:r w:rsidRPr="007A383F">
        <w:t>?</w:t>
      </w:r>
    </w:p>
    <w:p w:rsidR="000207B8" w:rsidRDefault="007C218C">
      <w:pPr>
        <w:pStyle w:val="AnswerinTestimony"/>
      </w:pPr>
      <w:r>
        <w:t>A.</w:t>
      </w:r>
      <w:r>
        <w:tab/>
      </w:r>
      <w:r w:rsidR="0052370B">
        <w:t xml:space="preserve">Yes.  </w:t>
      </w:r>
      <w:r w:rsidR="00866E7A" w:rsidRPr="008F284B">
        <w:t xml:space="preserve">Exhibit No. </w:t>
      </w:r>
      <w:r w:rsidR="00866E7A">
        <w:t>DPK-3,</w:t>
      </w:r>
      <w:r w:rsidR="00866E7A" w:rsidRPr="008F284B">
        <w:t xml:space="preserve"> </w:t>
      </w:r>
      <w:r w:rsidR="008E4E04" w:rsidRPr="008E4E04">
        <w:t>Staff Allocation of Total Investor-Supplied Working Capital,</w:t>
      </w:r>
      <w:r w:rsidR="00866E7A" w:rsidRPr="008F284B">
        <w:t xml:space="preserve"> </w:t>
      </w:r>
      <w:r w:rsidR="00866E7A">
        <w:t>compares</w:t>
      </w:r>
      <w:r w:rsidR="00866E7A" w:rsidRPr="008F284B">
        <w:t xml:space="preserve"> </w:t>
      </w:r>
      <w:r w:rsidR="0052370B">
        <w:t>the Company</w:t>
      </w:r>
      <w:r w:rsidR="00866E7A">
        <w:t xml:space="preserve"> and </w:t>
      </w:r>
      <w:r w:rsidR="0052370B">
        <w:t>Staff</w:t>
      </w:r>
      <w:r w:rsidR="00866E7A" w:rsidRPr="008F284B">
        <w:t xml:space="preserve"> </w:t>
      </w:r>
      <w:r w:rsidR="00866E7A">
        <w:t xml:space="preserve">proposed </w:t>
      </w:r>
      <w:r w:rsidR="00866E7A" w:rsidRPr="008F284B">
        <w:t xml:space="preserve">allocation of total investor-supplied working capital. </w:t>
      </w:r>
      <w:r w:rsidR="00866E7A">
        <w:t xml:space="preserve"> </w:t>
      </w:r>
      <w:r w:rsidR="00DA657A">
        <w:t>As shown on Exhibit No. DPK-3, a</w:t>
      </w:r>
      <w:r>
        <w:t xml:space="preserve">fter </w:t>
      </w:r>
      <w:r w:rsidR="00DA657A">
        <w:t xml:space="preserve">its </w:t>
      </w:r>
      <w:r>
        <w:t xml:space="preserve">proposed </w:t>
      </w:r>
      <w:r w:rsidR="00DA7E5E">
        <w:t>adjustments, Staff allocates $127</w:t>
      </w:r>
      <w:r>
        <w:t>.</w:t>
      </w:r>
      <w:r w:rsidR="00C87EAD">
        <w:t>7</w:t>
      </w:r>
      <w:r w:rsidR="00DA657A">
        <w:t xml:space="preserve"> million to electric operations,</w:t>
      </w:r>
      <w:r>
        <w:t xml:space="preserve"> $5</w:t>
      </w:r>
      <w:r w:rsidR="00C87EAD">
        <w:t>1.3</w:t>
      </w:r>
      <w:r>
        <w:t xml:space="preserve"> million to gas operations, and the remaining $</w:t>
      </w:r>
      <w:r w:rsidR="00C87EAD">
        <w:t>9.5</w:t>
      </w:r>
      <w:r>
        <w:t xml:space="preserve"> million to non-operating.</w:t>
      </w:r>
    </w:p>
    <w:p w:rsidR="00C03D95" w:rsidRPr="003E3301" w:rsidRDefault="00C03D95" w:rsidP="003E3301">
      <w:pPr>
        <w:spacing w:after="0" w:line="480" w:lineRule="auto"/>
        <w:ind w:left="720" w:hanging="720"/>
      </w:pPr>
    </w:p>
    <w:p w:rsidR="0071754E" w:rsidRPr="00866E7A" w:rsidRDefault="0071754E" w:rsidP="0071754E">
      <w:pPr>
        <w:spacing w:after="0" w:line="480" w:lineRule="auto"/>
        <w:ind w:left="720" w:hanging="720"/>
        <w:rPr>
          <w:b/>
        </w:rPr>
      </w:pPr>
      <w:r w:rsidRPr="007A383F">
        <w:rPr>
          <w:b/>
        </w:rPr>
        <w:t>Q.</w:t>
      </w:r>
      <w:r w:rsidRPr="007A383F">
        <w:rPr>
          <w:b/>
        </w:rPr>
        <w:tab/>
      </w:r>
      <w:r>
        <w:rPr>
          <w:b/>
        </w:rPr>
        <w:t xml:space="preserve">Please describe your </w:t>
      </w:r>
      <w:r w:rsidR="008558E2">
        <w:rPr>
          <w:b/>
        </w:rPr>
        <w:t>E</w:t>
      </w:r>
      <w:r>
        <w:rPr>
          <w:b/>
        </w:rPr>
        <w:t xml:space="preserve">xhibit </w:t>
      </w:r>
      <w:r w:rsidR="008558E2">
        <w:rPr>
          <w:b/>
        </w:rPr>
        <w:t xml:space="preserve">No. </w:t>
      </w:r>
      <w:proofErr w:type="gramStart"/>
      <w:r w:rsidR="00BE4FF6">
        <w:rPr>
          <w:b/>
        </w:rPr>
        <w:t>DPK-3</w:t>
      </w:r>
      <w:r w:rsidR="003E3301">
        <w:rPr>
          <w:b/>
        </w:rPr>
        <w:t>,</w:t>
      </w:r>
      <w:r>
        <w:rPr>
          <w:b/>
        </w:rPr>
        <w:t xml:space="preserve"> </w:t>
      </w:r>
      <w:r w:rsidR="008E4E04" w:rsidRPr="008E4E04">
        <w:rPr>
          <w:b/>
        </w:rPr>
        <w:t>Allocation of Total Investor-Supplied Working Capital</w:t>
      </w:r>
      <w:r w:rsidRPr="00866E7A">
        <w:rPr>
          <w:b/>
        </w:rPr>
        <w:t>.</w:t>
      </w:r>
      <w:proofErr w:type="gramEnd"/>
      <w:r w:rsidRPr="00866E7A">
        <w:rPr>
          <w:b/>
        </w:rPr>
        <w:t xml:space="preserve"> </w:t>
      </w:r>
    </w:p>
    <w:p w:rsidR="0087050A" w:rsidRDefault="0071754E" w:rsidP="0087050A">
      <w:pPr>
        <w:spacing w:after="0" w:line="480" w:lineRule="auto"/>
        <w:ind w:left="720" w:hanging="720"/>
      </w:pPr>
      <w:r>
        <w:t>A.</w:t>
      </w:r>
      <w:r>
        <w:tab/>
        <w:t xml:space="preserve">Exhibit No. </w:t>
      </w:r>
      <w:r w:rsidR="00BE4FF6">
        <w:t>DPK-3</w:t>
      </w:r>
      <w:r>
        <w:t xml:space="preserve"> is a one</w:t>
      </w:r>
      <w:r w:rsidR="0087050A">
        <w:t xml:space="preserve">-page exhibit that presents the allocation of total investor-supplied working capital </w:t>
      </w:r>
      <w:r w:rsidR="00743A84">
        <w:t xml:space="preserve">that was </w:t>
      </w:r>
      <w:r w:rsidR="0087050A">
        <w:t xml:space="preserve">computed on Exhibit No. </w:t>
      </w:r>
      <w:proofErr w:type="gramStart"/>
      <w:r w:rsidR="00BE4FF6">
        <w:t>DPK-2</w:t>
      </w:r>
      <w:r w:rsidR="0087050A">
        <w:t>.</w:t>
      </w:r>
      <w:proofErr w:type="gramEnd"/>
      <w:r w:rsidR="0087050A">
        <w:t xml:space="preserve">  Column (a) of the schedule provides a description of the line items in the schedule.  Column (b)</w:t>
      </w:r>
      <w:r w:rsidR="0077033E">
        <w:t xml:space="preserve"> </w:t>
      </w:r>
      <w:r w:rsidR="0087050A">
        <w:t xml:space="preserve">shows the Company’s </w:t>
      </w:r>
      <w:r w:rsidR="00DF33CF">
        <w:t xml:space="preserve">proposed allocation computations and </w:t>
      </w:r>
      <w:r w:rsidR="0087050A">
        <w:t>r</w:t>
      </w:r>
      <w:r w:rsidR="00DF33CF">
        <w:t>esults.</w:t>
      </w:r>
      <w:r w:rsidR="0087050A">
        <w:t xml:space="preserve">  </w:t>
      </w:r>
      <w:r w:rsidR="00DA657A">
        <w:t>C</w:t>
      </w:r>
      <w:r w:rsidR="0087050A">
        <w:t xml:space="preserve">olumn (c) </w:t>
      </w:r>
      <w:r w:rsidR="00DA657A">
        <w:t xml:space="preserve">shows the </w:t>
      </w:r>
      <w:r w:rsidR="0077033E">
        <w:t>Staff propose</w:t>
      </w:r>
      <w:r w:rsidR="00DA657A">
        <w:t>d</w:t>
      </w:r>
      <w:r w:rsidR="0077033E">
        <w:t xml:space="preserve"> </w:t>
      </w:r>
      <w:r w:rsidR="00DA657A">
        <w:t xml:space="preserve">adjustment for additional CWIP </w:t>
      </w:r>
      <w:r w:rsidR="0077033E">
        <w:t xml:space="preserve">to the </w:t>
      </w:r>
      <w:r w:rsidR="00F66EDA">
        <w:t>Company’s allocation.</w:t>
      </w:r>
      <w:r w:rsidR="003E3301">
        <w:t xml:space="preserve"> </w:t>
      </w:r>
      <w:r w:rsidR="00B72A11">
        <w:t xml:space="preserve"> </w:t>
      </w:r>
      <w:r w:rsidR="0087050A">
        <w:t>Column (</w:t>
      </w:r>
      <w:r w:rsidR="00DA657A">
        <w:t>d</w:t>
      </w:r>
      <w:r w:rsidR="0087050A">
        <w:t>)</w:t>
      </w:r>
      <w:r w:rsidR="00F66EDA">
        <w:t xml:space="preserve"> </w:t>
      </w:r>
      <w:r w:rsidR="0087050A">
        <w:t xml:space="preserve">is the </w:t>
      </w:r>
      <w:r w:rsidR="00F66EDA">
        <w:t xml:space="preserve">result of </w:t>
      </w:r>
      <w:r w:rsidR="0087050A">
        <w:t>Staff</w:t>
      </w:r>
      <w:r w:rsidR="00F66EDA">
        <w:t>’s</w:t>
      </w:r>
      <w:r w:rsidR="0079157E">
        <w:t xml:space="preserve"> </w:t>
      </w:r>
      <w:r w:rsidR="00F66EDA">
        <w:t>adjusted</w:t>
      </w:r>
      <w:r w:rsidR="0079157E">
        <w:t xml:space="preserve"> allocation of </w:t>
      </w:r>
      <w:r w:rsidR="007C218C">
        <w:t>its</w:t>
      </w:r>
      <w:r w:rsidR="00F66EDA">
        <w:t xml:space="preserve"> </w:t>
      </w:r>
      <w:r w:rsidR="003E3301">
        <w:t xml:space="preserve">total </w:t>
      </w:r>
      <w:r w:rsidR="00201B1B">
        <w:t>investor-supplied working capital</w:t>
      </w:r>
      <w:r w:rsidR="0087050A">
        <w:t xml:space="preserve"> amount</w:t>
      </w:r>
      <w:r w:rsidR="0079157E">
        <w:t>.</w:t>
      </w:r>
      <w:r w:rsidR="0087050A" w:rsidRPr="00055627">
        <w:t xml:space="preserve"> </w:t>
      </w:r>
      <w:r w:rsidR="0087050A">
        <w:t xml:space="preserve"> </w:t>
      </w:r>
    </w:p>
    <w:p w:rsidR="00201B1B" w:rsidRDefault="00201B1B" w:rsidP="00201B1B">
      <w:pPr>
        <w:pStyle w:val="AnswerinTestimony"/>
      </w:pPr>
    </w:p>
    <w:p w:rsidR="009D56BF" w:rsidRPr="007527E2" w:rsidRDefault="008B7E78" w:rsidP="00E90B57">
      <w:pPr>
        <w:pStyle w:val="Heading2"/>
      </w:pPr>
      <w:bookmarkStart w:id="8" w:name="_Toc246088120"/>
      <w:r>
        <w:lastRenderedPageBreak/>
        <w:t>D</w:t>
      </w:r>
      <w:r w:rsidR="009D56BF">
        <w:t xml:space="preserve">.  </w:t>
      </w:r>
      <w:r w:rsidR="009D56BF">
        <w:tab/>
        <w:t>Summary</w:t>
      </w:r>
      <w:bookmarkEnd w:id="8"/>
    </w:p>
    <w:p w:rsidR="009167A5" w:rsidRDefault="009167A5" w:rsidP="008E0703">
      <w:pPr>
        <w:pStyle w:val="AnswerinTestimony"/>
      </w:pPr>
    </w:p>
    <w:p w:rsidR="00B55DAE" w:rsidRDefault="00B55DAE" w:rsidP="00B55DAE">
      <w:pPr>
        <w:pStyle w:val="AnswerinTestimony"/>
      </w:pPr>
      <w:r>
        <w:rPr>
          <w:b/>
        </w:rPr>
        <w:t>Q.</w:t>
      </w:r>
      <w:r>
        <w:rPr>
          <w:b/>
        </w:rPr>
        <w:tab/>
        <w:t>Please describe t</w:t>
      </w:r>
      <w:r w:rsidR="0052370B">
        <w:rPr>
          <w:b/>
        </w:rPr>
        <w:t xml:space="preserve">he result of all Staff </w:t>
      </w:r>
      <w:r>
        <w:rPr>
          <w:b/>
        </w:rPr>
        <w:t xml:space="preserve">adjustments affecting investor-supplied working capital. </w:t>
      </w:r>
    </w:p>
    <w:p w:rsidR="00BB0DC7" w:rsidRDefault="00B55DAE" w:rsidP="00B55DAE">
      <w:pPr>
        <w:pStyle w:val="AnswerinTestimony"/>
      </w:pPr>
      <w:r>
        <w:t>A.</w:t>
      </w:r>
      <w:r>
        <w:tab/>
        <w:t>Staff</w:t>
      </w:r>
      <w:r w:rsidR="003E3301">
        <w:t>’s</w:t>
      </w:r>
      <w:r>
        <w:t xml:space="preserve"> review of the </w:t>
      </w:r>
      <w:r w:rsidR="003E3301">
        <w:t>C</w:t>
      </w:r>
      <w:r>
        <w:t>ompany</w:t>
      </w:r>
      <w:r w:rsidR="00B24F1E">
        <w:t>’s</w:t>
      </w:r>
      <w:r>
        <w:t xml:space="preserve"> proposed </w:t>
      </w:r>
      <w:r w:rsidR="00B24F1E">
        <w:t xml:space="preserve">total </w:t>
      </w:r>
      <w:r w:rsidR="003E3301">
        <w:t>i</w:t>
      </w:r>
      <w:r>
        <w:t>nvestor-supplie</w:t>
      </w:r>
      <w:r w:rsidR="00CA2EBB">
        <w:t xml:space="preserve">d working capital resulted in </w:t>
      </w:r>
      <w:r w:rsidR="00CA2EBB" w:rsidRPr="00F739CC">
        <w:t xml:space="preserve">a change in the </w:t>
      </w:r>
      <w:r w:rsidR="00F739CC">
        <w:t>Allowance for Working Capital</w:t>
      </w:r>
      <w:r w:rsidR="00866E7A">
        <w:t>, as</w:t>
      </w:r>
      <w:r w:rsidR="00F739CC">
        <w:t xml:space="preserve"> shown in the </w:t>
      </w:r>
      <w:r w:rsidR="00CA2EBB" w:rsidRPr="00F739CC">
        <w:t>“</w:t>
      </w:r>
      <w:r w:rsidR="00F41B63" w:rsidRPr="00F739CC">
        <w:t>Actual Results of Operations”</w:t>
      </w:r>
      <w:r w:rsidR="00F739CC" w:rsidRPr="00F739CC">
        <w:t xml:space="preserve"> </w:t>
      </w:r>
      <w:r w:rsidR="00866E7A">
        <w:t xml:space="preserve">columns </w:t>
      </w:r>
      <w:r w:rsidR="00F739CC" w:rsidRPr="00F739CC">
        <w:t>in Company witness Story’s Exhibit JHS-4, Page 4-A</w:t>
      </w:r>
      <w:r w:rsidR="00B72A11">
        <w:t xml:space="preserve">, line </w:t>
      </w:r>
      <w:r w:rsidR="007D2FBE">
        <w:t>45</w:t>
      </w:r>
      <w:r w:rsidR="00F739CC" w:rsidRPr="00F739CC">
        <w:t xml:space="preserve"> for electric operations and in Company witness </w:t>
      </w:r>
      <w:proofErr w:type="spellStart"/>
      <w:r w:rsidR="00F739CC" w:rsidRPr="00F739CC">
        <w:t>Stranik’s</w:t>
      </w:r>
      <w:proofErr w:type="spellEnd"/>
      <w:r w:rsidR="00F739CC" w:rsidRPr="00F739CC">
        <w:t xml:space="preserve"> Exhibit No. </w:t>
      </w:r>
      <w:r w:rsidR="00F739CC">
        <w:t xml:space="preserve"> </w:t>
      </w:r>
      <w:proofErr w:type="gramStart"/>
      <w:r w:rsidR="00F739CC" w:rsidRPr="00F739CC">
        <w:t>MJS-4, Page 4-A</w:t>
      </w:r>
      <w:r w:rsidR="00B72A11">
        <w:t xml:space="preserve">, line </w:t>
      </w:r>
      <w:r w:rsidR="007D2FBE">
        <w:t>45</w:t>
      </w:r>
      <w:r w:rsidR="00F739CC" w:rsidRPr="00F739CC">
        <w:t xml:space="preserve"> for natural gas operations</w:t>
      </w:r>
      <w:r w:rsidR="00F739CC">
        <w:t>.</w:t>
      </w:r>
      <w:proofErr w:type="gramEnd"/>
      <w:r w:rsidR="00BB0DC7">
        <w:t xml:space="preserve"> </w:t>
      </w:r>
    </w:p>
    <w:p w:rsidR="00BB0DC7" w:rsidRDefault="00BB0DC7" w:rsidP="00B55DAE">
      <w:pPr>
        <w:pStyle w:val="AnswerinTestimony"/>
      </w:pPr>
      <w:r>
        <w:tab/>
      </w:r>
      <w:r>
        <w:tab/>
      </w:r>
      <w:r w:rsidR="00ED44E1">
        <w:t>The total result of Staff adjustments is a $</w:t>
      </w:r>
      <w:r w:rsidR="00F739CC">
        <w:t>6.8</w:t>
      </w:r>
      <w:r w:rsidR="00ED44E1">
        <w:t xml:space="preserve"> million </w:t>
      </w:r>
      <w:r w:rsidR="00F739CC">
        <w:t xml:space="preserve">decrease </w:t>
      </w:r>
      <w:r w:rsidR="00ED44E1">
        <w:t xml:space="preserve">to </w:t>
      </w:r>
      <w:r w:rsidR="00F739CC">
        <w:t xml:space="preserve">total investor-supplied </w:t>
      </w:r>
      <w:r w:rsidR="00ED44E1">
        <w:t>working capital</w:t>
      </w:r>
      <w:r w:rsidR="00F739CC">
        <w:t>.</w:t>
      </w:r>
      <w:r w:rsidR="00B24F1E">
        <w:t xml:space="preserve">  Staff’s proposals</w:t>
      </w:r>
      <w:r w:rsidR="007A1B86">
        <w:t xml:space="preserve"> </w:t>
      </w:r>
      <w:r w:rsidR="00F739CC">
        <w:t>decrease</w:t>
      </w:r>
      <w:r w:rsidR="007A1B86">
        <w:t xml:space="preserve"> </w:t>
      </w:r>
      <w:r w:rsidR="00B24F1E">
        <w:t xml:space="preserve">electric </w:t>
      </w:r>
      <w:r w:rsidR="007A1B86">
        <w:t xml:space="preserve">revenue requirement </w:t>
      </w:r>
      <w:r w:rsidR="00B24F1E">
        <w:t xml:space="preserve">by </w:t>
      </w:r>
      <w:r w:rsidR="00F739CC">
        <w:t>$377,957</w:t>
      </w:r>
      <w:r w:rsidR="00B24F1E">
        <w:t xml:space="preserve"> and gas re</w:t>
      </w:r>
      <w:r w:rsidR="00F739CC">
        <w:t>v</w:t>
      </w:r>
      <w:r w:rsidR="00B24F1E">
        <w:t xml:space="preserve">enue requirement by </w:t>
      </w:r>
      <w:r w:rsidR="00F739CC">
        <w:t>$22,052</w:t>
      </w:r>
      <w:r w:rsidR="00B24F1E">
        <w:t>.</w:t>
      </w:r>
    </w:p>
    <w:p w:rsidR="00B55DAE" w:rsidRDefault="00B55DAE" w:rsidP="008E0703">
      <w:pPr>
        <w:pStyle w:val="AnswerinTestimony"/>
      </w:pPr>
    </w:p>
    <w:p w:rsidR="00CE5666" w:rsidRDefault="00CE5666" w:rsidP="00BA708A">
      <w:pPr>
        <w:pStyle w:val="AnswerinTestimony"/>
      </w:pPr>
      <w:r>
        <w:rPr>
          <w:b/>
        </w:rPr>
        <w:t>Q.</w:t>
      </w:r>
      <w:r>
        <w:rPr>
          <w:b/>
        </w:rPr>
        <w:tab/>
        <w:t>Does this conclude your testimony?</w:t>
      </w:r>
    </w:p>
    <w:p w:rsidR="00CE5666" w:rsidRPr="00CE5666" w:rsidRDefault="00CE5666" w:rsidP="00BA708A">
      <w:pPr>
        <w:pStyle w:val="AnswerinTestimony"/>
      </w:pPr>
      <w:r>
        <w:t>A.</w:t>
      </w:r>
      <w:r>
        <w:tab/>
        <w:t>Yes.</w:t>
      </w:r>
    </w:p>
    <w:p w:rsidR="00FF0388" w:rsidRDefault="00FF0388" w:rsidP="00BA708A">
      <w:pPr>
        <w:pStyle w:val="AnswerinTestimony"/>
      </w:pPr>
    </w:p>
    <w:p w:rsidR="006D77A2" w:rsidRDefault="006D77A2" w:rsidP="001E448F">
      <w:pPr>
        <w:pStyle w:val="AnswerinTestimony"/>
        <w:ind w:left="0" w:firstLine="0"/>
      </w:pPr>
    </w:p>
    <w:sectPr w:rsidR="006D77A2" w:rsidSect="00B40814">
      <w:footerReference w:type="default" r:id="rId11"/>
      <w:pgSz w:w="12240" w:h="15840"/>
      <w:pgMar w:top="1440" w:right="1440" w:bottom="1440" w:left="1872"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C61" w:rsidRDefault="00D26C61" w:rsidP="009F74B6">
      <w:pPr>
        <w:spacing w:after="0" w:line="240" w:lineRule="auto"/>
      </w:pPr>
      <w:r>
        <w:separator/>
      </w:r>
    </w:p>
  </w:endnote>
  <w:endnote w:type="continuationSeparator" w:id="0">
    <w:p w:rsidR="00D26C61" w:rsidRDefault="00D26C61" w:rsidP="009F7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7A2" w:rsidRDefault="00837B63" w:rsidP="0055541D">
    <w:pPr>
      <w:pStyle w:val="Footer"/>
      <w:framePr w:wrap="around" w:vAnchor="text" w:hAnchor="margin" w:xAlign="right" w:y="1"/>
      <w:rPr>
        <w:rStyle w:val="PageNumber"/>
      </w:rPr>
    </w:pPr>
    <w:r>
      <w:rPr>
        <w:rStyle w:val="PageNumber"/>
      </w:rPr>
      <w:fldChar w:fldCharType="begin"/>
    </w:r>
    <w:r w:rsidR="006D77A2">
      <w:rPr>
        <w:rStyle w:val="PageNumber"/>
      </w:rPr>
      <w:instrText xml:space="preserve">PAGE  </w:instrText>
    </w:r>
    <w:r>
      <w:rPr>
        <w:rStyle w:val="PageNumber"/>
      </w:rPr>
      <w:fldChar w:fldCharType="end"/>
    </w:r>
  </w:p>
  <w:p w:rsidR="006D77A2" w:rsidRDefault="006D77A2" w:rsidP="0055541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7A2" w:rsidRPr="00F039BD" w:rsidRDefault="006D77A2" w:rsidP="00BA708A">
    <w:pPr>
      <w:pStyle w:val="Footer"/>
      <w:spacing w:line="240" w:lineRule="auto"/>
      <w:rPr>
        <w:sz w:val="20"/>
        <w:szCs w:val="20"/>
      </w:rPr>
    </w:pPr>
  </w:p>
  <w:p w:rsidR="006D77A2" w:rsidRPr="00F039BD" w:rsidRDefault="006D77A2" w:rsidP="00BA708A">
    <w:pPr>
      <w:pStyle w:val="Footer"/>
      <w:spacing w:line="240" w:lineRule="auto"/>
      <w:rPr>
        <w:sz w:val="20"/>
        <w:szCs w:val="20"/>
      </w:rPr>
    </w:pPr>
    <w:r w:rsidRPr="00F039BD">
      <w:rPr>
        <w:sz w:val="20"/>
        <w:szCs w:val="20"/>
      </w:rPr>
      <w:t xml:space="preserve">TESTIMONY OF DANNY P. KERMODE </w:t>
    </w:r>
    <w:r w:rsidRPr="00F039BD">
      <w:rPr>
        <w:sz w:val="20"/>
        <w:szCs w:val="20"/>
      </w:rPr>
      <w:tab/>
    </w:r>
    <w:r w:rsidRPr="00F039BD">
      <w:rPr>
        <w:sz w:val="20"/>
        <w:szCs w:val="20"/>
      </w:rPr>
      <w:tab/>
      <w:t xml:space="preserve">Exhibit </w:t>
    </w:r>
    <w:r w:rsidR="00F039BD">
      <w:rPr>
        <w:sz w:val="20"/>
        <w:szCs w:val="20"/>
      </w:rPr>
      <w:t xml:space="preserve">No. </w:t>
    </w:r>
    <w:r w:rsidRPr="00F039BD">
      <w:rPr>
        <w:sz w:val="20"/>
        <w:szCs w:val="20"/>
      </w:rPr>
      <w:t>DP</w:t>
    </w:r>
    <w:r w:rsidR="00F039BD">
      <w:rPr>
        <w:sz w:val="20"/>
        <w:szCs w:val="20"/>
      </w:rPr>
      <w:t>K-1T</w:t>
    </w:r>
  </w:p>
  <w:p w:rsidR="006D77A2" w:rsidRPr="00F039BD" w:rsidRDefault="00F039BD" w:rsidP="00BA708A">
    <w:pPr>
      <w:pStyle w:val="Footer"/>
      <w:spacing w:line="240" w:lineRule="auto"/>
      <w:rPr>
        <w:sz w:val="20"/>
        <w:szCs w:val="20"/>
      </w:rPr>
    </w:pPr>
    <w:r>
      <w:rPr>
        <w:sz w:val="20"/>
        <w:szCs w:val="20"/>
      </w:rPr>
      <w:t>Dockets UE-090704/UG-090705</w:t>
    </w:r>
    <w:r>
      <w:rPr>
        <w:sz w:val="20"/>
        <w:szCs w:val="20"/>
      </w:rPr>
      <w:tab/>
    </w:r>
    <w:r w:rsidR="006D77A2" w:rsidRPr="00F039BD">
      <w:rPr>
        <w:sz w:val="20"/>
        <w:szCs w:val="20"/>
      </w:rPr>
      <w:tab/>
    </w:r>
    <w:r w:rsidR="006D77A2" w:rsidRPr="00F039BD">
      <w:rPr>
        <w:sz w:val="20"/>
        <w:szCs w:val="20"/>
        <w:lang w:val="fr-FR"/>
      </w:rPr>
      <w:t xml:space="preserve">Page </w:t>
    </w:r>
    <w:r w:rsidR="00837B63" w:rsidRPr="00F039BD">
      <w:rPr>
        <w:rStyle w:val="PageNumber"/>
        <w:sz w:val="20"/>
        <w:szCs w:val="20"/>
      </w:rPr>
      <w:fldChar w:fldCharType="begin"/>
    </w:r>
    <w:r w:rsidR="006D77A2" w:rsidRPr="00F039BD">
      <w:rPr>
        <w:rStyle w:val="PageNumber"/>
        <w:sz w:val="20"/>
        <w:szCs w:val="20"/>
        <w:lang w:val="fr-FR"/>
      </w:rPr>
      <w:instrText xml:space="preserve"> PAGE </w:instrText>
    </w:r>
    <w:r w:rsidR="00837B63" w:rsidRPr="00F039BD">
      <w:rPr>
        <w:rStyle w:val="PageNumber"/>
        <w:sz w:val="20"/>
        <w:szCs w:val="20"/>
      </w:rPr>
      <w:fldChar w:fldCharType="separate"/>
    </w:r>
    <w:r w:rsidR="002E223C">
      <w:rPr>
        <w:rStyle w:val="PageNumber"/>
        <w:noProof/>
        <w:sz w:val="20"/>
        <w:szCs w:val="20"/>
        <w:lang w:val="fr-FR"/>
      </w:rPr>
      <w:t>ii</w:t>
    </w:r>
    <w:r w:rsidR="00837B63" w:rsidRPr="00F039BD">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7A2" w:rsidRPr="00F039BD" w:rsidRDefault="006D77A2" w:rsidP="00B40814">
    <w:pPr>
      <w:pStyle w:val="Footer"/>
      <w:spacing w:line="240" w:lineRule="auto"/>
      <w:rPr>
        <w:sz w:val="20"/>
        <w:szCs w:val="20"/>
      </w:rPr>
    </w:pPr>
  </w:p>
  <w:p w:rsidR="006D77A2" w:rsidRPr="00F039BD" w:rsidRDefault="006D77A2" w:rsidP="00B40814">
    <w:pPr>
      <w:pStyle w:val="Footer"/>
      <w:spacing w:line="240" w:lineRule="auto"/>
      <w:rPr>
        <w:sz w:val="20"/>
        <w:szCs w:val="20"/>
      </w:rPr>
    </w:pPr>
    <w:r w:rsidRPr="00F039BD">
      <w:rPr>
        <w:sz w:val="20"/>
        <w:szCs w:val="20"/>
      </w:rPr>
      <w:t xml:space="preserve">TESTIMONY OF DANNY P. KERMODE </w:t>
    </w:r>
    <w:r w:rsidRPr="00F039BD">
      <w:rPr>
        <w:sz w:val="20"/>
        <w:szCs w:val="20"/>
      </w:rPr>
      <w:tab/>
    </w:r>
    <w:r w:rsidRPr="00F039BD">
      <w:rPr>
        <w:sz w:val="20"/>
        <w:szCs w:val="20"/>
      </w:rPr>
      <w:tab/>
      <w:t xml:space="preserve">Exhibit </w:t>
    </w:r>
    <w:r w:rsidR="002E223C">
      <w:rPr>
        <w:sz w:val="20"/>
        <w:szCs w:val="20"/>
      </w:rPr>
      <w:t xml:space="preserve">No. </w:t>
    </w:r>
    <w:r w:rsidRPr="00F039BD">
      <w:rPr>
        <w:sz w:val="20"/>
        <w:szCs w:val="20"/>
      </w:rPr>
      <w:t>DP</w:t>
    </w:r>
    <w:r w:rsidR="002E223C">
      <w:rPr>
        <w:sz w:val="20"/>
        <w:szCs w:val="20"/>
      </w:rPr>
      <w:t>K-1T</w:t>
    </w:r>
  </w:p>
  <w:p w:rsidR="006D77A2" w:rsidRPr="00F039BD" w:rsidRDefault="006D77A2" w:rsidP="00B40814">
    <w:pPr>
      <w:pStyle w:val="Footer"/>
      <w:rPr>
        <w:sz w:val="20"/>
        <w:szCs w:val="20"/>
      </w:rPr>
    </w:pPr>
    <w:r w:rsidRPr="00F039BD">
      <w:rPr>
        <w:sz w:val="20"/>
        <w:szCs w:val="20"/>
      </w:rPr>
      <w:t>Dockets UE-090704 UG-090705</w:t>
    </w:r>
    <w:r w:rsidRPr="00F039BD">
      <w:rPr>
        <w:sz w:val="20"/>
        <w:szCs w:val="20"/>
      </w:rPr>
      <w:tab/>
    </w:r>
    <w:r w:rsidR="00F039BD">
      <w:rPr>
        <w:sz w:val="20"/>
        <w:szCs w:val="20"/>
      </w:rPr>
      <w:tab/>
    </w:r>
    <w:r w:rsidRPr="00F039BD">
      <w:rPr>
        <w:sz w:val="20"/>
        <w:szCs w:val="20"/>
        <w:lang w:val="fr-FR"/>
      </w:rPr>
      <w:t xml:space="preserve">Page </w:t>
    </w:r>
    <w:r w:rsidR="00837B63" w:rsidRPr="00F039BD">
      <w:rPr>
        <w:rStyle w:val="PageNumber"/>
        <w:sz w:val="20"/>
        <w:szCs w:val="20"/>
      </w:rPr>
      <w:fldChar w:fldCharType="begin"/>
    </w:r>
    <w:r w:rsidRPr="00F039BD">
      <w:rPr>
        <w:rStyle w:val="PageNumber"/>
        <w:sz w:val="20"/>
        <w:szCs w:val="20"/>
        <w:lang w:val="fr-FR"/>
      </w:rPr>
      <w:instrText xml:space="preserve"> PAGE </w:instrText>
    </w:r>
    <w:r w:rsidR="00837B63" w:rsidRPr="00F039BD">
      <w:rPr>
        <w:rStyle w:val="PageNumber"/>
        <w:sz w:val="20"/>
        <w:szCs w:val="20"/>
      </w:rPr>
      <w:fldChar w:fldCharType="separate"/>
    </w:r>
    <w:r w:rsidR="002E223C">
      <w:rPr>
        <w:rStyle w:val="PageNumber"/>
        <w:noProof/>
        <w:sz w:val="20"/>
        <w:szCs w:val="20"/>
        <w:lang w:val="fr-FR"/>
      </w:rPr>
      <w:t>i</w:t>
    </w:r>
    <w:r w:rsidR="00837B63" w:rsidRPr="00F039BD">
      <w:rPr>
        <w:rStyle w:val="PageNumber"/>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7A2" w:rsidRPr="00F039BD" w:rsidRDefault="006D77A2" w:rsidP="00BA708A">
    <w:pPr>
      <w:pStyle w:val="Footer"/>
      <w:spacing w:line="240" w:lineRule="auto"/>
      <w:rPr>
        <w:sz w:val="20"/>
        <w:szCs w:val="20"/>
      </w:rPr>
    </w:pPr>
  </w:p>
  <w:p w:rsidR="006D77A2" w:rsidRPr="00F039BD" w:rsidRDefault="006D77A2" w:rsidP="00D64E9D">
    <w:pPr>
      <w:pStyle w:val="Footer"/>
      <w:spacing w:line="240" w:lineRule="auto"/>
      <w:rPr>
        <w:sz w:val="20"/>
        <w:szCs w:val="20"/>
      </w:rPr>
    </w:pPr>
    <w:r w:rsidRPr="00F039BD">
      <w:rPr>
        <w:sz w:val="20"/>
        <w:szCs w:val="20"/>
      </w:rPr>
      <w:t xml:space="preserve">TESTIMONY OF DANNY P. KERMODE </w:t>
    </w:r>
    <w:r w:rsidRPr="00F039BD">
      <w:rPr>
        <w:sz w:val="20"/>
        <w:szCs w:val="20"/>
      </w:rPr>
      <w:tab/>
    </w:r>
    <w:r w:rsidRPr="00F039BD">
      <w:rPr>
        <w:sz w:val="20"/>
        <w:szCs w:val="20"/>
      </w:rPr>
      <w:tab/>
      <w:t>Exhibit No. DPK-1T</w:t>
    </w:r>
  </w:p>
  <w:p w:rsidR="006D77A2" w:rsidRPr="00F039BD" w:rsidRDefault="006D77A2" w:rsidP="00D64E9D">
    <w:pPr>
      <w:pStyle w:val="Footer"/>
      <w:spacing w:line="240" w:lineRule="auto"/>
      <w:rPr>
        <w:sz w:val="20"/>
        <w:szCs w:val="20"/>
      </w:rPr>
    </w:pPr>
    <w:r w:rsidRPr="00F039BD">
      <w:rPr>
        <w:sz w:val="20"/>
        <w:szCs w:val="20"/>
      </w:rPr>
      <w:t>Dockets UE-090704 UG-090705</w:t>
    </w:r>
    <w:r w:rsidRPr="00F039BD">
      <w:rPr>
        <w:sz w:val="20"/>
        <w:szCs w:val="20"/>
      </w:rPr>
      <w:tab/>
    </w:r>
    <w:r w:rsidRPr="00F039BD">
      <w:rPr>
        <w:sz w:val="20"/>
        <w:szCs w:val="20"/>
      </w:rPr>
      <w:tab/>
    </w:r>
    <w:r w:rsidRPr="00F039BD">
      <w:rPr>
        <w:sz w:val="20"/>
        <w:szCs w:val="20"/>
        <w:lang w:val="fr-FR"/>
      </w:rPr>
      <w:t xml:space="preserve">Page </w:t>
    </w:r>
    <w:r w:rsidR="00837B63" w:rsidRPr="00F039BD">
      <w:rPr>
        <w:rStyle w:val="PageNumber"/>
        <w:sz w:val="20"/>
        <w:szCs w:val="20"/>
      </w:rPr>
      <w:fldChar w:fldCharType="begin"/>
    </w:r>
    <w:r w:rsidRPr="00F039BD">
      <w:rPr>
        <w:rStyle w:val="PageNumber"/>
        <w:sz w:val="20"/>
        <w:szCs w:val="20"/>
        <w:lang w:val="fr-FR"/>
      </w:rPr>
      <w:instrText xml:space="preserve"> PAGE </w:instrText>
    </w:r>
    <w:r w:rsidR="00837B63" w:rsidRPr="00F039BD">
      <w:rPr>
        <w:rStyle w:val="PageNumber"/>
        <w:sz w:val="20"/>
        <w:szCs w:val="20"/>
      </w:rPr>
      <w:fldChar w:fldCharType="separate"/>
    </w:r>
    <w:r w:rsidR="002E223C">
      <w:rPr>
        <w:rStyle w:val="PageNumber"/>
        <w:noProof/>
        <w:sz w:val="20"/>
        <w:szCs w:val="20"/>
        <w:lang w:val="fr-FR"/>
      </w:rPr>
      <w:t>13</w:t>
    </w:r>
    <w:r w:rsidR="00837B63" w:rsidRPr="00F039BD">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C61" w:rsidRDefault="00D26C61" w:rsidP="009F74B6">
      <w:pPr>
        <w:spacing w:after="0" w:line="240" w:lineRule="auto"/>
      </w:pPr>
      <w:r>
        <w:separator/>
      </w:r>
    </w:p>
  </w:footnote>
  <w:footnote w:type="continuationSeparator" w:id="0">
    <w:p w:rsidR="00D26C61" w:rsidRDefault="00D26C61" w:rsidP="009F74B6">
      <w:pPr>
        <w:spacing w:after="0" w:line="240" w:lineRule="auto"/>
      </w:pPr>
      <w:r>
        <w:continuationSeparator/>
      </w:r>
    </w:p>
  </w:footnote>
  <w:footnote w:id="1">
    <w:p w:rsidR="006D77A2" w:rsidRDefault="006D77A2" w:rsidP="006A6D82">
      <w:pPr>
        <w:pStyle w:val="FootnoteText"/>
      </w:pPr>
      <w:r>
        <w:rPr>
          <w:rStyle w:val="FootnoteReference"/>
        </w:rPr>
        <w:footnoteRef/>
      </w:r>
      <w:r>
        <w:t xml:space="preserve"> </w:t>
      </w:r>
      <w:r w:rsidRPr="00366983">
        <w:t xml:space="preserve">Exhibit No. </w:t>
      </w:r>
      <w:proofErr w:type="gramStart"/>
      <w:r w:rsidRPr="00366983">
        <w:t>JHS-3, Page 3.04 and Ex</w:t>
      </w:r>
      <w:r>
        <w:t>hibit No.</w:t>
      </w:r>
      <w:proofErr w:type="gramEnd"/>
      <w:r>
        <w:t xml:space="preserve"> </w:t>
      </w:r>
      <w:proofErr w:type="gramStart"/>
      <w:r>
        <w:t>MJS-3, Page 3.04.</w:t>
      </w:r>
      <w:proofErr w:type="gramEnd"/>
    </w:p>
  </w:footnote>
  <w:footnote w:id="2">
    <w:p w:rsidR="009542B0" w:rsidRDefault="009542B0">
      <w:pPr>
        <w:pStyle w:val="FootnoteText"/>
      </w:pPr>
      <w:r>
        <w:rPr>
          <w:rStyle w:val="FootnoteReference"/>
        </w:rPr>
        <w:footnoteRef/>
      </w:r>
      <w:r>
        <w:t xml:space="preserve"> </w:t>
      </w:r>
      <w:r w:rsidRPr="009542B0">
        <w:t>In March 2008, PSE withdrew its petition explaining the insurance carrier agreed to cover the costs under PSE’s general liability policy.</w:t>
      </w:r>
    </w:p>
  </w:footnote>
  <w:footnote w:id="3">
    <w:p w:rsidR="006D77A2" w:rsidRDefault="006D77A2" w:rsidP="007C218C">
      <w:pPr>
        <w:pStyle w:val="FootnoteText"/>
      </w:pPr>
      <w:r>
        <w:rPr>
          <w:rStyle w:val="FootnoteReference"/>
        </w:rPr>
        <w:footnoteRef/>
      </w:r>
      <w:r>
        <w:t xml:space="preserve"> Exhibit No. MJS-3, Page 3.04 at </w:t>
      </w:r>
      <w:r w:rsidRPr="00AC0FCC">
        <w:t>2</w:t>
      </w:r>
      <w:r>
        <w:t>:</w:t>
      </w:r>
      <w:r w:rsidRPr="00AC0FCC">
        <w:t>68-94</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4B15"/>
    <w:multiLevelType w:val="hybridMultilevel"/>
    <w:tmpl w:val="08CA8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5F1D36"/>
    <w:multiLevelType w:val="hybridMultilevel"/>
    <w:tmpl w:val="C37034C0"/>
    <w:lvl w:ilvl="0" w:tplc="4DBED8A6">
      <w:start w:val="1"/>
      <w:numFmt w:val="bullet"/>
      <w:lvlText w:val=""/>
      <w:lvlJc w:val="left"/>
      <w:pPr>
        <w:tabs>
          <w:tab w:val="num" w:pos="1368"/>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C68EC"/>
    <w:rsid w:val="00003F02"/>
    <w:rsid w:val="00011AF9"/>
    <w:rsid w:val="000159D7"/>
    <w:rsid w:val="00017435"/>
    <w:rsid w:val="000207B8"/>
    <w:rsid w:val="00023788"/>
    <w:rsid w:val="000354C6"/>
    <w:rsid w:val="00043DBC"/>
    <w:rsid w:val="00046E3D"/>
    <w:rsid w:val="00055627"/>
    <w:rsid w:val="00066F84"/>
    <w:rsid w:val="00076FCA"/>
    <w:rsid w:val="000816DF"/>
    <w:rsid w:val="00082AEF"/>
    <w:rsid w:val="00090556"/>
    <w:rsid w:val="000A2216"/>
    <w:rsid w:val="000A3914"/>
    <w:rsid w:val="000B7FF3"/>
    <w:rsid w:val="000C0059"/>
    <w:rsid w:val="000C2517"/>
    <w:rsid w:val="000D1091"/>
    <w:rsid w:val="000D6D7B"/>
    <w:rsid w:val="000D7C3C"/>
    <w:rsid w:val="000E12AF"/>
    <w:rsid w:val="000E5E1C"/>
    <w:rsid w:val="000E72DF"/>
    <w:rsid w:val="000F49B9"/>
    <w:rsid w:val="00104E7A"/>
    <w:rsid w:val="001071EE"/>
    <w:rsid w:val="00107A9A"/>
    <w:rsid w:val="001154B4"/>
    <w:rsid w:val="00115BF8"/>
    <w:rsid w:val="001247BD"/>
    <w:rsid w:val="00125779"/>
    <w:rsid w:val="00125B92"/>
    <w:rsid w:val="0012728F"/>
    <w:rsid w:val="001302D9"/>
    <w:rsid w:val="00133807"/>
    <w:rsid w:val="0013502B"/>
    <w:rsid w:val="00142CA8"/>
    <w:rsid w:val="001452E4"/>
    <w:rsid w:val="00161A99"/>
    <w:rsid w:val="00170AC1"/>
    <w:rsid w:val="001722D0"/>
    <w:rsid w:val="00184A27"/>
    <w:rsid w:val="00187672"/>
    <w:rsid w:val="001A4F51"/>
    <w:rsid w:val="001B0036"/>
    <w:rsid w:val="001C0D7C"/>
    <w:rsid w:val="001C5AB1"/>
    <w:rsid w:val="001D1372"/>
    <w:rsid w:val="001D1EFF"/>
    <w:rsid w:val="001E2185"/>
    <w:rsid w:val="001E448F"/>
    <w:rsid w:val="001E53E6"/>
    <w:rsid w:val="001F22AD"/>
    <w:rsid w:val="001F32D8"/>
    <w:rsid w:val="001F384A"/>
    <w:rsid w:val="001F479A"/>
    <w:rsid w:val="001F60EE"/>
    <w:rsid w:val="001F77E8"/>
    <w:rsid w:val="001F7BE2"/>
    <w:rsid w:val="00201B1B"/>
    <w:rsid w:val="00202D44"/>
    <w:rsid w:val="002140F0"/>
    <w:rsid w:val="00215A95"/>
    <w:rsid w:val="0021727E"/>
    <w:rsid w:val="0022508B"/>
    <w:rsid w:val="0023037A"/>
    <w:rsid w:val="00234B56"/>
    <w:rsid w:val="00251F77"/>
    <w:rsid w:val="002567FC"/>
    <w:rsid w:val="002571ED"/>
    <w:rsid w:val="00263527"/>
    <w:rsid w:val="00273228"/>
    <w:rsid w:val="00276DD4"/>
    <w:rsid w:val="00280263"/>
    <w:rsid w:val="00280ACD"/>
    <w:rsid w:val="00282AE5"/>
    <w:rsid w:val="00292BD6"/>
    <w:rsid w:val="002930D4"/>
    <w:rsid w:val="002A6917"/>
    <w:rsid w:val="002C039A"/>
    <w:rsid w:val="002D54D3"/>
    <w:rsid w:val="002D6549"/>
    <w:rsid w:val="002E223C"/>
    <w:rsid w:val="00341225"/>
    <w:rsid w:val="00351163"/>
    <w:rsid w:val="00362A9D"/>
    <w:rsid w:val="00364650"/>
    <w:rsid w:val="00366983"/>
    <w:rsid w:val="00381B19"/>
    <w:rsid w:val="00382260"/>
    <w:rsid w:val="00385398"/>
    <w:rsid w:val="00391316"/>
    <w:rsid w:val="00392445"/>
    <w:rsid w:val="00394A96"/>
    <w:rsid w:val="003A1959"/>
    <w:rsid w:val="003A3F2A"/>
    <w:rsid w:val="003A65CC"/>
    <w:rsid w:val="003A7ABF"/>
    <w:rsid w:val="003B3136"/>
    <w:rsid w:val="003B44D0"/>
    <w:rsid w:val="003B4D95"/>
    <w:rsid w:val="003B77BE"/>
    <w:rsid w:val="003E3301"/>
    <w:rsid w:val="00417534"/>
    <w:rsid w:val="004204E9"/>
    <w:rsid w:val="00425CE2"/>
    <w:rsid w:val="00430655"/>
    <w:rsid w:val="0043291F"/>
    <w:rsid w:val="00440C46"/>
    <w:rsid w:val="0044349F"/>
    <w:rsid w:val="00447B0B"/>
    <w:rsid w:val="00451A55"/>
    <w:rsid w:val="00455FD4"/>
    <w:rsid w:val="00464576"/>
    <w:rsid w:val="00475611"/>
    <w:rsid w:val="004947B8"/>
    <w:rsid w:val="004A4ED9"/>
    <w:rsid w:val="004B7DFE"/>
    <w:rsid w:val="004C43AD"/>
    <w:rsid w:val="004C727D"/>
    <w:rsid w:val="004D275D"/>
    <w:rsid w:val="004D4C84"/>
    <w:rsid w:val="004E20F7"/>
    <w:rsid w:val="004E78F2"/>
    <w:rsid w:val="004F74EB"/>
    <w:rsid w:val="004F7E78"/>
    <w:rsid w:val="00507C75"/>
    <w:rsid w:val="0051633B"/>
    <w:rsid w:val="00516BC6"/>
    <w:rsid w:val="00521076"/>
    <w:rsid w:val="00521FD1"/>
    <w:rsid w:val="0052370B"/>
    <w:rsid w:val="00526C41"/>
    <w:rsid w:val="005414D1"/>
    <w:rsid w:val="00554E33"/>
    <w:rsid w:val="0055541D"/>
    <w:rsid w:val="005558C6"/>
    <w:rsid w:val="00556776"/>
    <w:rsid w:val="005615CF"/>
    <w:rsid w:val="00566FD8"/>
    <w:rsid w:val="005807ED"/>
    <w:rsid w:val="0058123D"/>
    <w:rsid w:val="00581C80"/>
    <w:rsid w:val="00596695"/>
    <w:rsid w:val="00596AEB"/>
    <w:rsid w:val="005979F5"/>
    <w:rsid w:val="005A5A7A"/>
    <w:rsid w:val="005A6043"/>
    <w:rsid w:val="005B3CDA"/>
    <w:rsid w:val="005B5768"/>
    <w:rsid w:val="005D1D87"/>
    <w:rsid w:val="005D20C2"/>
    <w:rsid w:val="005D24A2"/>
    <w:rsid w:val="005D459E"/>
    <w:rsid w:val="005D597F"/>
    <w:rsid w:val="00615501"/>
    <w:rsid w:val="00620772"/>
    <w:rsid w:val="006210DE"/>
    <w:rsid w:val="00621C9F"/>
    <w:rsid w:val="0062636B"/>
    <w:rsid w:val="0062666E"/>
    <w:rsid w:val="00630744"/>
    <w:rsid w:val="0063464B"/>
    <w:rsid w:val="0063638A"/>
    <w:rsid w:val="006365DB"/>
    <w:rsid w:val="00636653"/>
    <w:rsid w:val="0065388D"/>
    <w:rsid w:val="00656268"/>
    <w:rsid w:val="006609C5"/>
    <w:rsid w:val="006717AB"/>
    <w:rsid w:val="00672433"/>
    <w:rsid w:val="00675E01"/>
    <w:rsid w:val="006814F0"/>
    <w:rsid w:val="00690566"/>
    <w:rsid w:val="006A6D82"/>
    <w:rsid w:val="006B02CF"/>
    <w:rsid w:val="006B418E"/>
    <w:rsid w:val="006B597E"/>
    <w:rsid w:val="006B5F2C"/>
    <w:rsid w:val="006B7FB7"/>
    <w:rsid w:val="006D455E"/>
    <w:rsid w:val="006D77A2"/>
    <w:rsid w:val="006E6CFE"/>
    <w:rsid w:val="006F395F"/>
    <w:rsid w:val="007001BD"/>
    <w:rsid w:val="0070330E"/>
    <w:rsid w:val="007037D7"/>
    <w:rsid w:val="00707455"/>
    <w:rsid w:val="00712B45"/>
    <w:rsid w:val="0071754E"/>
    <w:rsid w:val="00717E26"/>
    <w:rsid w:val="0073360A"/>
    <w:rsid w:val="00743A84"/>
    <w:rsid w:val="00744625"/>
    <w:rsid w:val="007527E2"/>
    <w:rsid w:val="00763721"/>
    <w:rsid w:val="007648AD"/>
    <w:rsid w:val="0077033E"/>
    <w:rsid w:val="007716F4"/>
    <w:rsid w:val="00772139"/>
    <w:rsid w:val="007741CF"/>
    <w:rsid w:val="00776221"/>
    <w:rsid w:val="007851E1"/>
    <w:rsid w:val="0078687D"/>
    <w:rsid w:val="0079157E"/>
    <w:rsid w:val="007915EC"/>
    <w:rsid w:val="007977E9"/>
    <w:rsid w:val="007A158C"/>
    <w:rsid w:val="007A1B86"/>
    <w:rsid w:val="007A383F"/>
    <w:rsid w:val="007A5595"/>
    <w:rsid w:val="007A6B6E"/>
    <w:rsid w:val="007C218C"/>
    <w:rsid w:val="007D2FBE"/>
    <w:rsid w:val="007E362B"/>
    <w:rsid w:val="007E4C18"/>
    <w:rsid w:val="007F175E"/>
    <w:rsid w:val="008155B3"/>
    <w:rsid w:val="00824AE7"/>
    <w:rsid w:val="00836492"/>
    <w:rsid w:val="00837B63"/>
    <w:rsid w:val="008416F6"/>
    <w:rsid w:val="00844C37"/>
    <w:rsid w:val="00853F34"/>
    <w:rsid w:val="008558E2"/>
    <w:rsid w:val="0085646C"/>
    <w:rsid w:val="00866E7A"/>
    <w:rsid w:val="00867F31"/>
    <w:rsid w:val="0087050A"/>
    <w:rsid w:val="008714E1"/>
    <w:rsid w:val="008779AE"/>
    <w:rsid w:val="008816E9"/>
    <w:rsid w:val="008937B8"/>
    <w:rsid w:val="008A257E"/>
    <w:rsid w:val="008A4B0C"/>
    <w:rsid w:val="008A5E8B"/>
    <w:rsid w:val="008B2D6D"/>
    <w:rsid w:val="008B7E78"/>
    <w:rsid w:val="008C1084"/>
    <w:rsid w:val="008C29C5"/>
    <w:rsid w:val="008C56BA"/>
    <w:rsid w:val="008D7010"/>
    <w:rsid w:val="008E0703"/>
    <w:rsid w:val="008E4E04"/>
    <w:rsid w:val="008F284B"/>
    <w:rsid w:val="009042F7"/>
    <w:rsid w:val="00906514"/>
    <w:rsid w:val="009167A5"/>
    <w:rsid w:val="009271DF"/>
    <w:rsid w:val="00932A24"/>
    <w:rsid w:val="00934313"/>
    <w:rsid w:val="00947656"/>
    <w:rsid w:val="009542B0"/>
    <w:rsid w:val="00954684"/>
    <w:rsid w:val="0095475F"/>
    <w:rsid w:val="00965AE1"/>
    <w:rsid w:val="00982FF1"/>
    <w:rsid w:val="009A2D9F"/>
    <w:rsid w:val="009B05A0"/>
    <w:rsid w:val="009C0FFA"/>
    <w:rsid w:val="009C68EC"/>
    <w:rsid w:val="009D56BF"/>
    <w:rsid w:val="009E4529"/>
    <w:rsid w:val="009E6398"/>
    <w:rsid w:val="009F74B6"/>
    <w:rsid w:val="00A04FDD"/>
    <w:rsid w:val="00A11233"/>
    <w:rsid w:val="00A138BD"/>
    <w:rsid w:val="00A138E5"/>
    <w:rsid w:val="00A234A1"/>
    <w:rsid w:val="00A24825"/>
    <w:rsid w:val="00A31883"/>
    <w:rsid w:val="00A37FF9"/>
    <w:rsid w:val="00A428A8"/>
    <w:rsid w:val="00A44F3D"/>
    <w:rsid w:val="00A53E8A"/>
    <w:rsid w:val="00A554A9"/>
    <w:rsid w:val="00A56B45"/>
    <w:rsid w:val="00A57153"/>
    <w:rsid w:val="00A64604"/>
    <w:rsid w:val="00A66A45"/>
    <w:rsid w:val="00A7072C"/>
    <w:rsid w:val="00A76E16"/>
    <w:rsid w:val="00A86885"/>
    <w:rsid w:val="00A8725C"/>
    <w:rsid w:val="00A94CDA"/>
    <w:rsid w:val="00AA2BBB"/>
    <w:rsid w:val="00AA607F"/>
    <w:rsid w:val="00AA64A5"/>
    <w:rsid w:val="00AB1B3D"/>
    <w:rsid w:val="00AB5753"/>
    <w:rsid w:val="00AC0B34"/>
    <w:rsid w:val="00AC0FCC"/>
    <w:rsid w:val="00AC478C"/>
    <w:rsid w:val="00AC7573"/>
    <w:rsid w:val="00AD214B"/>
    <w:rsid w:val="00AD4B7E"/>
    <w:rsid w:val="00AE01D2"/>
    <w:rsid w:val="00AF1DEB"/>
    <w:rsid w:val="00AF6B4D"/>
    <w:rsid w:val="00AF7220"/>
    <w:rsid w:val="00B00861"/>
    <w:rsid w:val="00B04C54"/>
    <w:rsid w:val="00B057A4"/>
    <w:rsid w:val="00B127C2"/>
    <w:rsid w:val="00B1598F"/>
    <w:rsid w:val="00B175C1"/>
    <w:rsid w:val="00B23577"/>
    <w:rsid w:val="00B24F1E"/>
    <w:rsid w:val="00B27367"/>
    <w:rsid w:val="00B31E93"/>
    <w:rsid w:val="00B325EC"/>
    <w:rsid w:val="00B407C4"/>
    <w:rsid w:val="00B40814"/>
    <w:rsid w:val="00B50B57"/>
    <w:rsid w:val="00B5139E"/>
    <w:rsid w:val="00B55DAE"/>
    <w:rsid w:val="00B72A11"/>
    <w:rsid w:val="00B85A8F"/>
    <w:rsid w:val="00B9774C"/>
    <w:rsid w:val="00BA708A"/>
    <w:rsid w:val="00BB0DC7"/>
    <w:rsid w:val="00BB7C83"/>
    <w:rsid w:val="00BC4237"/>
    <w:rsid w:val="00BD6614"/>
    <w:rsid w:val="00BD717B"/>
    <w:rsid w:val="00BE4FF6"/>
    <w:rsid w:val="00BF056A"/>
    <w:rsid w:val="00BF3725"/>
    <w:rsid w:val="00BF3875"/>
    <w:rsid w:val="00C00736"/>
    <w:rsid w:val="00C00895"/>
    <w:rsid w:val="00C024E2"/>
    <w:rsid w:val="00C0258E"/>
    <w:rsid w:val="00C03D95"/>
    <w:rsid w:val="00C15D0B"/>
    <w:rsid w:val="00C22012"/>
    <w:rsid w:val="00C22C73"/>
    <w:rsid w:val="00C27957"/>
    <w:rsid w:val="00C447C9"/>
    <w:rsid w:val="00C51446"/>
    <w:rsid w:val="00C624EC"/>
    <w:rsid w:val="00C66CC4"/>
    <w:rsid w:val="00C700BC"/>
    <w:rsid w:val="00C775D1"/>
    <w:rsid w:val="00C860CA"/>
    <w:rsid w:val="00C86DA8"/>
    <w:rsid w:val="00C87EAD"/>
    <w:rsid w:val="00C931CB"/>
    <w:rsid w:val="00C94FC0"/>
    <w:rsid w:val="00CA1C5E"/>
    <w:rsid w:val="00CA1F95"/>
    <w:rsid w:val="00CA2EBB"/>
    <w:rsid w:val="00CC5EA1"/>
    <w:rsid w:val="00CD1E8F"/>
    <w:rsid w:val="00CE3A73"/>
    <w:rsid w:val="00CE3F91"/>
    <w:rsid w:val="00CE5666"/>
    <w:rsid w:val="00CE7515"/>
    <w:rsid w:val="00CF65B6"/>
    <w:rsid w:val="00CF696E"/>
    <w:rsid w:val="00CF7AA5"/>
    <w:rsid w:val="00D063CF"/>
    <w:rsid w:val="00D11F24"/>
    <w:rsid w:val="00D133AA"/>
    <w:rsid w:val="00D14A5E"/>
    <w:rsid w:val="00D15E1A"/>
    <w:rsid w:val="00D26C61"/>
    <w:rsid w:val="00D30BFA"/>
    <w:rsid w:val="00D33B1A"/>
    <w:rsid w:val="00D45723"/>
    <w:rsid w:val="00D4720E"/>
    <w:rsid w:val="00D55093"/>
    <w:rsid w:val="00D55AFA"/>
    <w:rsid w:val="00D61301"/>
    <w:rsid w:val="00D64E9D"/>
    <w:rsid w:val="00D97786"/>
    <w:rsid w:val="00DA1545"/>
    <w:rsid w:val="00DA1A22"/>
    <w:rsid w:val="00DA657A"/>
    <w:rsid w:val="00DA7E5E"/>
    <w:rsid w:val="00DB0EBD"/>
    <w:rsid w:val="00DB3375"/>
    <w:rsid w:val="00DB58DA"/>
    <w:rsid w:val="00DC5347"/>
    <w:rsid w:val="00DC730B"/>
    <w:rsid w:val="00DD1BEC"/>
    <w:rsid w:val="00DD2A47"/>
    <w:rsid w:val="00DD4097"/>
    <w:rsid w:val="00DF33CF"/>
    <w:rsid w:val="00DF50D1"/>
    <w:rsid w:val="00E034E0"/>
    <w:rsid w:val="00E10A0A"/>
    <w:rsid w:val="00E12816"/>
    <w:rsid w:val="00E305DE"/>
    <w:rsid w:val="00E32A57"/>
    <w:rsid w:val="00E51305"/>
    <w:rsid w:val="00E5324E"/>
    <w:rsid w:val="00E5529D"/>
    <w:rsid w:val="00E71AD3"/>
    <w:rsid w:val="00E829C7"/>
    <w:rsid w:val="00E83DF2"/>
    <w:rsid w:val="00E90B57"/>
    <w:rsid w:val="00EA2490"/>
    <w:rsid w:val="00EB37F6"/>
    <w:rsid w:val="00EC5BD8"/>
    <w:rsid w:val="00ED2972"/>
    <w:rsid w:val="00ED44E1"/>
    <w:rsid w:val="00ED4EF2"/>
    <w:rsid w:val="00ED6575"/>
    <w:rsid w:val="00EE1908"/>
    <w:rsid w:val="00F00BAA"/>
    <w:rsid w:val="00F039BD"/>
    <w:rsid w:val="00F11C82"/>
    <w:rsid w:val="00F13C46"/>
    <w:rsid w:val="00F2359A"/>
    <w:rsid w:val="00F24973"/>
    <w:rsid w:val="00F41B63"/>
    <w:rsid w:val="00F42A89"/>
    <w:rsid w:val="00F5740B"/>
    <w:rsid w:val="00F66EDA"/>
    <w:rsid w:val="00F739CC"/>
    <w:rsid w:val="00F76B0F"/>
    <w:rsid w:val="00F91DC1"/>
    <w:rsid w:val="00FA5D4E"/>
    <w:rsid w:val="00FB14D3"/>
    <w:rsid w:val="00FB27C0"/>
    <w:rsid w:val="00FC09BF"/>
    <w:rsid w:val="00FD12A8"/>
    <w:rsid w:val="00FD66AD"/>
    <w:rsid w:val="00FD747A"/>
    <w:rsid w:val="00FF0388"/>
    <w:rsid w:val="00FF26C2"/>
    <w:rsid w:val="00FF2DDE"/>
    <w:rsid w:val="00FF6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62A9D"/>
    <w:pPr>
      <w:spacing w:after="200" w:line="276" w:lineRule="auto"/>
    </w:pPr>
    <w:rPr>
      <w:rFonts w:ascii="Times New Roman" w:hAnsi="Times New Roman"/>
      <w:sz w:val="24"/>
      <w:szCs w:val="22"/>
      <w:lang w:bidi="en-US"/>
    </w:rPr>
  </w:style>
  <w:style w:type="paragraph" w:styleId="Heading1">
    <w:name w:val="heading 1"/>
    <w:basedOn w:val="Normal"/>
    <w:next w:val="Normal"/>
    <w:link w:val="Heading1Char"/>
    <w:uiPriority w:val="9"/>
    <w:qFormat/>
    <w:rsid w:val="00E90B57"/>
    <w:pPr>
      <w:spacing w:after="0" w:line="480" w:lineRule="auto"/>
      <w:jc w:val="center"/>
      <w:outlineLvl w:val="0"/>
    </w:pPr>
    <w:rPr>
      <w:rFonts w:eastAsia="Times New Roman"/>
      <w:b/>
      <w:bCs/>
      <w:szCs w:val="28"/>
    </w:rPr>
  </w:style>
  <w:style w:type="paragraph" w:styleId="Heading2">
    <w:name w:val="heading 2"/>
    <w:basedOn w:val="Normal"/>
    <w:next w:val="Normal"/>
    <w:link w:val="Heading2Char"/>
    <w:uiPriority w:val="9"/>
    <w:qFormat/>
    <w:rsid w:val="00E90B57"/>
    <w:pPr>
      <w:keepNext/>
      <w:spacing w:after="0" w:line="480" w:lineRule="auto"/>
      <w:outlineLvl w:val="1"/>
    </w:pPr>
    <w:rPr>
      <w:b/>
    </w:rPr>
  </w:style>
  <w:style w:type="paragraph" w:styleId="Heading3">
    <w:name w:val="heading 3"/>
    <w:basedOn w:val="Normal"/>
    <w:next w:val="Normal"/>
    <w:link w:val="Heading3Char"/>
    <w:uiPriority w:val="9"/>
    <w:qFormat/>
    <w:rsid w:val="00AF7220"/>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qFormat/>
    <w:rsid w:val="00AF7220"/>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qFormat/>
    <w:rsid w:val="00AF7220"/>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qFormat/>
    <w:rsid w:val="00AF7220"/>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qFormat/>
    <w:rsid w:val="00AF7220"/>
    <w:pPr>
      <w:spacing w:after="0"/>
      <w:outlineLvl w:val="6"/>
    </w:pPr>
    <w:rPr>
      <w:rFonts w:ascii="Cambria" w:eastAsia="Times New Roman" w:hAnsi="Cambria"/>
      <w:i/>
      <w:iCs/>
    </w:rPr>
  </w:style>
  <w:style w:type="paragraph" w:styleId="Heading8">
    <w:name w:val="heading 8"/>
    <w:basedOn w:val="Normal"/>
    <w:next w:val="Normal"/>
    <w:link w:val="Heading8Char"/>
    <w:uiPriority w:val="9"/>
    <w:qFormat/>
    <w:rsid w:val="00AF7220"/>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qFormat/>
    <w:rsid w:val="00AF7220"/>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B57"/>
    <w:rPr>
      <w:rFonts w:ascii="Times New Roman" w:eastAsia="Times New Roman" w:hAnsi="Times New Roman"/>
      <w:b/>
      <w:bCs/>
      <w:sz w:val="24"/>
      <w:szCs w:val="28"/>
      <w:lang w:bidi="en-US"/>
    </w:rPr>
  </w:style>
  <w:style w:type="character" w:customStyle="1" w:styleId="Heading2Char">
    <w:name w:val="Heading 2 Char"/>
    <w:basedOn w:val="DefaultParagraphFont"/>
    <w:link w:val="Heading2"/>
    <w:uiPriority w:val="9"/>
    <w:rsid w:val="00E90B57"/>
    <w:rPr>
      <w:rFonts w:ascii="Times New Roman" w:hAnsi="Times New Roman"/>
      <w:b/>
      <w:sz w:val="24"/>
      <w:szCs w:val="22"/>
      <w:lang w:bidi="en-US"/>
    </w:rPr>
  </w:style>
  <w:style w:type="character" w:customStyle="1" w:styleId="Heading3Char">
    <w:name w:val="Heading 3 Char"/>
    <w:basedOn w:val="DefaultParagraphFont"/>
    <w:link w:val="Heading3"/>
    <w:uiPriority w:val="9"/>
    <w:rsid w:val="00AF7220"/>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AF7220"/>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AF7220"/>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AF7220"/>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AF7220"/>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AF7220"/>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AF7220"/>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AF7220"/>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basedOn w:val="DefaultParagraphFont"/>
    <w:link w:val="Title"/>
    <w:uiPriority w:val="10"/>
    <w:rsid w:val="00AF7220"/>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AF7220"/>
    <w:pPr>
      <w:spacing w:after="600"/>
    </w:pPr>
    <w:rPr>
      <w:rFonts w:ascii="Cambria" w:eastAsia="Times New Roman" w:hAnsi="Cambria"/>
      <w:i/>
      <w:iCs/>
      <w:spacing w:val="13"/>
      <w:szCs w:val="24"/>
    </w:rPr>
  </w:style>
  <w:style w:type="character" w:customStyle="1" w:styleId="SubtitleChar">
    <w:name w:val="Subtitle Char"/>
    <w:basedOn w:val="DefaultParagraphFont"/>
    <w:link w:val="Subtitle"/>
    <w:uiPriority w:val="11"/>
    <w:rsid w:val="00AF7220"/>
    <w:rPr>
      <w:rFonts w:ascii="Cambria" w:eastAsia="Times New Roman" w:hAnsi="Cambria" w:cs="Times New Roman"/>
      <w:i/>
      <w:iCs/>
      <w:spacing w:val="13"/>
      <w:sz w:val="24"/>
      <w:szCs w:val="24"/>
    </w:rPr>
  </w:style>
  <w:style w:type="character" w:styleId="Strong">
    <w:name w:val="Strong"/>
    <w:uiPriority w:val="22"/>
    <w:qFormat/>
    <w:rsid w:val="00AF7220"/>
    <w:rPr>
      <w:b/>
      <w:bCs/>
    </w:rPr>
  </w:style>
  <w:style w:type="character" w:styleId="Emphasis">
    <w:name w:val="Emphasis"/>
    <w:uiPriority w:val="20"/>
    <w:qFormat/>
    <w:rsid w:val="00AF7220"/>
    <w:rPr>
      <w:b/>
      <w:bCs/>
      <w:i/>
      <w:iCs/>
      <w:spacing w:val="10"/>
      <w:bdr w:val="none" w:sz="0" w:space="0" w:color="auto"/>
      <w:shd w:val="clear" w:color="auto" w:fill="auto"/>
    </w:rPr>
  </w:style>
  <w:style w:type="paragraph" w:styleId="NoSpacing">
    <w:name w:val="No Spacing"/>
    <w:basedOn w:val="Normal"/>
    <w:uiPriority w:val="1"/>
    <w:qFormat/>
    <w:rsid w:val="00AF7220"/>
    <w:pPr>
      <w:spacing w:after="0" w:line="240" w:lineRule="auto"/>
    </w:pPr>
  </w:style>
  <w:style w:type="paragraph" w:styleId="ListParagraph">
    <w:name w:val="List Paragraph"/>
    <w:basedOn w:val="Normal"/>
    <w:uiPriority w:val="34"/>
    <w:qFormat/>
    <w:rsid w:val="00AF7220"/>
    <w:pPr>
      <w:ind w:left="720"/>
      <w:contextualSpacing/>
    </w:pPr>
  </w:style>
  <w:style w:type="paragraph" w:styleId="Quote">
    <w:name w:val="Quote"/>
    <w:basedOn w:val="Normal"/>
    <w:next w:val="Normal"/>
    <w:link w:val="QuoteChar"/>
    <w:uiPriority w:val="29"/>
    <w:qFormat/>
    <w:rsid w:val="00AF7220"/>
    <w:pPr>
      <w:spacing w:before="200" w:after="0"/>
      <w:ind w:left="360" w:right="360"/>
    </w:pPr>
    <w:rPr>
      <w:i/>
      <w:iCs/>
    </w:rPr>
  </w:style>
  <w:style w:type="character" w:customStyle="1" w:styleId="QuoteChar">
    <w:name w:val="Quote Char"/>
    <w:basedOn w:val="DefaultParagraphFont"/>
    <w:link w:val="Quote"/>
    <w:uiPriority w:val="29"/>
    <w:rsid w:val="00AF7220"/>
    <w:rPr>
      <w:i/>
      <w:iCs/>
    </w:rPr>
  </w:style>
  <w:style w:type="paragraph" w:styleId="IntenseQuote">
    <w:name w:val="Intense Quote"/>
    <w:basedOn w:val="Normal"/>
    <w:next w:val="Normal"/>
    <w:link w:val="IntenseQuoteChar"/>
    <w:uiPriority w:val="30"/>
    <w:qFormat/>
    <w:rsid w:val="00AF722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F7220"/>
    <w:rPr>
      <w:b/>
      <w:bCs/>
      <w:i/>
      <w:iCs/>
    </w:rPr>
  </w:style>
  <w:style w:type="character" w:styleId="SubtleEmphasis">
    <w:name w:val="Subtle Emphasis"/>
    <w:uiPriority w:val="19"/>
    <w:qFormat/>
    <w:rsid w:val="00AF7220"/>
    <w:rPr>
      <w:i/>
      <w:iCs/>
    </w:rPr>
  </w:style>
  <w:style w:type="character" w:styleId="IntenseEmphasis">
    <w:name w:val="Intense Emphasis"/>
    <w:uiPriority w:val="21"/>
    <w:qFormat/>
    <w:rsid w:val="00AF7220"/>
    <w:rPr>
      <w:b/>
      <w:bCs/>
    </w:rPr>
  </w:style>
  <w:style w:type="character" w:styleId="SubtleReference">
    <w:name w:val="Subtle Reference"/>
    <w:uiPriority w:val="31"/>
    <w:qFormat/>
    <w:rsid w:val="00AF7220"/>
    <w:rPr>
      <w:smallCaps/>
    </w:rPr>
  </w:style>
  <w:style w:type="character" w:styleId="IntenseReference">
    <w:name w:val="Intense Reference"/>
    <w:uiPriority w:val="32"/>
    <w:qFormat/>
    <w:rsid w:val="00AF7220"/>
    <w:rPr>
      <w:smallCaps/>
      <w:spacing w:val="5"/>
      <w:u w:val="single"/>
    </w:rPr>
  </w:style>
  <w:style w:type="character" w:styleId="BookTitle">
    <w:name w:val="Book Title"/>
    <w:uiPriority w:val="33"/>
    <w:qFormat/>
    <w:rsid w:val="00AF7220"/>
    <w:rPr>
      <w:i/>
      <w:iCs/>
      <w:smallCaps/>
      <w:spacing w:val="5"/>
    </w:rPr>
  </w:style>
  <w:style w:type="paragraph" w:styleId="TOCHeading">
    <w:name w:val="TOC Heading"/>
    <w:basedOn w:val="Heading1"/>
    <w:next w:val="Normal"/>
    <w:uiPriority w:val="39"/>
    <w:qFormat/>
    <w:rsid w:val="00AF7220"/>
    <w:pPr>
      <w:outlineLvl w:val="9"/>
    </w:pPr>
  </w:style>
  <w:style w:type="character" w:styleId="LineNumber">
    <w:name w:val="line number"/>
    <w:basedOn w:val="DefaultParagraphFont"/>
    <w:uiPriority w:val="99"/>
    <w:semiHidden/>
    <w:unhideWhenUsed/>
    <w:rsid w:val="009C68EC"/>
  </w:style>
  <w:style w:type="paragraph" w:styleId="BodyTextIndent2">
    <w:name w:val="Body Text Indent 2"/>
    <w:basedOn w:val="Normal"/>
    <w:link w:val="BodyTextIndent2Char"/>
    <w:rsid w:val="00B04C54"/>
    <w:pPr>
      <w:spacing w:after="0" w:line="480" w:lineRule="auto"/>
      <w:ind w:left="720" w:hanging="720"/>
    </w:pPr>
    <w:rPr>
      <w:rFonts w:eastAsia="Times New Roman"/>
      <w:b/>
      <w:bCs/>
      <w:szCs w:val="24"/>
      <w:lang w:bidi="ar-SA"/>
    </w:rPr>
  </w:style>
  <w:style w:type="character" w:customStyle="1" w:styleId="BodyTextIndent2Char">
    <w:name w:val="Body Text Indent 2 Char"/>
    <w:basedOn w:val="DefaultParagraphFont"/>
    <w:link w:val="BodyTextIndent2"/>
    <w:rsid w:val="00B04C54"/>
    <w:rPr>
      <w:rFonts w:ascii="Times New Roman" w:eastAsia="Times New Roman" w:hAnsi="Times New Roman"/>
      <w:b/>
      <w:bCs/>
      <w:sz w:val="24"/>
      <w:szCs w:val="24"/>
    </w:rPr>
  </w:style>
  <w:style w:type="paragraph" w:customStyle="1" w:styleId="Questionintestimony">
    <w:name w:val="Question in testimony"/>
    <w:basedOn w:val="Normal"/>
    <w:link w:val="QuestionintestimonyChar"/>
    <w:qFormat/>
    <w:rsid w:val="00EB37F6"/>
    <w:pPr>
      <w:spacing w:after="0" w:line="480" w:lineRule="auto"/>
      <w:ind w:left="720" w:hanging="720"/>
    </w:pPr>
    <w:rPr>
      <w:b/>
    </w:rPr>
  </w:style>
  <w:style w:type="paragraph" w:customStyle="1" w:styleId="AnswerinTestimony">
    <w:name w:val="Answer in Testimony"/>
    <w:basedOn w:val="Normal"/>
    <w:link w:val="AnswerinTestimonyChar"/>
    <w:qFormat/>
    <w:rsid w:val="00EB37F6"/>
    <w:pPr>
      <w:spacing w:after="0" w:line="480" w:lineRule="auto"/>
      <w:ind w:left="720" w:hanging="720"/>
    </w:pPr>
  </w:style>
  <w:style w:type="character" w:customStyle="1" w:styleId="QuestionintestimonyChar">
    <w:name w:val="Question in testimony Char"/>
    <w:basedOn w:val="DefaultParagraphFont"/>
    <w:link w:val="Questionintestimony"/>
    <w:rsid w:val="00EB37F6"/>
    <w:rPr>
      <w:rFonts w:ascii="Times New Roman" w:hAnsi="Times New Roman"/>
      <w:b/>
      <w:sz w:val="24"/>
      <w:szCs w:val="22"/>
      <w:lang w:bidi="en-US"/>
    </w:rPr>
  </w:style>
  <w:style w:type="paragraph" w:styleId="FootnoteText">
    <w:name w:val="footnote text"/>
    <w:basedOn w:val="Normal"/>
    <w:link w:val="FootnoteTextChar"/>
    <w:uiPriority w:val="99"/>
    <w:unhideWhenUsed/>
    <w:rsid w:val="009F74B6"/>
    <w:rPr>
      <w:sz w:val="20"/>
      <w:szCs w:val="20"/>
    </w:rPr>
  </w:style>
  <w:style w:type="character" w:customStyle="1" w:styleId="AnswerinTestimonyChar">
    <w:name w:val="Answer in Testimony Char"/>
    <w:basedOn w:val="DefaultParagraphFont"/>
    <w:link w:val="AnswerinTestimony"/>
    <w:rsid w:val="00EB37F6"/>
    <w:rPr>
      <w:rFonts w:ascii="Times New Roman" w:hAnsi="Times New Roman"/>
      <w:sz w:val="24"/>
      <w:szCs w:val="22"/>
      <w:lang w:bidi="en-US"/>
    </w:rPr>
  </w:style>
  <w:style w:type="character" w:customStyle="1" w:styleId="FootnoteTextChar">
    <w:name w:val="Footnote Text Char"/>
    <w:basedOn w:val="DefaultParagraphFont"/>
    <w:link w:val="FootnoteText"/>
    <w:uiPriority w:val="99"/>
    <w:rsid w:val="009F74B6"/>
    <w:rPr>
      <w:rFonts w:ascii="Times New Roman" w:hAnsi="Times New Roman"/>
      <w:lang w:bidi="en-US"/>
    </w:rPr>
  </w:style>
  <w:style w:type="character" w:styleId="FootnoteReference">
    <w:name w:val="footnote reference"/>
    <w:basedOn w:val="DefaultParagraphFont"/>
    <w:uiPriority w:val="99"/>
    <w:semiHidden/>
    <w:unhideWhenUsed/>
    <w:rsid w:val="009F74B6"/>
    <w:rPr>
      <w:vertAlign w:val="superscript"/>
    </w:rPr>
  </w:style>
  <w:style w:type="paragraph" w:styleId="BodyTextIndent">
    <w:name w:val="Body Text Indent"/>
    <w:basedOn w:val="Normal"/>
    <w:link w:val="BodyTextIndentChar"/>
    <w:uiPriority w:val="99"/>
    <w:semiHidden/>
    <w:unhideWhenUsed/>
    <w:rsid w:val="000159D7"/>
    <w:pPr>
      <w:spacing w:after="120"/>
      <w:ind w:left="360"/>
    </w:pPr>
  </w:style>
  <w:style w:type="character" w:customStyle="1" w:styleId="BodyTextIndentChar">
    <w:name w:val="Body Text Indent Char"/>
    <w:basedOn w:val="DefaultParagraphFont"/>
    <w:link w:val="BodyTextIndent"/>
    <w:uiPriority w:val="99"/>
    <w:semiHidden/>
    <w:rsid w:val="000159D7"/>
    <w:rPr>
      <w:rFonts w:ascii="Times New Roman" w:hAnsi="Times New Roman"/>
      <w:sz w:val="24"/>
      <w:szCs w:val="22"/>
      <w:lang w:bidi="en-US"/>
    </w:rPr>
  </w:style>
  <w:style w:type="paragraph" w:styleId="BodyText2">
    <w:name w:val="Body Text 2"/>
    <w:basedOn w:val="Normal"/>
    <w:link w:val="BodyText2Char"/>
    <w:uiPriority w:val="99"/>
    <w:semiHidden/>
    <w:unhideWhenUsed/>
    <w:rsid w:val="000159D7"/>
    <w:pPr>
      <w:spacing w:after="120" w:line="480" w:lineRule="auto"/>
    </w:pPr>
  </w:style>
  <w:style w:type="character" w:customStyle="1" w:styleId="BodyText2Char">
    <w:name w:val="Body Text 2 Char"/>
    <w:basedOn w:val="DefaultParagraphFont"/>
    <w:link w:val="BodyText2"/>
    <w:uiPriority w:val="99"/>
    <w:semiHidden/>
    <w:rsid w:val="000159D7"/>
    <w:rPr>
      <w:rFonts w:ascii="Times New Roman" w:hAnsi="Times New Roman"/>
      <w:sz w:val="24"/>
      <w:szCs w:val="22"/>
      <w:lang w:bidi="en-US"/>
    </w:rPr>
  </w:style>
  <w:style w:type="paragraph" w:styleId="Footer">
    <w:name w:val="footer"/>
    <w:basedOn w:val="Normal"/>
    <w:link w:val="FooterChar"/>
    <w:rsid w:val="000159D7"/>
    <w:pPr>
      <w:tabs>
        <w:tab w:val="center" w:pos="4320"/>
        <w:tab w:val="right" w:pos="8640"/>
      </w:tabs>
      <w:spacing w:after="0" w:line="360" w:lineRule="auto"/>
    </w:pPr>
    <w:rPr>
      <w:rFonts w:eastAsia="Times New Roman"/>
      <w:szCs w:val="24"/>
      <w:lang w:bidi="ar-SA"/>
    </w:rPr>
  </w:style>
  <w:style w:type="character" w:customStyle="1" w:styleId="FooterChar">
    <w:name w:val="Footer Char"/>
    <w:basedOn w:val="DefaultParagraphFont"/>
    <w:link w:val="Footer"/>
    <w:rsid w:val="000159D7"/>
    <w:rPr>
      <w:rFonts w:ascii="Times New Roman" w:eastAsia="Times New Roman" w:hAnsi="Times New Roman"/>
      <w:sz w:val="24"/>
      <w:szCs w:val="24"/>
    </w:rPr>
  </w:style>
  <w:style w:type="character" w:styleId="PageNumber">
    <w:name w:val="page number"/>
    <w:basedOn w:val="DefaultParagraphFont"/>
    <w:rsid w:val="000159D7"/>
  </w:style>
  <w:style w:type="paragraph" w:customStyle="1" w:styleId="plain">
    <w:name w:val="plain"/>
    <w:basedOn w:val="Normal"/>
    <w:rsid w:val="000159D7"/>
    <w:pPr>
      <w:spacing w:after="0" w:line="240" w:lineRule="atLeast"/>
    </w:pPr>
    <w:rPr>
      <w:rFonts w:eastAsia="Times New Roman"/>
      <w:sz w:val="26"/>
      <w:szCs w:val="20"/>
      <w:lang w:bidi="ar-SA"/>
    </w:rPr>
  </w:style>
  <w:style w:type="paragraph" w:customStyle="1" w:styleId="CaptionTitle">
    <w:name w:val="CaptionTitle"/>
    <w:basedOn w:val="Normal"/>
    <w:rsid w:val="000159D7"/>
    <w:pPr>
      <w:keepNext/>
      <w:keepLines/>
      <w:spacing w:before="240" w:after="240" w:line="240" w:lineRule="atLeast"/>
      <w:ind w:left="720" w:right="720"/>
      <w:jc w:val="center"/>
    </w:pPr>
    <w:rPr>
      <w:rFonts w:eastAsia="Times New Roman"/>
      <w:szCs w:val="20"/>
      <w:lang w:bidi="ar-SA"/>
    </w:rPr>
  </w:style>
  <w:style w:type="paragraph" w:styleId="BalloonText">
    <w:name w:val="Balloon Text"/>
    <w:basedOn w:val="Normal"/>
    <w:link w:val="BalloonTextChar"/>
    <w:uiPriority w:val="99"/>
    <w:semiHidden/>
    <w:unhideWhenUsed/>
    <w:rsid w:val="00A57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53"/>
    <w:rPr>
      <w:rFonts w:ascii="Tahoma" w:hAnsi="Tahoma" w:cs="Tahoma"/>
      <w:sz w:val="16"/>
      <w:szCs w:val="16"/>
      <w:lang w:bidi="en-US"/>
    </w:rPr>
  </w:style>
  <w:style w:type="character" w:styleId="CommentReference">
    <w:name w:val="annotation reference"/>
    <w:basedOn w:val="DefaultParagraphFont"/>
    <w:uiPriority w:val="99"/>
    <w:semiHidden/>
    <w:unhideWhenUsed/>
    <w:rsid w:val="006D455E"/>
    <w:rPr>
      <w:sz w:val="16"/>
      <w:szCs w:val="16"/>
    </w:rPr>
  </w:style>
  <w:style w:type="paragraph" w:styleId="CommentText">
    <w:name w:val="annotation text"/>
    <w:basedOn w:val="Normal"/>
    <w:link w:val="CommentTextChar"/>
    <w:uiPriority w:val="99"/>
    <w:semiHidden/>
    <w:unhideWhenUsed/>
    <w:rsid w:val="006D455E"/>
    <w:rPr>
      <w:sz w:val="20"/>
      <w:szCs w:val="20"/>
    </w:rPr>
  </w:style>
  <w:style w:type="character" w:customStyle="1" w:styleId="CommentTextChar">
    <w:name w:val="Comment Text Char"/>
    <w:basedOn w:val="DefaultParagraphFont"/>
    <w:link w:val="CommentText"/>
    <w:uiPriority w:val="99"/>
    <w:semiHidden/>
    <w:rsid w:val="006D455E"/>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6D455E"/>
    <w:rPr>
      <w:b/>
      <w:bCs/>
    </w:rPr>
  </w:style>
  <w:style w:type="character" w:customStyle="1" w:styleId="CommentSubjectChar">
    <w:name w:val="Comment Subject Char"/>
    <w:basedOn w:val="CommentTextChar"/>
    <w:link w:val="CommentSubject"/>
    <w:uiPriority w:val="99"/>
    <w:semiHidden/>
    <w:rsid w:val="006D455E"/>
    <w:rPr>
      <w:b/>
      <w:bCs/>
    </w:rPr>
  </w:style>
  <w:style w:type="paragraph" w:styleId="Header">
    <w:name w:val="header"/>
    <w:basedOn w:val="Normal"/>
    <w:link w:val="HeaderChar"/>
    <w:uiPriority w:val="99"/>
    <w:semiHidden/>
    <w:unhideWhenUsed/>
    <w:rsid w:val="00BA708A"/>
    <w:pPr>
      <w:tabs>
        <w:tab w:val="center" w:pos="4680"/>
        <w:tab w:val="right" w:pos="9360"/>
      </w:tabs>
    </w:pPr>
  </w:style>
  <w:style w:type="character" w:customStyle="1" w:styleId="HeaderChar">
    <w:name w:val="Header Char"/>
    <w:basedOn w:val="DefaultParagraphFont"/>
    <w:link w:val="Header"/>
    <w:uiPriority w:val="99"/>
    <w:semiHidden/>
    <w:rsid w:val="00BA708A"/>
    <w:rPr>
      <w:rFonts w:ascii="Times New Roman" w:hAnsi="Times New Roman"/>
      <w:sz w:val="24"/>
      <w:szCs w:val="22"/>
      <w:lang w:bidi="en-US"/>
    </w:rPr>
  </w:style>
  <w:style w:type="paragraph" w:styleId="Revision">
    <w:name w:val="Revision"/>
    <w:hidden/>
    <w:uiPriority w:val="99"/>
    <w:semiHidden/>
    <w:rsid w:val="007741CF"/>
    <w:rPr>
      <w:rFonts w:ascii="Times New Roman" w:hAnsi="Times New Roman"/>
      <w:sz w:val="24"/>
      <w:szCs w:val="22"/>
      <w:lang w:bidi="en-US"/>
    </w:rPr>
  </w:style>
  <w:style w:type="paragraph" w:styleId="TOC1">
    <w:name w:val="toc 1"/>
    <w:basedOn w:val="Normal"/>
    <w:next w:val="Normal"/>
    <w:autoRedefine/>
    <w:uiPriority w:val="39"/>
    <w:unhideWhenUsed/>
    <w:rsid w:val="00E90B57"/>
    <w:pPr>
      <w:spacing w:after="100"/>
    </w:pPr>
  </w:style>
  <w:style w:type="paragraph" w:styleId="TOC2">
    <w:name w:val="toc 2"/>
    <w:basedOn w:val="Normal"/>
    <w:next w:val="Normal"/>
    <w:autoRedefine/>
    <w:uiPriority w:val="39"/>
    <w:unhideWhenUsed/>
    <w:rsid w:val="00E90B57"/>
    <w:pPr>
      <w:spacing w:after="100"/>
      <w:ind w:left="240"/>
    </w:pPr>
  </w:style>
  <w:style w:type="character" w:styleId="Hyperlink">
    <w:name w:val="Hyperlink"/>
    <w:basedOn w:val="DefaultParagraphFont"/>
    <w:uiPriority w:val="99"/>
    <w:unhideWhenUsed/>
    <w:rsid w:val="00E90B5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5816519">
      <w:bodyDiv w:val="1"/>
      <w:marLeft w:val="0"/>
      <w:marRight w:val="0"/>
      <w:marTop w:val="0"/>
      <w:marBottom w:val="0"/>
      <w:divBdr>
        <w:top w:val="none" w:sz="0" w:space="0" w:color="auto"/>
        <w:left w:val="none" w:sz="0" w:space="0" w:color="auto"/>
        <w:bottom w:val="none" w:sz="0" w:space="0" w:color="auto"/>
        <w:right w:val="none" w:sz="0" w:space="0" w:color="auto"/>
      </w:divBdr>
    </w:div>
    <w:div w:id="207677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A42C26506CF14D82D0A72383FC3E88" ma:contentTypeVersion="131" ma:contentTypeDescription="" ma:contentTypeScope="" ma:versionID="900aaace43aad440889e194c92f720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2009-05-08T07:00:00+00:00</OpenedDate>
    <Date1 xmlns="dc463f71-b30c-4ab2-9473-d307f9d35888">2009-11-17T08:00:00+00:00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090704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A469E43-CA81-401E-8F21-9C6B7CBB8F49}"/>
</file>

<file path=customXml/itemProps2.xml><?xml version="1.0" encoding="utf-8"?>
<ds:datastoreItem xmlns:ds="http://schemas.openxmlformats.org/officeDocument/2006/customXml" ds:itemID="{E29F6C57-349E-4988-AB75-49B4BBA25376}"/>
</file>

<file path=customXml/itemProps3.xml><?xml version="1.0" encoding="utf-8"?>
<ds:datastoreItem xmlns:ds="http://schemas.openxmlformats.org/officeDocument/2006/customXml" ds:itemID="{1D738E8C-6FD0-40A0-95B8-92B9B70CA3C0}"/>
</file>

<file path=customXml/itemProps4.xml><?xml version="1.0" encoding="utf-8"?>
<ds:datastoreItem xmlns:ds="http://schemas.openxmlformats.org/officeDocument/2006/customXml" ds:itemID="{E6D8AA5E-923D-4C49-A562-F5388C32658C}"/>
</file>

<file path=customXml/itemProps5.xml><?xml version="1.0" encoding="utf-8"?>
<ds:datastoreItem xmlns:ds="http://schemas.openxmlformats.org/officeDocument/2006/customXml" ds:itemID="{9C6B9F89-D78B-4056-8648-254ECE5BB76F}"/>
</file>

<file path=docProps/app.xml><?xml version="1.0" encoding="utf-8"?>
<Properties xmlns="http://schemas.openxmlformats.org/officeDocument/2006/extended-properties" xmlns:vt="http://schemas.openxmlformats.org/officeDocument/2006/docPropsVTypes">
  <Template>Normal.dotm</Template>
  <TotalTime>21</TotalTime>
  <Pages>16</Pages>
  <Words>2783</Words>
  <Characters>15865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Exhibit ___T (DPK-1T)</vt:lpstr>
    </vt:vector>
  </TitlesOfParts>
  <Company>Washington Utilities and Transportation Commission</Company>
  <LinksUpToDate>false</LinksUpToDate>
  <CharactersWithSpaces>18611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___T (DPK-1T)</dc:title>
  <dc:creator>dkermode</dc:creator>
  <cp:lastModifiedBy>Krista Gross</cp:lastModifiedBy>
  <cp:revision>8</cp:revision>
  <cp:lastPrinted>2009-11-17T00:43:00Z</cp:lastPrinted>
  <dcterms:created xsi:type="dcterms:W3CDTF">2009-11-17T00:10:00Z</dcterms:created>
  <dcterms:modified xsi:type="dcterms:W3CDTF">2009-11-17T00:43:00Z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0x0101006E56B4D1795A2E4DB2F0B01679ED314A007CA42C26506CF14D82D0A72383FC3E88</vt:lpwstr>
  </property>
  <property fmtid="{D5CDD505-2E9C-101B-9397-08002B2CF9AE}" pid="3" name="_docset_NoMedatataSyncRequired">
    <vt:lpwstr>False</vt:lpwstr>
  </property>
</Properties>
</file>