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98" w:rsidRDefault="00436B60">
      <w:pPr>
        <w:widowControl w:val="0"/>
        <w:jc w:val="center"/>
        <w:rPr>
          <w:rFonts w:ascii="Times New Roman" w:hAnsi="Times New Roman"/>
          <w:b/>
        </w:rPr>
      </w:pPr>
      <w:r>
        <w:rPr>
          <w:rFonts w:ascii="Times New Roman" w:hAnsi="Times New Roman"/>
          <w:b/>
        </w:rPr>
        <w:t>BEFORE THE</w:t>
      </w:r>
      <w:r>
        <w:rPr>
          <w:rFonts w:ascii="Times New Roman" w:hAnsi="Times New Roman"/>
          <w:b/>
        </w:rPr>
        <w:br w:type="textWrapping" w:clear="all"/>
        <w:t xml:space="preserve">WASHINGTON UTILITIES </w:t>
      </w:r>
      <w:smartTag w:uri="urn:schemas-microsoft-com:office:smarttags" w:element="stockticker">
        <w:r>
          <w:rPr>
            <w:rFonts w:ascii="Times New Roman" w:hAnsi="Times New Roman"/>
            <w:b/>
          </w:rPr>
          <w:t>AND</w:t>
        </w:r>
      </w:smartTag>
      <w:r>
        <w:rPr>
          <w:rFonts w:ascii="Times New Roman" w:hAnsi="Times New Roman"/>
          <w:b/>
        </w:rPr>
        <w:t xml:space="preserve"> TRANSPORTATION COMMISSION</w:t>
      </w:r>
    </w:p>
    <w:p w:rsidR="00973298" w:rsidRDefault="00973298">
      <w:pPr>
        <w:widowControl w:val="0"/>
        <w:jc w:val="center"/>
        <w:rPr>
          <w:rFonts w:ascii="Times New Roman" w:hAnsi="Times New Roman"/>
          <w:b/>
        </w:rPr>
      </w:pPr>
    </w:p>
    <w:p w:rsidR="00973298" w:rsidRDefault="00973298">
      <w:pPr>
        <w:widowControl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rsidR="00436B60" w:rsidTr="00436B60">
        <w:tc>
          <w:tcPr>
            <w:tcW w:w="4968" w:type="dxa"/>
            <w:tcBorders>
              <w:top w:val="nil"/>
              <w:left w:val="nil"/>
              <w:bottom w:val="nil"/>
              <w:right w:val="single" w:sz="4" w:space="0" w:color="auto"/>
            </w:tcBorders>
          </w:tcPr>
          <w:p w:rsidR="00973298" w:rsidRDefault="00436B60">
            <w:pPr>
              <w:widowControl w:val="0"/>
              <w:rPr>
                <w:rFonts w:ascii="Times New Roman" w:hAnsi="Times New Roman"/>
              </w:rPr>
            </w:pPr>
            <w:r>
              <w:rPr>
                <w:rFonts w:ascii="Times New Roman" w:hAnsi="Times New Roman"/>
              </w:rPr>
              <w:t xml:space="preserve">WASHINGTON UTILITIES </w:t>
            </w:r>
            <w:smartTag w:uri="urn:schemas-microsoft-com:office:smarttags" w:element="stockticker">
              <w:r>
                <w:rPr>
                  <w:rFonts w:ascii="Times New Roman" w:hAnsi="Times New Roman"/>
                </w:rPr>
                <w:t>AND</w:t>
              </w:r>
            </w:smartTag>
          </w:p>
          <w:p w:rsidR="00973298" w:rsidRDefault="00436B60">
            <w:pPr>
              <w:widowControl w:val="0"/>
              <w:rPr>
                <w:rFonts w:ascii="Times New Roman" w:hAnsi="Times New Roman"/>
              </w:rPr>
            </w:pPr>
            <w:r>
              <w:rPr>
                <w:rFonts w:ascii="Times New Roman" w:hAnsi="Times New Roman"/>
              </w:rPr>
              <w:t>TRANSPORATION COMMISSION</w:t>
            </w:r>
          </w:p>
          <w:p w:rsidR="00973298" w:rsidRDefault="00973298">
            <w:pPr>
              <w:widowControl w:val="0"/>
              <w:rPr>
                <w:rFonts w:ascii="Times New Roman" w:hAnsi="Times New Roman"/>
              </w:rPr>
            </w:pPr>
          </w:p>
          <w:p w:rsidR="00973298" w:rsidRDefault="00436B60">
            <w:pPr>
              <w:widowControl w:val="0"/>
              <w:rPr>
                <w:rFonts w:ascii="Times New Roman" w:hAnsi="Times New Roman"/>
              </w:rPr>
            </w:pPr>
            <w:r>
              <w:rPr>
                <w:rFonts w:ascii="Times New Roman" w:hAnsi="Times New Roman"/>
              </w:rPr>
              <w:t xml:space="preserve">                              Complainant,</w:t>
            </w:r>
          </w:p>
          <w:p w:rsidR="00973298" w:rsidRDefault="00973298">
            <w:pPr>
              <w:widowControl w:val="0"/>
              <w:rPr>
                <w:rFonts w:ascii="Times New Roman" w:hAnsi="Times New Roman"/>
              </w:rPr>
            </w:pPr>
          </w:p>
          <w:p w:rsidR="00973298" w:rsidRDefault="00436B60">
            <w:pPr>
              <w:widowControl w:val="0"/>
              <w:rPr>
                <w:rFonts w:ascii="Times New Roman" w:hAnsi="Times New Roman"/>
              </w:rPr>
            </w:pPr>
            <w:r>
              <w:rPr>
                <w:rFonts w:ascii="Times New Roman" w:hAnsi="Times New Roman"/>
              </w:rPr>
              <w:t xml:space="preserve">           vs.</w:t>
            </w:r>
          </w:p>
          <w:p w:rsidR="00973298" w:rsidRDefault="00973298">
            <w:pPr>
              <w:widowControl w:val="0"/>
              <w:rPr>
                <w:rFonts w:ascii="Times New Roman" w:hAnsi="Times New Roman"/>
              </w:rPr>
            </w:pPr>
          </w:p>
          <w:p w:rsidR="00973298" w:rsidRDefault="00436B60">
            <w:pPr>
              <w:widowControl w:val="0"/>
              <w:rPr>
                <w:rFonts w:ascii="Times New Roman" w:hAnsi="Times New Roman"/>
              </w:rPr>
            </w:pPr>
            <w:r>
              <w:rPr>
                <w:rFonts w:ascii="Times New Roman" w:hAnsi="Times New Roman"/>
              </w:rPr>
              <w:t>PACIFICORP d.b.a. PACIFIC POWER,</w:t>
            </w:r>
          </w:p>
          <w:p w:rsidR="00973298" w:rsidRDefault="00973298">
            <w:pPr>
              <w:widowControl w:val="0"/>
              <w:rPr>
                <w:rFonts w:ascii="Times New Roman" w:hAnsi="Times New Roman"/>
              </w:rPr>
            </w:pPr>
          </w:p>
          <w:p w:rsidR="00973298" w:rsidRDefault="00436B60">
            <w:pPr>
              <w:widowControl w:val="0"/>
              <w:rPr>
                <w:rFonts w:ascii="Times New Roman" w:hAnsi="Times New Roman"/>
              </w:rPr>
            </w:pPr>
            <w:r>
              <w:rPr>
                <w:rFonts w:ascii="Times New Roman" w:hAnsi="Times New Roman"/>
              </w:rPr>
              <w:t xml:space="preserve">                              Respondent.</w:t>
            </w:r>
          </w:p>
          <w:p w:rsidR="00973298" w:rsidRDefault="00973298">
            <w:pPr>
              <w:widowControl w:val="0"/>
              <w:rPr>
                <w:rFonts w:ascii="Times New Roman" w:hAnsi="Times New Roman"/>
              </w:rPr>
            </w:pPr>
          </w:p>
        </w:tc>
        <w:tc>
          <w:tcPr>
            <w:tcW w:w="3888" w:type="dxa"/>
            <w:tcBorders>
              <w:top w:val="nil"/>
              <w:left w:val="single" w:sz="4" w:space="0" w:color="auto"/>
              <w:bottom w:val="nil"/>
              <w:right w:val="nil"/>
            </w:tcBorders>
          </w:tcPr>
          <w:p w:rsidR="00973298" w:rsidRDefault="00973298">
            <w:pPr>
              <w:widowControl w:val="0"/>
              <w:rPr>
                <w:rFonts w:ascii="Times New Roman" w:hAnsi="Times New Roman"/>
              </w:rPr>
            </w:pPr>
          </w:p>
          <w:p w:rsidR="00973298" w:rsidRDefault="00973298">
            <w:pPr>
              <w:widowControl w:val="0"/>
              <w:rPr>
                <w:rFonts w:ascii="Times New Roman" w:hAnsi="Times New Roman"/>
                <w:b/>
              </w:rPr>
            </w:pPr>
          </w:p>
          <w:p w:rsidR="00973298" w:rsidRDefault="00973298">
            <w:pPr>
              <w:widowControl w:val="0"/>
              <w:rPr>
                <w:rFonts w:ascii="Times New Roman" w:hAnsi="Times New Roman"/>
                <w:b/>
              </w:rPr>
            </w:pPr>
          </w:p>
          <w:p w:rsidR="00973298" w:rsidRDefault="00973298">
            <w:pPr>
              <w:widowControl w:val="0"/>
              <w:rPr>
                <w:rFonts w:ascii="Times New Roman" w:hAnsi="Times New Roman"/>
                <w:b/>
              </w:rPr>
            </w:pPr>
          </w:p>
          <w:p w:rsidR="00973298" w:rsidRDefault="00973298">
            <w:pPr>
              <w:widowControl w:val="0"/>
              <w:rPr>
                <w:rFonts w:ascii="Times New Roman" w:hAnsi="Times New Roman"/>
                <w:b/>
              </w:rPr>
            </w:pPr>
          </w:p>
          <w:p w:rsidR="00973298" w:rsidRDefault="00436B60">
            <w:pPr>
              <w:widowControl w:val="0"/>
              <w:rPr>
                <w:rFonts w:ascii="Times New Roman" w:hAnsi="Times New Roman"/>
                <w:b/>
              </w:rPr>
            </w:pPr>
            <w:r>
              <w:rPr>
                <w:rFonts w:ascii="Times New Roman" w:hAnsi="Times New Roman"/>
                <w:b/>
              </w:rPr>
              <w:t>DOCKET UE-100749</w:t>
            </w:r>
          </w:p>
          <w:p w:rsidR="00973298" w:rsidRDefault="00973298">
            <w:pPr>
              <w:widowControl w:val="0"/>
              <w:rPr>
                <w:rFonts w:ascii="Times New Roman" w:hAnsi="Times New Roman"/>
                <w:b/>
              </w:rPr>
            </w:pPr>
          </w:p>
          <w:p w:rsidR="00973298" w:rsidRDefault="00973298">
            <w:pPr>
              <w:widowControl w:val="0"/>
              <w:rPr>
                <w:rFonts w:ascii="Times New Roman" w:hAnsi="Times New Roman"/>
              </w:rPr>
            </w:pPr>
          </w:p>
        </w:tc>
      </w:tr>
      <w:tr w:rsidR="00436B60" w:rsidTr="00436B60">
        <w:tc>
          <w:tcPr>
            <w:tcW w:w="4968" w:type="dxa"/>
            <w:tcBorders>
              <w:top w:val="nil"/>
              <w:left w:val="nil"/>
              <w:bottom w:val="single" w:sz="4" w:space="0" w:color="auto"/>
              <w:right w:val="single" w:sz="4" w:space="0" w:color="auto"/>
            </w:tcBorders>
          </w:tcPr>
          <w:p w:rsidR="00973298" w:rsidRDefault="00973298">
            <w:pPr>
              <w:widowControl w:val="0"/>
              <w:rPr>
                <w:rFonts w:ascii="Times New Roman" w:hAnsi="Times New Roman"/>
              </w:rPr>
            </w:pPr>
          </w:p>
        </w:tc>
        <w:tc>
          <w:tcPr>
            <w:tcW w:w="3888" w:type="dxa"/>
            <w:tcBorders>
              <w:top w:val="nil"/>
              <w:left w:val="single" w:sz="4" w:space="0" w:color="auto"/>
              <w:bottom w:val="nil"/>
              <w:right w:val="nil"/>
            </w:tcBorders>
          </w:tcPr>
          <w:p w:rsidR="00973298" w:rsidRDefault="00973298">
            <w:pPr>
              <w:widowControl w:val="0"/>
              <w:rPr>
                <w:rFonts w:ascii="Times New Roman" w:hAnsi="Times New Roman"/>
              </w:rPr>
            </w:pPr>
          </w:p>
        </w:tc>
      </w:tr>
    </w:tbl>
    <w:p w:rsidR="00973298" w:rsidRDefault="00973298">
      <w:pPr>
        <w:widowControl w:val="0"/>
      </w:pPr>
    </w:p>
    <w:p w:rsidR="00973298" w:rsidRDefault="00973298">
      <w:pPr>
        <w:widowControl w:val="0"/>
      </w:pPr>
    </w:p>
    <w:p w:rsidR="00973298" w:rsidRDefault="00973298">
      <w:pPr>
        <w:widowControl w:val="0"/>
      </w:pPr>
    </w:p>
    <w:p w:rsidR="00973298" w:rsidRDefault="00973298">
      <w:pPr>
        <w:widowControl w:val="0"/>
      </w:pPr>
    </w:p>
    <w:p w:rsidR="00973298" w:rsidRDefault="00973298">
      <w:pPr>
        <w:widowControl w:val="0"/>
      </w:pPr>
    </w:p>
    <w:p w:rsidR="00973298" w:rsidRDefault="00436B60">
      <w:pPr>
        <w:widowControl w:val="0"/>
        <w:jc w:val="center"/>
        <w:rPr>
          <w:b/>
        </w:rPr>
      </w:pPr>
      <w:r>
        <w:rPr>
          <w:b/>
        </w:rPr>
        <w:t>PACIFICORP’S</w:t>
      </w:r>
    </w:p>
    <w:p w:rsidR="00973298" w:rsidRDefault="00436B60">
      <w:pPr>
        <w:widowControl w:val="0"/>
        <w:jc w:val="center"/>
        <w:rPr>
          <w:b/>
        </w:rPr>
      </w:pPr>
      <w:r>
        <w:rPr>
          <w:b/>
        </w:rPr>
        <w:t>INITIAL POST-HEARING BRIEF</w:t>
      </w:r>
    </w:p>
    <w:p w:rsidR="00973298" w:rsidRDefault="00973298">
      <w:pPr>
        <w:widowControl w:val="0"/>
        <w:jc w:val="center"/>
        <w:rPr>
          <w:b/>
        </w:rPr>
      </w:pPr>
    </w:p>
    <w:p w:rsidR="00973298" w:rsidRDefault="00973298">
      <w:pPr>
        <w:widowControl w:val="0"/>
        <w:jc w:val="center"/>
        <w:rPr>
          <w:b/>
        </w:rPr>
      </w:pPr>
    </w:p>
    <w:p w:rsidR="00973298" w:rsidRDefault="00973298">
      <w:pPr>
        <w:widowControl w:val="0"/>
        <w:jc w:val="center"/>
        <w:rPr>
          <w:b/>
        </w:rPr>
      </w:pPr>
    </w:p>
    <w:p w:rsidR="00973298" w:rsidRDefault="00973298">
      <w:pPr>
        <w:widowControl w:val="0"/>
        <w:jc w:val="center"/>
        <w:rPr>
          <w:b/>
        </w:rPr>
      </w:pPr>
    </w:p>
    <w:p w:rsidR="00973298" w:rsidRDefault="00973298">
      <w:pPr>
        <w:widowControl w:val="0"/>
        <w:jc w:val="center"/>
        <w:rPr>
          <w:b/>
        </w:rPr>
      </w:pPr>
    </w:p>
    <w:p w:rsidR="00973298" w:rsidRDefault="00436B60">
      <w:pPr>
        <w:widowControl w:val="0"/>
        <w:jc w:val="center"/>
      </w:pPr>
      <w:r w:rsidRPr="00436B60">
        <w:rPr>
          <w:b/>
        </w:rPr>
        <w:t>February 11, 2011</w:t>
      </w:r>
    </w:p>
    <w:p w:rsidR="00211FD1" w:rsidRDefault="00211FD1" w:rsidP="0023523C">
      <w:pPr>
        <w:widowControl w:val="0"/>
        <w:jc w:val="center"/>
        <w:sectPr w:rsidR="00211FD1" w:rsidSect="005C105C">
          <w:footerReference w:type="default" r:id="rId8"/>
          <w:pgSz w:w="12240" w:h="15840"/>
          <w:pgMar w:top="1440" w:right="1440" w:bottom="1440" w:left="1440" w:header="720" w:footer="720" w:gutter="0"/>
          <w:cols w:space="720"/>
          <w:docGrid w:linePitch="360"/>
        </w:sectPr>
      </w:pPr>
    </w:p>
    <w:p w:rsidR="00973298" w:rsidRDefault="00436B60">
      <w:pPr>
        <w:widowControl w:val="0"/>
        <w:jc w:val="center"/>
        <w:rPr>
          <w:b/>
        </w:rPr>
      </w:pPr>
      <w:r>
        <w:rPr>
          <w:b/>
        </w:rPr>
        <w:lastRenderedPageBreak/>
        <w:t>TABLE OF CONTENTS</w:t>
      </w:r>
    </w:p>
    <w:p w:rsidR="00973298" w:rsidRDefault="00973298">
      <w:pPr>
        <w:widowControl w:val="0"/>
        <w:jc w:val="center"/>
        <w:rPr>
          <w:b/>
        </w:rPr>
      </w:pPr>
    </w:p>
    <w:p w:rsidR="00973298" w:rsidRDefault="00B574BD">
      <w:pPr>
        <w:widowControl w:val="0"/>
        <w:tabs>
          <w:tab w:val="left" w:pos="720"/>
          <w:tab w:val="left" w:pos="1440"/>
          <w:tab w:val="left" w:pos="2160"/>
          <w:tab w:val="right" w:leader="dot" w:pos="9360"/>
        </w:tabs>
        <w:spacing w:after="240"/>
        <w:ind w:left="720" w:hanging="720"/>
        <w:rPr>
          <w:rFonts w:ascii="Times New Roman" w:hAnsi="Times New Roman"/>
        </w:rPr>
      </w:pPr>
      <w:r w:rsidRPr="00220CD9">
        <w:rPr>
          <w:rFonts w:ascii="Times New Roman" w:hAnsi="Times New Roman"/>
        </w:rPr>
        <w:t>I.</w:t>
      </w:r>
      <w:r w:rsidRPr="00220CD9">
        <w:rPr>
          <w:rFonts w:ascii="Times New Roman" w:hAnsi="Times New Roman"/>
        </w:rPr>
        <w:tab/>
        <w:t>INTRODUCTION</w:t>
      </w:r>
      <w:r w:rsidR="00C55B7A">
        <w:rPr>
          <w:rFonts w:ascii="Times New Roman" w:hAnsi="Times New Roman"/>
        </w:rPr>
        <w:tab/>
      </w:r>
      <w:r w:rsidR="0019609D">
        <w:rPr>
          <w:rFonts w:ascii="Times New Roman" w:hAnsi="Times New Roman"/>
        </w:rPr>
        <w:t>1</w:t>
      </w:r>
    </w:p>
    <w:p w:rsidR="00973298" w:rsidRDefault="00B574BD">
      <w:pPr>
        <w:pStyle w:val="ListParagraph"/>
        <w:widowControl w:val="0"/>
        <w:tabs>
          <w:tab w:val="left" w:pos="720"/>
          <w:tab w:val="left" w:pos="1440"/>
          <w:tab w:val="left" w:pos="2160"/>
          <w:tab w:val="left" w:pos="2880"/>
          <w:tab w:val="right" w:leader="dot" w:pos="9360"/>
        </w:tabs>
        <w:spacing w:after="240"/>
        <w:ind w:hanging="720"/>
        <w:contextualSpacing w:val="0"/>
        <w:rPr>
          <w:rFonts w:ascii="Times New Roman" w:hAnsi="Times New Roman"/>
        </w:rPr>
      </w:pPr>
      <w:r w:rsidRPr="00220CD9">
        <w:rPr>
          <w:rFonts w:ascii="Times New Roman" w:hAnsi="Times New Roman"/>
        </w:rPr>
        <w:t>II.</w:t>
      </w:r>
      <w:r w:rsidRPr="00220CD9">
        <w:rPr>
          <w:rFonts w:ascii="Times New Roman" w:hAnsi="Times New Roman"/>
        </w:rPr>
        <w:tab/>
        <w:t>LEGAL STANDARDS</w:t>
      </w:r>
      <w:r w:rsidR="00C55B7A">
        <w:rPr>
          <w:rFonts w:ascii="Times New Roman" w:hAnsi="Times New Roman"/>
        </w:rPr>
        <w:tab/>
      </w:r>
      <w:r w:rsidR="0019609D">
        <w:rPr>
          <w:rFonts w:ascii="Times New Roman" w:hAnsi="Times New Roman"/>
        </w:rPr>
        <w:t>3</w:t>
      </w:r>
    </w:p>
    <w:p w:rsidR="00973298" w:rsidRDefault="00B574BD">
      <w:pPr>
        <w:widowControl w:val="0"/>
        <w:tabs>
          <w:tab w:val="left" w:pos="720"/>
          <w:tab w:val="left" w:pos="1440"/>
          <w:tab w:val="left" w:pos="2160"/>
          <w:tab w:val="left" w:pos="2880"/>
          <w:tab w:val="right" w:leader="dot" w:pos="9360"/>
        </w:tabs>
        <w:spacing w:after="240"/>
        <w:ind w:left="720" w:hanging="720"/>
        <w:rPr>
          <w:rFonts w:ascii="Times New Roman" w:hAnsi="Times New Roman"/>
        </w:rPr>
      </w:pPr>
      <w:r w:rsidRPr="00220CD9">
        <w:rPr>
          <w:rFonts w:ascii="Times New Roman" w:hAnsi="Times New Roman"/>
        </w:rPr>
        <w:t>I</w:t>
      </w:r>
      <w:r w:rsidR="00960585">
        <w:rPr>
          <w:rFonts w:ascii="Times New Roman" w:hAnsi="Times New Roman"/>
        </w:rPr>
        <w:t>II</w:t>
      </w:r>
      <w:r w:rsidRPr="00220CD9">
        <w:rPr>
          <w:rFonts w:ascii="Times New Roman" w:hAnsi="Times New Roman"/>
        </w:rPr>
        <w:t>.</w:t>
      </w:r>
      <w:r w:rsidRPr="00220CD9">
        <w:rPr>
          <w:rFonts w:ascii="Times New Roman" w:hAnsi="Times New Roman"/>
        </w:rPr>
        <w:tab/>
        <w:t>COST OF EQUITY AND CAPITAL STRUCTURE</w:t>
      </w:r>
      <w:r w:rsidR="00C55B7A">
        <w:rPr>
          <w:rFonts w:ascii="Times New Roman" w:hAnsi="Times New Roman"/>
        </w:rPr>
        <w:tab/>
      </w:r>
      <w:r w:rsidR="0019609D">
        <w:rPr>
          <w:rFonts w:ascii="Times New Roman" w:hAnsi="Times New Roman"/>
        </w:rPr>
        <w:t>4</w:t>
      </w:r>
    </w:p>
    <w:p w:rsidR="00973298" w:rsidRDefault="00B574BD">
      <w:pPr>
        <w:widowControl w:val="0"/>
        <w:tabs>
          <w:tab w:val="left" w:pos="720"/>
          <w:tab w:val="left" w:pos="1440"/>
          <w:tab w:val="left" w:pos="2160"/>
          <w:tab w:val="right" w:leader="dot" w:pos="9360"/>
        </w:tabs>
        <w:spacing w:after="240"/>
        <w:ind w:left="1440" w:hanging="720"/>
        <w:rPr>
          <w:rFonts w:ascii="Times New Roman" w:hAnsi="Times New Roman"/>
          <w:szCs w:val="24"/>
        </w:rPr>
      </w:pPr>
      <w:r w:rsidRPr="00220CD9">
        <w:rPr>
          <w:rFonts w:ascii="Times New Roman" w:hAnsi="Times New Roman"/>
          <w:szCs w:val="24"/>
        </w:rPr>
        <w:t>A.</w:t>
      </w:r>
      <w:r w:rsidRPr="00220CD9">
        <w:rPr>
          <w:rFonts w:ascii="Times New Roman" w:hAnsi="Times New Roman"/>
          <w:szCs w:val="24"/>
        </w:rPr>
        <w:tab/>
        <w:t>Cost of Equity</w:t>
      </w:r>
      <w:r w:rsidR="00C55B7A">
        <w:rPr>
          <w:rFonts w:ascii="Times New Roman" w:hAnsi="Times New Roman"/>
          <w:szCs w:val="24"/>
        </w:rPr>
        <w:tab/>
      </w:r>
      <w:r w:rsidR="0019609D">
        <w:rPr>
          <w:rFonts w:ascii="Times New Roman" w:hAnsi="Times New Roman"/>
          <w:szCs w:val="24"/>
        </w:rPr>
        <w:t>4</w:t>
      </w:r>
    </w:p>
    <w:p w:rsidR="00973298" w:rsidRDefault="00B574BD">
      <w:pPr>
        <w:widowControl w:val="0"/>
        <w:tabs>
          <w:tab w:val="left" w:pos="720"/>
          <w:tab w:val="left" w:pos="1440"/>
          <w:tab w:val="left" w:pos="2160"/>
          <w:tab w:val="right" w:leader="dot" w:pos="9360"/>
        </w:tabs>
        <w:spacing w:after="240"/>
        <w:ind w:left="2160" w:hanging="720"/>
        <w:rPr>
          <w:rFonts w:ascii="Times New Roman" w:hAnsi="Times New Roman"/>
          <w:szCs w:val="24"/>
        </w:rPr>
      </w:pPr>
      <w:r w:rsidRPr="00220CD9">
        <w:rPr>
          <w:rFonts w:ascii="Times New Roman" w:hAnsi="Times New Roman"/>
          <w:szCs w:val="24"/>
        </w:rPr>
        <w:t>1.</w:t>
      </w:r>
      <w:r w:rsidRPr="00220CD9">
        <w:rPr>
          <w:rFonts w:ascii="Times New Roman" w:hAnsi="Times New Roman"/>
          <w:szCs w:val="24"/>
        </w:rPr>
        <w:tab/>
      </w:r>
      <w:r w:rsidR="00BE5993">
        <w:rPr>
          <w:rFonts w:ascii="Times New Roman" w:hAnsi="Times New Roman"/>
          <w:szCs w:val="24"/>
        </w:rPr>
        <w:t xml:space="preserve">Key </w:t>
      </w:r>
      <w:r w:rsidR="00CE02B6">
        <w:rPr>
          <w:rFonts w:ascii="Times New Roman" w:hAnsi="Times New Roman"/>
          <w:szCs w:val="24"/>
        </w:rPr>
        <w:t>ROE</w:t>
      </w:r>
      <w:r w:rsidR="00BE5993">
        <w:rPr>
          <w:rFonts w:ascii="Times New Roman" w:hAnsi="Times New Roman"/>
          <w:szCs w:val="24"/>
        </w:rPr>
        <w:t xml:space="preserve"> Indicators are Similar to those Prevailing when the Company’s </w:t>
      </w:r>
      <w:r w:rsidR="00CE02B6">
        <w:rPr>
          <w:rFonts w:ascii="Times New Roman" w:hAnsi="Times New Roman"/>
          <w:szCs w:val="24"/>
        </w:rPr>
        <w:t>ROE</w:t>
      </w:r>
      <w:r w:rsidR="00BE5993">
        <w:rPr>
          <w:rFonts w:ascii="Times New Roman" w:hAnsi="Times New Roman"/>
          <w:szCs w:val="24"/>
        </w:rPr>
        <w:t xml:space="preserve"> was Last Litigated, Except that Utility Stock Prices and Performance are Much Worse</w:t>
      </w:r>
      <w:r w:rsidR="00BE5993">
        <w:rPr>
          <w:rFonts w:ascii="Times New Roman" w:hAnsi="Times New Roman"/>
          <w:szCs w:val="24"/>
        </w:rPr>
        <w:tab/>
      </w:r>
      <w:r w:rsidR="0019609D">
        <w:rPr>
          <w:rFonts w:ascii="Times New Roman" w:hAnsi="Times New Roman"/>
          <w:szCs w:val="24"/>
        </w:rPr>
        <w:t>4</w:t>
      </w:r>
    </w:p>
    <w:p w:rsidR="00973298" w:rsidRDefault="00B574BD">
      <w:pPr>
        <w:widowControl w:val="0"/>
        <w:tabs>
          <w:tab w:val="left" w:pos="720"/>
          <w:tab w:val="left" w:pos="1440"/>
          <w:tab w:val="left" w:pos="2160"/>
          <w:tab w:val="right" w:leader="dot" w:pos="9360"/>
        </w:tabs>
        <w:spacing w:after="240"/>
        <w:ind w:left="2160" w:hanging="720"/>
        <w:rPr>
          <w:rFonts w:ascii="Times New Roman" w:hAnsi="Times New Roman"/>
          <w:szCs w:val="24"/>
        </w:rPr>
      </w:pPr>
      <w:r w:rsidRPr="00220CD9">
        <w:rPr>
          <w:rFonts w:ascii="Times New Roman" w:hAnsi="Times New Roman"/>
          <w:szCs w:val="24"/>
        </w:rPr>
        <w:t>2.</w:t>
      </w:r>
      <w:r w:rsidRPr="00220CD9">
        <w:rPr>
          <w:rFonts w:ascii="Times New Roman" w:hAnsi="Times New Roman"/>
          <w:szCs w:val="24"/>
        </w:rPr>
        <w:tab/>
        <w:t xml:space="preserve">ICNU’s Constant Growth DCF Method </w:t>
      </w:r>
      <w:r w:rsidR="00BE5993">
        <w:rPr>
          <w:rFonts w:ascii="Times New Roman" w:hAnsi="Times New Roman"/>
          <w:szCs w:val="24"/>
        </w:rPr>
        <w:t>Using Analysts’ Growth Rates and Corrected Risk Premium Method Support the Company’s Proposed ROE</w:t>
      </w:r>
      <w:r w:rsidRPr="00220CD9">
        <w:rPr>
          <w:rFonts w:ascii="Times New Roman" w:hAnsi="Times New Roman"/>
          <w:szCs w:val="24"/>
        </w:rPr>
        <w:t>.</w:t>
      </w:r>
      <w:r w:rsidR="00C55B7A">
        <w:rPr>
          <w:rFonts w:ascii="Times New Roman" w:hAnsi="Times New Roman"/>
          <w:szCs w:val="24"/>
        </w:rPr>
        <w:tab/>
      </w:r>
      <w:r w:rsidR="0019609D">
        <w:rPr>
          <w:rFonts w:ascii="Times New Roman" w:hAnsi="Times New Roman"/>
          <w:szCs w:val="24"/>
        </w:rPr>
        <w:t>6</w:t>
      </w:r>
    </w:p>
    <w:p w:rsidR="00973298" w:rsidRDefault="00B574BD">
      <w:pPr>
        <w:widowControl w:val="0"/>
        <w:tabs>
          <w:tab w:val="left" w:pos="720"/>
          <w:tab w:val="left" w:pos="1440"/>
          <w:tab w:val="left" w:pos="2160"/>
          <w:tab w:val="right" w:leader="dot" w:pos="9360"/>
        </w:tabs>
        <w:spacing w:after="240"/>
        <w:ind w:left="2160" w:hanging="720"/>
        <w:rPr>
          <w:rFonts w:ascii="Times New Roman" w:hAnsi="Times New Roman"/>
          <w:szCs w:val="24"/>
        </w:rPr>
      </w:pPr>
      <w:r w:rsidRPr="00220CD9">
        <w:rPr>
          <w:rFonts w:ascii="Times New Roman" w:hAnsi="Times New Roman"/>
          <w:szCs w:val="24"/>
        </w:rPr>
        <w:t>3.</w:t>
      </w:r>
      <w:r w:rsidRPr="00220CD9">
        <w:rPr>
          <w:rFonts w:ascii="Times New Roman" w:hAnsi="Times New Roman"/>
          <w:szCs w:val="24"/>
        </w:rPr>
        <w:tab/>
        <w:t xml:space="preserve">Staff’s </w:t>
      </w:r>
      <w:r w:rsidR="00BE5993">
        <w:rPr>
          <w:rFonts w:ascii="Times New Roman" w:hAnsi="Times New Roman"/>
          <w:szCs w:val="24"/>
        </w:rPr>
        <w:t>ROE Recommendation in this Case is Unreasonable, as Demonstrated by a Comparison to Staff’s ROE Analysis in the Most Recent ROE Litigation at the Commission</w:t>
      </w:r>
      <w:r w:rsidRPr="00220CD9">
        <w:rPr>
          <w:rFonts w:ascii="Times New Roman" w:hAnsi="Times New Roman"/>
          <w:szCs w:val="24"/>
        </w:rPr>
        <w:t>.</w:t>
      </w:r>
      <w:r w:rsidR="00C55B7A">
        <w:rPr>
          <w:rFonts w:ascii="Times New Roman" w:hAnsi="Times New Roman"/>
          <w:szCs w:val="24"/>
        </w:rPr>
        <w:tab/>
      </w:r>
      <w:r w:rsidR="0019609D">
        <w:rPr>
          <w:rFonts w:ascii="Times New Roman" w:hAnsi="Times New Roman"/>
          <w:szCs w:val="24"/>
        </w:rPr>
        <w:t>7</w:t>
      </w:r>
    </w:p>
    <w:p w:rsidR="00973298" w:rsidRDefault="00B574BD">
      <w:pPr>
        <w:widowControl w:val="0"/>
        <w:tabs>
          <w:tab w:val="left" w:pos="720"/>
          <w:tab w:val="left" w:pos="1440"/>
          <w:tab w:val="left" w:pos="2160"/>
          <w:tab w:val="right" w:leader="dot" w:pos="9360"/>
        </w:tabs>
        <w:spacing w:after="240"/>
        <w:ind w:left="2160" w:hanging="720"/>
        <w:rPr>
          <w:rFonts w:ascii="Times New Roman" w:hAnsi="Times New Roman"/>
          <w:szCs w:val="24"/>
        </w:rPr>
      </w:pPr>
      <w:r w:rsidRPr="00220CD9">
        <w:rPr>
          <w:rFonts w:ascii="Times New Roman" w:hAnsi="Times New Roman"/>
          <w:szCs w:val="24"/>
        </w:rPr>
        <w:t>4.</w:t>
      </w:r>
      <w:r w:rsidRPr="00220CD9">
        <w:rPr>
          <w:rFonts w:ascii="Times New Roman" w:hAnsi="Times New Roman"/>
          <w:szCs w:val="24"/>
        </w:rPr>
        <w:tab/>
      </w:r>
      <w:r w:rsidR="00BE5993">
        <w:rPr>
          <w:rFonts w:ascii="Times New Roman" w:hAnsi="Times New Roman"/>
          <w:szCs w:val="24"/>
        </w:rPr>
        <w:t xml:space="preserve">Staff’s and ICNU’s Proposed ROE of 9.5% is Substantially </w:t>
      </w:r>
      <w:proofErr w:type="gramStart"/>
      <w:r w:rsidR="00BE5993">
        <w:rPr>
          <w:rFonts w:ascii="Times New Roman" w:hAnsi="Times New Roman"/>
          <w:szCs w:val="24"/>
        </w:rPr>
        <w:t>Below</w:t>
      </w:r>
      <w:proofErr w:type="gramEnd"/>
      <w:r w:rsidR="00BE5993">
        <w:rPr>
          <w:rFonts w:ascii="Times New Roman" w:hAnsi="Times New Roman"/>
          <w:szCs w:val="24"/>
        </w:rPr>
        <w:t xml:space="preserve"> Comparable ROEs</w:t>
      </w:r>
      <w:r w:rsidRPr="00220CD9">
        <w:rPr>
          <w:rFonts w:ascii="Times New Roman" w:hAnsi="Times New Roman"/>
          <w:szCs w:val="24"/>
        </w:rPr>
        <w:t>.</w:t>
      </w:r>
      <w:r w:rsidR="00C55B7A">
        <w:rPr>
          <w:rFonts w:ascii="Times New Roman" w:hAnsi="Times New Roman"/>
          <w:szCs w:val="24"/>
        </w:rPr>
        <w:tab/>
      </w:r>
      <w:r w:rsidR="0019609D">
        <w:rPr>
          <w:rFonts w:ascii="Times New Roman" w:hAnsi="Times New Roman"/>
          <w:szCs w:val="24"/>
        </w:rPr>
        <w:t>9</w:t>
      </w:r>
    </w:p>
    <w:p w:rsidR="00973298" w:rsidRDefault="00B574BD">
      <w:pPr>
        <w:widowControl w:val="0"/>
        <w:tabs>
          <w:tab w:val="left" w:pos="720"/>
          <w:tab w:val="left" w:pos="1440"/>
          <w:tab w:val="left" w:pos="2160"/>
          <w:tab w:val="right" w:leader="dot" w:pos="9360"/>
        </w:tabs>
        <w:spacing w:after="240"/>
        <w:ind w:left="2160" w:hanging="720"/>
      </w:pPr>
      <w:r w:rsidRPr="00220CD9">
        <w:rPr>
          <w:rFonts w:ascii="Times New Roman" w:hAnsi="Times New Roman"/>
          <w:szCs w:val="24"/>
        </w:rPr>
        <w:t>5.</w:t>
      </w:r>
      <w:r w:rsidRPr="00220CD9">
        <w:rPr>
          <w:rFonts w:ascii="Times New Roman" w:hAnsi="Times New Roman"/>
          <w:szCs w:val="24"/>
        </w:rPr>
        <w:tab/>
        <w:t xml:space="preserve">The </w:t>
      </w:r>
      <w:r w:rsidR="00BE5993">
        <w:rPr>
          <w:rFonts w:ascii="Times New Roman" w:hAnsi="Times New Roman"/>
          <w:szCs w:val="24"/>
        </w:rPr>
        <w:t xml:space="preserve">Company’s </w:t>
      </w:r>
      <w:r w:rsidRPr="00220CD9">
        <w:rPr>
          <w:rFonts w:ascii="Times New Roman" w:hAnsi="Times New Roman"/>
          <w:szCs w:val="24"/>
        </w:rPr>
        <w:t xml:space="preserve">Use of Long-term </w:t>
      </w:r>
      <w:r w:rsidR="0019609D">
        <w:rPr>
          <w:rFonts w:ascii="Times New Roman" w:hAnsi="Times New Roman"/>
          <w:szCs w:val="24"/>
        </w:rPr>
        <w:t>Gross Domestic Product (</w:t>
      </w:r>
      <w:r w:rsidRPr="00220CD9">
        <w:rPr>
          <w:rFonts w:ascii="Times New Roman" w:hAnsi="Times New Roman"/>
          <w:szCs w:val="24"/>
        </w:rPr>
        <w:t>GDP</w:t>
      </w:r>
      <w:r w:rsidR="0019609D">
        <w:rPr>
          <w:rFonts w:ascii="Times New Roman" w:hAnsi="Times New Roman"/>
          <w:szCs w:val="24"/>
        </w:rPr>
        <w:t>)</w:t>
      </w:r>
      <w:r w:rsidRPr="00220CD9">
        <w:rPr>
          <w:rFonts w:ascii="Times New Roman" w:hAnsi="Times New Roman"/>
          <w:szCs w:val="24"/>
        </w:rPr>
        <w:t xml:space="preserve"> Growth Rates in </w:t>
      </w:r>
      <w:r w:rsidR="0019609D">
        <w:rPr>
          <w:rFonts w:ascii="Times New Roman" w:hAnsi="Times New Roman"/>
          <w:szCs w:val="24"/>
        </w:rPr>
        <w:t>I</w:t>
      </w:r>
      <w:r w:rsidR="00BE5993">
        <w:rPr>
          <w:rFonts w:ascii="Times New Roman" w:hAnsi="Times New Roman"/>
          <w:szCs w:val="24"/>
        </w:rPr>
        <w:t xml:space="preserve">ts </w:t>
      </w:r>
      <w:r w:rsidRPr="00220CD9">
        <w:rPr>
          <w:rFonts w:ascii="Times New Roman" w:hAnsi="Times New Roman"/>
          <w:szCs w:val="24"/>
        </w:rPr>
        <w:t>DCF Analysis is Reasonable.</w:t>
      </w:r>
      <w:r w:rsidR="00C55B7A">
        <w:rPr>
          <w:rFonts w:ascii="Times New Roman" w:hAnsi="Times New Roman"/>
          <w:szCs w:val="24"/>
        </w:rPr>
        <w:tab/>
      </w:r>
      <w:r w:rsidR="0019609D">
        <w:rPr>
          <w:rFonts w:ascii="Times New Roman" w:hAnsi="Times New Roman"/>
          <w:szCs w:val="24"/>
        </w:rPr>
        <w:t>10</w:t>
      </w:r>
    </w:p>
    <w:p w:rsidR="00973298" w:rsidRDefault="00BE5993">
      <w:pPr>
        <w:widowControl w:val="0"/>
        <w:tabs>
          <w:tab w:val="left" w:pos="720"/>
          <w:tab w:val="left" w:pos="1440"/>
          <w:tab w:val="left" w:pos="2160"/>
          <w:tab w:val="right" w:leader="dot" w:pos="9360"/>
        </w:tabs>
        <w:spacing w:after="240"/>
        <w:ind w:left="2160" w:hanging="720"/>
        <w:rPr>
          <w:rFonts w:ascii="Times New Roman" w:hAnsi="Times New Roman"/>
          <w:szCs w:val="24"/>
        </w:rPr>
      </w:pPr>
      <w:r>
        <w:rPr>
          <w:rFonts w:ascii="Times New Roman" w:hAnsi="Times New Roman"/>
          <w:szCs w:val="24"/>
        </w:rPr>
        <w:t>6.</w:t>
      </w:r>
      <w:r>
        <w:rPr>
          <w:rFonts w:ascii="Times New Roman" w:hAnsi="Times New Roman"/>
          <w:szCs w:val="24"/>
        </w:rPr>
        <w:tab/>
        <w:t xml:space="preserve">Given the Unusual Financial Circumstances of this Post-Financial Crisis Period, it was Reasonable for PacifiCorp Not to Include </w:t>
      </w:r>
      <w:r w:rsidR="0019609D">
        <w:rPr>
          <w:rFonts w:ascii="Times New Roman" w:hAnsi="Times New Roman"/>
          <w:szCs w:val="24"/>
        </w:rPr>
        <w:t>Capital Asset Pricing Model (</w:t>
      </w:r>
      <w:r>
        <w:rPr>
          <w:rFonts w:ascii="Times New Roman" w:hAnsi="Times New Roman"/>
          <w:szCs w:val="24"/>
        </w:rPr>
        <w:t>CAPM</w:t>
      </w:r>
      <w:r w:rsidR="0019609D">
        <w:rPr>
          <w:rFonts w:ascii="Times New Roman" w:hAnsi="Times New Roman"/>
          <w:szCs w:val="24"/>
        </w:rPr>
        <w:t xml:space="preserve">) </w:t>
      </w:r>
      <w:r>
        <w:rPr>
          <w:rFonts w:ascii="Times New Roman" w:hAnsi="Times New Roman"/>
          <w:szCs w:val="24"/>
        </w:rPr>
        <w:t>Results</w:t>
      </w:r>
      <w:r>
        <w:rPr>
          <w:rFonts w:ascii="Times New Roman" w:hAnsi="Times New Roman"/>
          <w:szCs w:val="24"/>
        </w:rPr>
        <w:tab/>
      </w:r>
      <w:r w:rsidR="0019609D">
        <w:rPr>
          <w:rFonts w:ascii="Times New Roman" w:hAnsi="Times New Roman"/>
          <w:szCs w:val="24"/>
        </w:rPr>
        <w:t>12</w:t>
      </w:r>
    </w:p>
    <w:p w:rsidR="00973298" w:rsidRDefault="00220CD9">
      <w:pPr>
        <w:widowControl w:val="0"/>
        <w:tabs>
          <w:tab w:val="left" w:pos="720"/>
          <w:tab w:val="left" w:pos="1440"/>
          <w:tab w:val="left" w:pos="2160"/>
          <w:tab w:val="right" w:leader="dot" w:pos="9360"/>
        </w:tabs>
        <w:spacing w:after="240"/>
        <w:ind w:left="1440" w:hanging="720"/>
        <w:rPr>
          <w:rFonts w:ascii="Times New Roman" w:hAnsi="Times New Roman"/>
          <w:szCs w:val="24"/>
        </w:rPr>
      </w:pPr>
      <w:r w:rsidRPr="00220CD9">
        <w:rPr>
          <w:rFonts w:ascii="Times New Roman" w:hAnsi="Times New Roman"/>
          <w:szCs w:val="24"/>
        </w:rPr>
        <w:t>B.</w:t>
      </w:r>
      <w:r w:rsidRPr="00220CD9">
        <w:rPr>
          <w:rFonts w:ascii="Times New Roman" w:hAnsi="Times New Roman"/>
          <w:szCs w:val="24"/>
        </w:rPr>
        <w:tab/>
        <w:t>Capital Structure</w:t>
      </w:r>
      <w:r w:rsidR="00C55B7A">
        <w:rPr>
          <w:rFonts w:ascii="Times New Roman" w:hAnsi="Times New Roman"/>
          <w:szCs w:val="24"/>
        </w:rPr>
        <w:tab/>
      </w:r>
      <w:r w:rsidR="0019609D">
        <w:rPr>
          <w:rFonts w:ascii="Times New Roman" w:hAnsi="Times New Roman"/>
          <w:szCs w:val="24"/>
        </w:rPr>
        <w:t>13</w:t>
      </w:r>
    </w:p>
    <w:p w:rsidR="00973298" w:rsidRDefault="00220CD9">
      <w:pPr>
        <w:widowControl w:val="0"/>
        <w:tabs>
          <w:tab w:val="left" w:pos="720"/>
          <w:tab w:val="left" w:pos="1440"/>
          <w:tab w:val="left" w:pos="2160"/>
          <w:tab w:val="left" w:pos="2880"/>
          <w:tab w:val="right" w:leader="dot" w:pos="9360"/>
        </w:tabs>
        <w:spacing w:after="240"/>
        <w:ind w:left="2160" w:hanging="720"/>
      </w:pPr>
      <w:r w:rsidRPr="00220CD9">
        <w:rPr>
          <w:rFonts w:ascii="Times New Roman" w:hAnsi="Times New Roman"/>
          <w:szCs w:val="24"/>
        </w:rPr>
        <w:t>1.</w:t>
      </w:r>
      <w:r w:rsidRPr="00220CD9">
        <w:rPr>
          <w:rFonts w:ascii="Times New Roman" w:hAnsi="Times New Roman"/>
          <w:szCs w:val="24"/>
        </w:rPr>
        <w:tab/>
        <w:t xml:space="preserve">The Company’s Proposed Equity Ratio is its </w:t>
      </w:r>
      <w:r w:rsidRPr="005B06D3">
        <w:rPr>
          <w:rFonts w:ascii="Times New Roman" w:hAnsi="Times New Roman"/>
          <w:szCs w:val="24"/>
        </w:rPr>
        <w:t>Actual</w:t>
      </w:r>
      <w:r w:rsidRPr="00220CD9">
        <w:rPr>
          <w:rFonts w:ascii="Times New Roman" w:hAnsi="Times New Roman"/>
          <w:szCs w:val="24"/>
        </w:rPr>
        <w:t xml:space="preserve"> Equity Ratio.</w:t>
      </w:r>
      <w:r w:rsidR="00C55B7A">
        <w:rPr>
          <w:rFonts w:ascii="Times New Roman" w:hAnsi="Times New Roman"/>
          <w:szCs w:val="24"/>
        </w:rPr>
        <w:tab/>
      </w:r>
      <w:r w:rsidR="0019609D">
        <w:rPr>
          <w:rFonts w:ascii="Times New Roman" w:hAnsi="Times New Roman"/>
          <w:szCs w:val="24"/>
        </w:rPr>
        <w:t>13</w:t>
      </w:r>
    </w:p>
    <w:p w:rsidR="00973298" w:rsidRDefault="00220CD9">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sidRPr="00220CD9">
        <w:rPr>
          <w:rFonts w:ascii="Times New Roman" w:hAnsi="Times New Roman"/>
          <w:szCs w:val="24"/>
        </w:rPr>
        <w:t>2.</w:t>
      </w:r>
      <w:r w:rsidRPr="00220CD9">
        <w:rPr>
          <w:rFonts w:ascii="Times New Roman" w:hAnsi="Times New Roman"/>
          <w:szCs w:val="24"/>
        </w:rPr>
        <w:tab/>
        <w:t>Staff Provides No Compelling Reason to Adopt a Hypothetical</w:t>
      </w:r>
      <w:r w:rsidR="00C55B7A">
        <w:rPr>
          <w:rFonts w:ascii="Times New Roman" w:hAnsi="Times New Roman"/>
          <w:szCs w:val="24"/>
        </w:rPr>
        <w:br w:type="textWrapping" w:clear="all"/>
      </w:r>
      <w:r w:rsidRPr="00220CD9">
        <w:rPr>
          <w:rFonts w:ascii="Times New Roman" w:hAnsi="Times New Roman"/>
          <w:szCs w:val="24"/>
        </w:rPr>
        <w:t>Capital Structure.</w:t>
      </w:r>
      <w:r w:rsidR="00C55B7A">
        <w:rPr>
          <w:rFonts w:ascii="Times New Roman" w:hAnsi="Times New Roman"/>
          <w:szCs w:val="24"/>
        </w:rPr>
        <w:tab/>
      </w:r>
      <w:r w:rsidR="0019609D">
        <w:rPr>
          <w:rFonts w:ascii="Times New Roman" w:hAnsi="Times New Roman"/>
          <w:szCs w:val="24"/>
        </w:rPr>
        <w:t>14</w:t>
      </w:r>
    </w:p>
    <w:p w:rsidR="00973298" w:rsidRDefault="00220CD9">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sidRPr="00220CD9">
        <w:rPr>
          <w:rFonts w:ascii="Times New Roman" w:hAnsi="Times New Roman"/>
          <w:szCs w:val="24"/>
        </w:rPr>
        <w:t>3.</w:t>
      </w:r>
      <w:r w:rsidRPr="00220CD9">
        <w:rPr>
          <w:rFonts w:ascii="Times New Roman" w:hAnsi="Times New Roman"/>
          <w:szCs w:val="24"/>
        </w:rPr>
        <w:tab/>
        <w:t>ICNU Provides No Compelling Reason to Adopt a Hypothetical</w:t>
      </w:r>
      <w:r w:rsidR="00C55B7A">
        <w:rPr>
          <w:rFonts w:ascii="Times New Roman" w:hAnsi="Times New Roman"/>
          <w:szCs w:val="24"/>
        </w:rPr>
        <w:br w:type="textWrapping" w:clear="all"/>
      </w:r>
      <w:r w:rsidRPr="00220CD9">
        <w:rPr>
          <w:rFonts w:ascii="Times New Roman" w:hAnsi="Times New Roman"/>
          <w:szCs w:val="24"/>
        </w:rPr>
        <w:t>Capital Structure.</w:t>
      </w:r>
      <w:r w:rsidR="00C55B7A">
        <w:rPr>
          <w:rFonts w:ascii="Times New Roman" w:hAnsi="Times New Roman"/>
          <w:szCs w:val="24"/>
        </w:rPr>
        <w:tab/>
      </w:r>
      <w:r w:rsidR="0019609D">
        <w:rPr>
          <w:rFonts w:ascii="Times New Roman" w:hAnsi="Times New Roman"/>
          <w:szCs w:val="24"/>
        </w:rPr>
        <w:t>14</w:t>
      </w:r>
    </w:p>
    <w:p w:rsidR="00973298" w:rsidRDefault="00220CD9">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sidRPr="00220CD9">
        <w:rPr>
          <w:rFonts w:ascii="Times New Roman" w:hAnsi="Times New Roman"/>
          <w:szCs w:val="24"/>
        </w:rPr>
        <w:t>4.</w:t>
      </w:r>
      <w:r w:rsidRPr="00220CD9">
        <w:rPr>
          <w:rFonts w:ascii="Times New Roman" w:hAnsi="Times New Roman"/>
          <w:szCs w:val="24"/>
        </w:rPr>
        <w:tab/>
        <w:t>ICNU’s Hypothetical Capital Structure Fail</w:t>
      </w:r>
      <w:r w:rsidR="00BE5993">
        <w:rPr>
          <w:rFonts w:ascii="Times New Roman" w:hAnsi="Times New Roman"/>
          <w:szCs w:val="24"/>
        </w:rPr>
        <w:t>s</w:t>
      </w:r>
      <w:r w:rsidRPr="00220CD9">
        <w:rPr>
          <w:rFonts w:ascii="Times New Roman" w:hAnsi="Times New Roman"/>
          <w:szCs w:val="24"/>
        </w:rPr>
        <w:t xml:space="preserve"> to Account</w:t>
      </w:r>
      <w:r w:rsidR="00BE5993">
        <w:rPr>
          <w:rFonts w:ascii="Times New Roman" w:hAnsi="Times New Roman"/>
          <w:szCs w:val="24"/>
        </w:rPr>
        <w:t xml:space="preserve"> </w:t>
      </w:r>
      <w:r w:rsidRPr="00220CD9">
        <w:rPr>
          <w:rFonts w:ascii="Times New Roman" w:hAnsi="Times New Roman"/>
          <w:szCs w:val="24"/>
        </w:rPr>
        <w:t xml:space="preserve">for the Lack of a </w:t>
      </w:r>
      <w:r w:rsidR="00CE02B6">
        <w:rPr>
          <w:rFonts w:ascii="Times New Roman" w:hAnsi="Times New Roman"/>
          <w:szCs w:val="24"/>
        </w:rPr>
        <w:t>PCAM</w:t>
      </w:r>
      <w:r w:rsidR="00BE5993">
        <w:rPr>
          <w:rFonts w:ascii="Times New Roman" w:hAnsi="Times New Roman"/>
          <w:szCs w:val="24"/>
        </w:rPr>
        <w:t xml:space="preserve"> and is Inconsistent with Mr. Gorman’s Position in Other Cases</w:t>
      </w:r>
      <w:r w:rsidRPr="00220CD9">
        <w:rPr>
          <w:rFonts w:ascii="Times New Roman" w:hAnsi="Times New Roman"/>
          <w:szCs w:val="24"/>
        </w:rPr>
        <w:t>.</w:t>
      </w:r>
      <w:r w:rsidR="00C55B7A">
        <w:rPr>
          <w:rFonts w:ascii="Times New Roman" w:hAnsi="Times New Roman"/>
          <w:szCs w:val="24"/>
        </w:rPr>
        <w:tab/>
      </w:r>
      <w:r w:rsidR="0019609D">
        <w:rPr>
          <w:rFonts w:ascii="Times New Roman" w:hAnsi="Times New Roman"/>
          <w:szCs w:val="24"/>
        </w:rPr>
        <w:t>15</w:t>
      </w:r>
    </w:p>
    <w:p w:rsidR="00973298" w:rsidRDefault="00BE5993">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Pr>
          <w:rFonts w:ascii="Times New Roman" w:hAnsi="Times New Roman"/>
          <w:szCs w:val="24"/>
        </w:rPr>
        <w:t>5</w:t>
      </w:r>
      <w:r w:rsidR="00220CD9" w:rsidRPr="00220CD9">
        <w:rPr>
          <w:rFonts w:ascii="Times New Roman" w:hAnsi="Times New Roman"/>
          <w:szCs w:val="24"/>
        </w:rPr>
        <w:t>.</w:t>
      </w:r>
      <w:r w:rsidR="00220CD9" w:rsidRPr="00220CD9">
        <w:rPr>
          <w:rFonts w:ascii="Times New Roman" w:hAnsi="Times New Roman"/>
          <w:szCs w:val="24"/>
        </w:rPr>
        <w:tab/>
        <w:t>The Commission Should E</w:t>
      </w:r>
      <w:r w:rsidR="00C55B7A">
        <w:rPr>
          <w:rFonts w:ascii="Times New Roman" w:hAnsi="Times New Roman"/>
          <w:szCs w:val="24"/>
        </w:rPr>
        <w:t>xclude Short-Term Debt Because t</w:t>
      </w:r>
      <w:r w:rsidR="00220CD9" w:rsidRPr="00220CD9">
        <w:rPr>
          <w:rFonts w:ascii="Times New Roman" w:hAnsi="Times New Roman"/>
          <w:szCs w:val="24"/>
        </w:rPr>
        <w:t>he Company Has None.</w:t>
      </w:r>
      <w:r w:rsidR="00C55B7A">
        <w:rPr>
          <w:rFonts w:ascii="Times New Roman" w:hAnsi="Times New Roman"/>
          <w:szCs w:val="24"/>
        </w:rPr>
        <w:tab/>
      </w:r>
      <w:r w:rsidR="0019609D">
        <w:rPr>
          <w:rFonts w:ascii="Times New Roman" w:hAnsi="Times New Roman"/>
          <w:szCs w:val="24"/>
        </w:rPr>
        <w:t>16</w:t>
      </w:r>
    </w:p>
    <w:p w:rsidR="00973298" w:rsidRDefault="00BE5993">
      <w:pPr>
        <w:widowControl w:val="0"/>
        <w:tabs>
          <w:tab w:val="left" w:pos="720"/>
          <w:tab w:val="left" w:pos="1440"/>
          <w:tab w:val="left" w:pos="2160"/>
          <w:tab w:val="left" w:pos="2880"/>
          <w:tab w:val="right" w:leader="dot" w:pos="9360"/>
        </w:tabs>
        <w:spacing w:after="240"/>
        <w:ind w:left="2160" w:hanging="1440"/>
        <w:rPr>
          <w:rFonts w:ascii="Times New Roman" w:hAnsi="Times New Roman"/>
          <w:szCs w:val="24"/>
        </w:rPr>
      </w:pPr>
      <w:r>
        <w:rPr>
          <w:rFonts w:ascii="Times New Roman" w:hAnsi="Times New Roman"/>
          <w:szCs w:val="24"/>
        </w:rPr>
        <w:t>C.</w:t>
      </w:r>
      <w:r>
        <w:rPr>
          <w:rFonts w:ascii="Times New Roman" w:hAnsi="Times New Roman"/>
          <w:szCs w:val="24"/>
        </w:rPr>
        <w:tab/>
        <w:t xml:space="preserve">Credit Metrics </w:t>
      </w:r>
      <w:proofErr w:type="gramStart"/>
      <w:r>
        <w:rPr>
          <w:rFonts w:ascii="Times New Roman" w:hAnsi="Times New Roman"/>
          <w:szCs w:val="24"/>
        </w:rPr>
        <w:t>Under</w:t>
      </w:r>
      <w:proofErr w:type="gramEnd"/>
      <w:r>
        <w:rPr>
          <w:rFonts w:ascii="Times New Roman" w:hAnsi="Times New Roman"/>
          <w:szCs w:val="24"/>
        </w:rPr>
        <w:t xml:space="preserve"> Staff’s and ICNU’s Cost of Capital Proposals</w:t>
      </w:r>
      <w:r>
        <w:rPr>
          <w:rFonts w:ascii="Times New Roman" w:hAnsi="Times New Roman"/>
          <w:szCs w:val="24"/>
        </w:rPr>
        <w:tab/>
      </w:r>
      <w:r w:rsidR="0019609D">
        <w:rPr>
          <w:rFonts w:ascii="Times New Roman" w:hAnsi="Times New Roman"/>
          <w:szCs w:val="24"/>
        </w:rPr>
        <w:t>17</w:t>
      </w:r>
    </w:p>
    <w:p w:rsidR="00973298" w:rsidRDefault="00BE5993">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Pr>
          <w:rFonts w:ascii="Times New Roman" w:hAnsi="Times New Roman"/>
          <w:szCs w:val="24"/>
        </w:rPr>
        <w:lastRenderedPageBreak/>
        <w:t>1.</w:t>
      </w:r>
      <w:r>
        <w:rPr>
          <w:rFonts w:ascii="Times New Roman" w:hAnsi="Times New Roman"/>
          <w:szCs w:val="24"/>
        </w:rPr>
        <w:tab/>
      </w:r>
      <w:r w:rsidR="0019609D">
        <w:rPr>
          <w:rFonts w:ascii="Times New Roman" w:hAnsi="Times New Roman"/>
          <w:szCs w:val="24"/>
        </w:rPr>
        <w:t>The</w:t>
      </w:r>
      <w:r>
        <w:rPr>
          <w:rFonts w:ascii="Times New Roman" w:hAnsi="Times New Roman"/>
          <w:szCs w:val="24"/>
        </w:rPr>
        <w:t xml:space="preserve"> Proposed Hypothetical Equity Ratio Would Downgrade the Company’s Credit Rating</w:t>
      </w:r>
      <w:r>
        <w:rPr>
          <w:rFonts w:ascii="Times New Roman" w:hAnsi="Times New Roman"/>
          <w:szCs w:val="24"/>
        </w:rPr>
        <w:tab/>
      </w:r>
      <w:r w:rsidR="0019609D">
        <w:rPr>
          <w:rFonts w:ascii="Times New Roman" w:hAnsi="Times New Roman"/>
          <w:szCs w:val="24"/>
        </w:rPr>
        <w:t>17</w:t>
      </w:r>
    </w:p>
    <w:p w:rsidR="00973298" w:rsidRDefault="00BE5993">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Staff’s Analysis of the Safety of its Cost of Capital Recommendation is Unpersuasive</w:t>
      </w:r>
      <w:r>
        <w:rPr>
          <w:rFonts w:ascii="Times New Roman" w:hAnsi="Times New Roman"/>
          <w:szCs w:val="24"/>
        </w:rPr>
        <w:tab/>
      </w:r>
      <w:r w:rsidR="0019609D">
        <w:rPr>
          <w:rFonts w:ascii="Times New Roman" w:hAnsi="Times New Roman"/>
          <w:szCs w:val="24"/>
        </w:rPr>
        <w:t>19</w:t>
      </w:r>
    </w:p>
    <w:p w:rsidR="00973298" w:rsidRDefault="00BE5993">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ICNU’s Analysis of the Safety of its Cost of Capital Recommendation is Unpersuasive</w:t>
      </w:r>
      <w:r>
        <w:rPr>
          <w:rFonts w:ascii="Times New Roman" w:hAnsi="Times New Roman"/>
          <w:szCs w:val="24"/>
        </w:rPr>
        <w:tab/>
      </w:r>
      <w:r w:rsidR="0019609D">
        <w:rPr>
          <w:rFonts w:ascii="Times New Roman" w:hAnsi="Times New Roman"/>
          <w:szCs w:val="24"/>
        </w:rPr>
        <w:t>19</w:t>
      </w:r>
    </w:p>
    <w:p w:rsidR="00973298" w:rsidRDefault="00960585">
      <w:pPr>
        <w:widowControl w:val="0"/>
        <w:tabs>
          <w:tab w:val="left" w:pos="720"/>
          <w:tab w:val="left" w:pos="1440"/>
          <w:tab w:val="left" w:pos="2160"/>
          <w:tab w:val="left" w:pos="2880"/>
          <w:tab w:val="right" w:leader="dot" w:pos="9360"/>
        </w:tabs>
        <w:spacing w:after="240"/>
        <w:ind w:left="720" w:hanging="720"/>
        <w:rPr>
          <w:rFonts w:ascii="Times New Roman" w:hAnsi="Times New Roman"/>
        </w:rPr>
      </w:pPr>
      <w:r>
        <w:rPr>
          <w:rFonts w:ascii="Times New Roman" w:hAnsi="Times New Roman"/>
        </w:rPr>
        <w:t>I</w:t>
      </w:r>
      <w:r w:rsidR="00220CD9" w:rsidRPr="00220CD9">
        <w:rPr>
          <w:rFonts w:ascii="Times New Roman" w:hAnsi="Times New Roman"/>
        </w:rPr>
        <w:t>V.</w:t>
      </w:r>
      <w:r w:rsidR="00220CD9" w:rsidRPr="00220CD9">
        <w:rPr>
          <w:rFonts w:ascii="Times New Roman" w:hAnsi="Times New Roman"/>
        </w:rPr>
        <w:tab/>
        <w:t>REVENUE ADJUSTMENTS</w:t>
      </w:r>
      <w:r w:rsidR="00C55B7A">
        <w:rPr>
          <w:rFonts w:ascii="Times New Roman" w:hAnsi="Times New Roman"/>
        </w:rPr>
        <w:tab/>
      </w:r>
      <w:r w:rsidR="0019609D">
        <w:rPr>
          <w:rFonts w:ascii="Times New Roman" w:hAnsi="Times New Roman"/>
        </w:rPr>
        <w:t>21</w:t>
      </w:r>
    </w:p>
    <w:p w:rsidR="00973298" w:rsidRDefault="00220CD9">
      <w:pPr>
        <w:widowControl w:val="0"/>
        <w:tabs>
          <w:tab w:val="left" w:pos="720"/>
          <w:tab w:val="left" w:pos="1440"/>
          <w:tab w:val="left" w:pos="2160"/>
          <w:tab w:val="right" w:leader="dot" w:pos="9360"/>
        </w:tabs>
        <w:spacing w:after="240"/>
        <w:ind w:left="1440" w:hanging="720"/>
      </w:pPr>
      <w:r w:rsidRPr="00220CD9">
        <w:t>A.</w:t>
      </w:r>
      <w:r w:rsidRPr="00220CD9">
        <w:tab/>
      </w:r>
      <w:r w:rsidRPr="00C55B7A">
        <w:rPr>
          <w:rFonts w:ascii="Times New Roman" w:hAnsi="Times New Roman"/>
          <w:szCs w:val="24"/>
        </w:rPr>
        <w:t>Residential</w:t>
      </w:r>
      <w:r w:rsidRPr="00220CD9">
        <w:t xml:space="preserve"> Revenues Should Be Based on Temperature Normalized </w:t>
      </w:r>
      <w:r w:rsidR="00444D94">
        <w:t>Usage</w:t>
      </w:r>
      <w:r w:rsidRPr="00220CD9">
        <w:t>.</w:t>
      </w:r>
      <w:r w:rsidR="00C55B7A">
        <w:tab/>
      </w:r>
      <w:r w:rsidR="0019609D">
        <w:t>21</w:t>
      </w:r>
    </w:p>
    <w:p w:rsidR="00973298" w:rsidRDefault="00220CD9">
      <w:pPr>
        <w:widowControl w:val="0"/>
        <w:tabs>
          <w:tab w:val="left" w:pos="720"/>
          <w:tab w:val="left" w:pos="1440"/>
          <w:tab w:val="left" w:pos="2160"/>
          <w:tab w:val="right" w:leader="dot" w:pos="9360"/>
        </w:tabs>
        <w:spacing w:after="240"/>
        <w:ind w:left="1440" w:hanging="720"/>
      </w:pPr>
      <w:r w:rsidRPr="00220CD9">
        <w:t>B.</w:t>
      </w:r>
      <w:r w:rsidRPr="00220CD9">
        <w:tab/>
        <w:t xml:space="preserve">The </w:t>
      </w:r>
      <w:r w:rsidRPr="00C55B7A">
        <w:rPr>
          <w:rFonts w:ascii="Times New Roman" w:hAnsi="Times New Roman"/>
          <w:szCs w:val="24"/>
        </w:rPr>
        <w:t>Company’s</w:t>
      </w:r>
      <w:r w:rsidRPr="00220CD9">
        <w:t xml:space="preserve"> Temperature Normalization of the Commercial Class</w:t>
      </w:r>
      <w:r w:rsidR="00C55B7A">
        <w:br w:type="textWrapping" w:clear="all"/>
      </w:r>
      <w:r w:rsidRPr="00220CD9">
        <w:t>Increases the Accuracy of the Estimate of Commercial Class Usage.</w:t>
      </w:r>
      <w:r w:rsidR="00C55B7A">
        <w:tab/>
      </w:r>
      <w:r w:rsidR="0019609D">
        <w:t>23</w:t>
      </w:r>
    </w:p>
    <w:p w:rsidR="00973298" w:rsidRDefault="00220CD9">
      <w:pPr>
        <w:widowControl w:val="0"/>
        <w:tabs>
          <w:tab w:val="left" w:pos="720"/>
          <w:tab w:val="left" w:pos="1440"/>
          <w:tab w:val="left" w:pos="2160"/>
          <w:tab w:val="right" w:leader="dot" w:pos="9360"/>
        </w:tabs>
        <w:spacing w:after="240"/>
        <w:ind w:left="1440" w:hanging="720"/>
        <w:rPr>
          <w:rFonts w:ascii="Times New Roman" w:hAnsi="Times New Roman"/>
        </w:rPr>
      </w:pPr>
      <w:r w:rsidRPr="00220CD9">
        <w:rPr>
          <w:rFonts w:ascii="Times New Roman" w:hAnsi="Times New Roman"/>
        </w:rPr>
        <w:t>C.</w:t>
      </w:r>
      <w:r w:rsidRPr="00220CD9">
        <w:rPr>
          <w:rFonts w:ascii="Times New Roman" w:hAnsi="Times New Roman"/>
        </w:rPr>
        <w:tab/>
        <w:t xml:space="preserve">The </w:t>
      </w:r>
      <w:r w:rsidRPr="00C55B7A">
        <w:rPr>
          <w:rFonts w:ascii="Times New Roman" w:hAnsi="Times New Roman"/>
          <w:szCs w:val="24"/>
        </w:rPr>
        <w:t>Company’s</w:t>
      </w:r>
      <w:r w:rsidRPr="00220CD9">
        <w:rPr>
          <w:rFonts w:ascii="Times New Roman" w:hAnsi="Times New Roman"/>
        </w:rPr>
        <w:t xml:space="preserve"> </w:t>
      </w:r>
      <w:r w:rsidR="0019609D">
        <w:rPr>
          <w:rFonts w:ascii="Times New Roman" w:hAnsi="Times New Roman"/>
        </w:rPr>
        <w:t xml:space="preserve">Rebuttal </w:t>
      </w:r>
      <w:r w:rsidRPr="00220CD9">
        <w:rPr>
          <w:rFonts w:ascii="Times New Roman" w:hAnsi="Times New Roman"/>
        </w:rPr>
        <w:t>Filing Reflects St</w:t>
      </w:r>
      <w:r w:rsidR="00C55B7A">
        <w:rPr>
          <w:rFonts w:ascii="Times New Roman" w:hAnsi="Times New Roman"/>
        </w:rPr>
        <w:t xml:space="preserve">aff’s and ICNU’s </w:t>
      </w:r>
      <w:r w:rsidR="0019609D">
        <w:rPr>
          <w:rFonts w:ascii="Times New Roman" w:hAnsi="Times New Roman"/>
        </w:rPr>
        <w:t>Renewable Energy Credit (</w:t>
      </w:r>
      <w:r w:rsidR="00C55B7A">
        <w:rPr>
          <w:rFonts w:ascii="Times New Roman" w:hAnsi="Times New Roman"/>
        </w:rPr>
        <w:t>REC</w:t>
      </w:r>
      <w:r w:rsidR="0019609D">
        <w:rPr>
          <w:rFonts w:ascii="Times New Roman" w:hAnsi="Times New Roman"/>
        </w:rPr>
        <w:t>)</w:t>
      </w:r>
      <w:r w:rsidR="00C55B7A">
        <w:rPr>
          <w:rFonts w:ascii="Times New Roman" w:hAnsi="Times New Roman"/>
        </w:rPr>
        <w:t xml:space="preserve"> Adjustment</w:t>
      </w:r>
      <w:r w:rsidR="00444D94">
        <w:rPr>
          <w:rFonts w:ascii="Times New Roman" w:hAnsi="Times New Roman"/>
        </w:rPr>
        <w:t>s</w:t>
      </w:r>
      <w:r w:rsidR="0019609D">
        <w:rPr>
          <w:rFonts w:ascii="Times New Roman" w:hAnsi="Times New Roman"/>
        </w:rPr>
        <w:t xml:space="preserve"> </w:t>
      </w:r>
      <w:r w:rsidRPr="00220CD9">
        <w:rPr>
          <w:rFonts w:ascii="Times New Roman" w:hAnsi="Times New Roman"/>
        </w:rPr>
        <w:t>and Accurately Reflects Expected REC Revenues.</w:t>
      </w:r>
      <w:r w:rsidR="00C55B7A">
        <w:rPr>
          <w:rFonts w:ascii="Times New Roman" w:hAnsi="Times New Roman"/>
        </w:rPr>
        <w:tab/>
      </w:r>
      <w:r w:rsidR="0019609D">
        <w:rPr>
          <w:rFonts w:ascii="Times New Roman" w:hAnsi="Times New Roman"/>
        </w:rPr>
        <w:t>24</w:t>
      </w:r>
    </w:p>
    <w:p w:rsidR="00973298" w:rsidRDefault="00220CD9">
      <w:pPr>
        <w:widowControl w:val="0"/>
        <w:tabs>
          <w:tab w:val="left" w:pos="720"/>
          <w:tab w:val="left" w:pos="1440"/>
          <w:tab w:val="left" w:pos="2160"/>
          <w:tab w:val="left" w:pos="2880"/>
          <w:tab w:val="right" w:leader="dot" w:pos="9360"/>
        </w:tabs>
        <w:spacing w:after="240"/>
        <w:ind w:left="720" w:hanging="720"/>
        <w:rPr>
          <w:rFonts w:ascii="Times New Roman" w:hAnsi="Times New Roman"/>
        </w:rPr>
      </w:pPr>
      <w:r w:rsidRPr="00220CD9">
        <w:rPr>
          <w:rFonts w:ascii="Times New Roman" w:hAnsi="Times New Roman"/>
        </w:rPr>
        <w:t>V.</w:t>
      </w:r>
      <w:r w:rsidRPr="00220CD9">
        <w:rPr>
          <w:rFonts w:ascii="Times New Roman" w:hAnsi="Times New Roman"/>
        </w:rPr>
        <w:tab/>
        <w:t>NET POWER COST ISSUES</w:t>
      </w:r>
      <w:r w:rsidR="00C55B7A">
        <w:rPr>
          <w:rFonts w:ascii="Times New Roman" w:hAnsi="Times New Roman"/>
        </w:rPr>
        <w:tab/>
      </w:r>
      <w:r w:rsidR="0019609D">
        <w:rPr>
          <w:rFonts w:ascii="Times New Roman" w:hAnsi="Times New Roman"/>
        </w:rPr>
        <w:t>26</w:t>
      </w:r>
    </w:p>
    <w:p w:rsidR="00973298" w:rsidRDefault="00220CD9">
      <w:pPr>
        <w:widowControl w:val="0"/>
        <w:tabs>
          <w:tab w:val="left" w:pos="720"/>
          <w:tab w:val="left" w:pos="1440"/>
          <w:tab w:val="left" w:pos="2160"/>
          <w:tab w:val="right" w:leader="dot" w:pos="9360"/>
        </w:tabs>
        <w:spacing w:after="240"/>
        <w:ind w:left="1440" w:hanging="720"/>
        <w:rPr>
          <w:rFonts w:ascii="Times New Roman" w:hAnsi="Times New Roman"/>
        </w:rPr>
      </w:pPr>
      <w:r w:rsidRPr="00220CD9">
        <w:rPr>
          <w:rFonts w:ascii="Times New Roman" w:hAnsi="Times New Roman"/>
        </w:rPr>
        <w:t>A.</w:t>
      </w:r>
      <w:r w:rsidRPr="00220CD9">
        <w:rPr>
          <w:rFonts w:ascii="Times New Roman" w:hAnsi="Times New Roman"/>
        </w:rPr>
        <w:tab/>
      </w:r>
      <w:r w:rsidR="00444D94">
        <w:rPr>
          <w:rFonts w:ascii="Times New Roman" w:hAnsi="Times New Roman"/>
        </w:rPr>
        <w:t>Introduction</w:t>
      </w:r>
      <w:r w:rsidR="005A2586">
        <w:rPr>
          <w:rFonts w:ascii="Times New Roman" w:hAnsi="Times New Roman"/>
        </w:rPr>
        <w:tab/>
      </w:r>
      <w:r w:rsidR="0019609D">
        <w:rPr>
          <w:rFonts w:ascii="Times New Roman" w:hAnsi="Times New Roman"/>
        </w:rPr>
        <w:t>26</w:t>
      </w:r>
    </w:p>
    <w:p w:rsidR="00973298" w:rsidRDefault="00444D94">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B.</w:t>
      </w:r>
      <w:r>
        <w:rPr>
          <w:rFonts w:ascii="Times New Roman" w:hAnsi="Times New Roman"/>
        </w:rPr>
        <w:tab/>
        <w:t>ICNU’s and Staff’s Adjustments for Arbitrage Margins Have Multiple Flaws</w:t>
      </w:r>
      <w:r w:rsidR="00220CD9" w:rsidRPr="00220CD9">
        <w:rPr>
          <w:rFonts w:ascii="Times New Roman" w:hAnsi="Times New Roman"/>
        </w:rPr>
        <w:t>.</w:t>
      </w:r>
      <w:r w:rsidR="00C55B7A">
        <w:rPr>
          <w:rFonts w:ascii="Times New Roman" w:hAnsi="Times New Roman"/>
        </w:rPr>
        <w:tab/>
      </w:r>
      <w:r w:rsidR="0019609D">
        <w:rPr>
          <w:rFonts w:ascii="Times New Roman" w:hAnsi="Times New Roman"/>
        </w:rPr>
        <w:t>27</w:t>
      </w:r>
    </w:p>
    <w:p w:rsidR="00973298" w:rsidRDefault="005A258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C</w:t>
      </w:r>
      <w:r w:rsidR="00220CD9" w:rsidRPr="00220CD9">
        <w:rPr>
          <w:rFonts w:ascii="Times New Roman" w:hAnsi="Times New Roman"/>
        </w:rPr>
        <w:t>.</w:t>
      </w:r>
      <w:r w:rsidR="00220CD9" w:rsidRPr="00220CD9">
        <w:rPr>
          <w:rFonts w:ascii="Times New Roman" w:hAnsi="Times New Roman"/>
        </w:rPr>
        <w:tab/>
        <w:t>Transmission Adjustments</w:t>
      </w:r>
      <w:r w:rsidR="00C55B7A">
        <w:rPr>
          <w:rFonts w:ascii="Times New Roman" w:hAnsi="Times New Roman"/>
        </w:rPr>
        <w:tab/>
      </w:r>
      <w:r w:rsidR="0019609D">
        <w:rPr>
          <w:rFonts w:ascii="Times New Roman" w:hAnsi="Times New Roman"/>
        </w:rPr>
        <w:t>28</w:t>
      </w:r>
    </w:p>
    <w:p w:rsidR="00973298" w:rsidRDefault="00816025" w:rsidP="00600546">
      <w:pPr>
        <w:widowControl w:val="0"/>
        <w:tabs>
          <w:tab w:val="left" w:pos="720"/>
          <w:tab w:val="left" w:pos="1440"/>
          <w:tab w:val="left" w:pos="2160"/>
          <w:tab w:val="left" w:pos="2880"/>
          <w:tab w:val="right" w:leader="dot" w:pos="9360"/>
        </w:tabs>
        <w:spacing w:after="240"/>
        <w:ind w:left="2160" w:hanging="720"/>
      </w:pPr>
      <w:r>
        <w:t>1</w:t>
      </w:r>
      <w:r w:rsidR="00220CD9" w:rsidRPr="00220CD9">
        <w:t>.</w:t>
      </w:r>
      <w:r w:rsidR="00220CD9" w:rsidRPr="00220CD9">
        <w:tab/>
        <w:t xml:space="preserve">ICNU’s Adjustments to the Commission-Approved WCA Methodology Should be </w:t>
      </w:r>
      <w:proofErr w:type="gramStart"/>
      <w:r w:rsidR="00220CD9" w:rsidRPr="00220CD9">
        <w:t>Rejected</w:t>
      </w:r>
      <w:proofErr w:type="gramEnd"/>
      <w:r w:rsidR="00220CD9" w:rsidRPr="00220CD9">
        <w:t>.</w:t>
      </w:r>
      <w:r w:rsidR="00C55B7A">
        <w:tab/>
      </w:r>
      <w:r w:rsidR="0019609D">
        <w:t>28</w:t>
      </w:r>
    </w:p>
    <w:p w:rsidR="00973298" w:rsidRDefault="00816025" w:rsidP="00600546">
      <w:pPr>
        <w:widowControl w:val="0"/>
        <w:tabs>
          <w:tab w:val="left" w:pos="720"/>
          <w:tab w:val="left" w:pos="1440"/>
          <w:tab w:val="left" w:pos="2160"/>
          <w:tab w:val="left" w:pos="2880"/>
          <w:tab w:val="right" w:leader="dot" w:pos="9360"/>
        </w:tabs>
        <w:spacing w:after="240"/>
        <w:ind w:left="2160" w:hanging="720"/>
      </w:pPr>
      <w:r>
        <w:t>2</w:t>
      </w:r>
      <w:r w:rsidR="00220CD9" w:rsidRPr="00220CD9">
        <w:t>.</w:t>
      </w:r>
      <w:r w:rsidR="00220CD9" w:rsidRPr="00220CD9">
        <w:tab/>
        <w:t>ICNU’s Adjustment to the Colstrip Wheeling Expens</w:t>
      </w:r>
      <w:r w:rsidR="00C55B7A">
        <w:t>e is</w:t>
      </w:r>
      <w:r w:rsidR="00C55B7A">
        <w:br w:type="textWrapping" w:clear="all"/>
      </w:r>
      <w:r w:rsidR="00220CD9" w:rsidRPr="00220CD9">
        <w:t>Unreasonable.</w:t>
      </w:r>
      <w:r w:rsidR="00C55B7A">
        <w:tab/>
      </w:r>
      <w:r w:rsidR="0019609D">
        <w:t>29</w:t>
      </w:r>
    </w:p>
    <w:p w:rsidR="00973298" w:rsidRDefault="00816025" w:rsidP="00600546">
      <w:pPr>
        <w:widowControl w:val="0"/>
        <w:tabs>
          <w:tab w:val="left" w:pos="720"/>
          <w:tab w:val="left" w:pos="1440"/>
          <w:tab w:val="left" w:pos="2160"/>
          <w:tab w:val="left" w:pos="2880"/>
          <w:tab w:val="right" w:leader="dot" w:pos="9360"/>
        </w:tabs>
        <w:spacing w:after="240"/>
        <w:ind w:left="2160" w:hanging="720"/>
      </w:pPr>
      <w:r>
        <w:t>3</w:t>
      </w:r>
      <w:r w:rsidR="00220CD9" w:rsidRPr="00220CD9">
        <w:t>.</w:t>
      </w:r>
      <w:r w:rsidR="00220CD9" w:rsidRPr="00220CD9">
        <w:tab/>
        <w:t>Staff’s Adjustment to the</w:t>
      </w:r>
      <w:r w:rsidR="005A2586">
        <w:t xml:space="preserve"> Idaho Point-to-Point Contract </w:t>
      </w:r>
      <w:r w:rsidR="000958E3">
        <w:t>i</w:t>
      </w:r>
      <w:r w:rsidR="00220CD9" w:rsidRPr="00220CD9">
        <w:t xml:space="preserve">s </w:t>
      </w:r>
      <w:proofErr w:type="gramStart"/>
      <w:r w:rsidR="00220CD9" w:rsidRPr="00220CD9">
        <w:t>Based</w:t>
      </w:r>
      <w:proofErr w:type="gramEnd"/>
      <w:r w:rsidR="00220CD9" w:rsidRPr="00220CD9">
        <w:t xml:space="preserve"> on an Incorrect Premise and ICNU’s Adjustment is an Attempt to </w:t>
      </w:r>
      <w:r w:rsidR="00C55B7A">
        <w:br w:type="textWrapping" w:clear="all"/>
      </w:r>
      <w:proofErr w:type="spellStart"/>
      <w:r w:rsidR="00220CD9" w:rsidRPr="00220CD9">
        <w:t>Relitigate</w:t>
      </w:r>
      <w:proofErr w:type="spellEnd"/>
      <w:r w:rsidR="00220CD9" w:rsidRPr="00220CD9">
        <w:t xml:space="preserve"> the WCA Methodology.</w:t>
      </w:r>
      <w:r w:rsidR="00C55B7A">
        <w:tab/>
      </w:r>
      <w:r w:rsidR="0019609D">
        <w:t>30</w:t>
      </w:r>
    </w:p>
    <w:p w:rsidR="00973298" w:rsidRDefault="00B5259E"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D</w:t>
      </w:r>
      <w:r w:rsidR="00220CD9" w:rsidRPr="00220CD9">
        <w:rPr>
          <w:rFonts w:ascii="Times New Roman" w:hAnsi="Times New Roman"/>
        </w:rPr>
        <w:t>.</w:t>
      </w:r>
      <w:r w:rsidR="00220CD9" w:rsidRPr="00220CD9">
        <w:rPr>
          <w:rFonts w:ascii="Times New Roman" w:hAnsi="Times New Roman"/>
        </w:rPr>
        <w:tab/>
        <w:t xml:space="preserve">The DC </w:t>
      </w:r>
      <w:r w:rsidR="00220CD9" w:rsidRPr="00C55B7A">
        <w:rPr>
          <w:rFonts w:ascii="Times New Roman" w:hAnsi="Times New Roman"/>
          <w:szCs w:val="24"/>
        </w:rPr>
        <w:t>Intertie</w:t>
      </w:r>
      <w:r w:rsidR="00220CD9" w:rsidRPr="00220CD9">
        <w:rPr>
          <w:rFonts w:ascii="Times New Roman" w:hAnsi="Times New Roman"/>
        </w:rPr>
        <w:t xml:space="preserve"> Contract Is Used and Useful in the Test Year.</w:t>
      </w:r>
      <w:r w:rsidR="00C55B7A">
        <w:rPr>
          <w:rFonts w:ascii="Times New Roman" w:hAnsi="Times New Roman"/>
        </w:rPr>
        <w:tab/>
      </w:r>
      <w:r w:rsidR="0019609D">
        <w:rPr>
          <w:rFonts w:ascii="Times New Roman" w:hAnsi="Times New Roman"/>
        </w:rPr>
        <w:t>31</w:t>
      </w:r>
    </w:p>
    <w:p w:rsidR="00973298" w:rsidRDefault="00B5259E"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E</w:t>
      </w:r>
      <w:r w:rsidR="00220CD9" w:rsidRPr="00220CD9">
        <w:rPr>
          <w:rFonts w:ascii="Times New Roman" w:hAnsi="Times New Roman"/>
        </w:rPr>
        <w:t>.</w:t>
      </w:r>
      <w:r w:rsidR="00220CD9" w:rsidRPr="00220CD9">
        <w:rPr>
          <w:rFonts w:ascii="Times New Roman" w:hAnsi="Times New Roman"/>
        </w:rPr>
        <w:tab/>
      </w:r>
      <w:r>
        <w:rPr>
          <w:rFonts w:ascii="Times New Roman" w:hAnsi="Times New Roman"/>
        </w:rPr>
        <w:t>Consistent with the Supremacy Clause, t</w:t>
      </w:r>
      <w:r w:rsidR="00FC4B3E" w:rsidRPr="00FC4B3E">
        <w:rPr>
          <w:rFonts w:ascii="Times New Roman" w:hAnsi="Times New Roman"/>
        </w:rPr>
        <w:t xml:space="preserve">he Commission Should Allow Recovery of Costs </w:t>
      </w:r>
      <w:r w:rsidR="008059C1">
        <w:rPr>
          <w:rFonts w:ascii="Times New Roman" w:hAnsi="Times New Roman"/>
        </w:rPr>
        <w:t xml:space="preserve">Incurred </w:t>
      </w:r>
      <w:r w:rsidR="00FC4B3E" w:rsidRPr="00FC4B3E">
        <w:rPr>
          <w:rFonts w:ascii="Times New Roman" w:hAnsi="Times New Roman"/>
        </w:rPr>
        <w:t>under the Company’s OATT.</w:t>
      </w:r>
      <w:r w:rsidR="00C55B7A">
        <w:rPr>
          <w:rFonts w:ascii="Times New Roman" w:hAnsi="Times New Roman"/>
        </w:rPr>
        <w:tab/>
      </w:r>
      <w:r w:rsidR="00600546">
        <w:rPr>
          <w:rFonts w:ascii="Times New Roman" w:hAnsi="Times New Roman"/>
        </w:rPr>
        <w:t>32</w:t>
      </w:r>
    </w:p>
    <w:p w:rsidR="00973298" w:rsidRDefault="00537B28"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F</w:t>
      </w:r>
      <w:r w:rsidR="00220CD9" w:rsidRPr="00220CD9">
        <w:rPr>
          <w:rFonts w:ascii="Times New Roman" w:hAnsi="Times New Roman"/>
        </w:rPr>
        <w:t>.</w:t>
      </w:r>
      <w:r w:rsidR="00220CD9" w:rsidRPr="00220CD9">
        <w:rPr>
          <w:rFonts w:ascii="Times New Roman" w:hAnsi="Times New Roman"/>
        </w:rPr>
        <w:tab/>
        <w:t xml:space="preserve">Staff’s and ICNU’s Colstrip Outage Adjustments Will Result in </w:t>
      </w:r>
      <w:r w:rsidR="00C55B7A">
        <w:rPr>
          <w:rFonts w:ascii="Times New Roman" w:hAnsi="Times New Roman"/>
        </w:rPr>
        <w:br w:type="textWrapping" w:clear="all"/>
      </w:r>
      <w:r w:rsidR="00220CD9" w:rsidRPr="00220CD9">
        <w:rPr>
          <w:rFonts w:ascii="Times New Roman" w:hAnsi="Times New Roman"/>
        </w:rPr>
        <w:t>Inaccurate Forced Outage Rates.</w:t>
      </w:r>
      <w:r w:rsidR="00C55B7A">
        <w:rPr>
          <w:rFonts w:ascii="Times New Roman" w:hAnsi="Times New Roman"/>
        </w:rPr>
        <w:tab/>
      </w:r>
      <w:r w:rsidR="00600546">
        <w:rPr>
          <w:rFonts w:ascii="Times New Roman" w:hAnsi="Times New Roman"/>
        </w:rPr>
        <w:t>34</w:t>
      </w:r>
    </w:p>
    <w:p w:rsidR="00973298" w:rsidRDefault="00537B28"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G</w:t>
      </w:r>
      <w:r w:rsidR="00220CD9" w:rsidRPr="00220CD9">
        <w:rPr>
          <w:rFonts w:ascii="Times New Roman" w:hAnsi="Times New Roman"/>
        </w:rPr>
        <w:t>.</w:t>
      </w:r>
      <w:r w:rsidR="00220CD9" w:rsidRPr="00220CD9">
        <w:rPr>
          <w:rFonts w:ascii="Times New Roman" w:hAnsi="Times New Roman"/>
        </w:rPr>
        <w:tab/>
        <w:t xml:space="preserve">ICNU’s </w:t>
      </w:r>
      <w:proofErr w:type="gramStart"/>
      <w:r w:rsidR="00220CD9" w:rsidRPr="00C55B7A">
        <w:rPr>
          <w:rFonts w:ascii="Times New Roman" w:hAnsi="Times New Roman"/>
          <w:szCs w:val="24"/>
        </w:rPr>
        <w:t>Proposed</w:t>
      </w:r>
      <w:proofErr w:type="gramEnd"/>
      <w:r w:rsidR="00220CD9" w:rsidRPr="00220CD9">
        <w:rPr>
          <w:rFonts w:ascii="Times New Roman" w:hAnsi="Times New Roman"/>
        </w:rPr>
        <w:t xml:space="preserve"> Disallowance of </w:t>
      </w:r>
      <w:proofErr w:type="spellStart"/>
      <w:r w:rsidR="00220CD9" w:rsidRPr="00220CD9">
        <w:rPr>
          <w:rFonts w:ascii="Times New Roman" w:hAnsi="Times New Roman"/>
        </w:rPr>
        <w:t>Derations</w:t>
      </w:r>
      <w:proofErr w:type="spellEnd"/>
      <w:r w:rsidR="00220CD9" w:rsidRPr="00220CD9">
        <w:rPr>
          <w:rFonts w:ascii="Times New Roman" w:hAnsi="Times New Roman"/>
        </w:rPr>
        <w:t xml:space="preserve"> at the Jim Bridger Plant </w:t>
      </w:r>
      <w:r w:rsidR="00C55B7A">
        <w:rPr>
          <w:rFonts w:ascii="Times New Roman" w:hAnsi="Times New Roman"/>
        </w:rPr>
        <w:br w:type="textWrapping" w:clear="all"/>
      </w:r>
      <w:r w:rsidR="00220CD9" w:rsidRPr="00220CD9">
        <w:rPr>
          <w:rFonts w:ascii="Times New Roman" w:hAnsi="Times New Roman"/>
        </w:rPr>
        <w:t xml:space="preserve">Ignores that Overall Costs </w:t>
      </w:r>
      <w:r w:rsidR="00C012B0">
        <w:rPr>
          <w:rFonts w:ascii="Times New Roman" w:hAnsi="Times New Roman"/>
        </w:rPr>
        <w:t xml:space="preserve">Associated with Bridger Fuel </w:t>
      </w:r>
      <w:r w:rsidR="00220CD9" w:rsidRPr="00220CD9">
        <w:rPr>
          <w:rFonts w:ascii="Times New Roman" w:hAnsi="Times New Roman"/>
        </w:rPr>
        <w:t>Have Decreased.</w:t>
      </w:r>
      <w:r w:rsidR="00C55B7A">
        <w:rPr>
          <w:rFonts w:ascii="Times New Roman" w:hAnsi="Times New Roman"/>
        </w:rPr>
        <w:tab/>
      </w:r>
      <w:r w:rsidR="00600546">
        <w:rPr>
          <w:rFonts w:ascii="Times New Roman" w:hAnsi="Times New Roman"/>
        </w:rPr>
        <w:t>36</w:t>
      </w:r>
    </w:p>
    <w:p w:rsidR="00973298" w:rsidRDefault="00537B28"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H</w:t>
      </w:r>
      <w:r w:rsidR="00220CD9" w:rsidRPr="00220CD9">
        <w:rPr>
          <w:rFonts w:ascii="Times New Roman" w:hAnsi="Times New Roman"/>
        </w:rPr>
        <w:t>.</w:t>
      </w:r>
      <w:r w:rsidR="00220CD9" w:rsidRPr="00220CD9">
        <w:rPr>
          <w:rFonts w:ascii="Times New Roman" w:hAnsi="Times New Roman"/>
        </w:rPr>
        <w:tab/>
        <w:t xml:space="preserve">ICNU’s </w:t>
      </w:r>
      <w:r w:rsidR="00220CD9" w:rsidRPr="00C55B7A">
        <w:rPr>
          <w:rFonts w:ascii="Times New Roman" w:hAnsi="Times New Roman"/>
          <w:szCs w:val="24"/>
        </w:rPr>
        <w:t>Planned</w:t>
      </w:r>
      <w:r w:rsidR="00220CD9" w:rsidRPr="00220CD9">
        <w:rPr>
          <w:rFonts w:ascii="Times New Roman" w:hAnsi="Times New Roman"/>
        </w:rPr>
        <w:t xml:space="preserve"> Outage Schedule is Unreasonable.</w:t>
      </w:r>
      <w:r w:rsidR="00C55B7A">
        <w:rPr>
          <w:rFonts w:ascii="Times New Roman" w:hAnsi="Times New Roman"/>
        </w:rPr>
        <w:tab/>
      </w:r>
      <w:r w:rsidR="00600546">
        <w:rPr>
          <w:rFonts w:ascii="Times New Roman" w:hAnsi="Times New Roman"/>
        </w:rPr>
        <w:t>37</w:t>
      </w:r>
    </w:p>
    <w:p w:rsidR="00973298" w:rsidRDefault="00537B28"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lastRenderedPageBreak/>
        <w:t>I</w:t>
      </w:r>
      <w:r w:rsidR="00220CD9" w:rsidRPr="00220CD9">
        <w:rPr>
          <w:rFonts w:ascii="Times New Roman" w:hAnsi="Times New Roman"/>
        </w:rPr>
        <w:t>.</w:t>
      </w:r>
      <w:r w:rsidR="00220CD9" w:rsidRPr="00220CD9">
        <w:rPr>
          <w:rFonts w:ascii="Times New Roman" w:hAnsi="Times New Roman"/>
        </w:rPr>
        <w:tab/>
        <w:t xml:space="preserve">The SMUD Delivery Pattern Should Reflect Normalized Data, </w:t>
      </w:r>
      <w:r w:rsidR="00C55B7A">
        <w:rPr>
          <w:rFonts w:ascii="Times New Roman" w:hAnsi="Times New Roman"/>
        </w:rPr>
        <w:br w:type="textWrapping" w:clear="all"/>
      </w:r>
      <w:r w:rsidR="00220CD9" w:rsidRPr="00220CD9">
        <w:rPr>
          <w:rFonts w:ascii="Times New Roman" w:hAnsi="Times New Roman"/>
        </w:rPr>
        <w:t xml:space="preserve">Consistent with the </w:t>
      </w:r>
      <w:r w:rsidR="00220CD9" w:rsidRPr="00C55B7A">
        <w:rPr>
          <w:rFonts w:ascii="Times New Roman" w:hAnsi="Times New Roman"/>
          <w:szCs w:val="24"/>
        </w:rPr>
        <w:t>Treatment</w:t>
      </w:r>
      <w:r w:rsidR="00220CD9" w:rsidRPr="00220CD9">
        <w:rPr>
          <w:rFonts w:ascii="Times New Roman" w:hAnsi="Times New Roman"/>
        </w:rPr>
        <w:t xml:space="preserve"> of Similar Contracts.</w:t>
      </w:r>
      <w:r w:rsidR="00C55B7A">
        <w:rPr>
          <w:rFonts w:ascii="Times New Roman" w:hAnsi="Times New Roman"/>
        </w:rPr>
        <w:tab/>
      </w:r>
      <w:r w:rsidR="00600546">
        <w:rPr>
          <w:rFonts w:ascii="Times New Roman" w:hAnsi="Times New Roman"/>
        </w:rPr>
        <w:t>37</w:t>
      </w:r>
    </w:p>
    <w:p w:rsidR="00973298" w:rsidRDefault="00537B28"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J</w:t>
      </w:r>
      <w:r w:rsidR="00220CD9" w:rsidRPr="00220CD9">
        <w:rPr>
          <w:rFonts w:ascii="Times New Roman" w:hAnsi="Times New Roman"/>
        </w:rPr>
        <w:t>.</w:t>
      </w:r>
      <w:r w:rsidR="00220CD9" w:rsidRPr="00220CD9">
        <w:rPr>
          <w:rFonts w:ascii="Times New Roman" w:hAnsi="Times New Roman"/>
        </w:rPr>
        <w:tab/>
        <w:t xml:space="preserve">ICNU’s Minimum Loading and </w:t>
      </w:r>
      <w:proofErr w:type="spellStart"/>
      <w:r w:rsidR="00220CD9" w:rsidRPr="00220CD9">
        <w:rPr>
          <w:rFonts w:ascii="Times New Roman" w:hAnsi="Times New Roman"/>
        </w:rPr>
        <w:t>Deration</w:t>
      </w:r>
      <w:proofErr w:type="spellEnd"/>
      <w:r w:rsidR="00220CD9" w:rsidRPr="00220CD9">
        <w:rPr>
          <w:rFonts w:ascii="Times New Roman" w:hAnsi="Times New Roman"/>
        </w:rPr>
        <w:t xml:space="preserve"> Method Results in Artificial </w:t>
      </w:r>
      <w:r w:rsidR="00C55B7A">
        <w:rPr>
          <w:rFonts w:ascii="Times New Roman" w:hAnsi="Times New Roman"/>
        </w:rPr>
        <w:br w:type="textWrapping" w:clear="all"/>
      </w:r>
      <w:r w:rsidR="00220CD9" w:rsidRPr="00220CD9">
        <w:rPr>
          <w:rFonts w:ascii="Times New Roman" w:hAnsi="Times New Roman"/>
        </w:rPr>
        <w:t>Reductions to NPC.</w:t>
      </w:r>
      <w:r w:rsidR="00C55B7A">
        <w:rPr>
          <w:rFonts w:ascii="Times New Roman" w:hAnsi="Times New Roman"/>
        </w:rPr>
        <w:tab/>
      </w:r>
      <w:r w:rsidR="00600546">
        <w:rPr>
          <w:rFonts w:ascii="Times New Roman" w:hAnsi="Times New Roman"/>
        </w:rPr>
        <w:t>38</w:t>
      </w:r>
    </w:p>
    <w:p w:rsidR="00973298" w:rsidRDefault="00537B28"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K</w:t>
      </w:r>
      <w:r w:rsidR="00220CD9" w:rsidRPr="00220CD9">
        <w:rPr>
          <w:rFonts w:ascii="Times New Roman" w:hAnsi="Times New Roman"/>
        </w:rPr>
        <w:t>.</w:t>
      </w:r>
      <w:r w:rsidR="00220CD9" w:rsidRPr="00220CD9">
        <w:rPr>
          <w:rFonts w:ascii="Times New Roman" w:hAnsi="Times New Roman"/>
        </w:rPr>
        <w:tab/>
      </w:r>
      <w:r w:rsidR="00220CD9" w:rsidRPr="00600546">
        <w:rPr>
          <w:rFonts w:ascii="Times New Roman" w:hAnsi="Times New Roman"/>
        </w:rPr>
        <w:t>Additional</w:t>
      </w:r>
      <w:r w:rsidR="00220CD9" w:rsidRPr="00220CD9">
        <w:rPr>
          <w:rFonts w:ascii="Times New Roman" w:hAnsi="Times New Roman"/>
        </w:rPr>
        <w:t xml:space="preserve"> Adjustments Accepted by the Parties</w:t>
      </w:r>
      <w:r w:rsidR="00C55B7A">
        <w:rPr>
          <w:rFonts w:ascii="Times New Roman" w:hAnsi="Times New Roman"/>
        </w:rPr>
        <w:tab/>
      </w:r>
      <w:r w:rsidR="00600546">
        <w:rPr>
          <w:rFonts w:ascii="Times New Roman" w:hAnsi="Times New Roman"/>
        </w:rPr>
        <w:t>39</w:t>
      </w:r>
    </w:p>
    <w:p w:rsidR="00973298" w:rsidRDefault="00960585" w:rsidP="005B06D3">
      <w:pPr>
        <w:widowControl w:val="0"/>
        <w:tabs>
          <w:tab w:val="left" w:pos="720"/>
          <w:tab w:val="left" w:pos="1440"/>
          <w:tab w:val="right" w:leader="dot" w:pos="9360"/>
        </w:tabs>
        <w:spacing w:after="240"/>
        <w:ind w:left="720" w:hanging="720"/>
        <w:rPr>
          <w:rFonts w:ascii="Times New Roman" w:hAnsi="Times New Roman"/>
        </w:rPr>
      </w:pPr>
      <w:r w:rsidRPr="00220CD9">
        <w:rPr>
          <w:rFonts w:ascii="Times New Roman" w:hAnsi="Times New Roman"/>
        </w:rPr>
        <w:t>V</w:t>
      </w:r>
      <w:r>
        <w:rPr>
          <w:rFonts w:ascii="Times New Roman" w:hAnsi="Times New Roman"/>
        </w:rPr>
        <w:t>I</w:t>
      </w:r>
      <w:r w:rsidRPr="00220CD9">
        <w:rPr>
          <w:rFonts w:ascii="Times New Roman" w:hAnsi="Times New Roman"/>
        </w:rPr>
        <w:t>.</w:t>
      </w:r>
      <w:r w:rsidRPr="00220CD9">
        <w:rPr>
          <w:rFonts w:ascii="Times New Roman" w:hAnsi="Times New Roman"/>
        </w:rPr>
        <w:tab/>
        <w:t>TAX ISSUES</w:t>
      </w:r>
      <w:r>
        <w:rPr>
          <w:rFonts w:ascii="Times New Roman" w:hAnsi="Times New Roman"/>
        </w:rPr>
        <w:tab/>
      </w:r>
      <w:r w:rsidR="00600546">
        <w:rPr>
          <w:rFonts w:ascii="Times New Roman" w:hAnsi="Times New Roman"/>
        </w:rPr>
        <w:t>40</w:t>
      </w:r>
    </w:p>
    <w:p w:rsidR="00973298" w:rsidRDefault="00960585" w:rsidP="00600546">
      <w:pPr>
        <w:widowControl w:val="0"/>
        <w:tabs>
          <w:tab w:val="left" w:pos="720"/>
          <w:tab w:val="left" w:pos="1440"/>
          <w:tab w:val="left" w:pos="2160"/>
          <w:tab w:val="right" w:leader="dot" w:pos="9360"/>
        </w:tabs>
        <w:spacing w:after="240"/>
        <w:ind w:left="1440" w:hanging="720"/>
        <w:rPr>
          <w:rFonts w:ascii="Times New Roman" w:hAnsi="Times New Roman"/>
        </w:rPr>
      </w:pPr>
      <w:r w:rsidRPr="00220CD9">
        <w:rPr>
          <w:rFonts w:ascii="Times New Roman" w:hAnsi="Times New Roman"/>
        </w:rPr>
        <w:t>A.</w:t>
      </w:r>
      <w:r w:rsidRPr="00220CD9">
        <w:rPr>
          <w:rFonts w:ascii="Times New Roman" w:hAnsi="Times New Roman"/>
        </w:rPr>
        <w:tab/>
        <w:t xml:space="preserve">Full </w:t>
      </w:r>
      <w:r w:rsidRPr="00600546">
        <w:rPr>
          <w:rFonts w:ascii="Times New Roman" w:hAnsi="Times New Roman"/>
        </w:rPr>
        <w:t>Normalization</w:t>
      </w:r>
      <w:r w:rsidRPr="00220CD9">
        <w:rPr>
          <w:rFonts w:ascii="Times New Roman" w:hAnsi="Times New Roman"/>
        </w:rPr>
        <w:t xml:space="preserve"> </w:t>
      </w:r>
      <w:r w:rsidR="00550DB7">
        <w:rPr>
          <w:rFonts w:ascii="Times New Roman" w:hAnsi="Times New Roman"/>
        </w:rPr>
        <w:t>Benefits Customers and is Good Policy</w:t>
      </w:r>
      <w:r>
        <w:rPr>
          <w:rFonts w:ascii="Times New Roman" w:hAnsi="Times New Roman"/>
        </w:rPr>
        <w:tab/>
      </w:r>
      <w:r w:rsidR="00600546">
        <w:rPr>
          <w:rFonts w:ascii="Times New Roman" w:hAnsi="Times New Roman"/>
        </w:rPr>
        <w:t>40</w:t>
      </w:r>
    </w:p>
    <w:p w:rsidR="00973298" w:rsidRDefault="00960585" w:rsidP="00600546">
      <w:pPr>
        <w:widowControl w:val="0"/>
        <w:tabs>
          <w:tab w:val="left" w:pos="720"/>
          <w:tab w:val="left" w:pos="1440"/>
          <w:tab w:val="left" w:pos="2160"/>
          <w:tab w:val="right" w:leader="dot" w:pos="9360"/>
        </w:tabs>
        <w:spacing w:after="240"/>
        <w:ind w:left="1440" w:hanging="720"/>
        <w:rPr>
          <w:rFonts w:ascii="Times New Roman" w:hAnsi="Times New Roman"/>
        </w:rPr>
      </w:pPr>
      <w:r w:rsidRPr="00220CD9">
        <w:rPr>
          <w:rFonts w:ascii="Times New Roman" w:hAnsi="Times New Roman"/>
        </w:rPr>
        <w:t>B.</w:t>
      </w:r>
      <w:r w:rsidRPr="00220CD9">
        <w:rPr>
          <w:rFonts w:ascii="Times New Roman" w:hAnsi="Times New Roman"/>
        </w:rPr>
        <w:tab/>
      </w:r>
      <w:r w:rsidR="00550DB7">
        <w:rPr>
          <w:rFonts w:ascii="Times New Roman" w:hAnsi="Times New Roman"/>
        </w:rPr>
        <w:t>Staff’s Adjustment to Remove Full Normalization is Flawed</w:t>
      </w:r>
      <w:r w:rsidR="00550DB7">
        <w:rPr>
          <w:rFonts w:ascii="Times New Roman" w:hAnsi="Times New Roman"/>
        </w:rPr>
        <w:tab/>
      </w:r>
      <w:r w:rsidR="00600546">
        <w:rPr>
          <w:rFonts w:ascii="Times New Roman" w:hAnsi="Times New Roman"/>
        </w:rPr>
        <w:t>4</w:t>
      </w:r>
      <w:r w:rsidR="005B06D3">
        <w:rPr>
          <w:rFonts w:ascii="Times New Roman" w:hAnsi="Times New Roman"/>
        </w:rPr>
        <w:t>2</w:t>
      </w:r>
    </w:p>
    <w:p w:rsidR="00973298" w:rsidRPr="00600546" w:rsidRDefault="00550DB7"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C.</w:t>
      </w:r>
      <w:r>
        <w:rPr>
          <w:rFonts w:ascii="Times New Roman" w:hAnsi="Times New Roman"/>
        </w:rPr>
        <w:tab/>
        <w:t xml:space="preserve">Staff’s </w:t>
      </w:r>
      <w:r w:rsidR="00960585" w:rsidRPr="00220CD9">
        <w:rPr>
          <w:rFonts w:ascii="Times New Roman" w:hAnsi="Times New Roman"/>
        </w:rPr>
        <w:t xml:space="preserve">Repairs </w:t>
      </w:r>
      <w:r w:rsidR="00960585" w:rsidRPr="00600546">
        <w:rPr>
          <w:rFonts w:ascii="Times New Roman" w:hAnsi="Times New Roman"/>
        </w:rPr>
        <w:t>Deduction</w:t>
      </w:r>
      <w:r w:rsidRPr="00600546">
        <w:rPr>
          <w:rFonts w:ascii="Times New Roman" w:hAnsi="Times New Roman"/>
        </w:rPr>
        <w:t xml:space="preserve"> Adjustment is Incorrect</w:t>
      </w:r>
      <w:r w:rsidR="00960585" w:rsidRPr="00600546">
        <w:rPr>
          <w:rFonts w:ascii="Times New Roman" w:hAnsi="Times New Roman"/>
        </w:rPr>
        <w:tab/>
      </w:r>
      <w:r w:rsidR="00600546">
        <w:rPr>
          <w:rFonts w:ascii="Times New Roman" w:hAnsi="Times New Roman"/>
        </w:rPr>
        <w:t>45</w:t>
      </w:r>
    </w:p>
    <w:p w:rsidR="003D09FD" w:rsidRDefault="003D09FD" w:rsidP="00600546">
      <w:pPr>
        <w:widowControl w:val="0"/>
        <w:tabs>
          <w:tab w:val="left" w:pos="720"/>
          <w:tab w:val="left" w:pos="1440"/>
          <w:tab w:val="left" w:pos="2160"/>
          <w:tab w:val="right" w:leader="dot" w:pos="9360"/>
        </w:tabs>
        <w:spacing w:after="240"/>
        <w:ind w:left="1440" w:hanging="720"/>
        <w:rPr>
          <w:rFonts w:ascii="Times New Roman" w:hAnsi="Times New Roman"/>
        </w:rPr>
      </w:pPr>
      <w:r w:rsidRPr="00600546">
        <w:rPr>
          <w:rFonts w:ascii="Times New Roman" w:hAnsi="Times New Roman"/>
        </w:rPr>
        <w:t>D</w:t>
      </w:r>
      <w:r w:rsidRPr="00600546">
        <w:rPr>
          <w:rFonts w:ascii="Times New Roman" w:hAnsi="Times New Roman"/>
        </w:rPr>
        <w:tab/>
      </w:r>
      <w:proofErr w:type="gramStart"/>
      <w:r w:rsidRPr="00600546">
        <w:rPr>
          <w:rFonts w:ascii="Times New Roman" w:hAnsi="Times New Roman"/>
        </w:rPr>
        <w:t>The</w:t>
      </w:r>
      <w:proofErr w:type="gramEnd"/>
      <w:r w:rsidRPr="00600546">
        <w:rPr>
          <w:rFonts w:ascii="Times New Roman" w:hAnsi="Times New Roman"/>
        </w:rPr>
        <w:t xml:space="preserve"> Company’s Request for a Regulatory Asset or Liability is Reasonable</w:t>
      </w:r>
      <w:r w:rsidRPr="00600546">
        <w:rPr>
          <w:rFonts w:ascii="Times New Roman" w:hAnsi="Times New Roman"/>
        </w:rPr>
        <w:tab/>
      </w:r>
      <w:r w:rsidR="00600546">
        <w:rPr>
          <w:rFonts w:ascii="Times New Roman" w:hAnsi="Times New Roman"/>
        </w:rPr>
        <w:t>46</w:t>
      </w:r>
    </w:p>
    <w:p w:rsidR="00973298" w:rsidRDefault="00220CD9" w:rsidP="00600546">
      <w:pPr>
        <w:widowControl w:val="0"/>
        <w:tabs>
          <w:tab w:val="left" w:pos="720"/>
          <w:tab w:val="left" w:pos="1440"/>
          <w:tab w:val="left" w:pos="2160"/>
          <w:tab w:val="left" w:pos="2880"/>
          <w:tab w:val="right" w:leader="dot" w:pos="9360"/>
        </w:tabs>
        <w:spacing w:after="240"/>
        <w:ind w:left="720" w:hanging="720"/>
        <w:rPr>
          <w:rFonts w:ascii="Times New Roman" w:hAnsi="Times New Roman"/>
        </w:rPr>
      </w:pPr>
      <w:r w:rsidRPr="00220CD9">
        <w:rPr>
          <w:rFonts w:ascii="Times New Roman" w:hAnsi="Times New Roman"/>
        </w:rPr>
        <w:t>VI</w:t>
      </w:r>
      <w:r w:rsidR="0051593B">
        <w:rPr>
          <w:rFonts w:ascii="Times New Roman" w:hAnsi="Times New Roman"/>
        </w:rPr>
        <w:t>I</w:t>
      </w:r>
      <w:r w:rsidRPr="00220CD9">
        <w:rPr>
          <w:rFonts w:ascii="Times New Roman" w:hAnsi="Times New Roman"/>
        </w:rPr>
        <w:t>.</w:t>
      </w:r>
      <w:r w:rsidRPr="00220CD9">
        <w:rPr>
          <w:rFonts w:ascii="Times New Roman" w:hAnsi="Times New Roman"/>
        </w:rPr>
        <w:tab/>
        <w:t>OTHER REVENUE REQUIREMENT ADJUSTMENTS</w:t>
      </w:r>
      <w:r w:rsidR="00C55B7A">
        <w:rPr>
          <w:rFonts w:ascii="Times New Roman" w:hAnsi="Times New Roman"/>
        </w:rPr>
        <w:tab/>
      </w:r>
      <w:r w:rsidR="00600546">
        <w:rPr>
          <w:rFonts w:ascii="Times New Roman" w:hAnsi="Times New Roman"/>
        </w:rPr>
        <w:t>46</w:t>
      </w:r>
    </w:p>
    <w:p w:rsidR="00973298" w:rsidRDefault="00220CD9" w:rsidP="00600546">
      <w:pPr>
        <w:widowControl w:val="0"/>
        <w:tabs>
          <w:tab w:val="left" w:pos="720"/>
          <w:tab w:val="left" w:pos="1440"/>
          <w:tab w:val="left" w:pos="2160"/>
          <w:tab w:val="right" w:leader="dot" w:pos="9360"/>
        </w:tabs>
        <w:spacing w:after="240"/>
        <w:ind w:left="1440" w:hanging="720"/>
        <w:rPr>
          <w:rFonts w:ascii="Times New Roman" w:hAnsi="Times New Roman"/>
        </w:rPr>
      </w:pPr>
      <w:r w:rsidRPr="00220CD9">
        <w:rPr>
          <w:rFonts w:ascii="Times New Roman" w:hAnsi="Times New Roman"/>
        </w:rPr>
        <w:t>A.</w:t>
      </w:r>
      <w:r w:rsidRPr="00220CD9">
        <w:rPr>
          <w:rFonts w:ascii="Times New Roman" w:hAnsi="Times New Roman"/>
        </w:rPr>
        <w:tab/>
        <w:t xml:space="preserve">Cash </w:t>
      </w:r>
      <w:r w:rsidRPr="00C55B7A">
        <w:rPr>
          <w:rFonts w:ascii="Times New Roman" w:hAnsi="Times New Roman"/>
          <w:szCs w:val="24"/>
        </w:rPr>
        <w:t>Working</w:t>
      </w:r>
      <w:r w:rsidRPr="00220CD9">
        <w:rPr>
          <w:rFonts w:ascii="Times New Roman" w:hAnsi="Times New Roman"/>
        </w:rPr>
        <w:t xml:space="preserve"> Capital</w:t>
      </w:r>
      <w:r w:rsidR="00600546">
        <w:rPr>
          <w:rFonts w:ascii="Times New Roman" w:hAnsi="Times New Roman"/>
        </w:rPr>
        <w:t xml:space="preserve"> (CWC)</w:t>
      </w:r>
      <w:r w:rsidR="00C55B7A">
        <w:rPr>
          <w:rFonts w:ascii="Times New Roman" w:hAnsi="Times New Roman"/>
        </w:rPr>
        <w:tab/>
      </w:r>
      <w:r w:rsidR="00600546">
        <w:rPr>
          <w:rFonts w:ascii="Times New Roman" w:hAnsi="Times New Roman"/>
        </w:rPr>
        <w:t>46</w:t>
      </w:r>
    </w:p>
    <w:p w:rsidR="00973298" w:rsidRDefault="00220CD9" w:rsidP="00600546">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sidRPr="00220CD9">
        <w:rPr>
          <w:rFonts w:ascii="Times New Roman" w:hAnsi="Times New Roman"/>
          <w:szCs w:val="24"/>
        </w:rPr>
        <w:t>1.</w:t>
      </w:r>
      <w:r w:rsidRPr="00220CD9">
        <w:rPr>
          <w:rFonts w:ascii="Times New Roman" w:hAnsi="Times New Roman"/>
          <w:szCs w:val="24"/>
        </w:rPr>
        <w:tab/>
        <w:t>ICNU</w:t>
      </w:r>
      <w:r w:rsidR="00600546">
        <w:rPr>
          <w:rFonts w:ascii="Times New Roman" w:hAnsi="Times New Roman"/>
          <w:szCs w:val="24"/>
        </w:rPr>
        <w:t>/</w:t>
      </w:r>
      <w:r w:rsidRPr="00220CD9">
        <w:rPr>
          <w:rFonts w:ascii="Times New Roman" w:hAnsi="Times New Roman"/>
          <w:szCs w:val="24"/>
        </w:rPr>
        <w:t>Public Counsel’s Adjustment</w:t>
      </w:r>
      <w:r w:rsidR="00550DB7">
        <w:rPr>
          <w:rFonts w:ascii="Times New Roman" w:hAnsi="Times New Roman"/>
          <w:szCs w:val="24"/>
        </w:rPr>
        <w:t>s</w:t>
      </w:r>
      <w:r w:rsidRPr="00220CD9">
        <w:rPr>
          <w:rFonts w:ascii="Times New Roman" w:hAnsi="Times New Roman"/>
          <w:szCs w:val="24"/>
        </w:rPr>
        <w:t xml:space="preserve"> Ha</w:t>
      </w:r>
      <w:r w:rsidR="00550DB7">
        <w:rPr>
          <w:rFonts w:ascii="Times New Roman" w:hAnsi="Times New Roman"/>
          <w:szCs w:val="24"/>
        </w:rPr>
        <w:t>ve</w:t>
      </w:r>
      <w:r w:rsidRPr="00220CD9">
        <w:rPr>
          <w:rFonts w:ascii="Times New Roman" w:hAnsi="Times New Roman"/>
          <w:szCs w:val="24"/>
        </w:rPr>
        <w:t xml:space="preserve"> No Merit.</w:t>
      </w:r>
      <w:r w:rsidR="00C55B7A">
        <w:rPr>
          <w:rFonts w:ascii="Times New Roman" w:hAnsi="Times New Roman"/>
          <w:szCs w:val="24"/>
        </w:rPr>
        <w:tab/>
      </w:r>
      <w:r w:rsidR="00600546">
        <w:rPr>
          <w:rFonts w:ascii="Times New Roman" w:hAnsi="Times New Roman"/>
          <w:szCs w:val="24"/>
        </w:rPr>
        <w:t>46</w:t>
      </w:r>
    </w:p>
    <w:p w:rsidR="00973298" w:rsidRDefault="008B73D2" w:rsidP="00600546">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Pr>
          <w:rFonts w:ascii="Times New Roman" w:hAnsi="Times New Roman"/>
          <w:szCs w:val="24"/>
        </w:rPr>
        <w:t>2</w:t>
      </w:r>
      <w:r w:rsidR="00220CD9" w:rsidRPr="00220CD9">
        <w:rPr>
          <w:rFonts w:ascii="Times New Roman" w:hAnsi="Times New Roman"/>
          <w:szCs w:val="24"/>
        </w:rPr>
        <w:t>.</w:t>
      </w:r>
      <w:r w:rsidR="00220CD9" w:rsidRPr="00220CD9">
        <w:rPr>
          <w:rFonts w:ascii="Times New Roman" w:hAnsi="Times New Roman"/>
          <w:szCs w:val="24"/>
        </w:rPr>
        <w:tab/>
        <w:t>Staff’s Adjustment is Inconsistent with Commission Precedent.</w:t>
      </w:r>
      <w:r w:rsidR="00C55B7A">
        <w:rPr>
          <w:rFonts w:ascii="Times New Roman" w:hAnsi="Times New Roman"/>
          <w:szCs w:val="24"/>
        </w:rPr>
        <w:tab/>
      </w:r>
      <w:r w:rsidR="00600546">
        <w:rPr>
          <w:rFonts w:ascii="Times New Roman" w:hAnsi="Times New Roman"/>
          <w:szCs w:val="24"/>
        </w:rPr>
        <w:t>47</w:t>
      </w:r>
    </w:p>
    <w:p w:rsidR="00973298" w:rsidRDefault="008B73D2" w:rsidP="00600546">
      <w:pPr>
        <w:widowControl w:val="0"/>
        <w:tabs>
          <w:tab w:val="left" w:pos="720"/>
          <w:tab w:val="left" w:pos="1440"/>
          <w:tab w:val="left" w:pos="2160"/>
          <w:tab w:val="left" w:pos="2880"/>
          <w:tab w:val="right" w:leader="dot" w:pos="9360"/>
        </w:tabs>
        <w:spacing w:after="240"/>
        <w:ind w:left="2160" w:hanging="720"/>
        <w:rPr>
          <w:rFonts w:ascii="Times New Roman" w:hAnsi="Times New Roman"/>
          <w:szCs w:val="24"/>
        </w:rPr>
      </w:pPr>
      <w:r>
        <w:rPr>
          <w:rFonts w:ascii="Times New Roman" w:hAnsi="Times New Roman"/>
          <w:szCs w:val="24"/>
        </w:rPr>
        <w:t>3</w:t>
      </w:r>
      <w:r w:rsidR="00220CD9" w:rsidRPr="00220CD9">
        <w:rPr>
          <w:rFonts w:ascii="Times New Roman" w:hAnsi="Times New Roman"/>
          <w:szCs w:val="24"/>
        </w:rPr>
        <w:t>.</w:t>
      </w:r>
      <w:r w:rsidR="00220CD9" w:rsidRPr="00220CD9">
        <w:rPr>
          <w:rFonts w:ascii="Times New Roman" w:hAnsi="Times New Roman"/>
          <w:szCs w:val="24"/>
        </w:rPr>
        <w:tab/>
        <w:t xml:space="preserve">The Company’s CWC Method Is Consistent </w:t>
      </w:r>
      <w:proofErr w:type="gramStart"/>
      <w:r w:rsidR="00220CD9" w:rsidRPr="00220CD9">
        <w:rPr>
          <w:rFonts w:ascii="Times New Roman" w:hAnsi="Times New Roman"/>
          <w:szCs w:val="24"/>
        </w:rPr>
        <w:t>With</w:t>
      </w:r>
      <w:proofErr w:type="gramEnd"/>
      <w:r w:rsidR="00220CD9" w:rsidRPr="00220CD9">
        <w:rPr>
          <w:rFonts w:ascii="Times New Roman" w:hAnsi="Times New Roman"/>
          <w:szCs w:val="24"/>
        </w:rPr>
        <w:t xml:space="preserve"> WCA Methodology and a Generally Accepted Method for Calculating CWC.</w:t>
      </w:r>
      <w:r w:rsidR="00C55B7A">
        <w:rPr>
          <w:rFonts w:ascii="Times New Roman" w:hAnsi="Times New Roman"/>
          <w:szCs w:val="24"/>
        </w:rPr>
        <w:tab/>
      </w:r>
      <w:r w:rsidR="00600546">
        <w:rPr>
          <w:rFonts w:ascii="Times New Roman" w:hAnsi="Times New Roman"/>
          <w:szCs w:val="24"/>
        </w:rPr>
        <w:t>48</w:t>
      </w:r>
    </w:p>
    <w:p w:rsidR="00973298" w:rsidRDefault="000958E3"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B</w:t>
      </w:r>
      <w:r w:rsidR="00220CD9" w:rsidRPr="00220CD9">
        <w:rPr>
          <w:rFonts w:ascii="Times New Roman" w:hAnsi="Times New Roman"/>
        </w:rPr>
        <w:t>.</w:t>
      </w:r>
      <w:r w:rsidR="00220CD9" w:rsidRPr="00220CD9">
        <w:rPr>
          <w:rFonts w:ascii="Times New Roman" w:hAnsi="Times New Roman"/>
        </w:rPr>
        <w:tab/>
        <w:t xml:space="preserve">Wage and </w:t>
      </w:r>
      <w:r w:rsidR="00220CD9" w:rsidRPr="00C55B7A">
        <w:rPr>
          <w:rFonts w:ascii="Times New Roman" w:hAnsi="Times New Roman"/>
          <w:szCs w:val="24"/>
        </w:rPr>
        <w:t>Salary</w:t>
      </w:r>
      <w:r w:rsidR="00220CD9" w:rsidRPr="00220CD9">
        <w:rPr>
          <w:rFonts w:ascii="Times New Roman" w:hAnsi="Times New Roman"/>
        </w:rPr>
        <w:t xml:space="preserve"> Adjustments</w:t>
      </w:r>
      <w:r w:rsidR="00C55B7A">
        <w:rPr>
          <w:rFonts w:ascii="Times New Roman" w:hAnsi="Times New Roman"/>
        </w:rPr>
        <w:tab/>
      </w:r>
      <w:r w:rsidR="00600546">
        <w:rPr>
          <w:rFonts w:ascii="Times New Roman" w:hAnsi="Times New Roman"/>
        </w:rPr>
        <w:t>49</w:t>
      </w:r>
    </w:p>
    <w:p w:rsidR="00973298" w:rsidRDefault="008B73D2" w:rsidP="00600546">
      <w:pPr>
        <w:widowControl w:val="0"/>
        <w:tabs>
          <w:tab w:val="left" w:pos="720"/>
          <w:tab w:val="left" w:pos="1440"/>
          <w:tab w:val="left" w:pos="2160"/>
          <w:tab w:val="left" w:pos="2880"/>
          <w:tab w:val="right" w:leader="dot" w:pos="9360"/>
        </w:tabs>
        <w:spacing w:after="240"/>
        <w:ind w:left="2160" w:hanging="720"/>
        <w:rPr>
          <w:rFonts w:ascii="Times New Roman" w:hAnsi="Times New Roman"/>
        </w:rPr>
      </w:pPr>
      <w:r>
        <w:rPr>
          <w:rFonts w:ascii="Times New Roman" w:hAnsi="Times New Roman"/>
        </w:rPr>
        <w:t>1</w:t>
      </w:r>
      <w:r w:rsidR="00220CD9" w:rsidRPr="00220CD9">
        <w:rPr>
          <w:rFonts w:ascii="Times New Roman" w:hAnsi="Times New Roman"/>
        </w:rPr>
        <w:t>.</w:t>
      </w:r>
      <w:r w:rsidR="00220CD9" w:rsidRPr="00220CD9">
        <w:rPr>
          <w:rFonts w:ascii="Times New Roman" w:hAnsi="Times New Roman"/>
        </w:rPr>
        <w:tab/>
        <w:t xml:space="preserve">The Company’s Incentive Compensation Program is Consistent with Commission Precedent and </w:t>
      </w:r>
      <w:r w:rsidR="00220CD9" w:rsidRPr="00C55B7A">
        <w:rPr>
          <w:rFonts w:ascii="Times New Roman" w:hAnsi="Times New Roman"/>
          <w:szCs w:val="24"/>
        </w:rPr>
        <w:t>Results</w:t>
      </w:r>
      <w:r w:rsidR="00220CD9" w:rsidRPr="00220CD9">
        <w:rPr>
          <w:rFonts w:ascii="Times New Roman" w:hAnsi="Times New Roman"/>
        </w:rPr>
        <w:t xml:space="preserve"> in a </w:t>
      </w:r>
      <w:r w:rsidR="00537B28">
        <w:rPr>
          <w:rFonts w:ascii="Times New Roman" w:hAnsi="Times New Roman"/>
        </w:rPr>
        <w:t>Market</w:t>
      </w:r>
      <w:r w:rsidR="00600546">
        <w:rPr>
          <w:rFonts w:ascii="Times New Roman" w:hAnsi="Times New Roman"/>
        </w:rPr>
        <w:t xml:space="preserve"> </w:t>
      </w:r>
      <w:r w:rsidR="00537B28">
        <w:rPr>
          <w:rFonts w:ascii="Times New Roman" w:hAnsi="Times New Roman"/>
        </w:rPr>
        <w:t xml:space="preserve">Average </w:t>
      </w:r>
      <w:r w:rsidR="00220CD9" w:rsidRPr="00220CD9">
        <w:rPr>
          <w:rFonts w:ascii="Times New Roman" w:hAnsi="Times New Roman"/>
        </w:rPr>
        <w:t>Compensation.</w:t>
      </w:r>
      <w:r w:rsidR="00C55B7A">
        <w:rPr>
          <w:rFonts w:ascii="Times New Roman" w:hAnsi="Times New Roman"/>
        </w:rPr>
        <w:tab/>
      </w:r>
      <w:r w:rsidR="00600546">
        <w:rPr>
          <w:rFonts w:ascii="Times New Roman" w:hAnsi="Times New Roman"/>
        </w:rPr>
        <w:t>49</w:t>
      </w:r>
    </w:p>
    <w:p w:rsidR="00973298" w:rsidRDefault="008B73D2" w:rsidP="00600546">
      <w:pPr>
        <w:widowControl w:val="0"/>
        <w:tabs>
          <w:tab w:val="left" w:pos="720"/>
          <w:tab w:val="left" w:pos="1440"/>
          <w:tab w:val="left" w:pos="2160"/>
          <w:tab w:val="left" w:pos="2880"/>
          <w:tab w:val="right" w:leader="dot" w:pos="9360"/>
        </w:tabs>
        <w:spacing w:after="240"/>
        <w:ind w:left="2160" w:hanging="720"/>
        <w:rPr>
          <w:rFonts w:ascii="Times New Roman" w:hAnsi="Times New Roman"/>
        </w:rPr>
      </w:pPr>
      <w:r>
        <w:rPr>
          <w:rFonts w:ascii="Times New Roman" w:hAnsi="Times New Roman"/>
        </w:rPr>
        <w:t>2</w:t>
      </w:r>
      <w:r w:rsidR="00220CD9" w:rsidRPr="00220CD9">
        <w:rPr>
          <w:rFonts w:ascii="Times New Roman" w:hAnsi="Times New Roman"/>
        </w:rPr>
        <w:t>.</w:t>
      </w:r>
      <w:r w:rsidR="00220CD9" w:rsidRPr="00220CD9">
        <w:rPr>
          <w:rFonts w:ascii="Times New Roman" w:hAnsi="Times New Roman"/>
        </w:rPr>
        <w:tab/>
        <w:t>The ICNU/Public Counsel Adjustment to the 2009 Wage Increase is Unreasonable and Inconsistent with Commission Precedent.</w:t>
      </w:r>
      <w:r w:rsidR="00C55B7A">
        <w:rPr>
          <w:rFonts w:ascii="Times New Roman" w:hAnsi="Times New Roman"/>
        </w:rPr>
        <w:tab/>
      </w:r>
      <w:r w:rsidR="00600546">
        <w:rPr>
          <w:rFonts w:ascii="Times New Roman" w:hAnsi="Times New Roman"/>
        </w:rPr>
        <w:t>52</w:t>
      </w:r>
    </w:p>
    <w:p w:rsidR="00973298" w:rsidRDefault="008B73D2" w:rsidP="00600546">
      <w:pPr>
        <w:widowControl w:val="0"/>
        <w:tabs>
          <w:tab w:val="left" w:pos="720"/>
          <w:tab w:val="left" w:pos="1440"/>
          <w:tab w:val="left" w:pos="2160"/>
          <w:tab w:val="left" w:pos="2880"/>
          <w:tab w:val="right" w:leader="dot" w:pos="9360"/>
        </w:tabs>
        <w:spacing w:after="240"/>
        <w:ind w:left="2160" w:hanging="720"/>
        <w:rPr>
          <w:rFonts w:ascii="Times New Roman" w:hAnsi="Times New Roman"/>
        </w:rPr>
      </w:pPr>
      <w:r>
        <w:rPr>
          <w:rFonts w:ascii="Times New Roman" w:hAnsi="Times New Roman"/>
        </w:rPr>
        <w:t>3</w:t>
      </w:r>
      <w:r w:rsidR="00220CD9" w:rsidRPr="00220CD9">
        <w:rPr>
          <w:rFonts w:ascii="Times New Roman" w:hAnsi="Times New Roman"/>
        </w:rPr>
        <w:t>.</w:t>
      </w:r>
      <w:r w:rsidR="00220CD9" w:rsidRPr="00220CD9">
        <w:rPr>
          <w:rFonts w:ascii="Times New Roman" w:hAnsi="Times New Roman"/>
        </w:rPr>
        <w:tab/>
        <w:t xml:space="preserve">The 2010 Wage </w:t>
      </w:r>
      <w:r w:rsidR="00220CD9" w:rsidRPr="00C55B7A">
        <w:rPr>
          <w:rFonts w:ascii="Times New Roman" w:hAnsi="Times New Roman"/>
          <w:szCs w:val="24"/>
        </w:rPr>
        <w:t>Increase</w:t>
      </w:r>
      <w:r w:rsidR="00220CD9" w:rsidRPr="00220CD9">
        <w:rPr>
          <w:rFonts w:ascii="Times New Roman" w:hAnsi="Times New Roman"/>
        </w:rPr>
        <w:t xml:space="preserve"> Is a Limited Known and Measurable Adjustment.</w:t>
      </w:r>
      <w:r w:rsidR="00C55B7A">
        <w:rPr>
          <w:rFonts w:ascii="Times New Roman" w:hAnsi="Times New Roman"/>
        </w:rPr>
        <w:tab/>
      </w:r>
      <w:r w:rsidR="00600546">
        <w:rPr>
          <w:rFonts w:ascii="Times New Roman" w:hAnsi="Times New Roman"/>
        </w:rPr>
        <w:t>53</w:t>
      </w:r>
    </w:p>
    <w:p w:rsidR="00973298" w:rsidRDefault="008B73D2" w:rsidP="00600546">
      <w:pPr>
        <w:widowControl w:val="0"/>
        <w:tabs>
          <w:tab w:val="left" w:pos="720"/>
          <w:tab w:val="left" w:pos="1440"/>
          <w:tab w:val="left" w:pos="2160"/>
          <w:tab w:val="left" w:pos="2880"/>
          <w:tab w:val="right" w:leader="dot" w:pos="9360"/>
        </w:tabs>
        <w:spacing w:after="240"/>
        <w:ind w:left="2160" w:hanging="720"/>
      </w:pPr>
      <w:r>
        <w:rPr>
          <w:rFonts w:ascii="Times New Roman" w:hAnsi="Times New Roman"/>
        </w:rPr>
        <w:t>4</w:t>
      </w:r>
      <w:r w:rsidR="00220CD9" w:rsidRPr="00220CD9">
        <w:rPr>
          <w:rFonts w:ascii="Times New Roman" w:hAnsi="Times New Roman"/>
        </w:rPr>
        <w:t>.</w:t>
      </w:r>
      <w:r w:rsidR="00220CD9" w:rsidRPr="00220CD9">
        <w:rPr>
          <w:rFonts w:ascii="Times New Roman" w:hAnsi="Times New Roman"/>
        </w:rPr>
        <w:tab/>
        <w:t>There is No Basis to Disallow Employee Costs at the Bridger Plant.</w:t>
      </w:r>
      <w:r w:rsidR="00C55B7A">
        <w:rPr>
          <w:rFonts w:ascii="Times New Roman" w:hAnsi="Times New Roman"/>
        </w:rPr>
        <w:tab/>
      </w:r>
      <w:r w:rsidR="00600546">
        <w:rPr>
          <w:rFonts w:ascii="Times New Roman" w:hAnsi="Times New Roman"/>
        </w:rPr>
        <w:t>53</w:t>
      </w:r>
    </w:p>
    <w:p w:rsidR="00973298" w:rsidRDefault="000958E3"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C</w:t>
      </w:r>
      <w:r w:rsidR="00220CD9" w:rsidRPr="00220CD9">
        <w:rPr>
          <w:rFonts w:ascii="Times New Roman" w:hAnsi="Times New Roman"/>
        </w:rPr>
        <w:t>.</w:t>
      </w:r>
      <w:r w:rsidR="00220CD9" w:rsidRPr="00220CD9">
        <w:rPr>
          <w:rFonts w:ascii="Times New Roman" w:hAnsi="Times New Roman"/>
        </w:rPr>
        <w:tab/>
        <w:t xml:space="preserve">The MEHC </w:t>
      </w:r>
      <w:r w:rsidR="00220CD9" w:rsidRPr="00C55B7A">
        <w:rPr>
          <w:rFonts w:ascii="Times New Roman" w:hAnsi="Times New Roman"/>
          <w:szCs w:val="24"/>
        </w:rPr>
        <w:t>Management</w:t>
      </w:r>
      <w:r w:rsidR="00B3184D">
        <w:rPr>
          <w:rFonts w:ascii="Times New Roman" w:hAnsi="Times New Roman"/>
        </w:rPr>
        <w:t xml:space="preserve"> Fee </w:t>
      </w:r>
      <w:r w:rsidR="00600546" w:rsidRPr="00220CD9">
        <w:rPr>
          <w:rFonts w:ascii="Times New Roman" w:hAnsi="Times New Roman"/>
        </w:rPr>
        <w:t>Reflects Benefits Provided to Washington Customers</w:t>
      </w:r>
      <w:r w:rsidR="00600546">
        <w:rPr>
          <w:rFonts w:ascii="Times New Roman" w:hAnsi="Times New Roman"/>
        </w:rPr>
        <w:t xml:space="preserve"> </w:t>
      </w:r>
      <w:r w:rsidR="00600546" w:rsidRPr="00220CD9">
        <w:rPr>
          <w:rFonts w:ascii="Times New Roman" w:hAnsi="Times New Roman"/>
        </w:rPr>
        <w:t>and</w:t>
      </w:r>
      <w:r w:rsidR="00600546">
        <w:rPr>
          <w:rFonts w:ascii="Times New Roman" w:hAnsi="Times New Roman"/>
        </w:rPr>
        <w:t xml:space="preserve"> </w:t>
      </w:r>
      <w:r w:rsidR="00B3184D">
        <w:rPr>
          <w:rFonts w:ascii="Times New Roman" w:hAnsi="Times New Roman"/>
        </w:rPr>
        <w:t>i</w:t>
      </w:r>
      <w:r w:rsidR="00220CD9" w:rsidRPr="00220CD9">
        <w:rPr>
          <w:rFonts w:ascii="Times New Roman" w:hAnsi="Times New Roman"/>
        </w:rPr>
        <w:t>s Consistent with MEHC’s Commitments to Washington.</w:t>
      </w:r>
      <w:r w:rsidR="00C55B7A">
        <w:rPr>
          <w:rFonts w:ascii="Times New Roman" w:hAnsi="Times New Roman"/>
        </w:rPr>
        <w:tab/>
      </w:r>
      <w:r w:rsidR="00600546">
        <w:rPr>
          <w:rFonts w:ascii="Times New Roman" w:hAnsi="Times New Roman"/>
        </w:rPr>
        <w:t>54</w:t>
      </w:r>
    </w:p>
    <w:p w:rsidR="00973298" w:rsidRDefault="000958E3"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D</w:t>
      </w:r>
      <w:r w:rsidR="00220CD9" w:rsidRPr="00220CD9">
        <w:rPr>
          <w:rFonts w:ascii="Times New Roman" w:hAnsi="Times New Roman"/>
        </w:rPr>
        <w:t>.</w:t>
      </w:r>
      <w:r w:rsidR="00220CD9" w:rsidRPr="00220CD9">
        <w:rPr>
          <w:rFonts w:ascii="Times New Roman" w:hAnsi="Times New Roman"/>
        </w:rPr>
        <w:tab/>
        <w:t xml:space="preserve">The Existing </w:t>
      </w:r>
      <w:r w:rsidR="00220CD9" w:rsidRPr="00C55B7A">
        <w:rPr>
          <w:rFonts w:ascii="Times New Roman" w:hAnsi="Times New Roman"/>
          <w:szCs w:val="24"/>
        </w:rPr>
        <w:t>Allocation</w:t>
      </w:r>
      <w:r w:rsidR="00220CD9" w:rsidRPr="00220CD9">
        <w:rPr>
          <w:rFonts w:ascii="Times New Roman" w:hAnsi="Times New Roman"/>
        </w:rPr>
        <w:t xml:space="preserve"> of </w:t>
      </w:r>
      <w:proofErr w:type="gramStart"/>
      <w:r w:rsidR="00220CD9" w:rsidRPr="00220CD9">
        <w:rPr>
          <w:rFonts w:ascii="Times New Roman" w:hAnsi="Times New Roman"/>
        </w:rPr>
        <w:t>Outside</w:t>
      </w:r>
      <w:proofErr w:type="gramEnd"/>
      <w:r w:rsidR="00220CD9" w:rsidRPr="00220CD9">
        <w:rPr>
          <w:rFonts w:ascii="Times New Roman" w:hAnsi="Times New Roman"/>
        </w:rPr>
        <w:t xml:space="preserve"> Legal Expenses Should be Changed</w:t>
      </w:r>
      <w:r w:rsidR="00B3184D" w:rsidRPr="00B3184D">
        <w:rPr>
          <w:rFonts w:ascii="Times New Roman" w:hAnsi="Times New Roman"/>
        </w:rPr>
        <w:t xml:space="preserve"> </w:t>
      </w:r>
      <w:r w:rsidR="00B3184D" w:rsidRPr="00220CD9">
        <w:rPr>
          <w:rFonts w:ascii="Times New Roman" w:hAnsi="Times New Roman"/>
        </w:rPr>
        <w:t>Only</w:t>
      </w:r>
      <w:r w:rsidR="00220CD9" w:rsidRPr="00220CD9">
        <w:rPr>
          <w:rFonts w:ascii="Times New Roman" w:hAnsi="Times New Roman"/>
        </w:rPr>
        <w:t xml:space="preserve"> in a Wider Review of WCA Allocation Factors.</w:t>
      </w:r>
      <w:r w:rsidR="00C55B7A">
        <w:rPr>
          <w:rFonts w:ascii="Times New Roman" w:hAnsi="Times New Roman"/>
        </w:rPr>
        <w:tab/>
      </w:r>
      <w:r w:rsidR="00600546">
        <w:rPr>
          <w:rFonts w:ascii="Times New Roman" w:hAnsi="Times New Roman"/>
        </w:rPr>
        <w:t>55</w:t>
      </w:r>
    </w:p>
    <w:p w:rsidR="00973298" w:rsidRDefault="00960585" w:rsidP="00600546">
      <w:pPr>
        <w:widowControl w:val="0"/>
        <w:tabs>
          <w:tab w:val="left" w:pos="720"/>
          <w:tab w:val="left" w:pos="1440"/>
          <w:tab w:val="left" w:pos="2160"/>
          <w:tab w:val="left" w:pos="2880"/>
          <w:tab w:val="right" w:leader="dot" w:pos="9360"/>
        </w:tabs>
        <w:spacing w:after="240"/>
        <w:ind w:left="720" w:hanging="720"/>
        <w:rPr>
          <w:rFonts w:ascii="Times New Roman" w:hAnsi="Times New Roman"/>
        </w:rPr>
      </w:pPr>
      <w:r>
        <w:rPr>
          <w:rFonts w:ascii="Times New Roman" w:hAnsi="Times New Roman"/>
        </w:rPr>
        <w:t>VIII</w:t>
      </w:r>
      <w:r w:rsidR="00220CD9" w:rsidRPr="00220CD9">
        <w:rPr>
          <w:rFonts w:ascii="Times New Roman" w:hAnsi="Times New Roman"/>
        </w:rPr>
        <w:t>.</w:t>
      </w:r>
      <w:r w:rsidR="00220CD9" w:rsidRPr="00220CD9">
        <w:rPr>
          <w:rFonts w:ascii="Times New Roman" w:hAnsi="Times New Roman"/>
        </w:rPr>
        <w:tab/>
        <w:t>RATE SPREAD AND RATE DESIGN</w:t>
      </w:r>
      <w:r w:rsidR="00C55B7A">
        <w:rPr>
          <w:rFonts w:ascii="Times New Roman" w:hAnsi="Times New Roman"/>
        </w:rPr>
        <w:tab/>
      </w:r>
      <w:r w:rsidR="00600546">
        <w:rPr>
          <w:rFonts w:ascii="Times New Roman" w:hAnsi="Times New Roman"/>
        </w:rPr>
        <w:t>56</w:t>
      </w:r>
    </w:p>
    <w:p w:rsidR="00973298" w:rsidRDefault="00220CD9" w:rsidP="00600546">
      <w:pPr>
        <w:widowControl w:val="0"/>
        <w:tabs>
          <w:tab w:val="left" w:pos="720"/>
          <w:tab w:val="left" w:pos="1440"/>
          <w:tab w:val="left" w:pos="2160"/>
          <w:tab w:val="right" w:leader="dot" w:pos="9360"/>
        </w:tabs>
        <w:spacing w:after="240"/>
        <w:ind w:left="1440" w:hanging="720"/>
      </w:pPr>
      <w:r w:rsidRPr="00220CD9">
        <w:lastRenderedPageBreak/>
        <w:t>A.</w:t>
      </w:r>
      <w:r w:rsidRPr="00220CD9">
        <w:tab/>
        <w:t>Staff’s Rate Spread Proposal is Reasonable and Should Be Adopted.</w:t>
      </w:r>
      <w:r w:rsidR="00C55B7A">
        <w:tab/>
      </w:r>
      <w:r w:rsidR="00600546">
        <w:t>56</w:t>
      </w:r>
    </w:p>
    <w:p w:rsidR="00973298" w:rsidRDefault="00220CD9" w:rsidP="00600546">
      <w:pPr>
        <w:widowControl w:val="0"/>
        <w:tabs>
          <w:tab w:val="left" w:pos="720"/>
          <w:tab w:val="left" w:pos="1440"/>
          <w:tab w:val="left" w:pos="2160"/>
          <w:tab w:val="right" w:leader="dot" w:pos="9360"/>
        </w:tabs>
        <w:spacing w:after="240"/>
        <w:ind w:left="1440" w:hanging="720"/>
      </w:pPr>
      <w:r w:rsidRPr="00220CD9">
        <w:t>B.</w:t>
      </w:r>
      <w:r w:rsidRPr="00220CD9">
        <w:tab/>
        <w:t xml:space="preserve">The </w:t>
      </w:r>
      <w:r w:rsidRPr="00C55B7A">
        <w:rPr>
          <w:rFonts w:ascii="Times New Roman" w:hAnsi="Times New Roman"/>
          <w:szCs w:val="24"/>
        </w:rPr>
        <w:t>Company’s</w:t>
      </w:r>
      <w:r w:rsidRPr="00220CD9">
        <w:t xml:space="preserve"> Proposed Residential Basic Charge Increase is Appropriate.</w:t>
      </w:r>
      <w:r w:rsidR="00C55B7A">
        <w:tab/>
      </w:r>
      <w:r w:rsidR="00600546">
        <w:t>56</w:t>
      </w:r>
    </w:p>
    <w:p w:rsidR="00973298" w:rsidRDefault="00220CD9" w:rsidP="00600546">
      <w:pPr>
        <w:widowControl w:val="0"/>
        <w:tabs>
          <w:tab w:val="left" w:pos="720"/>
          <w:tab w:val="left" w:pos="1440"/>
          <w:tab w:val="left" w:pos="2160"/>
          <w:tab w:val="right" w:leader="dot" w:pos="9360"/>
        </w:tabs>
        <w:spacing w:after="240"/>
        <w:ind w:left="1440" w:hanging="720"/>
      </w:pPr>
      <w:r w:rsidRPr="00220CD9">
        <w:t>C.</w:t>
      </w:r>
      <w:r w:rsidRPr="00220CD9">
        <w:tab/>
        <w:t xml:space="preserve">The </w:t>
      </w:r>
      <w:r w:rsidRPr="00C55B7A">
        <w:rPr>
          <w:rFonts w:ascii="Times New Roman" w:hAnsi="Times New Roman"/>
          <w:szCs w:val="24"/>
        </w:rPr>
        <w:t>Company’s</w:t>
      </w:r>
      <w:r w:rsidRPr="00220CD9">
        <w:t xml:space="preserve"> Cost of Service </w:t>
      </w:r>
      <w:r w:rsidR="0030309D">
        <w:t>w</w:t>
      </w:r>
      <w:r w:rsidRPr="00220CD9">
        <w:t>as Developed Consistent with Commission Precedent.</w:t>
      </w:r>
      <w:r w:rsidR="00C55B7A">
        <w:tab/>
      </w:r>
      <w:r w:rsidR="00600546">
        <w:t>57</w:t>
      </w:r>
    </w:p>
    <w:p w:rsidR="00973298" w:rsidRDefault="00960585" w:rsidP="00600546">
      <w:pPr>
        <w:widowControl w:val="0"/>
        <w:tabs>
          <w:tab w:val="left" w:pos="720"/>
          <w:tab w:val="left" w:pos="1440"/>
          <w:tab w:val="left" w:pos="2160"/>
          <w:tab w:val="left" w:pos="2880"/>
          <w:tab w:val="right" w:leader="dot" w:pos="9360"/>
        </w:tabs>
        <w:spacing w:after="240"/>
        <w:ind w:left="720" w:hanging="720"/>
        <w:rPr>
          <w:rFonts w:ascii="Times New Roman" w:hAnsi="Times New Roman"/>
        </w:rPr>
      </w:pPr>
      <w:r>
        <w:rPr>
          <w:rFonts w:ascii="Times New Roman" w:hAnsi="Times New Roman"/>
        </w:rPr>
        <w:t>I</w:t>
      </w:r>
      <w:r w:rsidR="00220CD9" w:rsidRPr="00220CD9">
        <w:rPr>
          <w:rFonts w:ascii="Times New Roman" w:hAnsi="Times New Roman"/>
        </w:rPr>
        <w:t>X.</w:t>
      </w:r>
      <w:r w:rsidR="00220CD9" w:rsidRPr="00220CD9">
        <w:rPr>
          <w:rFonts w:ascii="Times New Roman" w:hAnsi="Times New Roman"/>
        </w:rPr>
        <w:tab/>
        <w:t>LOW INCOME FUNDING</w:t>
      </w:r>
      <w:r w:rsidR="00C55B7A">
        <w:rPr>
          <w:rFonts w:ascii="Times New Roman" w:hAnsi="Times New Roman"/>
        </w:rPr>
        <w:tab/>
      </w:r>
      <w:r w:rsidR="00600546">
        <w:rPr>
          <w:rFonts w:ascii="Times New Roman" w:hAnsi="Times New Roman"/>
        </w:rPr>
        <w:t>58</w:t>
      </w:r>
    </w:p>
    <w:p w:rsidR="00973298" w:rsidRDefault="00C55B7A" w:rsidP="00600546">
      <w:pPr>
        <w:widowControl w:val="0"/>
        <w:tabs>
          <w:tab w:val="left" w:pos="720"/>
          <w:tab w:val="left" w:pos="1440"/>
          <w:tab w:val="left" w:pos="2160"/>
          <w:tab w:val="right" w:leader="dot" w:pos="9360"/>
        </w:tabs>
        <w:spacing w:after="240"/>
        <w:ind w:left="1440" w:hanging="720"/>
        <w:rPr>
          <w:rFonts w:ascii="Times New Roman" w:hAnsi="Times New Roman"/>
        </w:rPr>
      </w:pPr>
      <w:r>
        <w:rPr>
          <w:rFonts w:ascii="Times New Roman" w:hAnsi="Times New Roman"/>
        </w:rPr>
        <w:t>A.</w:t>
      </w:r>
      <w:r>
        <w:rPr>
          <w:rFonts w:ascii="Times New Roman" w:hAnsi="Times New Roman"/>
        </w:rPr>
        <w:tab/>
      </w:r>
      <w:r w:rsidR="00220CD9" w:rsidRPr="00220CD9">
        <w:rPr>
          <w:rFonts w:ascii="Times New Roman" w:hAnsi="Times New Roman"/>
        </w:rPr>
        <w:t xml:space="preserve">The </w:t>
      </w:r>
      <w:r w:rsidR="00220CD9" w:rsidRPr="00C55B7A">
        <w:rPr>
          <w:rFonts w:ascii="Times New Roman" w:hAnsi="Times New Roman"/>
          <w:szCs w:val="24"/>
        </w:rPr>
        <w:t>Company’s</w:t>
      </w:r>
      <w:r w:rsidR="00220CD9" w:rsidRPr="00220CD9">
        <w:rPr>
          <w:rFonts w:ascii="Times New Roman" w:hAnsi="Times New Roman"/>
        </w:rPr>
        <w:t xml:space="preserve"> Low Income Bill Assistance Proposals are Reasonable.</w:t>
      </w:r>
      <w:r>
        <w:rPr>
          <w:rFonts w:ascii="Times New Roman" w:hAnsi="Times New Roman"/>
        </w:rPr>
        <w:tab/>
      </w:r>
      <w:r w:rsidR="00600546">
        <w:rPr>
          <w:rFonts w:ascii="Times New Roman" w:hAnsi="Times New Roman"/>
        </w:rPr>
        <w:t>58</w:t>
      </w:r>
    </w:p>
    <w:p w:rsidR="00973298" w:rsidRDefault="00220CD9" w:rsidP="00600546">
      <w:pPr>
        <w:widowControl w:val="0"/>
        <w:tabs>
          <w:tab w:val="left" w:pos="720"/>
          <w:tab w:val="left" w:pos="1440"/>
          <w:tab w:val="left" w:pos="2160"/>
          <w:tab w:val="right" w:leader="dot" w:pos="9360"/>
        </w:tabs>
        <w:spacing w:after="240"/>
        <w:ind w:left="1440" w:hanging="720"/>
        <w:rPr>
          <w:rFonts w:ascii="Times New Roman" w:hAnsi="Times New Roman"/>
        </w:rPr>
      </w:pPr>
      <w:r w:rsidRPr="00220CD9">
        <w:rPr>
          <w:rFonts w:ascii="Times New Roman" w:hAnsi="Times New Roman"/>
        </w:rPr>
        <w:t>B.</w:t>
      </w:r>
      <w:r w:rsidRPr="00220CD9">
        <w:rPr>
          <w:rFonts w:ascii="Times New Roman" w:hAnsi="Times New Roman"/>
        </w:rPr>
        <w:tab/>
        <w:t xml:space="preserve">There is </w:t>
      </w:r>
      <w:r w:rsidRPr="00C55B7A">
        <w:rPr>
          <w:rFonts w:ascii="Times New Roman" w:hAnsi="Times New Roman"/>
          <w:szCs w:val="24"/>
        </w:rPr>
        <w:t>Currently</w:t>
      </w:r>
      <w:r w:rsidRPr="00220CD9">
        <w:rPr>
          <w:rFonts w:ascii="Times New Roman" w:hAnsi="Times New Roman"/>
        </w:rPr>
        <w:t xml:space="preserve"> No Reason to </w:t>
      </w:r>
      <w:r w:rsidR="00BE5993">
        <w:rPr>
          <w:rFonts w:ascii="Times New Roman" w:hAnsi="Times New Roman"/>
        </w:rPr>
        <w:t xml:space="preserve">Increase </w:t>
      </w:r>
      <w:r w:rsidRPr="00220CD9">
        <w:rPr>
          <w:rFonts w:ascii="Times New Roman" w:hAnsi="Times New Roman"/>
        </w:rPr>
        <w:t xml:space="preserve">Low Income Weatherization </w:t>
      </w:r>
      <w:r w:rsidR="00D67C8B">
        <w:rPr>
          <w:rFonts w:ascii="Times New Roman" w:hAnsi="Times New Roman"/>
        </w:rPr>
        <w:br w:type="textWrapping" w:clear="all"/>
      </w:r>
      <w:r w:rsidRPr="00220CD9">
        <w:rPr>
          <w:rFonts w:ascii="Times New Roman" w:hAnsi="Times New Roman"/>
        </w:rPr>
        <w:t>Funding.</w:t>
      </w:r>
      <w:r w:rsidR="00C55B7A">
        <w:rPr>
          <w:rFonts w:ascii="Times New Roman" w:hAnsi="Times New Roman"/>
        </w:rPr>
        <w:tab/>
      </w:r>
      <w:r w:rsidR="00600546">
        <w:rPr>
          <w:rFonts w:ascii="Times New Roman" w:hAnsi="Times New Roman"/>
        </w:rPr>
        <w:t>59</w:t>
      </w:r>
    </w:p>
    <w:p w:rsidR="00973298" w:rsidRDefault="00220CD9" w:rsidP="00600546">
      <w:pPr>
        <w:widowControl w:val="0"/>
        <w:tabs>
          <w:tab w:val="left" w:pos="720"/>
          <w:tab w:val="left" w:pos="1440"/>
          <w:tab w:val="right" w:leader="dot" w:pos="9360"/>
        </w:tabs>
        <w:spacing w:after="240"/>
        <w:ind w:left="720" w:hanging="720"/>
        <w:rPr>
          <w:rFonts w:ascii="Times New Roman" w:hAnsi="Times New Roman"/>
        </w:rPr>
      </w:pPr>
      <w:r w:rsidRPr="00220CD9">
        <w:rPr>
          <w:rFonts w:ascii="Times New Roman" w:hAnsi="Times New Roman"/>
        </w:rPr>
        <w:t>X.</w:t>
      </w:r>
      <w:r w:rsidRPr="00220CD9">
        <w:rPr>
          <w:rFonts w:ascii="Times New Roman" w:hAnsi="Times New Roman"/>
        </w:rPr>
        <w:tab/>
        <w:t>CONCLUSION</w:t>
      </w:r>
      <w:r w:rsidR="00C55B7A">
        <w:rPr>
          <w:rFonts w:ascii="Times New Roman" w:hAnsi="Times New Roman"/>
        </w:rPr>
        <w:tab/>
      </w:r>
      <w:r w:rsidR="00600546">
        <w:rPr>
          <w:rFonts w:ascii="Times New Roman" w:hAnsi="Times New Roman"/>
        </w:rPr>
        <w:t>59</w:t>
      </w:r>
    </w:p>
    <w:p w:rsidR="00973298" w:rsidRDefault="0085530A" w:rsidP="00600546">
      <w:pPr>
        <w:widowControl w:val="0"/>
        <w:tabs>
          <w:tab w:val="left" w:pos="720"/>
          <w:tab w:val="left" w:pos="1440"/>
          <w:tab w:val="right" w:leader="dot" w:pos="9360"/>
        </w:tabs>
        <w:spacing w:after="240"/>
        <w:ind w:left="720" w:hanging="720"/>
        <w:rPr>
          <w:rFonts w:ascii="Times New Roman" w:hAnsi="Times New Roman"/>
        </w:rPr>
      </w:pPr>
      <w:r>
        <w:rPr>
          <w:rFonts w:ascii="Times New Roman" w:hAnsi="Times New Roman"/>
        </w:rPr>
        <w:t>APPENDIX A</w:t>
      </w:r>
      <w:r>
        <w:rPr>
          <w:rFonts w:ascii="Times New Roman" w:hAnsi="Times New Roman"/>
        </w:rPr>
        <w:tab/>
      </w:r>
      <w:r>
        <w:rPr>
          <w:rFonts w:ascii="Times New Roman" w:hAnsi="Times New Roman"/>
        </w:rPr>
        <w:tab/>
      </w:r>
      <w:r w:rsidR="00600546">
        <w:rPr>
          <w:rFonts w:ascii="Times New Roman" w:hAnsi="Times New Roman"/>
        </w:rPr>
        <w:t>1</w:t>
      </w:r>
    </w:p>
    <w:p w:rsidR="00973298" w:rsidRDefault="0085530A" w:rsidP="00600546">
      <w:pPr>
        <w:widowControl w:val="0"/>
        <w:tabs>
          <w:tab w:val="left" w:pos="720"/>
          <w:tab w:val="left" w:pos="1440"/>
          <w:tab w:val="right" w:leader="dot" w:pos="9360"/>
        </w:tabs>
        <w:spacing w:after="240"/>
        <w:ind w:left="720" w:hanging="720"/>
        <w:rPr>
          <w:rFonts w:ascii="Times New Roman" w:hAnsi="Times New Roman"/>
        </w:rPr>
      </w:pPr>
      <w:r>
        <w:rPr>
          <w:rFonts w:ascii="Times New Roman" w:hAnsi="Times New Roman"/>
        </w:rPr>
        <w:t>APPENDIX B</w:t>
      </w:r>
      <w:r>
        <w:rPr>
          <w:rFonts w:ascii="Times New Roman" w:hAnsi="Times New Roman"/>
        </w:rPr>
        <w:tab/>
      </w:r>
      <w:r>
        <w:rPr>
          <w:rFonts w:ascii="Times New Roman" w:hAnsi="Times New Roman"/>
        </w:rPr>
        <w:tab/>
      </w:r>
      <w:r w:rsidR="00600546">
        <w:rPr>
          <w:rFonts w:ascii="Times New Roman" w:hAnsi="Times New Roman"/>
        </w:rPr>
        <w:t>1</w:t>
      </w:r>
    </w:p>
    <w:p w:rsidR="00613674" w:rsidRDefault="00613674">
      <w:pPr>
        <w:jc w:val="center"/>
        <w:rPr>
          <w:rFonts w:ascii="Times New Roman" w:hAnsi="Times New Roman"/>
          <w:b/>
        </w:rPr>
      </w:pPr>
      <w:r>
        <w:rPr>
          <w:rFonts w:ascii="Times New Roman" w:hAnsi="Times New Roman"/>
          <w:b/>
        </w:rPr>
        <w:br w:type="page"/>
      </w:r>
    </w:p>
    <w:p w:rsidR="003159A5" w:rsidRPr="004657B6" w:rsidRDefault="00FC60A1" w:rsidP="00445F09">
      <w:pPr>
        <w:pStyle w:val="TOAHeading"/>
        <w:tabs>
          <w:tab w:val="right" w:leader="dot" w:pos="9350"/>
        </w:tabs>
        <w:spacing w:after="240"/>
        <w:rPr>
          <w:rFonts w:ascii="Times New Roman" w:eastAsiaTheme="minorEastAsia" w:hAnsi="Times New Roman" w:cs="Times New Roman"/>
          <w:b w:val="0"/>
          <w:bCs w:val="0"/>
          <w:noProof/>
          <w:sz w:val="24"/>
          <w:szCs w:val="24"/>
        </w:rPr>
      </w:pPr>
      <w:r w:rsidRPr="004657B6">
        <w:rPr>
          <w:rFonts w:ascii="Times New Roman" w:hAnsi="Times New Roman" w:cs="Times New Roman"/>
          <w:b w:val="0"/>
          <w:sz w:val="24"/>
          <w:szCs w:val="24"/>
        </w:rPr>
        <w:lastRenderedPageBreak/>
        <w:fldChar w:fldCharType="begin"/>
      </w:r>
      <w:r w:rsidR="00EF71DF" w:rsidRPr="004657B6">
        <w:rPr>
          <w:rFonts w:ascii="Times New Roman" w:hAnsi="Times New Roman" w:cs="Times New Roman"/>
          <w:b w:val="0"/>
          <w:sz w:val="24"/>
          <w:szCs w:val="24"/>
        </w:rPr>
        <w:instrText xml:space="preserve"> TOA \h \c "1" \p </w:instrText>
      </w:r>
      <w:r w:rsidRPr="004657B6">
        <w:rPr>
          <w:rFonts w:ascii="Times New Roman" w:hAnsi="Times New Roman" w:cs="Times New Roman"/>
          <w:b w:val="0"/>
          <w:sz w:val="24"/>
          <w:szCs w:val="24"/>
        </w:rPr>
        <w:fldChar w:fldCharType="separate"/>
      </w:r>
      <w:r w:rsidR="003159A5" w:rsidRPr="004657B6">
        <w:rPr>
          <w:rFonts w:ascii="Times New Roman" w:hAnsi="Times New Roman" w:cs="Times New Roman"/>
          <w:noProof/>
          <w:sz w:val="24"/>
          <w:szCs w:val="24"/>
        </w:rPr>
        <w:t>Cases</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Bluefield Water Works &amp; Improvement Co. v. Pub. Serv. Comm'n of W. Va</w:t>
      </w:r>
      <w:r w:rsidRPr="004657B6">
        <w:rPr>
          <w:rFonts w:ascii="Times New Roman" w:hAnsi="Times New Roman" w:cs="Times New Roman"/>
          <w:noProof/>
          <w:sz w:val="24"/>
          <w:szCs w:val="24"/>
        </w:rPr>
        <w:t>., 262 U.S. 679 (1923)</w:t>
      </w:r>
      <w:r w:rsidRPr="004657B6">
        <w:rPr>
          <w:rFonts w:ascii="Times New Roman" w:hAnsi="Times New Roman" w:cs="Times New Roman"/>
          <w:noProof/>
          <w:sz w:val="24"/>
          <w:szCs w:val="24"/>
        </w:rPr>
        <w:tab/>
        <w:t>4, 9</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Cogeneration Ass’n of Cal. V. Fed. Energy Regulatory Comm’n</w:t>
      </w:r>
      <w:r w:rsidRPr="004657B6">
        <w:rPr>
          <w:rFonts w:ascii="Times New Roman" w:hAnsi="Times New Roman" w:cs="Times New Roman"/>
          <w:noProof/>
          <w:sz w:val="24"/>
          <w:szCs w:val="24"/>
        </w:rPr>
        <w:t>, 525 F.3d 1279 (D.C. App. 2008)</w:t>
      </w:r>
      <w:r w:rsidRPr="004657B6">
        <w:rPr>
          <w:rFonts w:ascii="Times New Roman" w:hAnsi="Times New Roman" w:cs="Times New Roman"/>
          <w:noProof/>
          <w:sz w:val="24"/>
          <w:szCs w:val="24"/>
        </w:rPr>
        <w:tab/>
        <w:t>34</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Fed. Power Comm'n v. Hope Natural Gas Co.</w:t>
      </w:r>
      <w:r w:rsidRPr="004657B6">
        <w:rPr>
          <w:rFonts w:ascii="Times New Roman" w:hAnsi="Times New Roman" w:cs="Times New Roman"/>
          <w:noProof/>
          <w:sz w:val="24"/>
          <w:szCs w:val="24"/>
        </w:rPr>
        <w:t>, 320 U.S. 591 (1944)</w:t>
      </w:r>
      <w:r w:rsidRPr="004657B6">
        <w:rPr>
          <w:rFonts w:ascii="Times New Roman" w:hAnsi="Times New Roman" w:cs="Times New Roman"/>
          <w:noProof/>
          <w:sz w:val="24"/>
          <w:szCs w:val="24"/>
        </w:rPr>
        <w:tab/>
        <w:t>3, 4</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Miss. Power &amp; Light Co. v. Miss.</w:t>
      </w:r>
      <w:r w:rsidRPr="004657B6">
        <w:rPr>
          <w:rFonts w:ascii="Times New Roman" w:hAnsi="Times New Roman" w:cs="Times New Roman"/>
          <w:noProof/>
          <w:sz w:val="24"/>
          <w:szCs w:val="24"/>
        </w:rPr>
        <w:t>, 487 U.S. 354 (1988)</w:t>
      </w:r>
      <w:r w:rsidRPr="004657B6">
        <w:rPr>
          <w:rFonts w:ascii="Times New Roman" w:hAnsi="Times New Roman" w:cs="Times New Roman"/>
          <w:noProof/>
          <w:sz w:val="24"/>
          <w:szCs w:val="24"/>
        </w:rPr>
        <w:tab/>
        <w:t>34</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Nantahala Power &amp; Light Co. v. Thornberg</w:t>
      </w:r>
      <w:r w:rsidRPr="004657B6">
        <w:rPr>
          <w:rFonts w:ascii="Times New Roman" w:hAnsi="Times New Roman" w:cs="Times New Roman"/>
          <w:noProof/>
          <w:sz w:val="24"/>
          <w:szCs w:val="24"/>
        </w:rPr>
        <w:t>, 476 U.S. 953 (1986)</w:t>
      </w:r>
      <w:r w:rsidRPr="004657B6">
        <w:rPr>
          <w:rFonts w:ascii="Times New Roman" w:hAnsi="Times New Roman" w:cs="Times New Roman"/>
          <w:noProof/>
          <w:sz w:val="24"/>
          <w:szCs w:val="24"/>
        </w:rPr>
        <w:tab/>
        <w:t>34, 35</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People’s Org. for Wash. Energy Res. v. Wash. Utils. &amp; Transp. Comm’n</w:t>
      </w:r>
      <w:r w:rsidRPr="004657B6">
        <w:rPr>
          <w:rFonts w:ascii="Times New Roman" w:hAnsi="Times New Roman" w:cs="Times New Roman"/>
          <w:noProof/>
          <w:sz w:val="24"/>
          <w:szCs w:val="24"/>
        </w:rPr>
        <w:t>, 104 Wn.2d 798, (1985) (en banc)</w:t>
      </w:r>
      <w:r w:rsidRPr="004657B6">
        <w:rPr>
          <w:rFonts w:ascii="Times New Roman" w:hAnsi="Times New Roman" w:cs="Times New Roman"/>
          <w:noProof/>
          <w:sz w:val="24"/>
          <w:szCs w:val="24"/>
        </w:rPr>
        <w:tab/>
        <w:t>4</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Wash. ex rel. Puget Sound Power &amp; Light Co. v. Dept. of Pub. Works of  Wash</w:t>
      </w:r>
      <w:r w:rsidRPr="004657B6">
        <w:rPr>
          <w:rFonts w:ascii="Times New Roman" w:hAnsi="Times New Roman" w:cs="Times New Roman"/>
          <w:noProof/>
          <w:sz w:val="24"/>
          <w:szCs w:val="24"/>
        </w:rPr>
        <w:t>., 179 Wash. 461 (1934)</w:t>
      </w:r>
      <w:r w:rsidRPr="004657B6">
        <w:rPr>
          <w:rFonts w:ascii="Times New Roman" w:hAnsi="Times New Roman" w:cs="Times New Roman"/>
          <w:noProof/>
          <w:sz w:val="24"/>
          <w:szCs w:val="24"/>
        </w:rPr>
        <w:tab/>
        <w:t>3</w:t>
      </w:r>
    </w:p>
    <w:p w:rsidR="003159A5" w:rsidRPr="004657B6" w:rsidRDefault="00FC60A1" w:rsidP="00445F09">
      <w:pPr>
        <w:pStyle w:val="TOAHeading"/>
        <w:tabs>
          <w:tab w:val="right" w:leader="dot" w:pos="9350"/>
        </w:tabs>
        <w:spacing w:after="240"/>
        <w:rPr>
          <w:rFonts w:ascii="Times New Roman" w:eastAsiaTheme="minorEastAsia" w:hAnsi="Times New Roman" w:cs="Times New Roman"/>
          <w:b w:val="0"/>
          <w:bCs w:val="0"/>
          <w:noProof/>
          <w:sz w:val="24"/>
          <w:szCs w:val="24"/>
        </w:rPr>
      </w:pPr>
      <w:r w:rsidRPr="004657B6">
        <w:rPr>
          <w:rFonts w:ascii="Times New Roman" w:hAnsi="Times New Roman" w:cs="Times New Roman"/>
          <w:b w:val="0"/>
          <w:sz w:val="24"/>
          <w:szCs w:val="24"/>
        </w:rPr>
        <w:fldChar w:fldCharType="end"/>
      </w:r>
      <w:r w:rsidRPr="004657B6">
        <w:rPr>
          <w:rFonts w:ascii="Times New Roman" w:hAnsi="Times New Roman" w:cs="Times New Roman"/>
          <w:b w:val="0"/>
          <w:sz w:val="24"/>
          <w:szCs w:val="24"/>
        </w:rPr>
        <w:fldChar w:fldCharType="begin"/>
      </w:r>
      <w:r w:rsidR="00EF71DF" w:rsidRPr="004657B6">
        <w:rPr>
          <w:rFonts w:ascii="Times New Roman" w:hAnsi="Times New Roman" w:cs="Times New Roman"/>
          <w:b w:val="0"/>
          <w:sz w:val="24"/>
          <w:szCs w:val="24"/>
        </w:rPr>
        <w:instrText xml:space="preserve"> TOA \h \c "2" \p </w:instrText>
      </w:r>
      <w:r w:rsidRPr="004657B6">
        <w:rPr>
          <w:rFonts w:ascii="Times New Roman" w:hAnsi="Times New Roman" w:cs="Times New Roman"/>
          <w:b w:val="0"/>
          <w:sz w:val="24"/>
          <w:szCs w:val="24"/>
        </w:rPr>
        <w:fldChar w:fldCharType="separate"/>
      </w:r>
      <w:r w:rsidR="003159A5" w:rsidRPr="004657B6">
        <w:rPr>
          <w:rFonts w:ascii="Times New Roman" w:hAnsi="Times New Roman" w:cs="Times New Roman"/>
          <w:noProof/>
          <w:sz w:val="24"/>
          <w:szCs w:val="24"/>
        </w:rPr>
        <w:t>Statutes</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noProof/>
          <w:sz w:val="24"/>
          <w:szCs w:val="24"/>
        </w:rPr>
        <w:t xml:space="preserve">16 U.S.C. § 791 </w:t>
      </w:r>
      <w:r w:rsidRPr="004657B6">
        <w:rPr>
          <w:rFonts w:ascii="Times New Roman" w:hAnsi="Times New Roman" w:cs="Times New Roman"/>
          <w:i/>
          <w:noProof/>
          <w:sz w:val="24"/>
          <w:szCs w:val="24"/>
        </w:rPr>
        <w:t>et seq</w:t>
      </w:r>
      <w:r w:rsidRPr="004657B6">
        <w:rPr>
          <w:rFonts w:ascii="Times New Roman" w:hAnsi="Times New Roman" w:cs="Times New Roman"/>
          <w:noProof/>
          <w:sz w:val="24"/>
          <w:szCs w:val="24"/>
        </w:rPr>
        <w:tab/>
        <w:t>33</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noProof/>
          <w:sz w:val="24"/>
          <w:szCs w:val="24"/>
        </w:rPr>
        <w:t>RCW 80.28.010</w:t>
      </w:r>
      <w:r w:rsidRPr="004657B6">
        <w:rPr>
          <w:rFonts w:ascii="Times New Roman" w:hAnsi="Times New Roman" w:cs="Times New Roman"/>
          <w:noProof/>
          <w:sz w:val="24"/>
          <w:szCs w:val="24"/>
        </w:rPr>
        <w:tab/>
        <w:t>3</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noProof/>
          <w:sz w:val="24"/>
          <w:szCs w:val="24"/>
        </w:rPr>
        <w:t>RCW 80.28.020</w:t>
      </w:r>
      <w:r w:rsidRPr="004657B6">
        <w:rPr>
          <w:rFonts w:ascii="Times New Roman" w:hAnsi="Times New Roman" w:cs="Times New Roman"/>
          <w:noProof/>
          <w:sz w:val="24"/>
          <w:szCs w:val="24"/>
        </w:rPr>
        <w:tab/>
        <w:t>3, 26</w:t>
      </w:r>
    </w:p>
    <w:p w:rsidR="003159A5" w:rsidRPr="004657B6" w:rsidRDefault="00FC60A1" w:rsidP="00445F09">
      <w:pPr>
        <w:pStyle w:val="TOAHeading"/>
        <w:tabs>
          <w:tab w:val="right" w:leader="dot" w:pos="9350"/>
        </w:tabs>
        <w:spacing w:after="240"/>
        <w:rPr>
          <w:rFonts w:ascii="Times New Roman" w:eastAsiaTheme="minorEastAsia" w:hAnsi="Times New Roman" w:cs="Times New Roman"/>
          <w:b w:val="0"/>
          <w:bCs w:val="0"/>
          <w:noProof/>
          <w:sz w:val="24"/>
          <w:szCs w:val="24"/>
        </w:rPr>
      </w:pPr>
      <w:r w:rsidRPr="004657B6">
        <w:rPr>
          <w:rFonts w:ascii="Times New Roman" w:hAnsi="Times New Roman" w:cs="Times New Roman"/>
          <w:b w:val="0"/>
          <w:sz w:val="24"/>
          <w:szCs w:val="24"/>
        </w:rPr>
        <w:fldChar w:fldCharType="end"/>
      </w:r>
      <w:r w:rsidRPr="004657B6">
        <w:rPr>
          <w:rFonts w:ascii="Times New Roman" w:hAnsi="Times New Roman" w:cs="Times New Roman"/>
          <w:b w:val="0"/>
          <w:sz w:val="24"/>
          <w:szCs w:val="24"/>
        </w:rPr>
        <w:fldChar w:fldCharType="begin"/>
      </w:r>
      <w:r w:rsidR="00EF71DF" w:rsidRPr="004657B6">
        <w:rPr>
          <w:rFonts w:ascii="Times New Roman" w:hAnsi="Times New Roman" w:cs="Times New Roman"/>
          <w:b w:val="0"/>
          <w:sz w:val="24"/>
          <w:szCs w:val="24"/>
        </w:rPr>
        <w:instrText xml:space="preserve"> TOA \h \c "4" \p </w:instrText>
      </w:r>
      <w:r w:rsidRPr="004657B6">
        <w:rPr>
          <w:rFonts w:ascii="Times New Roman" w:hAnsi="Times New Roman" w:cs="Times New Roman"/>
          <w:b w:val="0"/>
          <w:sz w:val="24"/>
          <w:szCs w:val="24"/>
        </w:rPr>
        <w:fldChar w:fldCharType="separate"/>
      </w:r>
      <w:r w:rsidR="003159A5" w:rsidRPr="004657B6">
        <w:rPr>
          <w:rFonts w:ascii="Times New Roman" w:hAnsi="Times New Roman" w:cs="Times New Roman"/>
          <w:noProof/>
          <w:sz w:val="24"/>
          <w:szCs w:val="24"/>
        </w:rPr>
        <w:t>Rules</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noProof/>
          <w:sz w:val="24"/>
          <w:szCs w:val="24"/>
        </w:rPr>
        <w:t>WAC 480-07-495</w:t>
      </w:r>
      <w:r w:rsidRPr="004657B6">
        <w:rPr>
          <w:rFonts w:ascii="Times New Roman" w:hAnsi="Times New Roman" w:cs="Times New Roman"/>
          <w:noProof/>
          <w:sz w:val="24"/>
          <w:szCs w:val="24"/>
        </w:rPr>
        <w:tab/>
        <w:t>34, 35, 48</w:t>
      </w:r>
    </w:p>
    <w:p w:rsidR="003159A5" w:rsidRPr="004657B6" w:rsidRDefault="00FC60A1" w:rsidP="00445F09">
      <w:pPr>
        <w:pStyle w:val="TOAHeading"/>
        <w:tabs>
          <w:tab w:val="right" w:leader="dot" w:pos="9350"/>
        </w:tabs>
        <w:spacing w:after="240"/>
        <w:rPr>
          <w:rFonts w:ascii="Times New Roman" w:eastAsiaTheme="minorEastAsia" w:hAnsi="Times New Roman" w:cs="Times New Roman"/>
          <w:b w:val="0"/>
          <w:bCs w:val="0"/>
          <w:noProof/>
          <w:sz w:val="24"/>
          <w:szCs w:val="24"/>
        </w:rPr>
      </w:pPr>
      <w:r w:rsidRPr="004657B6">
        <w:rPr>
          <w:rFonts w:ascii="Times New Roman" w:hAnsi="Times New Roman" w:cs="Times New Roman"/>
          <w:b w:val="0"/>
          <w:sz w:val="24"/>
          <w:szCs w:val="24"/>
        </w:rPr>
        <w:fldChar w:fldCharType="end"/>
      </w:r>
      <w:r w:rsidRPr="004657B6">
        <w:rPr>
          <w:rFonts w:ascii="Times New Roman" w:hAnsi="Times New Roman" w:cs="Times New Roman"/>
          <w:b w:val="0"/>
          <w:sz w:val="24"/>
          <w:szCs w:val="24"/>
        </w:rPr>
        <w:fldChar w:fldCharType="begin"/>
      </w:r>
      <w:r w:rsidR="00EF71DF" w:rsidRPr="004657B6">
        <w:rPr>
          <w:rFonts w:ascii="Times New Roman" w:hAnsi="Times New Roman" w:cs="Times New Roman"/>
          <w:b w:val="0"/>
          <w:sz w:val="24"/>
          <w:szCs w:val="24"/>
        </w:rPr>
        <w:instrText xml:space="preserve"> TOA \h \c "8" \p </w:instrText>
      </w:r>
      <w:r w:rsidRPr="004657B6">
        <w:rPr>
          <w:rFonts w:ascii="Times New Roman" w:hAnsi="Times New Roman" w:cs="Times New Roman"/>
          <w:b w:val="0"/>
          <w:sz w:val="24"/>
          <w:szCs w:val="24"/>
        </w:rPr>
        <w:fldChar w:fldCharType="separate"/>
      </w:r>
      <w:r w:rsidR="003159A5" w:rsidRPr="004657B6">
        <w:rPr>
          <w:rFonts w:ascii="Times New Roman" w:hAnsi="Times New Roman" w:cs="Times New Roman"/>
          <w:noProof/>
          <w:sz w:val="24"/>
          <w:szCs w:val="24"/>
        </w:rPr>
        <w:t>Washington Utilities and Transportation Commission Orders</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Application of MidAmerican Energy Holdings Co. and PacifiCorp for an Order Authorizing Proposed Transaction</w:t>
      </w:r>
      <w:r w:rsidRPr="004657B6">
        <w:rPr>
          <w:rFonts w:ascii="Times New Roman" w:hAnsi="Times New Roman" w:cs="Times New Roman"/>
          <w:noProof/>
          <w:sz w:val="24"/>
          <w:szCs w:val="24"/>
        </w:rPr>
        <w:t>, Docket UE-051090, Order 8 (Mar. 10, 2006)</w:t>
      </w:r>
      <w:r w:rsidRPr="004657B6">
        <w:rPr>
          <w:rFonts w:ascii="Times New Roman" w:hAnsi="Times New Roman" w:cs="Times New Roman"/>
          <w:noProof/>
          <w:sz w:val="24"/>
          <w:szCs w:val="24"/>
        </w:rPr>
        <w:tab/>
        <w:t>56</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In re PacifiCorp</w:t>
      </w:r>
      <w:r w:rsidRPr="004657B6">
        <w:rPr>
          <w:rFonts w:ascii="Times New Roman" w:hAnsi="Times New Roman" w:cs="Times New Roman"/>
          <w:noProof/>
          <w:sz w:val="24"/>
          <w:szCs w:val="24"/>
        </w:rPr>
        <w:t>, Docket UE-020417 (July 15, 2003)</w:t>
      </w:r>
      <w:r w:rsidRPr="004657B6">
        <w:rPr>
          <w:rFonts w:ascii="Times New Roman" w:hAnsi="Times New Roman" w:cs="Times New Roman"/>
          <w:noProof/>
          <w:sz w:val="24"/>
          <w:szCs w:val="24"/>
        </w:rPr>
        <w:tab/>
        <w:t>26</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Petition of Puget Sound Energy, Inc.</w:t>
      </w:r>
      <w:r w:rsidRPr="004657B6">
        <w:rPr>
          <w:rFonts w:ascii="Times New Roman" w:hAnsi="Times New Roman" w:cs="Times New Roman"/>
          <w:noProof/>
          <w:sz w:val="24"/>
          <w:szCs w:val="24"/>
        </w:rPr>
        <w:t>, Docket UE-070725, Order 3 (May 20, 2010)</w:t>
      </w:r>
      <w:r w:rsidRPr="004657B6">
        <w:rPr>
          <w:rFonts w:ascii="Times New Roman" w:hAnsi="Times New Roman" w:cs="Times New Roman"/>
          <w:noProof/>
          <w:sz w:val="24"/>
          <w:szCs w:val="24"/>
        </w:rPr>
        <w:tab/>
        <w:t>25, 26</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Puget Sound Energy</w:t>
      </w:r>
      <w:r w:rsidRPr="004657B6">
        <w:rPr>
          <w:rFonts w:ascii="Times New Roman" w:hAnsi="Times New Roman" w:cs="Times New Roman"/>
          <w:noProof/>
          <w:sz w:val="24"/>
          <w:szCs w:val="24"/>
        </w:rPr>
        <w:t>, Docket UE-010410, Order Denying Petition to Amend Accounting Order (Nov. 9, 2001)</w:t>
      </w:r>
      <w:r w:rsidRPr="004657B6">
        <w:rPr>
          <w:rFonts w:ascii="Times New Roman" w:hAnsi="Times New Roman" w:cs="Times New Roman"/>
          <w:noProof/>
          <w:sz w:val="24"/>
          <w:szCs w:val="24"/>
        </w:rPr>
        <w:tab/>
        <w:t>26</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Wash. Utils. &amp; Transp. Comm’n v. PacifiCorp</w:t>
      </w:r>
      <w:r w:rsidRPr="004657B6">
        <w:rPr>
          <w:rFonts w:ascii="Times New Roman" w:hAnsi="Times New Roman" w:cs="Times New Roman"/>
          <w:noProof/>
          <w:sz w:val="24"/>
          <w:szCs w:val="24"/>
        </w:rPr>
        <w:t>, Docket UE-061546, Order 8 (June 21, 2007)</w:t>
      </w:r>
      <w:r w:rsidRPr="004657B6">
        <w:rPr>
          <w:rFonts w:ascii="Times New Roman" w:hAnsi="Times New Roman" w:cs="Times New Roman"/>
          <w:noProof/>
          <w:sz w:val="24"/>
          <w:szCs w:val="24"/>
        </w:rPr>
        <w:tab/>
        <w:t>passim</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Wash. Utils. &amp; Transp. Comm’n v. PacifiCorp</w:t>
      </w:r>
      <w:r w:rsidRPr="004657B6">
        <w:rPr>
          <w:rFonts w:ascii="Times New Roman" w:hAnsi="Times New Roman" w:cs="Times New Roman"/>
          <w:noProof/>
          <w:sz w:val="24"/>
          <w:szCs w:val="24"/>
        </w:rPr>
        <w:t>, Docket UE-090704, Order 10 (January 8, 2010).</w:t>
      </w:r>
      <w:r w:rsidRPr="004657B6">
        <w:rPr>
          <w:rFonts w:ascii="Times New Roman" w:hAnsi="Times New Roman" w:cs="Times New Roman"/>
          <w:noProof/>
          <w:sz w:val="24"/>
          <w:szCs w:val="24"/>
        </w:rPr>
        <w:tab/>
        <w:t>27</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lastRenderedPageBreak/>
        <w:t>Wash. Utils. &amp; Transp. Comm’n v. PacifiCorp</w:t>
      </w:r>
      <w:r w:rsidRPr="004657B6">
        <w:rPr>
          <w:rFonts w:ascii="Times New Roman" w:hAnsi="Times New Roman" w:cs="Times New Roman"/>
          <w:noProof/>
          <w:sz w:val="24"/>
          <w:szCs w:val="24"/>
        </w:rPr>
        <w:t>,</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Order 1, Docket UE 100749 (May 12, 2010)</w:t>
      </w:r>
      <w:r w:rsidRPr="004657B6">
        <w:rPr>
          <w:rFonts w:ascii="Times New Roman" w:hAnsi="Times New Roman" w:cs="Times New Roman"/>
          <w:noProof/>
          <w:sz w:val="24"/>
          <w:szCs w:val="24"/>
        </w:rPr>
        <w:tab/>
        <w:t>1</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Wash. Utils. &amp; Transp. Comm’n v. Puget Sound Power &amp; Light Co.</w:t>
      </w:r>
      <w:r w:rsidRPr="004657B6">
        <w:rPr>
          <w:rFonts w:ascii="Times New Roman" w:hAnsi="Times New Roman" w:cs="Times New Roman"/>
          <w:noProof/>
          <w:sz w:val="24"/>
          <w:szCs w:val="24"/>
        </w:rPr>
        <w:t>, Docket UE-920499, 9</w:t>
      </w:r>
      <w:r w:rsidRPr="004657B6">
        <w:rPr>
          <w:rFonts w:ascii="Times New Roman" w:hAnsi="Times New Roman" w:cs="Times New Roman"/>
          <w:noProof/>
          <w:sz w:val="24"/>
          <w:szCs w:val="24"/>
          <w:vertAlign w:val="superscript"/>
        </w:rPr>
        <w:t>th</w:t>
      </w:r>
      <w:r w:rsidRPr="004657B6">
        <w:rPr>
          <w:rFonts w:ascii="Times New Roman" w:hAnsi="Times New Roman" w:cs="Times New Roman"/>
          <w:noProof/>
          <w:sz w:val="24"/>
          <w:szCs w:val="24"/>
        </w:rPr>
        <w:t xml:space="preserve"> Supp. Order on Rate Design Issues (Aug. 17, 1993)</w:t>
      </w:r>
      <w:r w:rsidRPr="004657B6">
        <w:rPr>
          <w:rFonts w:ascii="Times New Roman" w:hAnsi="Times New Roman" w:cs="Times New Roman"/>
          <w:noProof/>
          <w:sz w:val="24"/>
          <w:szCs w:val="24"/>
        </w:rPr>
        <w:tab/>
        <w:t>59</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Wash. Utils. &amp; Transp. Comm’n v. Wash. Natural Gas Co.</w:t>
      </w:r>
      <w:r w:rsidRPr="004657B6">
        <w:rPr>
          <w:rFonts w:ascii="Times New Roman" w:hAnsi="Times New Roman" w:cs="Times New Roman"/>
          <w:noProof/>
          <w:sz w:val="24"/>
          <w:szCs w:val="24"/>
        </w:rPr>
        <w:t>, Docket No. UG-920840, Fourth Suppl. Order (Sept. 27, 1993)</w:t>
      </w:r>
      <w:r w:rsidRPr="004657B6">
        <w:rPr>
          <w:rFonts w:ascii="Times New Roman" w:hAnsi="Times New Roman" w:cs="Times New Roman"/>
          <w:noProof/>
          <w:sz w:val="24"/>
          <w:szCs w:val="24"/>
        </w:rPr>
        <w:tab/>
        <w:t>52, 55</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Avista Corp.</w:t>
      </w:r>
      <w:r w:rsidRPr="004657B6">
        <w:rPr>
          <w:rFonts w:ascii="Times New Roman" w:hAnsi="Times New Roman" w:cs="Times New Roman"/>
          <w:noProof/>
          <w:sz w:val="24"/>
          <w:szCs w:val="24"/>
        </w:rPr>
        <w:t xml:space="preserve">, </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Docket UE-100467, Order 07 (Nov. 19, 2010)</w:t>
      </w:r>
      <w:r w:rsidRPr="004657B6">
        <w:rPr>
          <w:rFonts w:ascii="Times New Roman" w:hAnsi="Times New Roman" w:cs="Times New Roman"/>
          <w:noProof/>
          <w:sz w:val="24"/>
          <w:szCs w:val="24"/>
        </w:rPr>
        <w:tab/>
        <w:t>9, 21</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Avista Corp.</w:t>
      </w:r>
      <w:r w:rsidRPr="004657B6">
        <w:rPr>
          <w:rFonts w:ascii="Times New Roman" w:hAnsi="Times New Roman" w:cs="Times New Roman"/>
          <w:noProof/>
          <w:sz w:val="24"/>
          <w:szCs w:val="24"/>
        </w:rPr>
        <w:t xml:space="preserve">, Docket Nos. UE-991606, </w:t>
      </w:r>
      <w:r w:rsidRPr="004657B6">
        <w:rPr>
          <w:rFonts w:ascii="Times New Roman" w:hAnsi="Times New Roman" w:cs="Times New Roman"/>
          <w:i/>
          <w:noProof/>
          <w:sz w:val="24"/>
          <w:szCs w:val="24"/>
        </w:rPr>
        <w:t>et al.</w:t>
      </w:r>
      <w:r w:rsidRPr="004657B6">
        <w:rPr>
          <w:rFonts w:ascii="Times New Roman" w:hAnsi="Times New Roman" w:cs="Times New Roman"/>
          <w:noProof/>
          <w:sz w:val="24"/>
          <w:szCs w:val="24"/>
        </w:rPr>
        <w:t>, Third Supp. Order (2000)</w:t>
      </w:r>
      <w:r w:rsidRPr="004657B6">
        <w:rPr>
          <w:rFonts w:ascii="Times New Roman" w:hAnsi="Times New Roman" w:cs="Times New Roman"/>
          <w:noProof/>
          <w:sz w:val="24"/>
          <w:szCs w:val="24"/>
        </w:rPr>
        <w:tab/>
        <w:t>3</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Avista Corp.</w:t>
      </w:r>
      <w:r w:rsidRPr="004657B6">
        <w:rPr>
          <w:rFonts w:ascii="Times New Roman" w:hAnsi="Times New Roman" w:cs="Times New Roman"/>
          <w:noProof/>
          <w:sz w:val="24"/>
          <w:szCs w:val="24"/>
        </w:rPr>
        <w:t>,</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Docket UE-050482, Order 05 (Dec. 21, 2005)</w:t>
      </w:r>
      <w:r w:rsidRPr="004657B6">
        <w:rPr>
          <w:rFonts w:ascii="Times New Roman" w:hAnsi="Times New Roman" w:cs="Times New Roman"/>
          <w:noProof/>
          <w:sz w:val="24"/>
          <w:szCs w:val="24"/>
        </w:rPr>
        <w:tab/>
        <w:t>9, 13, 38</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Avista Corp.</w:t>
      </w:r>
      <w:r w:rsidRPr="004657B6">
        <w:rPr>
          <w:rFonts w:ascii="Times New Roman" w:hAnsi="Times New Roman" w:cs="Times New Roman"/>
          <w:noProof/>
          <w:sz w:val="24"/>
          <w:szCs w:val="24"/>
        </w:rPr>
        <w:t>, Docket UE-080416, Order 08 (Dec. 29, 2008)</w:t>
      </w:r>
      <w:r w:rsidRPr="004657B6">
        <w:rPr>
          <w:rFonts w:ascii="Times New Roman" w:hAnsi="Times New Roman" w:cs="Times New Roman"/>
          <w:noProof/>
          <w:sz w:val="24"/>
          <w:szCs w:val="24"/>
        </w:rPr>
        <w:tab/>
        <w:t>10</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Avista Corp.</w:t>
      </w:r>
      <w:r w:rsidRPr="004657B6">
        <w:rPr>
          <w:rFonts w:ascii="Times New Roman" w:hAnsi="Times New Roman" w:cs="Times New Roman"/>
          <w:noProof/>
          <w:sz w:val="24"/>
          <w:szCs w:val="24"/>
        </w:rPr>
        <w:t>,</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Docket UE-090134, Order 10 (Dec. 22, 2009)</w:t>
      </w:r>
      <w:r w:rsidRPr="004657B6">
        <w:rPr>
          <w:rFonts w:ascii="Times New Roman" w:hAnsi="Times New Roman" w:cs="Times New Roman"/>
          <w:noProof/>
          <w:sz w:val="24"/>
          <w:szCs w:val="24"/>
        </w:rPr>
        <w:tab/>
        <w:t>10, 46, 53, 54</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PacifiCorp</w:t>
      </w:r>
      <w:r w:rsidRPr="004657B6">
        <w:rPr>
          <w:rFonts w:ascii="Times New Roman" w:hAnsi="Times New Roman" w:cs="Times New Roman"/>
          <w:noProof/>
          <w:sz w:val="24"/>
          <w:szCs w:val="24"/>
        </w:rPr>
        <w:t>, Docket UE-050684, Order 04 (Apr. 17, 2006)</w:t>
      </w:r>
      <w:r w:rsidRPr="004657B6">
        <w:rPr>
          <w:rFonts w:ascii="Times New Roman" w:hAnsi="Times New Roman" w:cs="Times New Roman"/>
          <w:noProof/>
          <w:sz w:val="24"/>
          <w:szCs w:val="24"/>
        </w:rPr>
        <w:tab/>
        <w:t>passim</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PacifiCorp</w:t>
      </w:r>
      <w:r w:rsidRPr="004657B6">
        <w:rPr>
          <w:rFonts w:ascii="Times New Roman" w:hAnsi="Times New Roman" w:cs="Times New Roman"/>
          <w:noProof/>
          <w:sz w:val="24"/>
          <w:szCs w:val="24"/>
        </w:rPr>
        <w:t>, Docket UE-090205 Order 09 (Dec. 16, 2009)</w:t>
      </w:r>
      <w:r w:rsidRPr="004657B6">
        <w:rPr>
          <w:rFonts w:ascii="Times New Roman" w:hAnsi="Times New Roman" w:cs="Times New Roman"/>
          <w:noProof/>
          <w:sz w:val="24"/>
          <w:szCs w:val="24"/>
        </w:rPr>
        <w:tab/>
        <w:t>10, 23, 44</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Puget Sound Energy</w:t>
      </w:r>
      <w:r w:rsidRPr="004657B6">
        <w:rPr>
          <w:rFonts w:ascii="Times New Roman" w:hAnsi="Times New Roman" w:cs="Times New Roman"/>
          <w:noProof/>
          <w:sz w:val="24"/>
          <w:szCs w:val="24"/>
        </w:rPr>
        <w:t>,</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Docket UE-040641, Order 06 (Feb. 18, 2005)</w:t>
      </w:r>
      <w:r w:rsidRPr="004657B6">
        <w:rPr>
          <w:rFonts w:ascii="Times New Roman" w:hAnsi="Times New Roman" w:cs="Times New Roman"/>
          <w:noProof/>
          <w:sz w:val="24"/>
          <w:szCs w:val="24"/>
        </w:rPr>
        <w:tab/>
        <w:t>10, 13</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Puget Sound Energy</w:t>
      </w:r>
      <w:r w:rsidRPr="004657B6">
        <w:rPr>
          <w:rFonts w:ascii="Times New Roman" w:hAnsi="Times New Roman" w:cs="Times New Roman"/>
          <w:noProof/>
          <w:sz w:val="24"/>
          <w:szCs w:val="24"/>
        </w:rPr>
        <w:t>, Docket UE-060266, Order 08 (Jan. 5, 2007)</w:t>
      </w:r>
      <w:r w:rsidRPr="004657B6">
        <w:rPr>
          <w:rFonts w:ascii="Times New Roman" w:hAnsi="Times New Roman" w:cs="Times New Roman"/>
          <w:noProof/>
          <w:sz w:val="24"/>
          <w:szCs w:val="24"/>
        </w:rPr>
        <w:tab/>
        <w:t>5, 10, 13</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Puget Sound Energy</w:t>
      </w:r>
      <w:r w:rsidRPr="004657B6">
        <w:rPr>
          <w:rFonts w:ascii="Times New Roman" w:hAnsi="Times New Roman" w:cs="Times New Roman"/>
          <w:noProof/>
          <w:sz w:val="24"/>
          <w:szCs w:val="24"/>
        </w:rPr>
        <w:t>, Docket UE-072300, Order 12  (Oct. 8, 2008)</w:t>
      </w:r>
      <w:r w:rsidRPr="004657B6">
        <w:rPr>
          <w:rFonts w:ascii="Times New Roman" w:hAnsi="Times New Roman" w:cs="Times New Roman"/>
          <w:noProof/>
          <w:sz w:val="24"/>
          <w:szCs w:val="24"/>
        </w:rPr>
        <w:tab/>
        <w:t>10</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iCs/>
          <w:noProof/>
          <w:sz w:val="24"/>
          <w:szCs w:val="24"/>
        </w:rPr>
        <w:t>Wash. Utils. &amp; Transp. Comm'n</w:t>
      </w:r>
      <w:r w:rsidRPr="004657B6">
        <w:rPr>
          <w:rFonts w:ascii="Times New Roman" w:hAnsi="Times New Roman" w:cs="Times New Roman"/>
          <w:i/>
          <w:noProof/>
          <w:sz w:val="24"/>
          <w:szCs w:val="24"/>
        </w:rPr>
        <w:t xml:space="preserve"> v. Puget Sound Energy</w:t>
      </w:r>
      <w:r w:rsidRPr="004657B6">
        <w:rPr>
          <w:rFonts w:ascii="Times New Roman" w:hAnsi="Times New Roman" w:cs="Times New Roman"/>
          <w:noProof/>
          <w:sz w:val="24"/>
          <w:szCs w:val="24"/>
        </w:rPr>
        <w:t>, Docket UE-090704, Order 11 (Apr. 2, 2010)</w:t>
      </w:r>
      <w:r w:rsidRPr="004657B6">
        <w:rPr>
          <w:rFonts w:ascii="Times New Roman" w:hAnsi="Times New Roman" w:cs="Times New Roman"/>
          <w:noProof/>
          <w:sz w:val="24"/>
          <w:szCs w:val="24"/>
        </w:rPr>
        <w:tab/>
        <w:t>passim</w:t>
      </w:r>
    </w:p>
    <w:p w:rsidR="003159A5" w:rsidRPr="004657B6" w:rsidRDefault="00FC60A1" w:rsidP="00445F09">
      <w:pPr>
        <w:pStyle w:val="TOAHeading"/>
        <w:tabs>
          <w:tab w:val="right" w:leader="dot" w:pos="9350"/>
        </w:tabs>
        <w:spacing w:after="240"/>
        <w:rPr>
          <w:rFonts w:ascii="Times New Roman" w:eastAsiaTheme="minorEastAsia" w:hAnsi="Times New Roman" w:cs="Times New Roman"/>
          <w:b w:val="0"/>
          <w:bCs w:val="0"/>
          <w:noProof/>
          <w:sz w:val="24"/>
          <w:szCs w:val="24"/>
        </w:rPr>
      </w:pPr>
      <w:r w:rsidRPr="004657B6">
        <w:rPr>
          <w:rFonts w:ascii="Times New Roman" w:hAnsi="Times New Roman" w:cs="Times New Roman"/>
          <w:b w:val="0"/>
          <w:sz w:val="24"/>
          <w:szCs w:val="24"/>
        </w:rPr>
        <w:fldChar w:fldCharType="end"/>
      </w:r>
      <w:r w:rsidRPr="00FC60A1">
        <w:rPr>
          <w:rFonts w:ascii="Times New Roman" w:hAnsi="Times New Roman" w:cs="Times New Roman"/>
          <w:b w:val="0"/>
          <w:sz w:val="24"/>
          <w:szCs w:val="24"/>
        </w:rPr>
        <w:fldChar w:fldCharType="begin"/>
      </w:r>
      <w:r w:rsidR="00EF71DF" w:rsidRPr="004657B6">
        <w:rPr>
          <w:rFonts w:ascii="Times New Roman" w:hAnsi="Times New Roman" w:cs="Times New Roman"/>
          <w:b w:val="0"/>
          <w:sz w:val="24"/>
          <w:szCs w:val="24"/>
        </w:rPr>
        <w:instrText xml:space="preserve"> TOA \h \c "9" \p </w:instrText>
      </w:r>
      <w:r w:rsidRPr="00FC60A1">
        <w:rPr>
          <w:rFonts w:ascii="Times New Roman" w:hAnsi="Times New Roman" w:cs="Times New Roman"/>
          <w:b w:val="0"/>
          <w:sz w:val="24"/>
          <w:szCs w:val="24"/>
        </w:rPr>
        <w:fldChar w:fldCharType="separate"/>
      </w:r>
      <w:r w:rsidR="003159A5" w:rsidRPr="004657B6">
        <w:rPr>
          <w:rFonts w:ascii="Times New Roman" w:hAnsi="Times New Roman" w:cs="Times New Roman"/>
          <w:noProof/>
          <w:sz w:val="24"/>
          <w:szCs w:val="24"/>
        </w:rPr>
        <w:t>Other Orders</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Application of Rocky Mountain Power for Authority to Increase its Retail Electric Utility Service Rates in Utah</w:t>
      </w:r>
      <w:r w:rsidRPr="004657B6">
        <w:rPr>
          <w:rFonts w:ascii="Times New Roman" w:hAnsi="Times New Roman" w:cs="Times New Roman"/>
          <w:noProof/>
          <w:sz w:val="24"/>
          <w:szCs w:val="24"/>
        </w:rPr>
        <w:t>,</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Utah PSC Docket 09-035-23, Order (Feb. 18, 2010)</w:t>
      </w:r>
      <w:r w:rsidRPr="004657B6">
        <w:rPr>
          <w:rFonts w:ascii="Times New Roman" w:hAnsi="Times New Roman" w:cs="Times New Roman"/>
          <w:noProof/>
          <w:sz w:val="24"/>
          <w:szCs w:val="24"/>
        </w:rPr>
        <w:tab/>
        <w:t>35</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t>PacifiCorp 2011 Transition Adjustment Mechanism</w:t>
      </w:r>
      <w:r w:rsidRPr="004657B6">
        <w:rPr>
          <w:rFonts w:ascii="Times New Roman" w:hAnsi="Times New Roman" w:cs="Times New Roman"/>
          <w:noProof/>
          <w:sz w:val="24"/>
          <w:szCs w:val="24"/>
        </w:rPr>
        <w:t>, Oregon PUC Docket UE 216,</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Order No. 10-363 (Sept. 16, 2010)</w:t>
      </w:r>
      <w:r w:rsidRPr="004657B6">
        <w:rPr>
          <w:rFonts w:ascii="Times New Roman" w:hAnsi="Times New Roman" w:cs="Times New Roman"/>
          <w:noProof/>
          <w:sz w:val="24"/>
          <w:szCs w:val="24"/>
        </w:rPr>
        <w:tab/>
        <w:t>35</w:t>
      </w:r>
    </w:p>
    <w:p w:rsidR="003159A5" w:rsidRPr="004657B6" w:rsidRDefault="003159A5" w:rsidP="00445F09">
      <w:pPr>
        <w:pStyle w:val="TableofAuthorities"/>
        <w:tabs>
          <w:tab w:val="right" w:leader="dot" w:pos="9350"/>
        </w:tabs>
        <w:spacing w:after="240"/>
        <w:rPr>
          <w:rFonts w:ascii="Times New Roman" w:hAnsi="Times New Roman" w:cs="Times New Roman"/>
          <w:noProof/>
          <w:sz w:val="24"/>
          <w:szCs w:val="24"/>
        </w:rPr>
      </w:pPr>
      <w:r w:rsidRPr="004657B6">
        <w:rPr>
          <w:rFonts w:ascii="Times New Roman" w:hAnsi="Times New Roman" w:cs="Times New Roman"/>
          <w:i/>
          <w:noProof/>
          <w:sz w:val="24"/>
          <w:szCs w:val="24"/>
        </w:rPr>
        <w:lastRenderedPageBreak/>
        <w:t>Westar Energy, Inc.</w:t>
      </w:r>
      <w:r w:rsidRPr="004657B6">
        <w:rPr>
          <w:rFonts w:ascii="Times New Roman" w:hAnsi="Times New Roman" w:cs="Times New Roman"/>
          <w:noProof/>
          <w:sz w:val="24"/>
          <w:szCs w:val="24"/>
        </w:rPr>
        <w:t>, Docket No. ER09-1273-000,</w:t>
      </w:r>
      <w:r w:rsidRPr="004657B6">
        <w:rPr>
          <w:rFonts w:ascii="Times New Roman" w:hAnsi="Times New Roman" w:cs="Times New Roman"/>
          <w:i/>
          <w:noProof/>
          <w:sz w:val="24"/>
          <w:szCs w:val="24"/>
        </w:rPr>
        <w:t xml:space="preserve"> </w:t>
      </w:r>
      <w:r w:rsidRPr="004657B6">
        <w:rPr>
          <w:rFonts w:ascii="Times New Roman" w:hAnsi="Times New Roman" w:cs="Times New Roman"/>
          <w:noProof/>
          <w:sz w:val="24"/>
          <w:szCs w:val="24"/>
        </w:rPr>
        <w:t>130 FERC (Mar. 18, 2010)</w:t>
      </w:r>
      <w:r w:rsidRPr="004657B6">
        <w:rPr>
          <w:rFonts w:ascii="Times New Roman" w:hAnsi="Times New Roman" w:cs="Times New Roman"/>
          <w:noProof/>
          <w:sz w:val="24"/>
          <w:szCs w:val="24"/>
        </w:rPr>
        <w:tab/>
        <w:t>34</w:t>
      </w:r>
    </w:p>
    <w:p w:rsidR="00973298" w:rsidRDefault="00FC60A1" w:rsidP="00445F09">
      <w:pPr>
        <w:pStyle w:val="ListParagraph"/>
        <w:widowControl w:val="0"/>
        <w:spacing w:after="240"/>
        <w:ind w:left="0"/>
        <w:jc w:val="center"/>
        <w:rPr>
          <w:rFonts w:ascii="Times New Roman" w:hAnsi="Times New Roman"/>
          <w:b/>
        </w:rPr>
      </w:pPr>
      <w:r w:rsidRPr="004657B6">
        <w:rPr>
          <w:rFonts w:ascii="Times New Roman" w:hAnsi="Times New Roman"/>
          <w:b/>
          <w:szCs w:val="24"/>
        </w:rPr>
        <w:fldChar w:fldCharType="end"/>
      </w:r>
    </w:p>
    <w:p w:rsidR="00211FD1" w:rsidRDefault="00211FD1" w:rsidP="0023523C">
      <w:pPr>
        <w:widowControl w:val="0"/>
        <w:spacing w:after="240"/>
        <w:sectPr w:rsidR="00211FD1" w:rsidSect="00235F14">
          <w:footerReference w:type="default" r:id="rId9"/>
          <w:pgSz w:w="12240" w:h="15840"/>
          <w:pgMar w:top="1440" w:right="1440" w:bottom="1440" w:left="1440" w:header="720" w:footer="720" w:gutter="0"/>
          <w:pgNumType w:fmt="lowerRoman" w:start="1"/>
          <w:cols w:space="720"/>
          <w:docGrid w:linePitch="360"/>
        </w:sectPr>
      </w:pPr>
    </w:p>
    <w:p w:rsidR="00973298" w:rsidRDefault="002E098B">
      <w:pPr>
        <w:widowControl w:val="0"/>
        <w:spacing w:after="240"/>
        <w:jc w:val="center"/>
        <w:rPr>
          <w:rFonts w:ascii="Times New Roman" w:hAnsi="Times New Roman"/>
          <w:b/>
        </w:rPr>
      </w:pPr>
      <w:r w:rsidRPr="00FA5870">
        <w:rPr>
          <w:rFonts w:ascii="Times New Roman" w:hAnsi="Times New Roman"/>
          <w:b/>
        </w:rPr>
        <w:lastRenderedPageBreak/>
        <w:t>I.</w:t>
      </w:r>
      <w:r w:rsidRPr="00FA5870">
        <w:rPr>
          <w:rFonts w:ascii="Times New Roman" w:hAnsi="Times New Roman"/>
          <w:b/>
        </w:rPr>
        <w:tab/>
        <w:t>INTRODUCTION</w:t>
      </w:r>
    </w:p>
    <w:p w:rsidR="00973298" w:rsidRDefault="002E098B">
      <w:pPr>
        <w:pStyle w:val="ListParagraph"/>
        <w:widowControl w:val="0"/>
        <w:numPr>
          <w:ilvl w:val="0"/>
          <w:numId w:val="12"/>
        </w:numPr>
        <w:tabs>
          <w:tab w:val="clear" w:pos="1440"/>
          <w:tab w:val="num" w:pos="720"/>
        </w:tabs>
        <w:spacing w:line="480" w:lineRule="auto"/>
        <w:ind w:left="0"/>
      </w:pPr>
      <w:r>
        <w:tab/>
        <w:t>PacifiCorp d/b/a Pacific Power (or the Company) respectfully requests that the Washington Utilities and Transportation Commission (Commission) grant the Company’s request for a revenue increase of approximately $47.7 million, or 17.6%</w:t>
      </w:r>
      <w:r w:rsidR="000958E3">
        <w:rPr>
          <w:rStyle w:val="FootnoteReference"/>
        </w:rPr>
        <w:footnoteReference w:id="1"/>
      </w:r>
      <w:r>
        <w:t xml:space="preserve"> on an overall basis, effective April 3, 2011.</w:t>
      </w:r>
      <w:r>
        <w:rPr>
          <w:rStyle w:val="FootnoteReference"/>
        </w:rPr>
        <w:footnoteReference w:id="2"/>
      </w:r>
      <w:r>
        <w:t xml:space="preserve">  This </w:t>
      </w:r>
      <w:r w:rsidR="006603EB">
        <w:t xml:space="preserve">compares to </w:t>
      </w:r>
      <w:r>
        <w:t>the Company’s initial filing</w:t>
      </w:r>
      <w:r w:rsidR="006603EB">
        <w:t xml:space="preserve"> of $56.7 million</w:t>
      </w:r>
      <w:r>
        <w:t>, reflecting adjustments in the Company’s rebuttal filing</w:t>
      </w:r>
      <w:r>
        <w:rPr>
          <w:rStyle w:val="FootnoteReference"/>
        </w:rPr>
        <w:footnoteReference w:id="3"/>
      </w:r>
      <w:r>
        <w:t xml:space="preserve"> </w:t>
      </w:r>
      <w:r w:rsidR="000958E3">
        <w:t>reducing the requested revenue increase by $8.2 million</w:t>
      </w:r>
      <w:r w:rsidR="006603EB">
        <w:t xml:space="preserve">, </w:t>
      </w:r>
      <w:r>
        <w:t>and in the Company’s response to Bench Request 3</w:t>
      </w:r>
      <w:r w:rsidR="000958E3">
        <w:t>,</w:t>
      </w:r>
      <w:r w:rsidR="007079B1">
        <w:rPr>
          <w:rStyle w:val="FootnoteReference"/>
        </w:rPr>
        <w:footnoteReference w:id="4"/>
      </w:r>
      <w:r w:rsidR="009C1356">
        <w:t xml:space="preserve"> </w:t>
      </w:r>
      <w:r w:rsidR="000958E3">
        <w:t xml:space="preserve">further reducing the requested increase by approximately $750,000.  </w:t>
      </w:r>
      <w:r>
        <w:t xml:space="preserve">  </w:t>
      </w:r>
    </w:p>
    <w:p w:rsidR="00973298" w:rsidRDefault="002E098B">
      <w:pPr>
        <w:pStyle w:val="ListParagraph"/>
        <w:widowControl w:val="0"/>
        <w:numPr>
          <w:ilvl w:val="0"/>
          <w:numId w:val="12"/>
        </w:numPr>
        <w:tabs>
          <w:tab w:val="clear" w:pos="1440"/>
          <w:tab w:val="num" w:pos="720"/>
        </w:tabs>
        <w:spacing w:line="480" w:lineRule="auto"/>
        <w:ind w:left="0"/>
      </w:pPr>
      <w:r>
        <w:tab/>
        <w:t xml:space="preserve">There are three key factors underlying the revenue increase requested in this case.  First, </w:t>
      </w:r>
      <w:r w:rsidR="00DF315C">
        <w:t>net power costs (</w:t>
      </w:r>
      <w:r>
        <w:t>NPC</w:t>
      </w:r>
      <w:r w:rsidR="00DF315C">
        <w:t>)</w:t>
      </w:r>
      <w:r>
        <w:t xml:space="preserve"> in the Company’s West Control Area </w:t>
      </w:r>
      <w:r w:rsidR="006603EB">
        <w:t xml:space="preserve">(WCA) </w:t>
      </w:r>
      <w:r>
        <w:t>have increased, driven primarily by the expiration of several below-market legacy contracts.</w:t>
      </w:r>
      <w:r>
        <w:rPr>
          <w:rStyle w:val="FootnoteReference"/>
        </w:rPr>
        <w:footnoteReference w:id="5"/>
      </w:r>
      <w:r>
        <w:t xml:space="preserve">  NPC in this case reflect replacement of these low-cost contracts at current market prices.</w:t>
      </w:r>
      <w:r>
        <w:rPr>
          <w:rStyle w:val="FootnoteReference"/>
        </w:rPr>
        <w:footnoteReference w:id="6"/>
      </w:r>
      <w:r>
        <w:t xml:space="preserve">  Second, while the case does not include major resource additions, it reflects significant infrastructure investments necessary to maintain system safety and reliability.</w:t>
      </w:r>
      <w:r>
        <w:rPr>
          <w:rStyle w:val="FootnoteReference"/>
        </w:rPr>
        <w:footnoteReference w:id="7"/>
      </w:r>
      <w:r>
        <w:t xml:space="preserve">  Third, </w:t>
      </w:r>
      <w:r w:rsidR="006603EB">
        <w:t xml:space="preserve">the revenue requirement increase in this case reflects </w:t>
      </w:r>
      <w:r>
        <w:t xml:space="preserve">under-recovery of costs </w:t>
      </w:r>
      <w:r w:rsidR="006603EB">
        <w:t>in the 2009 historic period</w:t>
      </w:r>
      <w:r>
        <w:t>.</w:t>
      </w:r>
      <w:r>
        <w:rPr>
          <w:rStyle w:val="FootnoteReference"/>
        </w:rPr>
        <w:footnoteReference w:id="8"/>
      </w:r>
      <w:r w:rsidR="006603EB">
        <w:t xml:space="preserve"> </w:t>
      </w:r>
      <w:r w:rsidR="004356C4">
        <w:t xml:space="preserve"> </w:t>
      </w:r>
      <w:r w:rsidR="006603EB">
        <w:t>Revenues in the base period include a pro forma adjustment that reflects the rate increase from the Company’s last rate case.  However, even with this adjustment, the Company’s revenues are insufficient to cover its test period costs.</w:t>
      </w:r>
      <w:r w:rsidR="00B02559">
        <w:rPr>
          <w:rStyle w:val="FootnoteReference"/>
        </w:rPr>
        <w:footnoteReference w:id="9"/>
      </w:r>
      <w:r w:rsidR="008D07B7">
        <w:t xml:space="preserve">  </w:t>
      </w:r>
      <w:r>
        <w:t xml:space="preserve">The Company’s request to increase its return on equity (ROE) from 10.2% to </w:t>
      </w:r>
      <w:r>
        <w:lastRenderedPageBreak/>
        <w:t>10.6% comprises approximately $2.5 million of the proposed increase;</w:t>
      </w:r>
      <w:r>
        <w:rPr>
          <w:rStyle w:val="FootnoteReference"/>
        </w:rPr>
        <w:footnoteReference w:id="10"/>
      </w:r>
      <w:r>
        <w:t xml:space="preserve"> in contrast, NPC have increased by $</w:t>
      </w:r>
      <w:r w:rsidR="006603EB">
        <w:t>13.5</w:t>
      </w:r>
      <w:r>
        <w:t> million from the 2009 rate case filing.</w:t>
      </w:r>
      <w:r>
        <w:rPr>
          <w:rStyle w:val="FootnoteReference"/>
        </w:rPr>
        <w:footnoteReference w:id="11"/>
      </w:r>
    </w:p>
    <w:p w:rsidR="00973298" w:rsidRDefault="002E098B">
      <w:pPr>
        <w:pStyle w:val="ListParagraph"/>
        <w:widowControl w:val="0"/>
        <w:numPr>
          <w:ilvl w:val="0"/>
          <w:numId w:val="12"/>
        </w:numPr>
        <w:tabs>
          <w:tab w:val="clear" w:pos="1440"/>
          <w:tab w:val="num" w:pos="720"/>
        </w:tabs>
        <w:spacing w:line="480" w:lineRule="auto"/>
        <w:ind w:left="0"/>
      </w:pPr>
      <w:r>
        <w:tab/>
        <w:t>PacifiCorp has the lowest average retail rates of investor-owned utilities in Washington and its rates are among the lowest in the country.</w:t>
      </w:r>
      <w:r>
        <w:rPr>
          <w:rStyle w:val="FootnoteReference"/>
        </w:rPr>
        <w:footnoteReference w:id="12"/>
      </w:r>
      <w:r>
        <w:t xml:space="preserve">  PacifiCorp has worked to keep rates low in the face of cost pressures and the difficult economic conditions existing since 2008.  The Company’s efforts are reflected in </w:t>
      </w:r>
      <w:r w:rsidR="006603EB">
        <w:t xml:space="preserve">the </w:t>
      </w:r>
      <w:r>
        <w:t xml:space="preserve">fact that the Company’s costs for operations and maintenance and administrative and general have </w:t>
      </w:r>
      <w:r w:rsidRPr="0040036F">
        <w:rPr>
          <w:u w:val="single"/>
        </w:rPr>
        <w:t>decreased</w:t>
      </w:r>
      <w:r>
        <w:t xml:space="preserve"> from the Company’s prior rate case.</w:t>
      </w:r>
      <w:r>
        <w:rPr>
          <w:rStyle w:val="FootnoteReference"/>
        </w:rPr>
        <w:footnoteReference w:id="13"/>
      </w:r>
      <w:r>
        <w:t xml:space="preserve">  The Company also reduced its 2010 wage increase to below-market levels and limited it to employees who received base compensation below $100,000.</w:t>
      </w:r>
      <w:r>
        <w:rPr>
          <w:rStyle w:val="FootnoteReference"/>
        </w:rPr>
        <w:footnoteReference w:id="14"/>
      </w:r>
    </w:p>
    <w:p w:rsidR="00973298" w:rsidRDefault="002E098B">
      <w:pPr>
        <w:pStyle w:val="ListParagraph"/>
        <w:widowControl w:val="0"/>
        <w:numPr>
          <w:ilvl w:val="0"/>
          <w:numId w:val="12"/>
        </w:numPr>
        <w:tabs>
          <w:tab w:val="clear" w:pos="1440"/>
          <w:tab w:val="num" w:pos="720"/>
        </w:tabs>
        <w:spacing w:line="480" w:lineRule="auto"/>
        <w:ind w:left="0"/>
      </w:pPr>
      <w:r>
        <w:tab/>
        <w:t>The Company</w:t>
      </w:r>
      <w:r w:rsidR="006603EB">
        <w:t>’s</w:t>
      </w:r>
      <w:r>
        <w:t xml:space="preserve"> proposed rate increase </w:t>
      </w:r>
      <w:r w:rsidR="006603EB">
        <w:t xml:space="preserve">is far lower than it could have been. The Company </w:t>
      </w:r>
      <w:r>
        <w:t>deliberately limit</w:t>
      </w:r>
      <w:r w:rsidR="00F53B40">
        <w:t>ed</w:t>
      </w:r>
      <w:r>
        <w:t xml:space="preserve"> its pro forma adjustments to the test period.</w:t>
      </w:r>
      <w:r>
        <w:rPr>
          <w:rStyle w:val="FootnoteReference"/>
        </w:rPr>
        <w:footnoteReference w:id="15"/>
      </w:r>
      <w:r>
        <w:t xml:space="preserve">  </w:t>
      </w:r>
      <w:r w:rsidR="00F53B40">
        <w:t>The Company did not include any pro forma adjustments for capital additions.</w:t>
      </w:r>
      <w:r w:rsidR="00F53B40">
        <w:rPr>
          <w:rStyle w:val="FootnoteReference"/>
        </w:rPr>
        <w:footnoteReference w:id="16"/>
      </w:r>
      <w:r w:rsidR="00F53B40">
        <w:t xml:space="preserve">  As such, rates from this proceeding will not include any capital additions in 2010 and 2011.</w:t>
      </w:r>
      <w:r w:rsidR="00F53B40">
        <w:rPr>
          <w:rStyle w:val="FootnoteReference"/>
        </w:rPr>
        <w:footnoteReference w:id="17"/>
      </w:r>
      <w:r w:rsidR="00F53B40">
        <w:t xml:space="preserve">  </w:t>
      </w:r>
      <w:r>
        <w:t xml:space="preserve">The Company’s filing </w:t>
      </w:r>
      <w:r w:rsidR="00F53B40">
        <w:t xml:space="preserve">also </w:t>
      </w:r>
      <w:r>
        <w:t xml:space="preserve">reflects </w:t>
      </w:r>
      <w:r w:rsidR="00F53B40">
        <w:t xml:space="preserve">2009 </w:t>
      </w:r>
      <w:r>
        <w:t>historic levels of incentives, employee benefits and pension expenses, and only known and measurable wage increases that occurred prior to the filing.</w:t>
      </w:r>
      <w:r>
        <w:rPr>
          <w:rStyle w:val="FootnoteReference"/>
        </w:rPr>
        <w:footnoteReference w:id="18"/>
      </w:r>
      <w:r>
        <w:t xml:space="preserve">  No party has questioned that the Company significantly </w:t>
      </w:r>
      <w:proofErr w:type="spellStart"/>
      <w:r>
        <w:t>underearned</w:t>
      </w:r>
      <w:proofErr w:type="spellEnd"/>
      <w:r>
        <w:t xml:space="preserve"> in the test year.  The Company’s rebuttal case demonstrates that it earned an ROE of 3.15% for the test period.</w:t>
      </w:r>
      <w:r>
        <w:rPr>
          <w:rStyle w:val="FootnoteReference"/>
        </w:rPr>
        <w:footnoteReference w:id="19"/>
      </w:r>
      <w:r>
        <w:t xml:space="preserve">  Staff’s Revenue Requirements Summary shows that, including all of Staff’s adjustments (many of which the Company contests as set forth below), the Company earned a rate of return of 5.04% during the </w:t>
      </w:r>
      <w:r>
        <w:lastRenderedPageBreak/>
        <w:t>test period, reflecting an implied ROE of 4.22%.</w:t>
      </w:r>
      <w:r>
        <w:rPr>
          <w:rStyle w:val="FootnoteReference"/>
        </w:rPr>
        <w:footnoteReference w:id="20"/>
      </w:r>
      <w:r>
        <w:t xml:space="preserve">   </w:t>
      </w:r>
    </w:p>
    <w:p w:rsidR="00973298" w:rsidRDefault="002E098B">
      <w:pPr>
        <w:pStyle w:val="ListParagraph"/>
        <w:widowControl w:val="0"/>
        <w:spacing w:line="480" w:lineRule="auto"/>
        <w:ind w:left="0"/>
        <w:jc w:val="center"/>
        <w:rPr>
          <w:rFonts w:ascii="Times New Roman" w:hAnsi="Times New Roman"/>
          <w:b/>
        </w:rPr>
      </w:pPr>
      <w:r w:rsidRPr="00DB6762">
        <w:rPr>
          <w:rFonts w:ascii="Times New Roman" w:hAnsi="Times New Roman"/>
          <w:b/>
        </w:rPr>
        <w:t>II.</w:t>
      </w:r>
      <w:r w:rsidRPr="00DB6762">
        <w:rPr>
          <w:rFonts w:ascii="Times New Roman" w:hAnsi="Times New Roman"/>
          <w:b/>
        </w:rPr>
        <w:tab/>
      </w:r>
      <w:r>
        <w:rPr>
          <w:rFonts w:ascii="Times New Roman" w:hAnsi="Times New Roman"/>
          <w:b/>
        </w:rPr>
        <w:t>LEGAL STANDARDS</w:t>
      </w:r>
    </w:p>
    <w:p w:rsidR="00973298" w:rsidRDefault="002E098B">
      <w:pPr>
        <w:pStyle w:val="ListParagraph"/>
        <w:widowControl w:val="0"/>
        <w:numPr>
          <w:ilvl w:val="0"/>
          <w:numId w:val="12"/>
        </w:numPr>
        <w:tabs>
          <w:tab w:val="clear" w:pos="1440"/>
          <w:tab w:val="num" w:pos="720"/>
        </w:tabs>
        <w:spacing w:line="480" w:lineRule="auto"/>
        <w:ind w:left="0"/>
      </w:pPr>
      <w:r>
        <w:tab/>
        <w:t>In setting rates in a general rate case, the Commission determines whether the rates proposed by the utility are fair, just, reasonable, and sufficient.</w:t>
      </w:r>
      <w:r>
        <w:rPr>
          <w:rStyle w:val="FootnoteReference"/>
        </w:rPr>
        <w:footnoteReference w:id="21"/>
      </w:r>
      <w:r>
        <w:t xml:space="preserve">  To be considered just and reasonable, rates must include both compensation necessary to provide safe and reliable electric service</w:t>
      </w:r>
      <w:r>
        <w:rPr>
          <w:rStyle w:val="FootnoteReference"/>
        </w:rPr>
        <w:footnoteReference w:id="22"/>
      </w:r>
      <w:r>
        <w:t xml:space="preserve"> and </w:t>
      </w:r>
      <w:r w:rsidRPr="0065107C">
        <w:rPr>
          <w:rFonts w:ascii="Times New Roman" w:hAnsi="Times New Roman"/>
          <w:szCs w:val="24"/>
        </w:rPr>
        <w:t>“a rate of return sufficient to maintain its financial integrity, attract capital on reasonable terms, receive a return comparable to other en</w:t>
      </w:r>
      <w:r>
        <w:rPr>
          <w:rFonts w:ascii="Times New Roman" w:hAnsi="Times New Roman"/>
          <w:szCs w:val="24"/>
        </w:rPr>
        <w:t>terprises of corresponding risk,</w:t>
      </w:r>
      <w:r w:rsidRPr="0065107C">
        <w:rPr>
          <w:rFonts w:ascii="Times New Roman" w:hAnsi="Times New Roman"/>
          <w:szCs w:val="24"/>
        </w:rPr>
        <w:t>”</w:t>
      </w:r>
      <w:r w:rsidRPr="00432605">
        <w:rPr>
          <w:rStyle w:val="FootnoteReference"/>
          <w:rFonts w:ascii="Times New Roman" w:hAnsi="Times New Roman"/>
          <w:szCs w:val="24"/>
        </w:rPr>
        <w:footnoteReference w:id="23"/>
      </w:r>
      <w:r>
        <w:rPr>
          <w:rFonts w:ascii="Times New Roman" w:hAnsi="Times New Roman"/>
          <w:szCs w:val="24"/>
        </w:rPr>
        <w:t xml:space="preserve"> and </w:t>
      </w:r>
      <w:r w:rsidRPr="0065107C">
        <w:rPr>
          <w:rFonts w:ascii="Times New Roman" w:hAnsi="Times New Roman"/>
          <w:szCs w:val="24"/>
        </w:rPr>
        <w:t>maintain the utility’s creditworthiness.</w:t>
      </w:r>
      <w:r w:rsidRPr="00432605">
        <w:rPr>
          <w:rStyle w:val="FootnoteReference"/>
          <w:rFonts w:ascii="Times New Roman" w:hAnsi="Times New Roman"/>
          <w:szCs w:val="24"/>
        </w:rPr>
        <w:footnoteReference w:id="24"/>
      </w:r>
      <w:r w:rsidRPr="0065107C">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pPr>
      <w:r>
        <w:tab/>
        <w:t>The Supreme Court of Washington found that it is equally important that rates be sufficient to provide safe and reliable service and allow a reasonable opportunity to earn a rate of return to the utility as it is that rates are just and reasonable from the customer’s perspective:</w:t>
      </w:r>
    </w:p>
    <w:p w:rsidR="00973298" w:rsidRDefault="002E098B">
      <w:pPr>
        <w:widowControl w:val="0"/>
        <w:spacing w:after="240"/>
        <w:ind w:left="720" w:right="720"/>
      </w:pPr>
      <w:r>
        <w:t>It is just as important in the eye of the law that the rates shall yield reasonable compensation as it is that they shall be just and reasonable and nondiscriminatory from the standpoint of the customer, because unless every rate does yield reasonable compensation, public service companies must resort to discrimination in order to live or must eventually be forced out of business.  Every statutory element must be recognized in the fixing of rates or the result will be to defeat the legislative purpose.</w:t>
      </w:r>
      <w:r>
        <w:rPr>
          <w:rStyle w:val="FootnoteReference"/>
        </w:rPr>
        <w:footnoteReference w:id="25"/>
      </w:r>
    </w:p>
    <w:p w:rsidR="00973298" w:rsidRDefault="002E098B">
      <w:pPr>
        <w:pStyle w:val="ListParagraph"/>
        <w:widowControl w:val="0"/>
        <w:numPr>
          <w:ilvl w:val="0"/>
          <w:numId w:val="12"/>
        </w:numPr>
        <w:tabs>
          <w:tab w:val="clear" w:pos="1440"/>
          <w:tab w:val="num" w:pos="720"/>
        </w:tabs>
        <w:spacing w:line="480" w:lineRule="auto"/>
        <w:ind w:left="0"/>
      </w:pPr>
      <w:r>
        <w:t xml:space="preserve">The court also explained that the effect of the Commission disallowing a prudently incurred </w:t>
      </w:r>
      <w:r>
        <w:lastRenderedPageBreak/>
        <w:t>operating expense is to reduce the actual rate of return of the utility.</w:t>
      </w:r>
      <w:r>
        <w:rPr>
          <w:rStyle w:val="FootnoteReference"/>
        </w:rPr>
        <w:footnoteReference w:id="26"/>
      </w:r>
      <w:r>
        <w:t xml:space="preserve">  Disallowing expenses therefore “</w:t>
      </w:r>
      <w:r w:rsidRPr="00D30F83">
        <w:t>has the very real effect, among others, of increasing the risks of investing in the utility</w:t>
      </w:r>
      <w:r>
        <w:t>”</w:t>
      </w:r>
      <w:r>
        <w:rPr>
          <w:rStyle w:val="FootnoteReference"/>
        </w:rPr>
        <w:footnoteReference w:id="27"/>
      </w:r>
      <w:r>
        <w:t xml:space="preserve"> and denying the utility a reasonable opportunity to earn a fair rate of return as mandated under the </w:t>
      </w:r>
      <w:r w:rsidRPr="003D3980">
        <w:rPr>
          <w:i/>
        </w:rPr>
        <w:t>Hope</w:t>
      </w:r>
      <w:r w:rsidR="00FC60A1">
        <w:rPr>
          <w:i/>
        </w:rPr>
        <w:fldChar w:fldCharType="begin"/>
      </w:r>
      <w:r w:rsidR="003159A5">
        <w:instrText xml:space="preserve"> TA \s "Hope" </w:instrText>
      </w:r>
      <w:r w:rsidR="00FC60A1">
        <w:rPr>
          <w:i/>
        </w:rPr>
        <w:fldChar w:fldCharType="end"/>
      </w:r>
      <w:r>
        <w:t xml:space="preserve"> and </w:t>
      </w:r>
      <w:r w:rsidRPr="003D3980">
        <w:rPr>
          <w:i/>
        </w:rPr>
        <w:t>Bluefield</w:t>
      </w:r>
      <w:r>
        <w:t xml:space="preserve"> precedents.</w:t>
      </w:r>
      <w:r>
        <w:rPr>
          <w:rStyle w:val="FootnoteReference"/>
        </w:rPr>
        <w:footnoteReference w:id="28"/>
      </w:r>
      <w:r>
        <w:t xml:space="preserve"> </w:t>
      </w:r>
    </w:p>
    <w:p w:rsidR="00973298" w:rsidRDefault="002E098B">
      <w:pPr>
        <w:widowControl w:val="0"/>
        <w:spacing w:line="480" w:lineRule="auto"/>
        <w:ind w:left="-720"/>
        <w:jc w:val="center"/>
        <w:rPr>
          <w:rFonts w:ascii="Times New Roman" w:hAnsi="Times New Roman"/>
          <w:b/>
        </w:rPr>
      </w:pPr>
      <w:r w:rsidRPr="003560DF">
        <w:rPr>
          <w:rFonts w:ascii="Times New Roman" w:hAnsi="Times New Roman"/>
          <w:b/>
        </w:rPr>
        <w:t>I</w:t>
      </w:r>
      <w:r>
        <w:rPr>
          <w:rFonts w:ascii="Times New Roman" w:hAnsi="Times New Roman"/>
          <w:b/>
        </w:rPr>
        <w:t>II</w:t>
      </w:r>
      <w:r w:rsidRPr="003560DF">
        <w:rPr>
          <w:rFonts w:ascii="Times New Roman" w:hAnsi="Times New Roman"/>
          <w:b/>
        </w:rPr>
        <w:t>.</w:t>
      </w:r>
      <w:r w:rsidRPr="003560DF">
        <w:rPr>
          <w:rFonts w:ascii="Times New Roman" w:hAnsi="Times New Roman"/>
          <w:b/>
        </w:rPr>
        <w:tab/>
        <w:t>COST OF EQUITY AND CAPITAL STRUCTURE</w:t>
      </w:r>
    </w:p>
    <w:p w:rsidR="00973298" w:rsidRDefault="002E098B" w:rsidP="00AA25AF">
      <w:pPr>
        <w:pStyle w:val="ListParagraph"/>
        <w:widowControl w:val="0"/>
        <w:numPr>
          <w:ilvl w:val="0"/>
          <w:numId w:val="12"/>
        </w:numPr>
        <w:tabs>
          <w:tab w:val="clear" w:pos="1440"/>
          <w:tab w:val="num" w:pos="720"/>
        </w:tabs>
        <w:ind w:left="0"/>
        <w:rPr>
          <w:rFonts w:ascii="Times New Roman" w:hAnsi="Times New Roman"/>
          <w:szCs w:val="24"/>
        </w:rPr>
      </w:pPr>
      <w:r>
        <w:rPr>
          <w:rFonts w:ascii="Times New Roman" w:hAnsi="Times New Roman"/>
          <w:szCs w:val="24"/>
        </w:rPr>
        <w:tab/>
      </w:r>
      <w:r w:rsidRPr="00432605">
        <w:rPr>
          <w:rFonts w:ascii="Times New Roman" w:hAnsi="Times New Roman"/>
          <w:szCs w:val="24"/>
        </w:rPr>
        <w:t xml:space="preserve">The Company presented the following cost of capital </w:t>
      </w:r>
      <w:r w:rsidRPr="002E4C43">
        <w:t>recommendations</w:t>
      </w:r>
      <w:r w:rsidRPr="00432605">
        <w:rPr>
          <w:rFonts w:ascii="Times New Roman" w:hAnsi="Times New Roman"/>
          <w:szCs w:val="24"/>
        </w:rPr>
        <w:t xml:space="preserve">:  </w:t>
      </w:r>
    </w:p>
    <w:p w:rsidR="00973298" w:rsidRDefault="002E098B">
      <w:pPr>
        <w:keepNext/>
        <w:keepLines/>
        <w:widowControl w:val="0"/>
        <w:suppressLineNumbers/>
        <w:tabs>
          <w:tab w:val="right" w:pos="3600"/>
          <w:tab w:val="right" w:pos="4860"/>
          <w:tab w:val="right" w:pos="6210"/>
        </w:tabs>
        <w:spacing w:before="120" w:line="240" w:lineRule="exact"/>
        <w:jc w:val="both"/>
        <w:rPr>
          <w:rFonts w:ascii="Times New Roman" w:hAnsi="Times New Roman"/>
          <w:szCs w:val="24"/>
        </w:rPr>
      </w:pPr>
      <w:r w:rsidRPr="00432605">
        <w:rPr>
          <w:rFonts w:ascii="Times New Roman" w:hAnsi="Times New Roman"/>
          <w:szCs w:val="24"/>
        </w:rPr>
        <w:tab/>
      </w:r>
      <w:r w:rsidRPr="00432605">
        <w:rPr>
          <w:rFonts w:ascii="Times New Roman" w:hAnsi="Times New Roman"/>
          <w:szCs w:val="24"/>
        </w:rPr>
        <w:tab/>
        <w:t>Percent of</w:t>
      </w:r>
      <w:r w:rsidRPr="00432605">
        <w:rPr>
          <w:rFonts w:ascii="Times New Roman" w:hAnsi="Times New Roman"/>
          <w:szCs w:val="24"/>
        </w:rPr>
        <w:tab/>
        <w:t>%</w:t>
      </w:r>
      <w:r w:rsidRPr="00432605">
        <w:rPr>
          <w:rFonts w:ascii="Times New Roman" w:hAnsi="Times New Roman"/>
          <w:szCs w:val="24"/>
        </w:rPr>
        <w:tab/>
      </w:r>
      <w:r w:rsidRPr="00432605">
        <w:rPr>
          <w:rFonts w:ascii="Times New Roman" w:hAnsi="Times New Roman"/>
          <w:szCs w:val="24"/>
        </w:rPr>
        <w:tab/>
        <w:t>Weighted</w:t>
      </w:r>
    </w:p>
    <w:p w:rsidR="00973298" w:rsidRDefault="002E098B">
      <w:pPr>
        <w:keepNext/>
        <w:keepLines/>
        <w:widowControl w:val="0"/>
        <w:suppressLineNumbers/>
        <w:tabs>
          <w:tab w:val="right" w:pos="2880"/>
          <w:tab w:val="right" w:pos="4590"/>
          <w:tab w:val="right" w:pos="6300"/>
          <w:tab w:val="right" w:pos="8100"/>
        </w:tabs>
        <w:spacing w:line="240" w:lineRule="exact"/>
        <w:jc w:val="both"/>
        <w:rPr>
          <w:rFonts w:ascii="Times New Roman" w:hAnsi="Times New Roman"/>
          <w:szCs w:val="24"/>
        </w:rPr>
      </w:pPr>
      <w:r w:rsidRPr="00432605">
        <w:rPr>
          <w:rFonts w:ascii="Times New Roman" w:hAnsi="Times New Roman"/>
          <w:szCs w:val="24"/>
        </w:rPr>
        <w:tab/>
      </w:r>
      <w:r w:rsidRPr="00432605">
        <w:rPr>
          <w:rFonts w:ascii="Times New Roman" w:hAnsi="Times New Roman"/>
          <w:szCs w:val="24"/>
          <w:u w:val="single"/>
        </w:rPr>
        <w:t>Component</w:t>
      </w:r>
      <w:r w:rsidRPr="00432605">
        <w:rPr>
          <w:rFonts w:ascii="Times New Roman" w:hAnsi="Times New Roman"/>
          <w:szCs w:val="24"/>
          <w:u w:val="single"/>
        </w:rPr>
        <w:tab/>
        <w:t>Total</w:t>
      </w:r>
      <w:r w:rsidRPr="00432605">
        <w:rPr>
          <w:rFonts w:ascii="Times New Roman" w:hAnsi="Times New Roman"/>
          <w:szCs w:val="24"/>
          <w:u w:val="single"/>
        </w:rPr>
        <w:tab/>
        <w:t>Cost</w:t>
      </w:r>
      <w:r w:rsidRPr="00432605">
        <w:rPr>
          <w:rFonts w:ascii="Times New Roman" w:hAnsi="Times New Roman"/>
          <w:szCs w:val="24"/>
          <w:u w:val="single"/>
        </w:rPr>
        <w:tab/>
        <w:t>Average</w:t>
      </w:r>
    </w:p>
    <w:p w:rsidR="00973298" w:rsidRDefault="002E098B">
      <w:pPr>
        <w:keepNext/>
        <w:keepLines/>
        <w:widowControl w:val="0"/>
        <w:suppressLineNumbers/>
        <w:tabs>
          <w:tab w:val="right" w:pos="2880"/>
          <w:tab w:val="right" w:pos="4770"/>
          <w:tab w:val="right" w:pos="6480"/>
          <w:tab w:val="right" w:pos="8100"/>
        </w:tabs>
        <w:spacing w:line="240" w:lineRule="exact"/>
        <w:jc w:val="both"/>
        <w:rPr>
          <w:rFonts w:ascii="Times New Roman" w:hAnsi="Times New Roman"/>
          <w:szCs w:val="24"/>
        </w:rPr>
      </w:pPr>
      <w:r w:rsidRPr="00432605">
        <w:rPr>
          <w:rFonts w:ascii="Times New Roman" w:hAnsi="Times New Roman"/>
          <w:szCs w:val="24"/>
        </w:rPr>
        <w:tab/>
        <w:t>Long Term Debt</w:t>
      </w:r>
      <w:r w:rsidRPr="00432605">
        <w:rPr>
          <w:rFonts w:ascii="Times New Roman" w:hAnsi="Times New Roman"/>
          <w:szCs w:val="24"/>
        </w:rPr>
        <w:tab/>
        <w:t>47.6%</w:t>
      </w:r>
      <w:r w:rsidRPr="00432605">
        <w:rPr>
          <w:rFonts w:ascii="Times New Roman" w:hAnsi="Times New Roman"/>
          <w:szCs w:val="24"/>
        </w:rPr>
        <w:tab/>
        <w:t>5.89%</w:t>
      </w:r>
      <w:r w:rsidRPr="00432605">
        <w:rPr>
          <w:rFonts w:ascii="Times New Roman" w:hAnsi="Times New Roman"/>
          <w:szCs w:val="24"/>
        </w:rPr>
        <w:tab/>
        <w:t>2.80%</w:t>
      </w:r>
      <w:r w:rsidRPr="00432605">
        <w:rPr>
          <w:rFonts w:ascii="Times New Roman" w:hAnsi="Times New Roman"/>
          <w:szCs w:val="24"/>
        </w:rPr>
        <w:tab/>
        <w:t xml:space="preserve">  </w:t>
      </w:r>
    </w:p>
    <w:p w:rsidR="00973298" w:rsidRDefault="002E098B">
      <w:pPr>
        <w:keepNext/>
        <w:keepLines/>
        <w:widowControl w:val="0"/>
        <w:suppressLineNumbers/>
        <w:tabs>
          <w:tab w:val="right" w:pos="2880"/>
          <w:tab w:val="right" w:pos="4770"/>
          <w:tab w:val="right" w:pos="6480"/>
          <w:tab w:val="right" w:pos="8100"/>
        </w:tabs>
        <w:spacing w:line="240" w:lineRule="exact"/>
        <w:jc w:val="both"/>
        <w:rPr>
          <w:rFonts w:ascii="Times New Roman" w:hAnsi="Times New Roman"/>
          <w:szCs w:val="24"/>
        </w:rPr>
      </w:pPr>
      <w:r w:rsidRPr="00432605">
        <w:rPr>
          <w:rFonts w:ascii="Times New Roman" w:hAnsi="Times New Roman"/>
          <w:szCs w:val="24"/>
        </w:rPr>
        <w:tab/>
        <w:t>Preferred Stock</w:t>
      </w:r>
      <w:r w:rsidRPr="00432605">
        <w:rPr>
          <w:rFonts w:ascii="Times New Roman" w:hAnsi="Times New Roman"/>
          <w:szCs w:val="24"/>
        </w:rPr>
        <w:tab/>
        <w:t>0.3%</w:t>
      </w:r>
      <w:r w:rsidRPr="00432605">
        <w:rPr>
          <w:rFonts w:ascii="Times New Roman" w:hAnsi="Times New Roman"/>
          <w:szCs w:val="24"/>
        </w:rPr>
        <w:tab/>
        <w:t>5.41%</w:t>
      </w:r>
      <w:r w:rsidRPr="00432605">
        <w:rPr>
          <w:rFonts w:ascii="Times New Roman" w:hAnsi="Times New Roman"/>
          <w:szCs w:val="24"/>
        </w:rPr>
        <w:tab/>
        <w:t>0.02%</w:t>
      </w:r>
    </w:p>
    <w:p w:rsidR="00973298" w:rsidRDefault="002E098B">
      <w:pPr>
        <w:keepNext/>
        <w:keepLines/>
        <w:widowControl w:val="0"/>
        <w:suppressLineNumbers/>
        <w:tabs>
          <w:tab w:val="right" w:pos="2880"/>
          <w:tab w:val="right" w:pos="4770"/>
          <w:tab w:val="right" w:pos="6480"/>
          <w:tab w:val="right" w:pos="8100"/>
        </w:tabs>
        <w:spacing w:after="240" w:line="240" w:lineRule="exact"/>
        <w:jc w:val="both"/>
        <w:rPr>
          <w:rFonts w:ascii="Times New Roman" w:hAnsi="Times New Roman"/>
          <w:szCs w:val="24"/>
          <w:u w:val="double"/>
        </w:rPr>
      </w:pPr>
      <w:r w:rsidRPr="00432605">
        <w:rPr>
          <w:rFonts w:ascii="Times New Roman" w:hAnsi="Times New Roman"/>
          <w:szCs w:val="24"/>
        </w:rPr>
        <w:tab/>
        <w:t>Common Stock Equity</w:t>
      </w:r>
      <w:r w:rsidRPr="00432605">
        <w:rPr>
          <w:rFonts w:ascii="Times New Roman" w:hAnsi="Times New Roman"/>
          <w:szCs w:val="24"/>
        </w:rPr>
        <w:tab/>
      </w:r>
      <w:r w:rsidRPr="00432605">
        <w:rPr>
          <w:rFonts w:ascii="Times New Roman" w:hAnsi="Times New Roman"/>
          <w:szCs w:val="24"/>
          <w:u w:val="single"/>
        </w:rPr>
        <w:t>52.1%</w:t>
      </w:r>
      <w:r w:rsidRPr="00432605">
        <w:rPr>
          <w:rFonts w:ascii="Times New Roman" w:hAnsi="Times New Roman"/>
          <w:szCs w:val="24"/>
        </w:rPr>
        <w:tab/>
        <w:t>10.60%</w:t>
      </w:r>
      <w:r w:rsidRPr="00432605">
        <w:rPr>
          <w:rFonts w:ascii="Times New Roman" w:hAnsi="Times New Roman"/>
          <w:szCs w:val="24"/>
        </w:rPr>
        <w:tab/>
      </w:r>
      <w:r w:rsidRPr="00432605">
        <w:rPr>
          <w:rFonts w:ascii="Times New Roman" w:hAnsi="Times New Roman"/>
          <w:szCs w:val="24"/>
          <w:u w:val="single"/>
        </w:rPr>
        <w:t>5.52%</w:t>
      </w:r>
      <w:r w:rsidRPr="00432605">
        <w:rPr>
          <w:rFonts w:ascii="Times New Roman" w:hAnsi="Times New Roman"/>
          <w:szCs w:val="24"/>
        </w:rPr>
        <w:tab/>
      </w:r>
      <w:r w:rsidRPr="00432605">
        <w:rPr>
          <w:rFonts w:ascii="Times New Roman" w:hAnsi="Times New Roman"/>
          <w:szCs w:val="24"/>
        </w:rPr>
        <w:tab/>
        <w:t>Total</w:t>
      </w:r>
      <w:r w:rsidRPr="00432605">
        <w:rPr>
          <w:rFonts w:ascii="Times New Roman" w:hAnsi="Times New Roman"/>
          <w:szCs w:val="24"/>
        </w:rPr>
        <w:tab/>
        <w:t xml:space="preserve">       100.0%                               </w:t>
      </w:r>
      <w:r w:rsidRPr="00432605">
        <w:rPr>
          <w:rFonts w:ascii="Times New Roman" w:hAnsi="Times New Roman"/>
          <w:szCs w:val="24"/>
        </w:rPr>
        <w:tab/>
        <w:t>8.54%</w:t>
      </w:r>
    </w:p>
    <w:p w:rsidR="00973298" w:rsidRDefault="002E098B">
      <w:pPr>
        <w:widowControl w:val="0"/>
        <w:spacing w:line="480" w:lineRule="auto"/>
        <w:jc w:val="both"/>
        <w:rPr>
          <w:rFonts w:ascii="Times New Roman" w:hAnsi="Times New Roman"/>
          <w:szCs w:val="24"/>
        </w:rPr>
      </w:pPr>
      <w:r w:rsidRPr="00432605">
        <w:rPr>
          <w:rFonts w:ascii="Times New Roman" w:hAnsi="Times New Roman"/>
          <w:szCs w:val="24"/>
        </w:rPr>
        <w:t>The</w:t>
      </w:r>
      <w:r w:rsidR="00357F79">
        <w:rPr>
          <w:rFonts w:ascii="Times New Roman" w:hAnsi="Times New Roman"/>
          <w:szCs w:val="24"/>
        </w:rPr>
        <w:t xml:space="preserve"> disputed </w:t>
      </w:r>
      <w:r w:rsidRPr="00432605">
        <w:rPr>
          <w:rFonts w:ascii="Times New Roman" w:hAnsi="Times New Roman"/>
          <w:szCs w:val="24"/>
        </w:rPr>
        <w:t xml:space="preserve">issues are cost of equity </w:t>
      </w:r>
      <w:r>
        <w:rPr>
          <w:rFonts w:ascii="Times New Roman" w:hAnsi="Times New Roman"/>
          <w:szCs w:val="24"/>
        </w:rPr>
        <w:t xml:space="preserve">and whether the </w:t>
      </w:r>
      <w:r w:rsidR="00F53B40">
        <w:rPr>
          <w:rFonts w:ascii="Times New Roman" w:hAnsi="Times New Roman"/>
          <w:szCs w:val="24"/>
        </w:rPr>
        <w:t xml:space="preserve">Commission should adopt the </w:t>
      </w:r>
      <w:r>
        <w:rPr>
          <w:rFonts w:ascii="Times New Roman" w:hAnsi="Times New Roman"/>
          <w:szCs w:val="24"/>
        </w:rPr>
        <w:t xml:space="preserve">Company’s actual capital structure </w:t>
      </w:r>
      <w:r w:rsidR="00F53B40">
        <w:rPr>
          <w:rFonts w:ascii="Times New Roman" w:hAnsi="Times New Roman"/>
          <w:szCs w:val="24"/>
        </w:rPr>
        <w:t xml:space="preserve">or impute </w:t>
      </w:r>
      <w:r>
        <w:rPr>
          <w:rFonts w:ascii="Times New Roman" w:hAnsi="Times New Roman"/>
          <w:szCs w:val="24"/>
        </w:rPr>
        <w:t xml:space="preserve">a hypothetical </w:t>
      </w:r>
      <w:r w:rsidR="00F53B40">
        <w:rPr>
          <w:rFonts w:ascii="Times New Roman" w:hAnsi="Times New Roman"/>
          <w:szCs w:val="24"/>
        </w:rPr>
        <w:t xml:space="preserve">capital </w:t>
      </w:r>
      <w:r>
        <w:rPr>
          <w:rFonts w:ascii="Times New Roman" w:hAnsi="Times New Roman"/>
          <w:szCs w:val="24"/>
        </w:rPr>
        <w:t>structure that reduces common equity and includes</w:t>
      </w:r>
      <w:r w:rsidRPr="00432605">
        <w:rPr>
          <w:rFonts w:ascii="Times New Roman" w:hAnsi="Times New Roman"/>
          <w:szCs w:val="24"/>
        </w:rPr>
        <w:t xml:space="preserve"> short-term debt</w:t>
      </w:r>
      <w:r>
        <w:rPr>
          <w:rFonts w:ascii="Times New Roman" w:hAnsi="Times New Roman"/>
          <w:szCs w:val="24"/>
        </w:rPr>
        <w:t>.</w:t>
      </w:r>
      <w:r w:rsidRPr="00432605">
        <w:rPr>
          <w:rFonts w:ascii="Times New Roman" w:hAnsi="Times New Roman"/>
          <w:szCs w:val="24"/>
        </w:rPr>
        <w:t xml:space="preserve">  </w:t>
      </w:r>
    </w:p>
    <w:p w:rsidR="00973298" w:rsidRDefault="002E098B">
      <w:pPr>
        <w:keepNext/>
        <w:widowControl w:val="0"/>
        <w:spacing w:after="240"/>
        <w:ind w:left="720" w:hanging="720"/>
        <w:jc w:val="both"/>
        <w:rPr>
          <w:rFonts w:ascii="Times New Roman" w:hAnsi="Times New Roman"/>
          <w:szCs w:val="24"/>
        </w:rPr>
      </w:pPr>
      <w:r w:rsidRPr="00432605">
        <w:rPr>
          <w:rFonts w:ascii="Times New Roman" w:hAnsi="Times New Roman"/>
          <w:b/>
          <w:szCs w:val="24"/>
        </w:rPr>
        <w:t>A.</w:t>
      </w:r>
      <w:r w:rsidRPr="00432605">
        <w:rPr>
          <w:rFonts w:ascii="Times New Roman" w:hAnsi="Times New Roman"/>
          <w:b/>
          <w:szCs w:val="24"/>
        </w:rPr>
        <w:tab/>
        <w:t>Cost of Equity</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CA636B">
        <w:rPr>
          <w:rFonts w:ascii="Times New Roman" w:hAnsi="Times New Roman"/>
          <w:szCs w:val="24"/>
        </w:rPr>
        <w:tab/>
        <w:t xml:space="preserve">Parties challenged the Company’s proposed ROE of 10.60%.  Staff and </w:t>
      </w:r>
      <w:r w:rsidR="00BA573F">
        <w:rPr>
          <w:rFonts w:ascii="Times New Roman" w:hAnsi="Times New Roman"/>
          <w:szCs w:val="24"/>
        </w:rPr>
        <w:t>the Industrial Customers of Northwest Utilities (</w:t>
      </w:r>
      <w:r w:rsidRPr="00CA636B">
        <w:rPr>
          <w:rFonts w:ascii="Times New Roman" w:hAnsi="Times New Roman"/>
          <w:szCs w:val="24"/>
        </w:rPr>
        <w:t>ICNU</w:t>
      </w:r>
      <w:r w:rsidR="00BA573F">
        <w:rPr>
          <w:rFonts w:ascii="Times New Roman" w:hAnsi="Times New Roman"/>
          <w:szCs w:val="24"/>
        </w:rPr>
        <w:t>)</w:t>
      </w:r>
      <w:r w:rsidRPr="00CA636B">
        <w:rPr>
          <w:rFonts w:ascii="Times New Roman" w:hAnsi="Times New Roman"/>
          <w:szCs w:val="24"/>
        </w:rPr>
        <w:t xml:space="preserve"> both recommend </w:t>
      </w:r>
      <w:r>
        <w:rPr>
          <w:rFonts w:ascii="Times New Roman" w:hAnsi="Times New Roman"/>
          <w:szCs w:val="24"/>
        </w:rPr>
        <w:t xml:space="preserve">an ROE of </w:t>
      </w:r>
      <w:r w:rsidRPr="00CA636B">
        <w:rPr>
          <w:rFonts w:ascii="Times New Roman" w:hAnsi="Times New Roman"/>
          <w:szCs w:val="24"/>
        </w:rPr>
        <w:t xml:space="preserve">9.50%.  The Commission </w:t>
      </w:r>
      <w:r w:rsidRPr="002E4C43">
        <w:t>should</w:t>
      </w:r>
      <w:r w:rsidRPr="00CA636B">
        <w:rPr>
          <w:rFonts w:ascii="Times New Roman" w:hAnsi="Times New Roman"/>
          <w:szCs w:val="24"/>
        </w:rPr>
        <w:t xml:space="preserve"> adopt the Company’s proposed ROE because</w:t>
      </w:r>
      <w:r>
        <w:rPr>
          <w:rFonts w:ascii="Times New Roman" w:hAnsi="Times New Roman"/>
          <w:szCs w:val="24"/>
        </w:rPr>
        <w:t>,</w:t>
      </w:r>
      <w:r w:rsidRPr="00CA636B">
        <w:rPr>
          <w:rFonts w:ascii="Times New Roman" w:hAnsi="Times New Roman"/>
          <w:szCs w:val="24"/>
        </w:rPr>
        <w:t xml:space="preserve"> </w:t>
      </w:r>
      <w:r>
        <w:rPr>
          <w:rFonts w:ascii="Times New Roman" w:hAnsi="Times New Roman"/>
          <w:szCs w:val="24"/>
        </w:rPr>
        <w:t xml:space="preserve">as set forth in the testimony of Dr. Samuel C. Hadaway, </w:t>
      </w:r>
      <w:r w:rsidRPr="00CA636B">
        <w:rPr>
          <w:rFonts w:ascii="Times New Roman" w:hAnsi="Times New Roman"/>
          <w:szCs w:val="24"/>
        </w:rPr>
        <w:t xml:space="preserve">it reflects the realities </w:t>
      </w:r>
      <w:r w:rsidR="00F53B40">
        <w:rPr>
          <w:rFonts w:ascii="Times New Roman" w:hAnsi="Times New Roman"/>
          <w:szCs w:val="24"/>
        </w:rPr>
        <w:t xml:space="preserve">and challenges </w:t>
      </w:r>
      <w:r w:rsidRPr="00CA636B">
        <w:rPr>
          <w:rFonts w:ascii="Times New Roman" w:hAnsi="Times New Roman"/>
          <w:szCs w:val="24"/>
        </w:rPr>
        <w:t xml:space="preserve">of the current economy and market conditions and results in just and reasonable rates.  </w:t>
      </w:r>
      <w:r w:rsidR="003B1562">
        <w:rPr>
          <w:rFonts w:ascii="Times New Roman" w:hAnsi="Times New Roman"/>
          <w:szCs w:val="24"/>
        </w:rPr>
        <w:t xml:space="preserve">Consistent with the general policy of this Commission, </w:t>
      </w:r>
      <w:r w:rsidR="00E57B6E">
        <w:rPr>
          <w:rFonts w:ascii="Times New Roman" w:hAnsi="Times New Roman"/>
          <w:szCs w:val="24"/>
        </w:rPr>
        <w:t xml:space="preserve">Dr. </w:t>
      </w:r>
      <w:proofErr w:type="spellStart"/>
      <w:r w:rsidR="00E57B6E">
        <w:rPr>
          <w:rFonts w:ascii="Times New Roman" w:hAnsi="Times New Roman"/>
          <w:szCs w:val="24"/>
        </w:rPr>
        <w:t>Hadaway’s</w:t>
      </w:r>
      <w:proofErr w:type="spellEnd"/>
      <w:r w:rsidR="00E57B6E">
        <w:rPr>
          <w:rFonts w:ascii="Times New Roman" w:hAnsi="Times New Roman"/>
          <w:szCs w:val="24"/>
        </w:rPr>
        <w:t xml:space="preserve"> recommendation relies prim</w:t>
      </w:r>
      <w:r w:rsidR="00A3707F">
        <w:rPr>
          <w:rFonts w:ascii="Times New Roman" w:hAnsi="Times New Roman"/>
          <w:szCs w:val="24"/>
        </w:rPr>
        <w:t xml:space="preserve">arily on the results of his </w:t>
      </w:r>
      <w:r w:rsidR="00223BA6">
        <w:rPr>
          <w:rFonts w:ascii="Times New Roman" w:hAnsi="Times New Roman"/>
          <w:szCs w:val="24"/>
        </w:rPr>
        <w:t>discounted case flow (</w:t>
      </w:r>
      <w:r w:rsidR="00A3707F">
        <w:rPr>
          <w:rFonts w:ascii="Times New Roman" w:hAnsi="Times New Roman"/>
          <w:szCs w:val="24"/>
        </w:rPr>
        <w:t>DCF</w:t>
      </w:r>
      <w:r w:rsidR="00223BA6">
        <w:rPr>
          <w:rFonts w:ascii="Times New Roman" w:hAnsi="Times New Roman"/>
          <w:szCs w:val="24"/>
        </w:rPr>
        <w:t>)</w:t>
      </w:r>
      <w:r w:rsidR="00A3707F">
        <w:rPr>
          <w:rFonts w:ascii="Times New Roman" w:hAnsi="Times New Roman"/>
          <w:szCs w:val="24"/>
        </w:rPr>
        <w:t xml:space="preserve"> analysis</w:t>
      </w:r>
      <w:r w:rsidR="00F53B40">
        <w:rPr>
          <w:rFonts w:ascii="Times New Roman" w:hAnsi="Times New Roman"/>
          <w:szCs w:val="24"/>
        </w:rPr>
        <w:t xml:space="preserve">, </w:t>
      </w:r>
      <w:r w:rsidR="00B50CD4">
        <w:rPr>
          <w:rFonts w:ascii="Times New Roman" w:hAnsi="Times New Roman"/>
          <w:szCs w:val="24"/>
        </w:rPr>
        <w:t xml:space="preserve">using </w:t>
      </w:r>
      <w:r w:rsidR="00F53B40">
        <w:rPr>
          <w:rFonts w:ascii="Times New Roman" w:hAnsi="Times New Roman"/>
          <w:szCs w:val="24"/>
        </w:rPr>
        <w:t xml:space="preserve">a range of </w:t>
      </w:r>
      <w:r w:rsidR="00B50CD4">
        <w:rPr>
          <w:rFonts w:ascii="Times New Roman" w:hAnsi="Times New Roman"/>
          <w:szCs w:val="24"/>
        </w:rPr>
        <w:t>different models and growth rates</w:t>
      </w:r>
      <w:r w:rsidR="00F53B40">
        <w:rPr>
          <w:rFonts w:ascii="Times New Roman" w:hAnsi="Times New Roman"/>
          <w:szCs w:val="24"/>
        </w:rPr>
        <w:t>.</w:t>
      </w:r>
      <w:r w:rsidR="00A3707F">
        <w:rPr>
          <w:rFonts w:ascii="Times New Roman" w:hAnsi="Times New Roman"/>
          <w:szCs w:val="24"/>
        </w:rPr>
        <w:t xml:space="preserve"> </w:t>
      </w:r>
    </w:p>
    <w:p w:rsidR="00973298" w:rsidRDefault="002E098B">
      <w:pPr>
        <w:keepNext/>
        <w:widowControl w:val="0"/>
        <w:spacing w:after="240"/>
        <w:ind w:left="1440" w:hanging="720"/>
        <w:jc w:val="both"/>
        <w:rPr>
          <w:rFonts w:ascii="Times New Roman" w:hAnsi="Times New Roman"/>
          <w:szCs w:val="24"/>
        </w:rPr>
      </w:pPr>
      <w:r w:rsidRPr="00432605">
        <w:rPr>
          <w:rFonts w:ascii="Times New Roman" w:hAnsi="Times New Roman"/>
          <w:b/>
          <w:szCs w:val="24"/>
        </w:rPr>
        <w:lastRenderedPageBreak/>
        <w:t>1.</w:t>
      </w:r>
      <w:r w:rsidRPr="00432605">
        <w:rPr>
          <w:rFonts w:ascii="Times New Roman" w:hAnsi="Times New Roman"/>
          <w:b/>
          <w:szCs w:val="24"/>
        </w:rPr>
        <w:tab/>
      </w:r>
      <w:r>
        <w:rPr>
          <w:rFonts w:ascii="Times New Roman" w:hAnsi="Times New Roman"/>
          <w:b/>
          <w:szCs w:val="24"/>
        </w:rPr>
        <w:t xml:space="preserve">Key ROE Indicators Are Similar to Those Prevailing When the </w:t>
      </w:r>
      <w:r w:rsidRPr="00432605">
        <w:rPr>
          <w:rFonts w:ascii="Times New Roman" w:hAnsi="Times New Roman"/>
          <w:b/>
          <w:szCs w:val="24"/>
        </w:rPr>
        <w:t xml:space="preserve">Company’s </w:t>
      </w:r>
      <w:r>
        <w:rPr>
          <w:rFonts w:ascii="Times New Roman" w:hAnsi="Times New Roman"/>
          <w:b/>
          <w:szCs w:val="24"/>
        </w:rPr>
        <w:t xml:space="preserve">ROE Was Last </w:t>
      </w:r>
      <w:r w:rsidRPr="00432605">
        <w:rPr>
          <w:rFonts w:ascii="Times New Roman" w:hAnsi="Times New Roman"/>
          <w:b/>
          <w:szCs w:val="24"/>
        </w:rPr>
        <w:t>Litigated</w:t>
      </w:r>
      <w:r>
        <w:rPr>
          <w:rFonts w:ascii="Times New Roman" w:hAnsi="Times New Roman"/>
          <w:b/>
          <w:szCs w:val="24"/>
        </w:rPr>
        <w:t>, Except that Utility Stock Prices and Performance are Much Worse</w:t>
      </w:r>
      <w:r w:rsidRPr="00432605">
        <w:rPr>
          <w:rFonts w:ascii="Times New Roman" w:hAnsi="Times New Roman"/>
          <w:b/>
          <w:szCs w:val="24"/>
        </w:rPr>
        <w:t>.</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285BA2">
        <w:rPr>
          <w:rFonts w:ascii="Times New Roman" w:hAnsi="Times New Roman"/>
          <w:szCs w:val="24"/>
        </w:rPr>
        <w:tab/>
        <w:t xml:space="preserve">The Commission approved a 10.2% ROE in the Company’s </w:t>
      </w:r>
      <w:r w:rsidR="00450E9C">
        <w:rPr>
          <w:rFonts w:ascii="Times New Roman" w:hAnsi="Times New Roman"/>
          <w:szCs w:val="24"/>
        </w:rPr>
        <w:t xml:space="preserve">rate case in </w:t>
      </w:r>
      <w:proofErr w:type="gramStart"/>
      <w:r w:rsidR="00450E9C">
        <w:rPr>
          <w:rFonts w:ascii="Times New Roman" w:hAnsi="Times New Roman"/>
          <w:szCs w:val="24"/>
        </w:rPr>
        <w:t xml:space="preserve">which </w:t>
      </w:r>
      <w:r w:rsidRPr="00285BA2">
        <w:rPr>
          <w:rFonts w:ascii="Times New Roman" w:hAnsi="Times New Roman"/>
          <w:szCs w:val="24"/>
        </w:rPr>
        <w:t xml:space="preserve"> ROE</w:t>
      </w:r>
      <w:proofErr w:type="gramEnd"/>
      <w:r w:rsidRPr="00285BA2">
        <w:rPr>
          <w:rFonts w:ascii="Times New Roman" w:hAnsi="Times New Roman"/>
          <w:szCs w:val="24"/>
        </w:rPr>
        <w:t xml:space="preserve"> </w:t>
      </w:r>
      <w:r w:rsidR="00450E9C">
        <w:rPr>
          <w:rFonts w:ascii="Times New Roman" w:hAnsi="Times New Roman"/>
          <w:szCs w:val="24"/>
        </w:rPr>
        <w:t xml:space="preserve">was </w:t>
      </w:r>
      <w:r w:rsidR="00557B47">
        <w:rPr>
          <w:rFonts w:ascii="Times New Roman" w:hAnsi="Times New Roman"/>
          <w:szCs w:val="24"/>
        </w:rPr>
        <w:t>litigated in</w:t>
      </w:r>
      <w:r w:rsidRPr="00285BA2">
        <w:rPr>
          <w:rFonts w:ascii="Times New Roman" w:hAnsi="Times New Roman"/>
          <w:szCs w:val="24"/>
        </w:rPr>
        <w:t xml:space="preserve"> April 2006</w:t>
      </w:r>
      <w:r>
        <w:rPr>
          <w:rFonts w:ascii="Times New Roman" w:hAnsi="Times New Roman"/>
          <w:szCs w:val="24"/>
        </w:rPr>
        <w:t xml:space="preserve"> (2005 GRC)</w:t>
      </w:r>
      <w:r w:rsidRPr="00285BA2">
        <w:rPr>
          <w:rFonts w:ascii="Times New Roman" w:hAnsi="Times New Roman"/>
          <w:szCs w:val="24"/>
        </w:rPr>
        <w:t>.</w:t>
      </w:r>
      <w:r w:rsidRPr="00432605">
        <w:rPr>
          <w:rStyle w:val="FootnoteReference"/>
          <w:rFonts w:ascii="Times New Roman" w:hAnsi="Times New Roman"/>
          <w:szCs w:val="24"/>
        </w:rPr>
        <w:footnoteReference w:id="29"/>
      </w:r>
      <w:r w:rsidRPr="00285BA2">
        <w:rPr>
          <w:rFonts w:ascii="Times New Roman" w:hAnsi="Times New Roman"/>
          <w:szCs w:val="24"/>
        </w:rPr>
        <w:t xml:space="preserve">  When determining a reasonable ROE, the Commission looks to what has changed since the last time it determined a company’s ROE.</w:t>
      </w:r>
      <w:r w:rsidRPr="00432605">
        <w:rPr>
          <w:rStyle w:val="FootnoteReference"/>
          <w:rFonts w:ascii="Times New Roman" w:hAnsi="Times New Roman"/>
          <w:szCs w:val="24"/>
        </w:rPr>
        <w:footnoteReference w:id="30"/>
      </w:r>
      <w:r w:rsidRPr="00285BA2">
        <w:rPr>
          <w:rFonts w:ascii="Times New Roman" w:hAnsi="Times New Roman"/>
          <w:szCs w:val="24"/>
        </w:rPr>
        <w:t xml:space="preserve">  </w:t>
      </w:r>
      <w:r w:rsidR="00DE7714">
        <w:rPr>
          <w:rFonts w:ascii="Times New Roman" w:hAnsi="Times New Roman"/>
          <w:szCs w:val="24"/>
        </w:rPr>
        <w:t>T</w:t>
      </w:r>
      <w:r>
        <w:rPr>
          <w:rFonts w:ascii="Times New Roman" w:hAnsi="Times New Roman"/>
          <w:szCs w:val="24"/>
        </w:rPr>
        <w:t xml:space="preserve">here has been significant market turmoil </w:t>
      </w:r>
      <w:r w:rsidR="004C62B3">
        <w:rPr>
          <w:rFonts w:ascii="Times New Roman" w:hAnsi="Times New Roman"/>
          <w:szCs w:val="24"/>
        </w:rPr>
        <w:t>since</w:t>
      </w:r>
      <w:r w:rsidRPr="00285BA2">
        <w:rPr>
          <w:rFonts w:ascii="Times New Roman" w:hAnsi="Times New Roman"/>
          <w:szCs w:val="24"/>
        </w:rPr>
        <w:t xml:space="preserve"> the Company’s 2005 </w:t>
      </w:r>
      <w:r>
        <w:rPr>
          <w:rFonts w:ascii="Times New Roman" w:hAnsi="Times New Roman"/>
          <w:szCs w:val="24"/>
        </w:rPr>
        <w:t>GRC</w:t>
      </w:r>
      <w:r w:rsidRPr="00285BA2">
        <w:rPr>
          <w:rFonts w:ascii="Times New Roman" w:hAnsi="Times New Roman"/>
          <w:szCs w:val="24"/>
        </w:rPr>
        <w:t xml:space="preserve">, </w:t>
      </w:r>
      <w:r>
        <w:rPr>
          <w:rFonts w:ascii="Times New Roman" w:hAnsi="Times New Roman"/>
          <w:szCs w:val="24"/>
        </w:rPr>
        <w:t>and while interest rates and average allowed ROEs are similar,</w:t>
      </w:r>
      <w:r w:rsidRPr="00285BA2">
        <w:rPr>
          <w:rFonts w:ascii="Times New Roman" w:hAnsi="Times New Roman"/>
          <w:szCs w:val="24"/>
        </w:rPr>
        <w:t xml:space="preserve"> utility stock </w:t>
      </w:r>
      <w:r>
        <w:rPr>
          <w:rFonts w:ascii="Times New Roman" w:hAnsi="Times New Roman"/>
          <w:szCs w:val="24"/>
        </w:rPr>
        <w:t xml:space="preserve">prices and total returns on an investment in utility common stocks </w:t>
      </w:r>
      <w:r w:rsidRPr="00285BA2">
        <w:rPr>
          <w:rFonts w:ascii="Times New Roman" w:hAnsi="Times New Roman"/>
          <w:szCs w:val="24"/>
        </w:rPr>
        <w:t xml:space="preserve">are </w:t>
      </w:r>
      <w:r>
        <w:rPr>
          <w:rFonts w:ascii="Times New Roman" w:hAnsi="Times New Roman"/>
          <w:szCs w:val="24"/>
        </w:rPr>
        <w:t xml:space="preserve">considerably </w:t>
      </w:r>
      <w:proofErr w:type="gramStart"/>
      <w:r>
        <w:rPr>
          <w:rFonts w:ascii="Times New Roman" w:hAnsi="Times New Roman"/>
          <w:szCs w:val="24"/>
        </w:rPr>
        <w:t>lower</w:t>
      </w:r>
      <w:proofErr w:type="gramEnd"/>
      <w:r w:rsidRPr="00285BA2">
        <w:rPr>
          <w:rFonts w:ascii="Times New Roman" w:hAnsi="Times New Roman"/>
          <w:szCs w:val="24"/>
        </w:rPr>
        <w:t xml:space="preserve">. </w:t>
      </w:r>
      <w:r>
        <w:rPr>
          <w:rFonts w:ascii="Times New Roman" w:hAnsi="Times New Roman"/>
          <w:szCs w:val="24"/>
        </w:rPr>
        <w:t xml:space="preserve"> </w:t>
      </w:r>
      <w:r w:rsidR="00D56FD4">
        <w:rPr>
          <w:rFonts w:ascii="Times New Roman" w:hAnsi="Times New Roman"/>
          <w:szCs w:val="24"/>
        </w:rPr>
        <w:t>It is undisputed that</w:t>
      </w:r>
      <w:r w:rsidR="00A3707F">
        <w:rPr>
          <w:rFonts w:ascii="Times New Roman" w:hAnsi="Times New Roman"/>
          <w:szCs w:val="24"/>
        </w:rPr>
        <w:t xml:space="preserve"> u</w:t>
      </w:r>
      <w:r w:rsidRPr="008548E1">
        <w:rPr>
          <w:rFonts w:ascii="Times New Roman" w:hAnsi="Times New Roman"/>
          <w:szCs w:val="24"/>
        </w:rPr>
        <w:t>tility stock prices and returns are an important consideration in determining ROE.</w:t>
      </w:r>
      <w:r w:rsidRPr="008548E1">
        <w:rPr>
          <w:rStyle w:val="FootnoteReference"/>
          <w:rFonts w:ascii="Times New Roman" w:hAnsi="Times New Roman"/>
          <w:szCs w:val="24"/>
        </w:rPr>
        <w:footnoteReference w:id="31"/>
      </w:r>
      <w:r w:rsidRPr="008548E1">
        <w:rPr>
          <w:rFonts w:ascii="Times New Roman" w:hAnsi="Times New Roman"/>
          <w:szCs w:val="24"/>
        </w:rPr>
        <w:t xml:space="preserve">  </w:t>
      </w:r>
    </w:p>
    <w:p w:rsidR="00973298" w:rsidRDefault="004C62B3">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2E098B">
        <w:rPr>
          <w:rFonts w:ascii="Times New Roman" w:hAnsi="Times New Roman"/>
          <w:szCs w:val="24"/>
        </w:rPr>
        <w:t>Cu</w:t>
      </w:r>
      <w:r w:rsidR="002E098B" w:rsidRPr="008548E1">
        <w:rPr>
          <w:rFonts w:ascii="Times New Roman" w:hAnsi="Times New Roman"/>
          <w:szCs w:val="24"/>
        </w:rPr>
        <w:t xml:space="preserve">rrent interest rates are comparable to those </w:t>
      </w:r>
      <w:r w:rsidR="002E098B">
        <w:rPr>
          <w:rFonts w:ascii="Times New Roman" w:hAnsi="Times New Roman"/>
          <w:szCs w:val="24"/>
        </w:rPr>
        <w:t xml:space="preserve">prevailing at the time of </w:t>
      </w:r>
      <w:r w:rsidR="002E098B" w:rsidRPr="008548E1">
        <w:rPr>
          <w:rFonts w:ascii="Times New Roman" w:hAnsi="Times New Roman"/>
          <w:szCs w:val="24"/>
        </w:rPr>
        <w:t>the Company’s last rate case.  At hearing, the most recently available monthly public utility single “</w:t>
      </w:r>
      <w:proofErr w:type="gramStart"/>
      <w:r w:rsidR="002E098B" w:rsidRPr="008548E1">
        <w:rPr>
          <w:rFonts w:ascii="Times New Roman" w:hAnsi="Times New Roman"/>
          <w:szCs w:val="24"/>
        </w:rPr>
        <w:t>A</w:t>
      </w:r>
      <w:proofErr w:type="gramEnd"/>
      <w:r w:rsidR="002E098B" w:rsidRPr="008548E1">
        <w:rPr>
          <w:rFonts w:ascii="Times New Roman" w:hAnsi="Times New Roman"/>
          <w:szCs w:val="24"/>
        </w:rPr>
        <w:t>” interest rate was 5.56%.</w:t>
      </w:r>
      <w:r w:rsidR="002E098B" w:rsidRPr="00432605">
        <w:rPr>
          <w:rStyle w:val="FootnoteReference"/>
          <w:rFonts w:ascii="Times New Roman" w:hAnsi="Times New Roman"/>
          <w:szCs w:val="24"/>
        </w:rPr>
        <w:footnoteReference w:id="32"/>
      </w:r>
      <w:r w:rsidR="002E098B" w:rsidRPr="008548E1">
        <w:rPr>
          <w:rFonts w:ascii="Times New Roman" w:hAnsi="Times New Roman"/>
          <w:szCs w:val="24"/>
        </w:rPr>
        <w:t xml:space="preserve">  In PacifiCorp’s 2005 GRC</w:t>
      </w:r>
      <w:r w:rsidR="00DE7714">
        <w:rPr>
          <w:rFonts w:ascii="Times New Roman" w:hAnsi="Times New Roman"/>
          <w:szCs w:val="24"/>
        </w:rPr>
        <w:t>,</w:t>
      </w:r>
      <w:r w:rsidR="002E098B">
        <w:rPr>
          <w:rFonts w:ascii="Times New Roman" w:hAnsi="Times New Roman"/>
          <w:szCs w:val="24"/>
        </w:rPr>
        <w:t xml:space="preserve"> </w:t>
      </w:r>
      <w:r w:rsidR="002E098B" w:rsidRPr="008548E1">
        <w:rPr>
          <w:rFonts w:ascii="Times New Roman" w:hAnsi="Times New Roman"/>
          <w:szCs w:val="24"/>
        </w:rPr>
        <w:t>the single</w:t>
      </w:r>
      <w:r w:rsidR="002E098B">
        <w:rPr>
          <w:rFonts w:ascii="Times New Roman" w:hAnsi="Times New Roman"/>
          <w:szCs w:val="24"/>
        </w:rPr>
        <w:t xml:space="preserve"> </w:t>
      </w:r>
      <w:r w:rsidR="002E098B" w:rsidRPr="008548E1">
        <w:rPr>
          <w:rFonts w:ascii="Times New Roman" w:hAnsi="Times New Roman"/>
          <w:szCs w:val="24"/>
        </w:rPr>
        <w:t>“A” interest rate used by Mr. Gorman for his risk premium analysis was 5.57%</w:t>
      </w:r>
      <w:r w:rsidR="003B1562">
        <w:rPr>
          <w:rFonts w:ascii="Times New Roman" w:hAnsi="Times New Roman"/>
          <w:szCs w:val="24"/>
        </w:rPr>
        <w:t xml:space="preserve"> (based on average rates between July-October 2005) </w:t>
      </w:r>
      <w:r w:rsidR="002E098B" w:rsidRPr="008548E1">
        <w:rPr>
          <w:rFonts w:ascii="Times New Roman" w:hAnsi="Times New Roman"/>
          <w:szCs w:val="24"/>
        </w:rPr>
        <w:t xml:space="preserve">—a difference of only </w:t>
      </w:r>
      <w:r w:rsidR="002E098B" w:rsidRPr="008548E1">
        <w:rPr>
          <w:rFonts w:ascii="Times New Roman" w:hAnsi="Times New Roman"/>
          <w:i/>
          <w:szCs w:val="24"/>
        </w:rPr>
        <w:t>one basis point</w:t>
      </w:r>
      <w:r w:rsidR="002E098B" w:rsidRPr="008548E1">
        <w:rPr>
          <w:rFonts w:ascii="Times New Roman" w:hAnsi="Times New Roman"/>
          <w:szCs w:val="24"/>
        </w:rPr>
        <w:t>.</w:t>
      </w:r>
      <w:r w:rsidR="002E098B" w:rsidRPr="00432605">
        <w:rPr>
          <w:rStyle w:val="FootnoteReference"/>
          <w:rFonts w:ascii="Times New Roman" w:hAnsi="Times New Roman"/>
          <w:szCs w:val="24"/>
        </w:rPr>
        <w:footnoteReference w:id="33"/>
      </w:r>
      <w:r w:rsidR="002E098B" w:rsidRPr="008548E1">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t>T</w:t>
      </w:r>
      <w:r w:rsidRPr="00432605">
        <w:rPr>
          <w:rFonts w:ascii="Times New Roman" w:hAnsi="Times New Roman"/>
          <w:szCs w:val="24"/>
        </w:rPr>
        <w:t xml:space="preserve">he average ROEs awarded in 2006 are nearly the same as the average ROEs </w:t>
      </w:r>
      <w:r>
        <w:rPr>
          <w:rFonts w:ascii="Times New Roman" w:hAnsi="Times New Roman"/>
          <w:szCs w:val="24"/>
        </w:rPr>
        <w:t xml:space="preserve">awarded </w:t>
      </w:r>
      <w:r w:rsidRPr="00432605">
        <w:rPr>
          <w:rFonts w:ascii="Times New Roman" w:hAnsi="Times New Roman"/>
          <w:szCs w:val="24"/>
        </w:rPr>
        <w:t>in 2010</w:t>
      </w:r>
      <w:r>
        <w:rPr>
          <w:rFonts w:ascii="Times New Roman" w:hAnsi="Times New Roman"/>
          <w:szCs w:val="24"/>
        </w:rPr>
        <w:t xml:space="preserve">—10.36% </w:t>
      </w:r>
      <w:r w:rsidRPr="00432605">
        <w:rPr>
          <w:rFonts w:ascii="Times New Roman" w:hAnsi="Times New Roman"/>
          <w:szCs w:val="24"/>
        </w:rPr>
        <w:t xml:space="preserve">for electric utilities </w:t>
      </w:r>
      <w:r>
        <w:rPr>
          <w:rFonts w:ascii="Times New Roman" w:hAnsi="Times New Roman"/>
          <w:szCs w:val="24"/>
        </w:rPr>
        <w:t xml:space="preserve">in 2006 and </w:t>
      </w:r>
      <w:r w:rsidRPr="00432605">
        <w:rPr>
          <w:rFonts w:ascii="Times New Roman" w:hAnsi="Times New Roman"/>
          <w:szCs w:val="24"/>
        </w:rPr>
        <w:t>10.34%</w:t>
      </w:r>
      <w:r>
        <w:rPr>
          <w:rFonts w:ascii="Times New Roman" w:hAnsi="Times New Roman"/>
          <w:szCs w:val="24"/>
        </w:rPr>
        <w:t xml:space="preserve"> in 2010</w:t>
      </w:r>
      <w:r w:rsidRPr="00432605">
        <w:rPr>
          <w:rFonts w:ascii="Times New Roman" w:hAnsi="Times New Roman"/>
          <w:szCs w:val="24"/>
        </w:rPr>
        <w:t xml:space="preserve">—a </w:t>
      </w:r>
      <w:r w:rsidRPr="002E4C43">
        <w:t>difference</w:t>
      </w:r>
      <w:r w:rsidRPr="00432605">
        <w:rPr>
          <w:rFonts w:ascii="Times New Roman" w:hAnsi="Times New Roman"/>
          <w:szCs w:val="24"/>
        </w:rPr>
        <w:t xml:space="preserve"> of </w:t>
      </w:r>
      <w:r w:rsidRPr="00432605">
        <w:rPr>
          <w:rFonts w:ascii="Times New Roman" w:hAnsi="Times New Roman"/>
          <w:i/>
          <w:szCs w:val="24"/>
        </w:rPr>
        <w:t>two basis points</w:t>
      </w:r>
      <w:r w:rsidRPr="00432605">
        <w:rPr>
          <w:rFonts w:ascii="Times New Roman" w:hAnsi="Times New Roman"/>
          <w:szCs w:val="24"/>
        </w:rPr>
        <w:t>.</w:t>
      </w:r>
      <w:r w:rsidRPr="00432605">
        <w:rPr>
          <w:rStyle w:val="FootnoteReference"/>
          <w:rFonts w:ascii="Times New Roman" w:hAnsi="Times New Roman"/>
          <w:szCs w:val="24"/>
        </w:rPr>
        <w:footnoteReference w:id="34"/>
      </w:r>
      <w:r w:rsidRPr="00432605">
        <w:rPr>
          <w:rFonts w:ascii="Times New Roman" w:hAnsi="Times New Roman"/>
          <w:szCs w:val="24"/>
        </w:rPr>
        <w:t xml:space="preserve">  While the use of average ROEs from other jurisdictions is not dispositive, the Commission has noted that it is useful as a measure of reasonableness.</w:t>
      </w:r>
      <w:r w:rsidRPr="00432605">
        <w:rPr>
          <w:rStyle w:val="FootnoteReference"/>
          <w:rFonts w:ascii="Times New Roman" w:hAnsi="Times New Roman"/>
          <w:szCs w:val="24"/>
        </w:rPr>
        <w:footnoteReference w:id="35"/>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3B7746">
        <w:rPr>
          <w:rFonts w:ascii="Times New Roman" w:hAnsi="Times New Roman"/>
          <w:szCs w:val="24"/>
        </w:rPr>
        <w:lastRenderedPageBreak/>
        <w:t xml:space="preserve"> </w:t>
      </w:r>
      <w:r w:rsidRPr="003B7746">
        <w:rPr>
          <w:rFonts w:ascii="Times New Roman" w:hAnsi="Times New Roman"/>
          <w:szCs w:val="24"/>
        </w:rPr>
        <w:tab/>
        <w:t>In contrast, utility stock prices and performance have declined dramatically since April 2006 when the Commission set a 10.2% ROE for PacifiCorp.  Mr. Gorman’s testimony demonstrate</w:t>
      </w:r>
      <w:r>
        <w:rPr>
          <w:rFonts w:ascii="Times New Roman" w:hAnsi="Times New Roman"/>
          <w:szCs w:val="24"/>
        </w:rPr>
        <w:t>d</w:t>
      </w:r>
      <w:r w:rsidRPr="003B7746">
        <w:rPr>
          <w:rFonts w:ascii="Times New Roman" w:hAnsi="Times New Roman"/>
          <w:szCs w:val="24"/>
        </w:rPr>
        <w:t xml:space="preserve"> that in 2006, utility stock indices reflected a return in excess of 20%.</w:t>
      </w:r>
      <w:r w:rsidRPr="008548E1">
        <w:rPr>
          <w:rStyle w:val="FootnoteReference"/>
          <w:rFonts w:ascii="Times New Roman" w:hAnsi="Times New Roman"/>
          <w:szCs w:val="24"/>
        </w:rPr>
        <w:footnoteReference w:id="36"/>
      </w:r>
      <w:r w:rsidRPr="003B7746">
        <w:rPr>
          <w:rFonts w:ascii="Times New Roman" w:hAnsi="Times New Roman"/>
          <w:szCs w:val="24"/>
        </w:rPr>
        <w:t xml:space="preserve">  As of the second quarter of 2010, however, the utility stock index ha</w:t>
      </w:r>
      <w:r w:rsidR="003B1562">
        <w:rPr>
          <w:rFonts w:ascii="Times New Roman" w:hAnsi="Times New Roman"/>
          <w:szCs w:val="24"/>
        </w:rPr>
        <w:t>d</w:t>
      </w:r>
      <w:r w:rsidRPr="003B7746">
        <w:rPr>
          <w:rFonts w:ascii="Times New Roman" w:hAnsi="Times New Roman"/>
          <w:szCs w:val="24"/>
        </w:rPr>
        <w:t xml:space="preserve"> a</w:t>
      </w:r>
      <w:r w:rsidRPr="003B7746">
        <w:rPr>
          <w:rFonts w:ascii="Times New Roman" w:hAnsi="Times New Roman"/>
          <w:i/>
          <w:szCs w:val="24"/>
        </w:rPr>
        <w:t xml:space="preserve"> negative</w:t>
      </w:r>
      <w:r w:rsidRPr="003B7746">
        <w:rPr>
          <w:rFonts w:ascii="Times New Roman" w:hAnsi="Times New Roman"/>
          <w:szCs w:val="24"/>
        </w:rPr>
        <w:t xml:space="preserve"> return of approximately 8%.</w:t>
      </w:r>
      <w:r w:rsidRPr="008548E1">
        <w:rPr>
          <w:rStyle w:val="FootnoteReference"/>
          <w:rFonts w:ascii="Times New Roman" w:hAnsi="Times New Roman"/>
          <w:szCs w:val="24"/>
        </w:rPr>
        <w:footnoteReference w:id="37"/>
      </w:r>
      <w:r w:rsidRPr="003B7746">
        <w:rPr>
          <w:rFonts w:ascii="Times New Roman" w:hAnsi="Times New Roman"/>
          <w:szCs w:val="24"/>
        </w:rPr>
        <w:t xml:space="preserve">  </w:t>
      </w:r>
      <w:r w:rsidR="003B1562">
        <w:rPr>
          <w:rFonts w:ascii="Times New Roman" w:hAnsi="Times New Roman"/>
          <w:szCs w:val="24"/>
        </w:rPr>
        <w:t>While u</w:t>
      </w:r>
      <w:r w:rsidRPr="003B7746">
        <w:rPr>
          <w:rFonts w:ascii="Times New Roman" w:hAnsi="Times New Roman"/>
          <w:szCs w:val="24"/>
        </w:rPr>
        <w:t xml:space="preserve">tility stock indices were outperforming the market in 2006, </w:t>
      </w:r>
      <w:r w:rsidR="003B1562">
        <w:rPr>
          <w:rFonts w:ascii="Times New Roman" w:hAnsi="Times New Roman"/>
          <w:szCs w:val="24"/>
        </w:rPr>
        <w:t xml:space="preserve">they </w:t>
      </w:r>
      <w:r w:rsidRPr="003B7746">
        <w:rPr>
          <w:rFonts w:ascii="Times New Roman" w:hAnsi="Times New Roman"/>
          <w:szCs w:val="24"/>
        </w:rPr>
        <w:t>are currently underperforming the market.</w:t>
      </w:r>
      <w:r w:rsidRPr="008548E1">
        <w:rPr>
          <w:rStyle w:val="FootnoteReference"/>
          <w:rFonts w:ascii="Times New Roman" w:hAnsi="Times New Roman"/>
          <w:szCs w:val="24"/>
        </w:rPr>
        <w:footnoteReference w:id="38"/>
      </w:r>
      <w:r w:rsidRPr="003B7746">
        <w:rPr>
          <w:rFonts w:ascii="Times New Roman" w:hAnsi="Times New Roman"/>
          <w:szCs w:val="24"/>
        </w:rPr>
        <w:t xml:space="preserve">  In addition to historic performance data, </w:t>
      </w:r>
      <w:r w:rsidR="00450E9C">
        <w:rPr>
          <w:rFonts w:ascii="Times New Roman" w:hAnsi="Times New Roman"/>
          <w:szCs w:val="24"/>
        </w:rPr>
        <w:t>Standard &amp; Poor’s (</w:t>
      </w:r>
      <w:r w:rsidRPr="003B7746">
        <w:rPr>
          <w:rFonts w:ascii="Times New Roman" w:hAnsi="Times New Roman"/>
          <w:szCs w:val="24"/>
        </w:rPr>
        <w:t>S&amp;P</w:t>
      </w:r>
      <w:r w:rsidR="00450E9C">
        <w:rPr>
          <w:rFonts w:ascii="Times New Roman" w:hAnsi="Times New Roman"/>
          <w:szCs w:val="24"/>
        </w:rPr>
        <w:t>)</w:t>
      </w:r>
      <w:r w:rsidRPr="003B7746">
        <w:rPr>
          <w:rFonts w:ascii="Times New Roman" w:hAnsi="Times New Roman"/>
          <w:szCs w:val="24"/>
        </w:rPr>
        <w:t xml:space="preserve"> forecasts indicate that utility stock prices are expected to continue to be volatile, and these uncertainties in the market translate directly into higher costs of capital.</w:t>
      </w:r>
      <w:r w:rsidRPr="008548E1">
        <w:rPr>
          <w:rStyle w:val="FootnoteReference"/>
          <w:rFonts w:ascii="Times New Roman" w:hAnsi="Times New Roman"/>
          <w:szCs w:val="24"/>
        </w:rPr>
        <w:footnoteReference w:id="39"/>
      </w:r>
      <w:r w:rsidRPr="003B7746">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CB584C">
        <w:rPr>
          <w:rFonts w:ascii="Times New Roman" w:hAnsi="Times New Roman"/>
          <w:szCs w:val="24"/>
        </w:rPr>
        <w:tab/>
        <w:t>Taken together, these indicators suggest that</w:t>
      </w:r>
      <w:r>
        <w:rPr>
          <w:rFonts w:ascii="Times New Roman" w:hAnsi="Times New Roman"/>
          <w:szCs w:val="24"/>
        </w:rPr>
        <w:t xml:space="preserve"> PacifiCorp’s ROE should move upward from the current level set in 2006 as proposed by PacifiCorp, not downward as proposed by Staff and ICNU</w:t>
      </w:r>
      <w:r w:rsidRPr="00CB584C">
        <w:rPr>
          <w:rFonts w:ascii="Times New Roman" w:hAnsi="Times New Roman"/>
          <w:szCs w:val="24"/>
        </w:rPr>
        <w:t xml:space="preserve">.    </w:t>
      </w:r>
    </w:p>
    <w:p w:rsidR="00973298" w:rsidRDefault="002E098B">
      <w:pPr>
        <w:widowControl w:val="0"/>
        <w:spacing w:after="240"/>
        <w:ind w:left="1440" w:hanging="720"/>
        <w:rPr>
          <w:rFonts w:ascii="Times New Roman" w:hAnsi="Times New Roman"/>
          <w:b/>
          <w:szCs w:val="24"/>
        </w:rPr>
      </w:pPr>
      <w:r w:rsidRPr="00432605">
        <w:rPr>
          <w:rFonts w:ascii="Times New Roman" w:hAnsi="Times New Roman"/>
          <w:b/>
          <w:szCs w:val="24"/>
        </w:rPr>
        <w:t>2.</w:t>
      </w:r>
      <w:r w:rsidRPr="00432605">
        <w:rPr>
          <w:rFonts w:ascii="Times New Roman" w:hAnsi="Times New Roman"/>
          <w:b/>
          <w:szCs w:val="24"/>
        </w:rPr>
        <w:tab/>
        <w:t>ICNU’s Constant Growth DCF Method</w:t>
      </w:r>
      <w:r>
        <w:rPr>
          <w:rFonts w:ascii="Times New Roman" w:hAnsi="Times New Roman"/>
          <w:b/>
          <w:szCs w:val="24"/>
        </w:rPr>
        <w:t xml:space="preserve"> Using Analysts’ Growth Rates and Corrected Risk Premium Method </w:t>
      </w:r>
      <w:r w:rsidRPr="00432605">
        <w:rPr>
          <w:rFonts w:ascii="Times New Roman" w:hAnsi="Times New Roman"/>
          <w:b/>
          <w:szCs w:val="24"/>
        </w:rPr>
        <w:t>Support the Company’s Proposed ROE.</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562D4D">
        <w:rPr>
          <w:rFonts w:ascii="Times New Roman" w:hAnsi="Times New Roman"/>
          <w:szCs w:val="24"/>
        </w:rPr>
        <w:tab/>
        <w:t>The Commission consistently relies upon the DCF method when determining reasonable ROEs and found that “use of the simple constant-growth DCF method is generally preferable to the more complex and assumption-intensive multi-stage method.”</w:t>
      </w:r>
      <w:r w:rsidRPr="00432605">
        <w:rPr>
          <w:rStyle w:val="FootnoteReference"/>
          <w:rFonts w:ascii="Times New Roman" w:hAnsi="Times New Roman"/>
          <w:szCs w:val="24"/>
        </w:rPr>
        <w:footnoteReference w:id="40"/>
      </w:r>
      <w:r w:rsidRPr="00562D4D">
        <w:rPr>
          <w:rFonts w:ascii="Times New Roman" w:hAnsi="Times New Roman"/>
          <w:szCs w:val="24"/>
        </w:rPr>
        <w:t xml:space="preserve">  </w:t>
      </w:r>
    </w:p>
    <w:p w:rsidR="00973298" w:rsidRDefault="00BE332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2E098B" w:rsidRPr="00562D4D">
        <w:rPr>
          <w:rFonts w:ascii="Times New Roman" w:hAnsi="Times New Roman"/>
          <w:szCs w:val="24"/>
        </w:rPr>
        <w:t xml:space="preserve">In this case, Mr. Gorman’s constant-growth DCF analysis using analysts’ growth rates yielded </w:t>
      </w:r>
      <w:r w:rsidR="002E098B">
        <w:rPr>
          <w:rFonts w:ascii="Times New Roman" w:hAnsi="Times New Roman"/>
          <w:szCs w:val="24"/>
        </w:rPr>
        <w:t xml:space="preserve">an ROE range of </w:t>
      </w:r>
      <w:r w:rsidR="002E098B" w:rsidRPr="00562D4D">
        <w:rPr>
          <w:rFonts w:ascii="Times New Roman" w:hAnsi="Times New Roman"/>
          <w:szCs w:val="24"/>
        </w:rPr>
        <w:t xml:space="preserve">10.45% </w:t>
      </w:r>
      <w:r w:rsidR="002E098B">
        <w:rPr>
          <w:rFonts w:ascii="Times New Roman" w:hAnsi="Times New Roman"/>
          <w:szCs w:val="24"/>
        </w:rPr>
        <w:t>to</w:t>
      </w:r>
      <w:r w:rsidR="002E098B" w:rsidRPr="00562D4D">
        <w:rPr>
          <w:rFonts w:ascii="Times New Roman" w:hAnsi="Times New Roman"/>
          <w:szCs w:val="24"/>
        </w:rPr>
        <w:t xml:space="preserve"> 10.50%.</w:t>
      </w:r>
      <w:r w:rsidR="002E098B">
        <w:rPr>
          <w:rStyle w:val="FootnoteReference"/>
          <w:rFonts w:ascii="Times New Roman" w:hAnsi="Times New Roman"/>
          <w:szCs w:val="24"/>
        </w:rPr>
        <w:footnoteReference w:id="41"/>
      </w:r>
      <w:r w:rsidR="002E098B" w:rsidRPr="00562D4D">
        <w:rPr>
          <w:rFonts w:ascii="Times New Roman" w:hAnsi="Times New Roman"/>
          <w:szCs w:val="24"/>
        </w:rPr>
        <w:t xml:space="preserve"> These results are far closer to the Company’s proposed</w:t>
      </w:r>
      <w:r w:rsidR="002E098B">
        <w:rPr>
          <w:rFonts w:ascii="Times New Roman" w:hAnsi="Times New Roman"/>
          <w:szCs w:val="24"/>
        </w:rPr>
        <w:t xml:space="preserve"> </w:t>
      </w:r>
      <w:r w:rsidR="002E098B" w:rsidRPr="00562D4D">
        <w:rPr>
          <w:rFonts w:ascii="Times New Roman" w:hAnsi="Times New Roman"/>
          <w:szCs w:val="24"/>
        </w:rPr>
        <w:t xml:space="preserve">10.6% than Mr. Gorman’s own 9.5%.   </w:t>
      </w:r>
    </w:p>
    <w:p w:rsidR="00973298" w:rsidRDefault="00BE332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2E098B" w:rsidRPr="00AF331E">
        <w:rPr>
          <w:rFonts w:ascii="Times New Roman" w:hAnsi="Times New Roman"/>
          <w:szCs w:val="24"/>
        </w:rPr>
        <w:t xml:space="preserve">In both this case and the 2005 GRC, Mr. Gorman relied on the </w:t>
      </w:r>
      <w:r w:rsidR="002E098B" w:rsidRPr="002E4C43">
        <w:t>constant</w:t>
      </w:r>
      <w:r w:rsidR="002E098B" w:rsidRPr="00AF331E">
        <w:rPr>
          <w:rFonts w:ascii="Times New Roman" w:hAnsi="Times New Roman"/>
          <w:szCs w:val="24"/>
        </w:rPr>
        <w:t xml:space="preserve">-growth DCF </w:t>
      </w:r>
      <w:r w:rsidR="002E098B" w:rsidRPr="00AF331E">
        <w:rPr>
          <w:rFonts w:ascii="Times New Roman" w:hAnsi="Times New Roman"/>
          <w:szCs w:val="24"/>
        </w:rPr>
        <w:lastRenderedPageBreak/>
        <w:t>method using analysts’ growth</w:t>
      </w:r>
      <w:r w:rsidR="002E098B">
        <w:rPr>
          <w:rFonts w:ascii="Times New Roman" w:hAnsi="Times New Roman"/>
          <w:szCs w:val="24"/>
        </w:rPr>
        <w:t xml:space="preserve"> </w:t>
      </w:r>
      <w:r w:rsidR="002E098B" w:rsidRPr="00AF331E">
        <w:rPr>
          <w:rFonts w:ascii="Times New Roman" w:hAnsi="Times New Roman"/>
          <w:szCs w:val="24"/>
        </w:rPr>
        <w:t>rates.</w:t>
      </w:r>
      <w:r w:rsidR="002E098B" w:rsidRPr="00432605">
        <w:rPr>
          <w:rStyle w:val="FootnoteReference"/>
          <w:rFonts w:ascii="Times New Roman" w:hAnsi="Times New Roman"/>
          <w:szCs w:val="24"/>
        </w:rPr>
        <w:footnoteReference w:id="42"/>
      </w:r>
      <w:r w:rsidR="002E098B" w:rsidRPr="00AF331E">
        <w:rPr>
          <w:rFonts w:ascii="Times New Roman" w:hAnsi="Times New Roman"/>
          <w:szCs w:val="24"/>
        </w:rPr>
        <w:t xml:space="preserve">  Indeed, in the Company’s 2005 </w:t>
      </w:r>
      <w:r w:rsidR="00B50CD4">
        <w:rPr>
          <w:rFonts w:ascii="Times New Roman" w:hAnsi="Times New Roman"/>
          <w:szCs w:val="24"/>
        </w:rPr>
        <w:t>GRC</w:t>
      </w:r>
      <w:r w:rsidR="002E098B" w:rsidRPr="00AF331E">
        <w:rPr>
          <w:rFonts w:ascii="Times New Roman" w:hAnsi="Times New Roman"/>
          <w:szCs w:val="24"/>
        </w:rPr>
        <w:t xml:space="preserve">, Mr. Gorman’s DCF analysis was based solely on his constant-growth DCF </w:t>
      </w:r>
      <w:r w:rsidR="00B50CD4">
        <w:rPr>
          <w:rFonts w:ascii="Times New Roman" w:hAnsi="Times New Roman"/>
          <w:szCs w:val="24"/>
        </w:rPr>
        <w:t>model</w:t>
      </w:r>
      <w:r w:rsidR="002E098B" w:rsidRPr="00AF331E">
        <w:rPr>
          <w:rFonts w:ascii="Times New Roman" w:hAnsi="Times New Roman"/>
          <w:szCs w:val="24"/>
        </w:rPr>
        <w:t xml:space="preserve"> using analysts’ growth rates.</w:t>
      </w:r>
      <w:r w:rsidR="002E098B" w:rsidRPr="00432605">
        <w:rPr>
          <w:rStyle w:val="FootnoteReference"/>
          <w:rFonts w:ascii="Times New Roman" w:hAnsi="Times New Roman"/>
          <w:szCs w:val="24"/>
        </w:rPr>
        <w:footnoteReference w:id="43"/>
      </w:r>
      <w:r w:rsidR="002E098B" w:rsidRPr="00AF331E">
        <w:rPr>
          <w:rFonts w:ascii="Times New Roman" w:hAnsi="Times New Roman"/>
          <w:szCs w:val="24"/>
        </w:rPr>
        <w:t xml:space="preserve">  Mr. Gorman’s testimony in the 2005 </w:t>
      </w:r>
      <w:r w:rsidR="00B50CD4">
        <w:rPr>
          <w:rFonts w:ascii="Times New Roman" w:hAnsi="Times New Roman"/>
          <w:szCs w:val="24"/>
        </w:rPr>
        <w:t>GRC</w:t>
      </w:r>
      <w:r w:rsidR="002E098B" w:rsidRPr="00AF331E">
        <w:rPr>
          <w:rFonts w:ascii="Times New Roman" w:hAnsi="Times New Roman"/>
          <w:szCs w:val="24"/>
        </w:rPr>
        <w:t xml:space="preserve"> and </w:t>
      </w:r>
      <w:r w:rsidR="002E098B">
        <w:rPr>
          <w:rFonts w:ascii="Times New Roman" w:hAnsi="Times New Roman"/>
          <w:szCs w:val="24"/>
        </w:rPr>
        <w:t xml:space="preserve">in this case </w:t>
      </w:r>
      <w:r w:rsidR="002E098B" w:rsidRPr="00AF331E">
        <w:rPr>
          <w:rFonts w:ascii="Times New Roman" w:hAnsi="Times New Roman"/>
          <w:szCs w:val="24"/>
        </w:rPr>
        <w:t>is virtually identical: “Security analysts’ growth estimates have been shown to be more accurate predictors of future returns than growth rates derived from historical data because they are more reliable estimates.”</w:t>
      </w:r>
      <w:r w:rsidR="002E098B" w:rsidRPr="00432605">
        <w:rPr>
          <w:rStyle w:val="FootnoteReference"/>
          <w:rFonts w:ascii="Times New Roman" w:hAnsi="Times New Roman"/>
          <w:szCs w:val="24"/>
        </w:rPr>
        <w:footnoteReference w:id="44"/>
      </w:r>
      <w:r w:rsidR="002E098B" w:rsidRPr="00AF331E">
        <w:rPr>
          <w:rFonts w:ascii="Times New Roman" w:hAnsi="Times New Roman"/>
          <w:szCs w:val="24"/>
        </w:rPr>
        <w:t xml:space="preserve">  </w:t>
      </w:r>
      <w:r w:rsidR="002E098B">
        <w:rPr>
          <w:rFonts w:ascii="Times New Roman" w:hAnsi="Times New Roman"/>
          <w:szCs w:val="24"/>
        </w:rPr>
        <w:t>A</w:t>
      </w:r>
      <w:r w:rsidR="002E098B" w:rsidRPr="00AF331E">
        <w:rPr>
          <w:rFonts w:ascii="Times New Roman" w:hAnsi="Times New Roman"/>
          <w:szCs w:val="24"/>
        </w:rPr>
        <w:t xml:space="preserve">ccording to Mr. Gorman, </w:t>
      </w:r>
      <w:r w:rsidR="002E098B">
        <w:rPr>
          <w:rFonts w:ascii="Times New Roman" w:hAnsi="Times New Roman"/>
          <w:szCs w:val="24"/>
        </w:rPr>
        <w:t xml:space="preserve">these </w:t>
      </w:r>
      <w:r w:rsidR="002E098B" w:rsidRPr="00AF331E">
        <w:rPr>
          <w:rFonts w:ascii="Times New Roman" w:hAnsi="Times New Roman"/>
          <w:szCs w:val="24"/>
        </w:rPr>
        <w:t>“are the most likely growth estimates that are built into stock prices.”</w:t>
      </w:r>
      <w:r w:rsidR="002E098B" w:rsidRPr="00432605">
        <w:rPr>
          <w:rStyle w:val="FootnoteReference"/>
          <w:rFonts w:ascii="Times New Roman" w:hAnsi="Times New Roman"/>
          <w:szCs w:val="24"/>
        </w:rPr>
        <w:footnoteReference w:id="45"/>
      </w:r>
      <w:r w:rsidR="002E098B" w:rsidRPr="00AF331E">
        <w:rPr>
          <w:rFonts w:ascii="Times New Roman" w:hAnsi="Times New Roman"/>
          <w:szCs w:val="24"/>
        </w:rPr>
        <w:t xml:space="preserve">  Similarly, Dr. Hadaway relied upon analysts’ forecasts because they are objective, verifiable forecasts from independent third parties.</w:t>
      </w:r>
      <w:r w:rsidR="002E098B" w:rsidRPr="00432605">
        <w:rPr>
          <w:rStyle w:val="FootnoteReference"/>
          <w:rFonts w:ascii="Times New Roman" w:hAnsi="Times New Roman"/>
          <w:szCs w:val="24"/>
        </w:rPr>
        <w:footnoteReference w:id="46"/>
      </w:r>
      <w:r w:rsidR="002E098B" w:rsidRPr="00AF331E">
        <w:rPr>
          <w:rFonts w:ascii="Times New Roman" w:hAnsi="Times New Roman"/>
          <w:szCs w:val="24"/>
        </w:rPr>
        <w:t xml:space="preserve">                 </w:t>
      </w:r>
    </w:p>
    <w:p w:rsidR="00973298" w:rsidRDefault="00BE332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2E098B" w:rsidRPr="00FD7C0E">
        <w:rPr>
          <w:rFonts w:ascii="Times New Roman" w:hAnsi="Times New Roman"/>
          <w:szCs w:val="24"/>
        </w:rPr>
        <w:t xml:space="preserve">Mr. Gorman relied on his risk premium analysis to </w:t>
      </w:r>
      <w:r w:rsidR="00B50CD4">
        <w:rPr>
          <w:rFonts w:ascii="Times New Roman" w:hAnsi="Times New Roman"/>
          <w:szCs w:val="24"/>
        </w:rPr>
        <w:t xml:space="preserve">reduce </w:t>
      </w:r>
      <w:r w:rsidR="002E098B" w:rsidRPr="00FD7C0E">
        <w:rPr>
          <w:rFonts w:ascii="Times New Roman" w:hAnsi="Times New Roman"/>
          <w:szCs w:val="24"/>
        </w:rPr>
        <w:t>his recommended ROE.</w:t>
      </w:r>
      <w:r w:rsidR="002E098B" w:rsidRPr="00432605">
        <w:rPr>
          <w:rStyle w:val="FootnoteReference"/>
          <w:rFonts w:ascii="Times New Roman" w:hAnsi="Times New Roman"/>
          <w:szCs w:val="24"/>
        </w:rPr>
        <w:footnoteReference w:id="47"/>
      </w:r>
      <w:r w:rsidR="002E098B" w:rsidRPr="00FD7C0E">
        <w:rPr>
          <w:rFonts w:ascii="Times New Roman" w:hAnsi="Times New Roman"/>
          <w:szCs w:val="24"/>
        </w:rPr>
        <w:t xml:space="preserve">  H</w:t>
      </w:r>
      <w:r w:rsidR="002E098B">
        <w:rPr>
          <w:rFonts w:ascii="Times New Roman" w:hAnsi="Times New Roman"/>
          <w:szCs w:val="24"/>
        </w:rPr>
        <w:t>owever, h</w:t>
      </w:r>
      <w:r w:rsidR="002E098B" w:rsidRPr="00FD7C0E">
        <w:rPr>
          <w:rFonts w:ascii="Times New Roman" w:hAnsi="Times New Roman"/>
          <w:szCs w:val="24"/>
        </w:rPr>
        <w:t xml:space="preserve">is analysis is flawed because he </w:t>
      </w:r>
      <w:r w:rsidR="002E098B" w:rsidRPr="002E4C43">
        <w:t>fails</w:t>
      </w:r>
      <w:r w:rsidR="002E098B" w:rsidRPr="00FD7C0E">
        <w:rPr>
          <w:rFonts w:ascii="Times New Roman" w:hAnsi="Times New Roman"/>
          <w:szCs w:val="24"/>
        </w:rPr>
        <w:t xml:space="preserve"> to take into account the well-established </w:t>
      </w:r>
      <w:r w:rsidR="002E098B">
        <w:rPr>
          <w:rFonts w:ascii="Times New Roman" w:hAnsi="Times New Roman"/>
          <w:szCs w:val="24"/>
        </w:rPr>
        <w:t>and empirically verified</w:t>
      </w:r>
      <w:r w:rsidR="002E098B" w:rsidRPr="00FD7C0E">
        <w:rPr>
          <w:rFonts w:ascii="Times New Roman" w:hAnsi="Times New Roman"/>
          <w:szCs w:val="24"/>
        </w:rPr>
        <w:t xml:space="preserve"> tendency for equity risk premiums to increase when interest rates are low and decrease when they are high.</w:t>
      </w:r>
      <w:r w:rsidR="002E098B" w:rsidRPr="00432605">
        <w:rPr>
          <w:rStyle w:val="FootnoteReference"/>
          <w:rFonts w:ascii="Times New Roman" w:hAnsi="Times New Roman"/>
          <w:szCs w:val="24"/>
        </w:rPr>
        <w:footnoteReference w:id="48"/>
      </w:r>
      <w:r w:rsidR="002E098B" w:rsidRPr="00FD7C0E">
        <w:rPr>
          <w:rFonts w:ascii="Times New Roman" w:hAnsi="Times New Roman"/>
          <w:szCs w:val="24"/>
        </w:rPr>
        <w:t xml:space="preserve">  Dr. </w:t>
      </w:r>
      <w:proofErr w:type="spellStart"/>
      <w:r w:rsidR="002E098B" w:rsidRPr="00FD7C0E">
        <w:rPr>
          <w:rFonts w:ascii="Times New Roman" w:hAnsi="Times New Roman"/>
          <w:szCs w:val="24"/>
        </w:rPr>
        <w:t>Hadaway’s</w:t>
      </w:r>
      <w:proofErr w:type="spellEnd"/>
      <w:r w:rsidR="002E098B" w:rsidRPr="00FD7C0E">
        <w:rPr>
          <w:rFonts w:ascii="Times New Roman" w:hAnsi="Times New Roman"/>
          <w:szCs w:val="24"/>
        </w:rPr>
        <w:t xml:space="preserve"> testimony provided thorough and complete regression analysis to demonstrate this inverse relationship, which is altogether ignored in Mr. Gorman’s testimony.</w:t>
      </w:r>
      <w:r w:rsidR="002E098B" w:rsidRPr="00432605">
        <w:rPr>
          <w:rStyle w:val="FootnoteReference"/>
          <w:rFonts w:ascii="Times New Roman" w:hAnsi="Times New Roman"/>
          <w:szCs w:val="24"/>
        </w:rPr>
        <w:footnoteReference w:id="49"/>
      </w:r>
      <w:r w:rsidR="002E098B" w:rsidRPr="00FD7C0E">
        <w:rPr>
          <w:rFonts w:ascii="Times New Roman" w:hAnsi="Times New Roman"/>
          <w:szCs w:val="24"/>
        </w:rPr>
        <w:t xml:space="preserve">  Dr. </w:t>
      </w:r>
      <w:proofErr w:type="spellStart"/>
      <w:r w:rsidR="002E098B" w:rsidRPr="00FD7C0E">
        <w:rPr>
          <w:rFonts w:ascii="Times New Roman" w:hAnsi="Times New Roman"/>
          <w:szCs w:val="24"/>
        </w:rPr>
        <w:t>Hadaway’s</w:t>
      </w:r>
      <w:proofErr w:type="spellEnd"/>
      <w:r w:rsidR="002E098B" w:rsidRPr="00FD7C0E">
        <w:rPr>
          <w:rFonts w:ascii="Times New Roman" w:hAnsi="Times New Roman"/>
          <w:szCs w:val="24"/>
        </w:rPr>
        <w:t xml:space="preserve"> analysis persuasively demonstrated that when Mr. Gorman’s risk premium method is corrected for this omission, it results in a midpoint ROE of 10.23%, a result closer to the Company’s proposed ROE than his own.  </w:t>
      </w:r>
    </w:p>
    <w:p w:rsidR="00973298" w:rsidRDefault="002E098B">
      <w:pPr>
        <w:widowControl w:val="0"/>
        <w:spacing w:after="240"/>
        <w:ind w:left="1440" w:hanging="720"/>
        <w:rPr>
          <w:rFonts w:ascii="Times New Roman" w:hAnsi="Times New Roman"/>
          <w:szCs w:val="24"/>
        </w:rPr>
      </w:pPr>
      <w:r w:rsidRPr="00432605">
        <w:rPr>
          <w:rFonts w:ascii="Times New Roman" w:hAnsi="Times New Roman"/>
          <w:b/>
          <w:szCs w:val="24"/>
        </w:rPr>
        <w:t>3.</w:t>
      </w:r>
      <w:r w:rsidRPr="00432605">
        <w:rPr>
          <w:rFonts w:ascii="Times New Roman" w:hAnsi="Times New Roman"/>
          <w:b/>
          <w:szCs w:val="24"/>
        </w:rPr>
        <w:tab/>
      </w:r>
      <w:r>
        <w:rPr>
          <w:rFonts w:ascii="Times New Roman" w:hAnsi="Times New Roman"/>
          <w:b/>
          <w:szCs w:val="24"/>
        </w:rPr>
        <w:t>Staff’s ROE Recommendation in this Case is Unreasonable, as Demonstrated by a Comparison to Staff’s ROE Analysis in the Most Recent ROE Litigation at the Commission</w:t>
      </w:r>
      <w:r w:rsidRPr="00432605">
        <w:rPr>
          <w:rFonts w:ascii="Times New Roman" w:hAnsi="Times New Roman"/>
          <w:b/>
          <w:szCs w:val="24"/>
        </w:rPr>
        <w:t>.</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8B2A3A">
        <w:rPr>
          <w:rFonts w:ascii="Times New Roman" w:hAnsi="Times New Roman"/>
          <w:szCs w:val="24"/>
        </w:rPr>
        <w:lastRenderedPageBreak/>
        <w:t xml:space="preserve"> </w:t>
      </w:r>
      <w:r w:rsidR="00BE332B">
        <w:rPr>
          <w:rFonts w:ascii="Times New Roman" w:hAnsi="Times New Roman"/>
          <w:szCs w:val="24"/>
        </w:rPr>
        <w:tab/>
      </w:r>
      <w:r w:rsidRPr="008B2A3A">
        <w:rPr>
          <w:rFonts w:ascii="Times New Roman" w:hAnsi="Times New Roman"/>
          <w:szCs w:val="24"/>
        </w:rPr>
        <w:t xml:space="preserve">The </w:t>
      </w:r>
      <w:r>
        <w:rPr>
          <w:rFonts w:ascii="Times New Roman" w:hAnsi="Times New Roman"/>
          <w:szCs w:val="24"/>
        </w:rPr>
        <w:t xml:space="preserve">Commission’s </w:t>
      </w:r>
      <w:r w:rsidRPr="008B2A3A">
        <w:rPr>
          <w:rFonts w:ascii="Times New Roman" w:hAnsi="Times New Roman"/>
          <w:szCs w:val="24"/>
        </w:rPr>
        <w:t>most recent litigated ROE was 10.1%</w:t>
      </w:r>
      <w:proofErr w:type="gramStart"/>
      <w:r>
        <w:rPr>
          <w:rFonts w:ascii="Times New Roman" w:hAnsi="Times New Roman"/>
          <w:szCs w:val="24"/>
        </w:rPr>
        <w:t>,</w:t>
      </w:r>
      <w:proofErr w:type="gramEnd"/>
      <w:r w:rsidRPr="008B2A3A">
        <w:rPr>
          <w:rFonts w:ascii="Times New Roman" w:hAnsi="Times New Roman"/>
          <w:szCs w:val="24"/>
        </w:rPr>
        <w:t xml:space="preserve"> set in Puget Sound Energy</w:t>
      </w:r>
      <w:r w:rsidR="00450E9C">
        <w:rPr>
          <w:rFonts w:ascii="Times New Roman" w:hAnsi="Times New Roman"/>
          <w:szCs w:val="24"/>
        </w:rPr>
        <w:t>, Inc.</w:t>
      </w:r>
      <w:r w:rsidRPr="008B2A3A">
        <w:rPr>
          <w:rFonts w:ascii="Times New Roman" w:hAnsi="Times New Roman"/>
          <w:szCs w:val="24"/>
        </w:rPr>
        <w:t xml:space="preserve">’s </w:t>
      </w:r>
      <w:r w:rsidR="00450E9C">
        <w:rPr>
          <w:rFonts w:ascii="Times New Roman" w:hAnsi="Times New Roman"/>
          <w:szCs w:val="24"/>
        </w:rPr>
        <w:t xml:space="preserve">(Puget) </w:t>
      </w:r>
      <w:r w:rsidRPr="008B2A3A">
        <w:rPr>
          <w:rFonts w:ascii="Times New Roman" w:hAnsi="Times New Roman"/>
          <w:szCs w:val="24"/>
        </w:rPr>
        <w:t>last general rate case, Docket UE-090704</w:t>
      </w:r>
      <w:r>
        <w:rPr>
          <w:rFonts w:ascii="Times New Roman" w:hAnsi="Times New Roman"/>
          <w:szCs w:val="24"/>
        </w:rPr>
        <w:t xml:space="preserve"> (Puget GRC)</w:t>
      </w:r>
      <w:r w:rsidRPr="008B2A3A">
        <w:rPr>
          <w:rFonts w:ascii="Times New Roman" w:hAnsi="Times New Roman"/>
          <w:szCs w:val="24"/>
        </w:rPr>
        <w:t>, in April 2010.</w:t>
      </w:r>
      <w:r w:rsidRPr="00502BBB">
        <w:rPr>
          <w:rStyle w:val="FootnoteReference"/>
          <w:rFonts w:ascii="Times New Roman" w:hAnsi="Times New Roman"/>
          <w:szCs w:val="24"/>
        </w:rPr>
        <w:t xml:space="preserve"> </w:t>
      </w:r>
      <w:r w:rsidRPr="00432605">
        <w:rPr>
          <w:rStyle w:val="FootnoteReference"/>
          <w:rFonts w:ascii="Times New Roman" w:hAnsi="Times New Roman"/>
          <w:szCs w:val="24"/>
        </w:rPr>
        <w:footnoteReference w:id="50"/>
      </w:r>
      <w:r w:rsidRPr="008B2A3A">
        <w:rPr>
          <w:rFonts w:ascii="Times New Roman" w:hAnsi="Times New Roman"/>
          <w:szCs w:val="24"/>
        </w:rPr>
        <w:t xml:space="preserve">  In that case, Staff’s </w:t>
      </w:r>
      <w:r>
        <w:rPr>
          <w:rFonts w:ascii="Times New Roman" w:hAnsi="Times New Roman"/>
          <w:szCs w:val="24"/>
        </w:rPr>
        <w:t xml:space="preserve">witness David C. </w:t>
      </w:r>
      <w:proofErr w:type="spellStart"/>
      <w:r>
        <w:rPr>
          <w:rFonts w:ascii="Times New Roman" w:hAnsi="Times New Roman"/>
          <w:szCs w:val="24"/>
        </w:rPr>
        <w:t>Parcell</w:t>
      </w:r>
      <w:proofErr w:type="spellEnd"/>
      <w:r>
        <w:rPr>
          <w:rFonts w:ascii="Times New Roman" w:hAnsi="Times New Roman"/>
          <w:szCs w:val="24"/>
        </w:rPr>
        <w:t>, recommended an ROE of 10.0%.</w:t>
      </w:r>
      <w:r w:rsidR="003E7B80">
        <w:rPr>
          <w:rStyle w:val="FootnoteReference"/>
          <w:rFonts w:ascii="Times New Roman" w:hAnsi="Times New Roman"/>
          <w:szCs w:val="24"/>
        </w:rPr>
        <w:footnoteReference w:id="51"/>
      </w:r>
      <w:r>
        <w:rPr>
          <w:rFonts w:ascii="Times New Roman" w:hAnsi="Times New Roman"/>
          <w:szCs w:val="24"/>
        </w:rPr>
        <w:t xml:space="preserve">  Staff’s proposed ROE here is 50 basis points lower than Mr. </w:t>
      </w:r>
      <w:proofErr w:type="spellStart"/>
      <w:r>
        <w:rPr>
          <w:rFonts w:ascii="Times New Roman" w:hAnsi="Times New Roman"/>
          <w:szCs w:val="24"/>
        </w:rPr>
        <w:t>Parcell’s</w:t>
      </w:r>
      <w:proofErr w:type="spellEnd"/>
      <w:r>
        <w:rPr>
          <w:rFonts w:ascii="Times New Roman" w:hAnsi="Times New Roman"/>
          <w:szCs w:val="24"/>
        </w:rPr>
        <w:t xml:space="preserve"> recommendation.  A comparison of Staff’s position in the two cases demonstrates the unreasonableness of Staff’s recommendation </w:t>
      </w:r>
      <w:r w:rsidR="00843969">
        <w:rPr>
          <w:rFonts w:ascii="Times New Roman" w:hAnsi="Times New Roman"/>
          <w:szCs w:val="24"/>
        </w:rPr>
        <w:t>here</w:t>
      </w:r>
      <w:r>
        <w:rPr>
          <w:rFonts w:ascii="Times New Roman" w:hAnsi="Times New Roman"/>
          <w:szCs w:val="24"/>
        </w:rPr>
        <w:t xml:space="preserve">. </w:t>
      </w:r>
    </w:p>
    <w:p w:rsidR="00973298" w:rsidRDefault="00BE332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2E098B">
        <w:rPr>
          <w:rFonts w:ascii="Times New Roman" w:hAnsi="Times New Roman"/>
          <w:szCs w:val="24"/>
        </w:rPr>
        <w:t>A</w:t>
      </w:r>
      <w:r w:rsidR="002E098B" w:rsidRPr="00502BBB">
        <w:rPr>
          <w:rFonts w:ascii="Times New Roman" w:hAnsi="Times New Roman"/>
          <w:szCs w:val="24"/>
        </w:rPr>
        <w:t xml:space="preserve">t the time that Mr. </w:t>
      </w:r>
      <w:proofErr w:type="spellStart"/>
      <w:r w:rsidR="002E098B" w:rsidRPr="00502BBB">
        <w:rPr>
          <w:rFonts w:ascii="Times New Roman" w:hAnsi="Times New Roman"/>
          <w:szCs w:val="24"/>
        </w:rPr>
        <w:t>Parcell</w:t>
      </w:r>
      <w:proofErr w:type="spellEnd"/>
      <w:r w:rsidR="002E098B" w:rsidRPr="00502BBB">
        <w:rPr>
          <w:rFonts w:ascii="Times New Roman" w:hAnsi="Times New Roman"/>
          <w:szCs w:val="24"/>
        </w:rPr>
        <w:t xml:space="preserve"> filed his testimony in the Puget </w:t>
      </w:r>
      <w:r w:rsidR="002E098B">
        <w:rPr>
          <w:rFonts w:ascii="Times New Roman" w:hAnsi="Times New Roman"/>
          <w:szCs w:val="24"/>
        </w:rPr>
        <w:t>GRC</w:t>
      </w:r>
      <w:r w:rsidR="002E098B" w:rsidRPr="00502BBB">
        <w:rPr>
          <w:rFonts w:ascii="Times New Roman" w:hAnsi="Times New Roman"/>
          <w:szCs w:val="24"/>
        </w:rPr>
        <w:t xml:space="preserve">, </w:t>
      </w:r>
      <w:r w:rsidR="002E098B">
        <w:rPr>
          <w:rFonts w:ascii="Times New Roman" w:hAnsi="Times New Roman"/>
          <w:szCs w:val="24"/>
        </w:rPr>
        <w:t>s</w:t>
      </w:r>
      <w:r w:rsidR="002E098B" w:rsidRPr="00502BBB">
        <w:rPr>
          <w:rFonts w:ascii="Times New Roman" w:hAnsi="Times New Roman"/>
          <w:szCs w:val="24"/>
        </w:rPr>
        <w:t xml:space="preserve">ingle “A” utility interest rates </w:t>
      </w:r>
      <w:r w:rsidR="002E098B">
        <w:rPr>
          <w:rFonts w:ascii="Times New Roman" w:hAnsi="Times New Roman"/>
          <w:szCs w:val="24"/>
        </w:rPr>
        <w:t xml:space="preserve">were </w:t>
      </w:r>
      <w:r w:rsidR="002E098B" w:rsidRPr="00502BBB">
        <w:rPr>
          <w:rFonts w:ascii="Times New Roman" w:hAnsi="Times New Roman"/>
          <w:szCs w:val="24"/>
        </w:rPr>
        <w:t>5.56%—exactly the same as the current interest rates.</w:t>
      </w:r>
      <w:r w:rsidR="002E098B" w:rsidRPr="00432605">
        <w:rPr>
          <w:rStyle w:val="FootnoteReference"/>
          <w:rFonts w:ascii="Times New Roman" w:hAnsi="Times New Roman"/>
          <w:szCs w:val="24"/>
        </w:rPr>
        <w:footnoteReference w:id="52"/>
      </w:r>
      <w:r w:rsidR="002E098B" w:rsidRPr="00502BBB">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37314F">
        <w:rPr>
          <w:rFonts w:ascii="Times New Roman" w:hAnsi="Times New Roman"/>
          <w:szCs w:val="24"/>
        </w:rPr>
        <w:tab/>
        <w:t>In the Puget GRC, Mr. </w:t>
      </w:r>
      <w:proofErr w:type="spellStart"/>
      <w:r w:rsidRPr="0037314F">
        <w:rPr>
          <w:rFonts w:ascii="Times New Roman" w:hAnsi="Times New Roman"/>
          <w:szCs w:val="24"/>
        </w:rPr>
        <w:t>Parcell</w:t>
      </w:r>
      <w:proofErr w:type="spellEnd"/>
      <w:r w:rsidRPr="0037314F">
        <w:rPr>
          <w:rFonts w:ascii="Times New Roman" w:hAnsi="Times New Roman"/>
          <w:szCs w:val="24"/>
        </w:rPr>
        <w:t xml:space="preserve"> used combined proxy groups consisting of </w:t>
      </w:r>
      <w:r>
        <w:rPr>
          <w:rFonts w:ascii="Times New Roman" w:hAnsi="Times New Roman"/>
          <w:szCs w:val="24"/>
        </w:rPr>
        <w:t xml:space="preserve">a total of </w:t>
      </w:r>
      <w:r w:rsidRPr="0037314F">
        <w:rPr>
          <w:rFonts w:ascii="Times New Roman" w:hAnsi="Times New Roman"/>
          <w:szCs w:val="24"/>
        </w:rPr>
        <w:t>fifty-six companies.</w:t>
      </w:r>
      <w:r w:rsidRPr="00502BBB">
        <w:rPr>
          <w:rStyle w:val="FootnoteReference"/>
          <w:rFonts w:ascii="Times New Roman" w:hAnsi="Times New Roman"/>
          <w:szCs w:val="24"/>
        </w:rPr>
        <w:footnoteReference w:id="53"/>
      </w:r>
      <w:r w:rsidRPr="0037314F">
        <w:rPr>
          <w:rFonts w:ascii="Times New Roman" w:hAnsi="Times New Roman"/>
          <w:szCs w:val="24"/>
        </w:rPr>
        <w:t xml:space="preserve">  In contrast, </w:t>
      </w:r>
      <w:r w:rsidR="00450E9C">
        <w:rPr>
          <w:rFonts w:ascii="Times New Roman" w:hAnsi="Times New Roman"/>
          <w:szCs w:val="24"/>
        </w:rPr>
        <w:t xml:space="preserve">Staff witness </w:t>
      </w:r>
      <w:r>
        <w:rPr>
          <w:rFonts w:ascii="Times New Roman" w:hAnsi="Times New Roman"/>
          <w:szCs w:val="24"/>
        </w:rPr>
        <w:t>Kenneth L.</w:t>
      </w:r>
      <w:r w:rsidRPr="0037314F">
        <w:rPr>
          <w:rFonts w:ascii="Times New Roman" w:hAnsi="Times New Roman"/>
          <w:szCs w:val="24"/>
        </w:rPr>
        <w:t xml:space="preserve"> Elgin used a proxy group of only seven other utilities, because “a proxy group of twenty-two companies is simply too large and too complex for an investor to consider in making a </w:t>
      </w:r>
      <w:r w:rsidRPr="002E4C43">
        <w:t>rationa</w:t>
      </w:r>
      <w:r w:rsidRPr="0037314F">
        <w:rPr>
          <w:rFonts w:ascii="Times New Roman" w:hAnsi="Times New Roman"/>
          <w:szCs w:val="24"/>
        </w:rPr>
        <w:t>l investment decision.”</w:t>
      </w:r>
      <w:r w:rsidRPr="00502BBB">
        <w:rPr>
          <w:rStyle w:val="FootnoteReference"/>
          <w:rFonts w:ascii="Times New Roman" w:hAnsi="Times New Roman"/>
          <w:szCs w:val="24"/>
        </w:rPr>
        <w:footnoteReference w:id="54"/>
      </w:r>
      <w:r w:rsidRPr="0037314F">
        <w:rPr>
          <w:rFonts w:ascii="Times New Roman" w:hAnsi="Times New Roman"/>
          <w:szCs w:val="24"/>
        </w:rPr>
        <w:t xml:space="preserve">  This position is contrary not only to Mr. </w:t>
      </w:r>
      <w:proofErr w:type="spellStart"/>
      <w:r w:rsidRPr="0037314F">
        <w:rPr>
          <w:rFonts w:ascii="Times New Roman" w:hAnsi="Times New Roman"/>
          <w:szCs w:val="24"/>
        </w:rPr>
        <w:t>Parcell’s</w:t>
      </w:r>
      <w:proofErr w:type="spellEnd"/>
      <w:r w:rsidRPr="0037314F">
        <w:rPr>
          <w:rFonts w:ascii="Times New Roman" w:hAnsi="Times New Roman"/>
          <w:szCs w:val="24"/>
        </w:rPr>
        <w:t xml:space="preserve"> approach, but also to Mr. Gorman’s approach in this case,</w:t>
      </w:r>
      <w:r w:rsidRPr="00502BBB">
        <w:rPr>
          <w:rStyle w:val="FootnoteReference"/>
          <w:rFonts w:ascii="Times New Roman" w:hAnsi="Times New Roman"/>
          <w:szCs w:val="24"/>
        </w:rPr>
        <w:footnoteReference w:id="55"/>
      </w:r>
      <w:r w:rsidRPr="0037314F">
        <w:rPr>
          <w:rFonts w:ascii="Times New Roman" w:hAnsi="Times New Roman"/>
          <w:szCs w:val="24"/>
        </w:rPr>
        <w:t xml:space="preserve"> and to Staff witness James A. Rothschild’s approach in PacifiCorp’s 2005 GRC,</w:t>
      </w:r>
      <w:r w:rsidRPr="00502BBB">
        <w:rPr>
          <w:rStyle w:val="FootnoteReference"/>
          <w:rFonts w:ascii="Times New Roman" w:hAnsi="Times New Roman"/>
          <w:szCs w:val="24"/>
        </w:rPr>
        <w:footnoteReference w:id="56"/>
      </w:r>
      <w:r w:rsidRPr="0037314F">
        <w:rPr>
          <w:rFonts w:ascii="Times New Roman" w:hAnsi="Times New Roman"/>
          <w:szCs w:val="24"/>
        </w:rPr>
        <w:t xml:space="preserve"> where both </w:t>
      </w:r>
      <w:r>
        <w:rPr>
          <w:rFonts w:ascii="Times New Roman" w:hAnsi="Times New Roman"/>
          <w:szCs w:val="24"/>
        </w:rPr>
        <w:t>Mr. Gorman and Mr. Rothschild</w:t>
      </w:r>
      <w:r w:rsidRPr="0037314F">
        <w:rPr>
          <w:rFonts w:ascii="Times New Roman" w:hAnsi="Times New Roman"/>
          <w:szCs w:val="24"/>
        </w:rPr>
        <w:t xml:space="preserve"> accepted </w:t>
      </w:r>
      <w:r>
        <w:rPr>
          <w:rFonts w:ascii="Times New Roman" w:hAnsi="Times New Roman"/>
          <w:szCs w:val="24"/>
        </w:rPr>
        <w:t>D</w:t>
      </w:r>
      <w:r w:rsidRPr="0037314F">
        <w:rPr>
          <w:rFonts w:ascii="Times New Roman" w:hAnsi="Times New Roman"/>
          <w:szCs w:val="24"/>
        </w:rPr>
        <w:t xml:space="preserve">r. </w:t>
      </w:r>
      <w:proofErr w:type="spellStart"/>
      <w:r w:rsidRPr="0037314F">
        <w:rPr>
          <w:rFonts w:ascii="Times New Roman" w:hAnsi="Times New Roman"/>
          <w:szCs w:val="24"/>
        </w:rPr>
        <w:t>Hadaway’s</w:t>
      </w:r>
      <w:proofErr w:type="spellEnd"/>
      <w:r w:rsidRPr="0037314F">
        <w:rPr>
          <w:rFonts w:ascii="Times New Roman" w:hAnsi="Times New Roman"/>
          <w:szCs w:val="24"/>
        </w:rPr>
        <w:t xml:space="preserve"> proposed proxy group</w:t>
      </w:r>
      <w:r w:rsidR="00B50CD4">
        <w:rPr>
          <w:rFonts w:ascii="Times New Roman" w:hAnsi="Times New Roman"/>
          <w:szCs w:val="24"/>
        </w:rPr>
        <w:t>.</w:t>
      </w:r>
      <w:r w:rsidRPr="0037314F">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C500ED">
        <w:rPr>
          <w:rFonts w:ascii="Times New Roman" w:hAnsi="Times New Roman"/>
          <w:szCs w:val="24"/>
        </w:rPr>
        <w:tab/>
        <w:t xml:space="preserve">In the Puget GRC, Mr. </w:t>
      </w:r>
      <w:proofErr w:type="spellStart"/>
      <w:r w:rsidRPr="00C500ED">
        <w:rPr>
          <w:rFonts w:ascii="Times New Roman" w:hAnsi="Times New Roman"/>
          <w:szCs w:val="24"/>
        </w:rPr>
        <w:t>Parcell</w:t>
      </w:r>
      <w:proofErr w:type="spellEnd"/>
      <w:r w:rsidRPr="00C500ED">
        <w:rPr>
          <w:rFonts w:ascii="Times New Roman" w:hAnsi="Times New Roman"/>
          <w:szCs w:val="24"/>
        </w:rPr>
        <w:t xml:space="preserve"> testified as to the complete, “raw” results of his DCF analysis without proposing </w:t>
      </w:r>
      <w:r>
        <w:rPr>
          <w:rFonts w:ascii="Times New Roman" w:hAnsi="Times New Roman"/>
          <w:szCs w:val="24"/>
        </w:rPr>
        <w:t xml:space="preserve">any manual </w:t>
      </w:r>
      <w:r w:rsidRPr="00C500ED">
        <w:rPr>
          <w:rFonts w:ascii="Times New Roman" w:hAnsi="Times New Roman"/>
          <w:szCs w:val="24"/>
        </w:rPr>
        <w:t xml:space="preserve">adjustments to </w:t>
      </w:r>
      <w:r>
        <w:rPr>
          <w:rFonts w:ascii="Times New Roman" w:hAnsi="Times New Roman"/>
          <w:szCs w:val="24"/>
        </w:rPr>
        <w:t>these</w:t>
      </w:r>
      <w:r w:rsidRPr="00C500ED">
        <w:rPr>
          <w:rFonts w:ascii="Times New Roman" w:hAnsi="Times New Roman"/>
          <w:szCs w:val="24"/>
        </w:rPr>
        <w:t xml:space="preserve"> results.  In contrast, Mr. Elgin proposed one or more manual adjustments to every one of his DCF results.</w:t>
      </w:r>
      <w:r w:rsidRPr="00432605">
        <w:rPr>
          <w:rStyle w:val="FootnoteReference"/>
          <w:rFonts w:ascii="Times New Roman" w:hAnsi="Times New Roman"/>
          <w:szCs w:val="24"/>
        </w:rPr>
        <w:footnoteReference w:id="57"/>
      </w:r>
      <w:r w:rsidRPr="00C500ED">
        <w:rPr>
          <w:rFonts w:ascii="Times New Roman" w:hAnsi="Times New Roman"/>
          <w:szCs w:val="24"/>
        </w:rPr>
        <w:t xml:space="preserve">  </w:t>
      </w:r>
      <w:r>
        <w:rPr>
          <w:rFonts w:ascii="Times New Roman" w:hAnsi="Times New Roman"/>
          <w:szCs w:val="24"/>
        </w:rPr>
        <w:t xml:space="preserve">Mr. Elgin’s </w:t>
      </w:r>
      <w:r>
        <w:rPr>
          <w:rFonts w:ascii="Times New Roman" w:hAnsi="Times New Roman"/>
          <w:szCs w:val="24"/>
        </w:rPr>
        <w:lastRenderedPageBreak/>
        <w:t>adjustments likely</w:t>
      </w:r>
      <w:r w:rsidRPr="00C500ED">
        <w:rPr>
          <w:rFonts w:ascii="Times New Roman" w:hAnsi="Times New Roman"/>
          <w:szCs w:val="24"/>
        </w:rPr>
        <w:t xml:space="preserve"> result</w:t>
      </w:r>
      <w:r>
        <w:rPr>
          <w:rFonts w:ascii="Times New Roman" w:hAnsi="Times New Roman"/>
          <w:szCs w:val="24"/>
        </w:rPr>
        <w:t>ed</w:t>
      </w:r>
      <w:r w:rsidRPr="00C500ED">
        <w:rPr>
          <w:rFonts w:ascii="Times New Roman" w:hAnsi="Times New Roman"/>
          <w:szCs w:val="24"/>
        </w:rPr>
        <w:t xml:space="preserve"> </w:t>
      </w:r>
      <w:r>
        <w:rPr>
          <w:rFonts w:ascii="Times New Roman" w:hAnsi="Times New Roman"/>
          <w:szCs w:val="24"/>
        </w:rPr>
        <w:t>in</w:t>
      </w:r>
      <w:r w:rsidRPr="00C500ED">
        <w:rPr>
          <w:rFonts w:ascii="Times New Roman" w:hAnsi="Times New Roman"/>
          <w:szCs w:val="24"/>
        </w:rPr>
        <w:t xml:space="preserve"> a proxy group that was too small to be statistically reliable,</w:t>
      </w:r>
      <w:r w:rsidRPr="00432605">
        <w:rPr>
          <w:rStyle w:val="FootnoteReference"/>
          <w:rFonts w:ascii="Times New Roman" w:hAnsi="Times New Roman"/>
          <w:szCs w:val="24"/>
        </w:rPr>
        <w:footnoteReference w:id="58"/>
      </w:r>
      <w:r w:rsidRPr="00C500ED">
        <w:rPr>
          <w:rFonts w:ascii="Times New Roman" w:hAnsi="Times New Roman"/>
          <w:szCs w:val="24"/>
        </w:rPr>
        <w:t xml:space="preserve"> </w:t>
      </w:r>
      <w:r w:rsidR="00B50CD4">
        <w:rPr>
          <w:rFonts w:ascii="Times New Roman" w:hAnsi="Times New Roman"/>
          <w:szCs w:val="24"/>
        </w:rPr>
        <w:t xml:space="preserve">and </w:t>
      </w:r>
      <w:r w:rsidRPr="00C500ED">
        <w:rPr>
          <w:rFonts w:ascii="Times New Roman" w:hAnsi="Times New Roman"/>
          <w:szCs w:val="24"/>
        </w:rPr>
        <w:t>produced growth estimates that are obscure and not subject to replication, which the Commission has previously rejected as unpersuasive.</w:t>
      </w:r>
      <w:r>
        <w:rPr>
          <w:rStyle w:val="FootnoteReference"/>
          <w:rFonts w:ascii="Times New Roman" w:hAnsi="Times New Roman"/>
          <w:szCs w:val="24"/>
        </w:rPr>
        <w:footnoteReference w:id="59"/>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CF2634">
        <w:rPr>
          <w:rFonts w:ascii="Times New Roman" w:hAnsi="Times New Roman"/>
          <w:szCs w:val="24"/>
        </w:rPr>
        <w:tab/>
      </w:r>
      <w:r>
        <w:rPr>
          <w:rFonts w:ascii="Times New Roman" w:hAnsi="Times New Roman"/>
          <w:szCs w:val="24"/>
        </w:rPr>
        <w:t xml:space="preserve">At hearing, Chairman </w:t>
      </w:r>
      <w:proofErr w:type="spellStart"/>
      <w:r>
        <w:rPr>
          <w:rFonts w:ascii="Times New Roman" w:hAnsi="Times New Roman"/>
          <w:szCs w:val="24"/>
        </w:rPr>
        <w:t>Goltz</w:t>
      </w:r>
      <w:proofErr w:type="spellEnd"/>
      <w:r>
        <w:rPr>
          <w:rFonts w:ascii="Times New Roman" w:hAnsi="Times New Roman"/>
          <w:szCs w:val="24"/>
        </w:rPr>
        <w:t xml:space="preserve"> noted that Mr. Elgin’s ROE recommendation was 80 basis points below the 2010 </w:t>
      </w:r>
      <w:r w:rsidR="00B50CD4">
        <w:rPr>
          <w:rFonts w:ascii="Times New Roman" w:hAnsi="Times New Roman"/>
          <w:szCs w:val="24"/>
        </w:rPr>
        <w:t xml:space="preserve">national </w:t>
      </w:r>
      <w:r>
        <w:rPr>
          <w:rFonts w:ascii="Times New Roman" w:hAnsi="Times New Roman"/>
          <w:szCs w:val="24"/>
        </w:rPr>
        <w:t>ROE mean and inquired whether this was evidence for not accepting his recommendation.</w:t>
      </w:r>
      <w:r>
        <w:rPr>
          <w:rStyle w:val="FootnoteReference"/>
          <w:rFonts w:ascii="Times New Roman" w:hAnsi="Times New Roman"/>
          <w:szCs w:val="24"/>
        </w:rPr>
        <w:footnoteReference w:id="60"/>
      </w:r>
      <w:r>
        <w:rPr>
          <w:rFonts w:ascii="Times New Roman" w:hAnsi="Times New Roman"/>
          <w:szCs w:val="24"/>
        </w:rPr>
        <w:t xml:space="preserve">  Mr. Elgin acknowledged that he “struggled” with this issue under the </w:t>
      </w:r>
      <w:r w:rsidRPr="00870B01">
        <w:rPr>
          <w:rFonts w:ascii="Times New Roman" w:hAnsi="Times New Roman"/>
          <w:i/>
          <w:szCs w:val="24"/>
        </w:rPr>
        <w:t>Bluefield</w:t>
      </w:r>
      <w:r>
        <w:rPr>
          <w:rFonts w:ascii="Times New Roman" w:hAnsi="Times New Roman"/>
          <w:szCs w:val="24"/>
        </w:rPr>
        <w:t xml:space="preserve"> case, but nevertheless advocated for a “strong order” resetting PacifiCorp’s ROE below 10%.</w:t>
      </w:r>
      <w:r>
        <w:rPr>
          <w:rStyle w:val="FootnoteReference"/>
          <w:rFonts w:ascii="Times New Roman" w:hAnsi="Times New Roman"/>
          <w:szCs w:val="24"/>
        </w:rPr>
        <w:footnoteReference w:id="61"/>
      </w:r>
      <w:r>
        <w:rPr>
          <w:rFonts w:ascii="Times New Roman" w:hAnsi="Times New Roman"/>
          <w:szCs w:val="24"/>
        </w:rPr>
        <w:t xml:space="preserve">  This response suggests</w:t>
      </w:r>
      <w:r w:rsidR="00F505D8">
        <w:rPr>
          <w:rFonts w:ascii="Times New Roman" w:hAnsi="Times New Roman"/>
          <w:szCs w:val="24"/>
        </w:rPr>
        <w:t xml:space="preserve"> that Mr. Elgin’s</w:t>
      </w:r>
      <w:r>
        <w:rPr>
          <w:rFonts w:ascii="Times New Roman" w:hAnsi="Times New Roman"/>
          <w:szCs w:val="24"/>
        </w:rPr>
        <w:t xml:space="preserve"> analysis was designed to support a low result, rather than to reflect an objective evaluation of the Company’s current cost of equity. </w:t>
      </w:r>
    </w:p>
    <w:p w:rsidR="00973298" w:rsidRDefault="002E098B">
      <w:pPr>
        <w:widowControl w:val="0"/>
        <w:spacing w:after="240"/>
        <w:ind w:left="1440" w:hanging="720"/>
        <w:rPr>
          <w:rFonts w:ascii="Times New Roman" w:hAnsi="Times New Roman"/>
          <w:szCs w:val="24"/>
        </w:rPr>
      </w:pPr>
      <w:r w:rsidRPr="00722BD1">
        <w:rPr>
          <w:rFonts w:ascii="Times New Roman" w:hAnsi="Times New Roman"/>
          <w:b/>
          <w:szCs w:val="24"/>
        </w:rPr>
        <w:t>4.</w:t>
      </w:r>
      <w:r w:rsidRPr="00722BD1">
        <w:rPr>
          <w:rFonts w:ascii="Times New Roman" w:hAnsi="Times New Roman"/>
          <w:b/>
          <w:szCs w:val="24"/>
        </w:rPr>
        <w:tab/>
        <w:t>Staff</w:t>
      </w:r>
      <w:r>
        <w:rPr>
          <w:rFonts w:ascii="Times New Roman" w:hAnsi="Times New Roman"/>
          <w:b/>
          <w:szCs w:val="24"/>
        </w:rPr>
        <w:t xml:space="preserve">’s </w:t>
      </w:r>
      <w:r w:rsidRPr="00722BD1">
        <w:rPr>
          <w:rFonts w:ascii="Times New Roman" w:hAnsi="Times New Roman"/>
          <w:b/>
          <w:szCs w:val="24"/>
        </w:rPr>
        <w:t>and ICNU</w:t>
      </w:r>
      <w:r>
        <w:rPr>
          <w:rFonts w:ascii="Times New Roman" w:hAnsi="Times New Roman"/>
          <w:b/>
          <w:szCs w:val="24"/>
        </w:rPr>
        <w:t>’s</w:t>
      </w:r>
      <w:r w:rsidRPr="00722BD1">
        <w:rPr>
          <w:rFonts w:ascii="Times New Roman" w:hAnsi="Times New Roman"/>
          <w:b/>
          <w:szCs w:val="24"/>
        </w:rPr>
        <w:t xml:space="preserve"> Proposed ROE </w:t>
      </w:r>
      <w:r>
        <w:rPr>
          <w:rFonts w:ascii="Times New Roman" w:hAnsi="Times New Roman"/>
          <w:b/>
          <w:szCs w:val="24"/>
        </w:rPr>
        <w:t>of 9.5% i</w:t>
      </w:r>
      <w:r w:rsidRPr="00722BD1">
        <w:rPr>
          <w:rFonts w:ascii="Times New Roman" w:hAnsi="Times New Roman"/>
          <w:b/>
          <w:szCs w:val="24"/>
        </w:rPr>
        <w:t xml:space="preserve">s Substantially Below </w:t>
      </w:r>
      <w:r>
        <w:rPr>
          <w:rFonts w:ascii="Times New Roman" w:hAnsi="Times New Roman"/>
          <w:b/>
          <w:szCs w:val="24"/>
        </w:rPr>
        <w:t>Comparable</w:t>
      </w:r>
      <w:r w:rsidRPr="00722BD1">
        <w:rPr>
          <w:rFonts w:ascii="Times New Roman" w:hAnsi="Times New Roman"/>
          <w:b/>
          <w:szCs w:val="24"/>
        </w:rPr>
        <w:t xml:space="preserve"> ROEs.</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t>The Commission has looked at comparative data to inform its ROE analysis.</w:t>
      </w:r>
      <w:r w:rsidRPr="00432605">
        <w:rPr>
          <w:rStyle w:val="FootnoteReference"/>
          <w:rFonts w:ascii="Times New Roman" w:hAnsi="Times New Roman"/>
          <w:szCs w:val="24"/>
        </w:rPr>
        <w:footnoteReference w:id="62"/>
      </w:r>
      <w:r w:rsidRPr="00432605">
        <w:rPr>
          <w:rFonts w:ascii="Times New Roman" w:hAnsi="Times New Roman"/>
          <w:szCs w:val="24"/>
        </w:rPr>
        <w:t xml:space="preserve">  As the Commission noted in PacifiCorp’s last rate case, it was “mindful of the direction in </w:t>
      </w:r>
      <w:r w:rsidRPr="00432605">
        <w:rPr>
          <w:rFonts w:ascii="Times New Roman" w:hAnsi="Times New Roman"/>
          <w:i/>
          <w:szCs w:val="24"/>
        </w:rPr>
        <w:t>Bluefield</w:t>
      </w:r>
      <w:r w:rsidRPr="00432605">
        <w:rPr>
          <w:rFonts w:ascii="Times New Roman" w:hAnsi="Times New Roman"/>
          <w:szCs w:val="24"/>
        </w:rPr>
        <w:t xml:space="preserve"> that” a utility’s ROE must be equal to</w:t>
      </w:r>
      <w:r>
        <w:rPr>
          <w:rFonts w:ascii="Times New Roman" w:hAnsi="Times New Roman"/>
          <w:szCs w:val="24"/>
        </w:rPr>
        <w:t xml:space="preserve"> that of</w:t>
      </w:r>
      <w:r w:rsidRPr="00432605">
        <w:rPr>
          <w:rFonts w:ascii="Times New Roman" w:hAnsi="Times New Roman"/>
          <w:szCs w:val="24"/>
        </w:rPr>
        <w:t xml:space="preserve"> utilities</w:t>
      </w:r>
      <w:r>
        <w:rPr>
          <w:rFonts w:ascii="Times New Roman" w:hAnsi="Times New Roman"/>
          <w:szCs w:val="24"/>
        </w:rPr>
        <w:t xml:space="preserve"> with comparable risk</w:t>
      </w:r>
      <w:r w:rsidRPr="00432605">
        <w:rPr>
          <w:rFonts w:ascii="Times New Roman" w:hAnsi="Times New Roman"/>
          <w:szCs w:val="24"/>
        </w:rPr>
        <w:t>.</w:t>
      </w:r>
      <w:r w:rsidRPr="00432605">
        <w:rPr>
          <w:rStyle w:val="FootnoteReference"/>
          <w:rFonts w:ascii="Times New Roman" w:hAnsi="Times New Roman"/>
          <w:color w:val="000000"/>
          <w:szCs w:val="24"/>
        </w:rPr>
        <w:footnoteReference w:id="63"/>
      </w:r>
      <w:r w:rsidRPr="00432605">
        <w:rPr>
          <w:rFonts w:ascii="Times New Roman" w:hAnsi="Times New Roman"/>
          <w:szCs w:val="24"/>
        </w:rPr>
        <w:t xml:space="preserve">  </w:t>
      </w:r>
    </w:p>
    <w:p w:rsidR="00973298" w:rsidRDefault="002E098B">
      <w:pPr>
        <w:pStyle w:val="ListParagraph"/>
        <w:keepNext/>
        <w:widowControl w:val="0"/>
        <w:numPr>
          <w:ilvl w:val="0"/>
          <w:numId w:val="12"/>
        </w:numPr>
        <w:tabs>
          <w:tab w:val="clear" w:pos="1440"/>
          <w:tab w:val="num" w:pos="720"/>
        </w:tabs>
        <w:spacing w:line="480" w:lineRule="auto"/>
        <w:ind w:left="0"/>
        <w:rPr>
          <w:rFonts w:ascii="Times New Roman" w:hAnsi="Times New Roman"/>
          <w:szCs w:val="24"/>
        </w:rPr>
      </w:pPr>
      <w:r w:rsidRPr="004E2D15">
        <w:rPr>
          <w:rFonts w:ascii="Times New Roman" w:hAnsi="Times New Roman"/>
          <w:szCs w:val="24"/>
        </w:rPr>
        <w:tab/>
        <w:t xml:space="preserve">On November 19, 2010, the Commission </w:t>
      </w:r>
      <w:r w:rsidRPr="002E4C43">
        <w:t>approved</w:t>
      </w:r>
      <w:r w:rsidRPr="004E2D15">
        <w:rPr>
          <w:rFonts w:ascii="Times New Roman" w:hAnsi="Times New Roman"/>
          <w:szCs w:val="24"/>
        </w:rPr>
        <w:t xml:space="preserve"> a settlement in Avista’s most recent rate case (</w:t>
      </w:r>
      <w:proofErr w:type="spellStart"/>
      <w:r w:rsidRPr="004E2D15">
        <w:rPr>
          <w:rFonts w:ascii="Times New Roman" w:hAnsi="Times New Roman"/>
          <w:szCs w:val="24"/>
        </w:rPr>
        <w:t>Avista</w:t>
      </w:r>
      <w:proofErr w:type="spellEnd"/>
      <w:r w:rsidRPr="004E2D15">
        <w:rPr>
          <w:rFonts w:ascii="Times New Roman" w:hAnsi="Times New Roman"/>
          <w:szCs w:val="24"/>
        </w:rPr>
        <w:t xml:space="preserve"> GRC) with an ROE of 10.2%.</w:t>
      </w:r>
      <w:r w:rsidRPr="00432605">
        <w:rPr>
          <w:rStyle w:val="FootnoteReference"/>
          <w:rFonts w:ascii="Times New Roman" w:hAnsi="Times New Roman"/>
          <w:szCs w:val="24"/>
        </w:rPr>
        <w:footnoteReference w:id="64"/>
      </w:r>
      <w:r w:rsidRPr="004E2D15">
        <w:rPr>
          <w:rFonts w:ascii="Times New Roman" w:hAnsi="Times New Roman"/>
          <w:szCs w:val="24"/>
        </w:rPr>
        <w:t xml:space="preserve">  Mr. Elgin included </w:t>
      </w:r>
      <w:proofErr w:type="spellStart"/>
      <w:r w:rsidRPr="004E2D15">
        <w:rPr>
          <w:rFonts w:ascii="Times New Roman" w:hAnsi="Times New Roman"/>
          <w:szCs w:val="24"/>
        </w:rPr>
        <w:t>Avista</w:t>
      </w:r>
      <w:proofErr w:type="spellEnd"/>
      <w:r w:rsidRPr="004E2D15">
        <w:rPr>
          <w:rFonts w:ascii="Times New Roman" w:hAnsi="Times New Roman"/>
          <w:szCs w:val="24"/>
        </w:rPr>
        <w:t xml:space="preserve"> in his proxy group </w:t>
      </w:r>
      <w:r w:rsidRPr="004E2D15">
        <w:rPr>
          <w:rFonts w:ascii="Times New Roman" w:hAnsi="Times New Roman"/>
          <w:szCs w:val="24"/>
        </w:rPr>
        <w:lastRenderedPageBreak/>
        <w:t>because, “it has strong similarities to PacifiCorp.”</w:t>
      </w:r>
      <w:r w:rsidRPr="00432605">
        <w:rPr>
          <w:rStyle w:val="FootnoteReference"/>
          <w:rFonts w:ascii="Times New Roman" w:hAnsi="Times New Roman"/>
          <w:szCs w:val="24"/>
        </w:rPr>
        <w:footnoteReference w:id="65"/>
      </w:r>
      <w:r w:rsidRPr="004E2D15">
        <w:rPr>
          <w:rFonts w:ascii="Times New Roman" w:hAnsi="Times New Roman"/>
          <w:szCs w:val="24"/>
        </w:rPr>
        <w:t xml:space="preserve">  While Avista’s 10.2% ROE resulted from a settlement, the Commission has looked to approved settlements when examining comparable ROEs awarded other utilities.</w:t>
      </w:r>
      <w:r w:rsidRPr="00432605">
        <w:rPr>
          <w:rStyle w:val="FootnoteReference"/>
          <w:rFonts w:ascii="Times New Roman" w:hAnsi="Times New Roman"/>
          <w:szCs w:val="24"/>
        </w:rPr>
        <w:footnoteReference w:id="66"/>
      </w:r>
      <w:r w:rsidRPr="004E2D15">
        <w:rPr>
          <w:rFonts w:ascii="Times New Roman" w:hAnsi="Times New Roman"/>
          <w:szCs w:val="24"/>
        </w:rPr>
        <w:t xml:space="preserve">  Additionally, Staff’s NPC witness relied upon the same </w:t>
      </w:r>
      <w:proofErr w:type="spellStart"/>
      <w:r w:rsidRPr="004E2D15">
        <w:rPr>
          <w:rFonts w:ascii="Times New Roman" w:hAnsi="Times New Roman"/>
          <w:szCs w:val="24"/>
        </w:rPr>
        <w:t>Avista</w:t>
      </w:r>
      <w:proofErr w:type="spellEnd"/>
      <w:r w:rsidRPr="004E2D15">
        <w:rPr>
          <w:rFonts w:ascii="Times New Roman" w:hAnsi="Times New Roman"/>
          <w:szCs w:val="24"/>
        </w:rPr>
        <w:t xml:space="preserve"> settlement to support his forced outage rate adjustment for the Colstrip plant, making it inconsistent for Staff to object to consideration of the </w:t>
      </w:r>
      <w:proofErr w:type="spellStart"/>
      <w:r w:rsidRPr="004E2D15">
        <w:rPr>
          <w:rFonts w:ascii="Times New Roman" w:hAnsi="Times New Roman"/>
          <w:szCs w:val="24"/>
        </w:rPr>
        <w:t>Avista</w:t>
      </w:r>
      <w:proofErr w:type="spellEnd"/>
      <w:r w:rsidRPr="004E2D15">
        <w:rPr>
          <w:rFonts w:ascii="Times New Roman" w:hAnsi="Times New Roman"/>
          <w:szCs w:val="24"/>
        </w:rPr>
        <w:t xml:space="preserve"> settlement in this limited context.</w:t>
      </w:r>
      <w:r w:rsidRPr="00432605">
        <w:rPr>
          <w:rStyle w:val="FootnoteReference"/>
          <w:rFonts w:ascii="Times New Roman" w:hAnsi="Times New Roman"/>
          <w:szCs w:val="24"/>
        </w:rPr>
        <w:footnoteReference w:id="67"/>
      </w:r>
      <w:r w:rsidRPr="004E2D15">
        <w:rPr>
          <w:rFonts w:ascii="Times New Roman" w:hAnsi="Times New Roman"/>
          <w:szCs w:val="24"/>
        </w:rPr>
        <w:t xml:space="preserve"> </w:t>
      </w:r>
    </w:p>
    <w:p w:rsidR="00973298" w:rsidRDefault="004E2D15">
      <w:pPr>
        <w:pStyle w:val="ListParagraph"/>
        <w:keepNext/>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t>I</w:t>
      </w:r>
      <w:r w:rsidR="002E098B" w:rsidRPr="004E2D15">
        <w:rPr>
          <w:rFonts w:ascii="Times New Roman" w:hAnsi="Times New Roman"/>
          <w:szCs w:val="24"/>
        </w:rPr>
        <w:t xml:space="preserve">n addition to the ROE decisions in 2010 in the </w:t>
      </w:r>
      <w:proofErr w:type="spellStart"/>
      <w:r w:rsidR="002E098B" w:rsidRPr="004E2D15">
        <w:rPr>
          <w:rFonts w:ascii="Times New Roman" w:hAnsi="Times New Roman"/>
          <w:szCs w:val="24"/>
        </w:rPr>
        <w:t>Avista</w:t>
      </w:r>
      <w:proofErr w:type="spellEnd"/>
      <w:r w:rsidR="002E098B" w:rsidRPr="004E2D15">
        <w:rPr>
          <w:rFonts w:ascii="Times New Roman" w:hAnsi="Times New Roman"/>
          <w:szCs w:val="24"/>
        </w:rPr>
        <w:t xml:space="preserve"> GRC and the Puget GRC, the Commission has approved ROEs of 10.2%, 10.2%, 10.2%, 10.15%, 10.4%, and 10.2% in recent cases.</w:t>
      </w:r>
      <w:r w:rsidR="002E098B" w:rsidRPr="00432605">
        <w:rPr>
          <w:rStyle w:val="FootnoteReference"/>
          <w:rFonts w:ascii="Times New Roman" w:hAnsi="Times New Roman"/>
          <w:szCs w:val="24"/>
        </w:rPr>
        <w:footnoteReference w:id="68"/>
      </w:r>
      <w:r w:rsidR="002E098B" w:rsidRPr="004E2D15">
        <w:rPr>
          <w:rFonts w:ascii="Times New Roman" w:hAnsi="Times New Roman"/>
          <w:szCs w:val="24"/>
        </w:rPr>
        <w:t xml:space="preserve">   Nationally, average </w:t>
      </w:r>
      <w:r w:rsidR="002E098B" w:rsidRPr="002E4C43">
        <w:t>authorized</w:t>
      </w:r>
      <w:r w:rsidR="002E098B" w:rsidRPr="004E2D15">
        <w:rPr>
          <w:rFonts w:ascii="Times New Roman" w:hAnsi="Times New Roman"/>
          <w:szCs w:val="24"/>
        </w:rPr>
        <w:t xml:space="preserve"> electric utility ROEs ranged from 10.36% to 10.48% over the last five years.</w:t>
      </w:r>
      <w:r w:rsidR="002E098B" w:rsidRPr="00432605">
        <w:rPr>
          <w:rStyle w:val="FootnoteReference"/>
          <w:rFonts w:ascii="Times New Roman" w:hAnsi="Times New Roman"/>
          <w:szCs w:val="24"/>
        </w:rPr>
        <w:footnoteReference w:id="69"/>
      </w:r>
      <w:r>
        <w:rPr>
          <w:rFonts w:ascii="Times New Roman" w:hAnsi="Times New Roman"/>
          <w:szCs w:val="24"/>
        </w:rPr>
        <w:t xml:space="preserve">  </w:t>
      </w:r>
      <w:r w:rsidR="002E098B" w:rsidRPr="004E2D15">
        <w:rPr>
          <w:rFonts w:ascii="Times New Roman" w:hAnsi="Times New Roman"/>
          <w:szCs w:val="24"/>
        </w:rPr>
        <w:t>When compared to ROEs awarded by this and other commissions, Staff’s and ICNU’s ROE recommendation fails the Commission’s “common sense” test.</w:t>
      </w:r>
      <w:r w:rsidR="002E098B" w:rsidRPr="00432605">
        <w:rPr>
          <w:rStyle w:val="FootnoteReference"/>
          <w:rFonts w:ascii="Times New Roman" w:hAnsi="Times New Roman"/>
          <w:szCs w:val="24"/>
        </w:rPr>
        <w:footnoteReference w:id="70"/>
      </w:r>
      <w:r w:rsidR="002E098B" w:rsidRPr="004E2D15">
        <w:rPr>
          <w:rFonts w:ascii="Times New Roman" w:hAnsi="Times New Roman"/>
          <w:szCs w:val="24"/>
        </w:rPr>
        <w:t xml:space="preserve"> </w:t>
      </w:r>
    </w:p>
    <w:p w:rsidR="00973298" w:rsidRDefault="002E098B">
      <w:pPr>
        <w:widowControl w:val="0"/>
        <w:spacing w:after="240"/>
        <w:ind w:left="1440" w:hanging="720"/>
        <w:rPr>
          <w:rFonts w:ascii="Times New Roman" w:hAnsi="Times New Roman"/>
          <w:szCs w:val="24"/>
        </w:rPr>
      </w:pPr>
      <w:r>
        <w:rPr>
          <w:rFonts w:ascii="Times New Roman" w:hAnsi="Times New Roman"/>
          <w:b/>
          <w:szCs w:val="24"/>
        </w:rPr>
        <w:t>5</w:t>
      </w:r>
      <w:r w:rsidRPr="00432605">
        <w:rPr>
          <w:rFonts w:ascii="Times New Roman" w:hAnsi="Times New Roman"/>
          <w:b/>
          <w:szCs w:val="24"/>
        </w:rPr>
        <w:t>.</w:t>
      </w:r>
      <w:r w:rsidRPr="00432605">
        <w:rPr>
          <w:rFonts w:ascii="Times New Roman" w:hAnsi="Times New Roman"/>
          <w:b/>
          <w:szCs w:val="24"/>
        </w:rPr>
        <w:tab/>
        <w:t xml:space="preserve">The </w:t>
      </w:r>
      <w:r>
        <w:rPr>
          <w:rFonts w:ascii="Times New Roman" w:hAnsi="Times New Roman"/>
          <w:b/>
          <w:szCs w:val="24"/>
        </w:rPr>
        <w:t xml:space="preserve">Company’s </w:t>
      </w:r>
      <w:r w:rsidRPr="00432605">
        <w:rPr>
          <w:rFonts w:ascii="Times New Roman" w:hAnsi="Times New Roman"/>
          <w:b/>
          <w:szCs w:val="24"/>
        </w:rPr>
        <w:t xml:space="preserve">Use of Long-term </w:t>
      </w:r>
      <w:r w:rsidR="00450E9C">
        <w:rPr>
          <w:rFonts w:ascii="Times New Roman" w:hAnsi="Times New Roman"/>
          <w:b/>
          <w:szCs w:val="24"/>
        </w:rPr>
        <w:t>Gross Domestic Product (</w:t>
      </w:r>
      <w:r w:rsidRPr="00432605">
        <w:rPr>
          <w:rFonts w:ascii="Times New Roman" w:hAnsi="Times New Roman"/>
          <w:b/>
          <w:szCs w:val="24"/>
        </w:rPr>
        <w:t>GDP</w:t>
      </w:r>
      <w:r w:rsidR="00450E9C">
        <w:rPr>
          <w:rFonts w:ascii="Times New Roman" w:hAnsi="Times New Roman"/>
          <w:b/>
          <w:szCs w:val="24"/>
        </w:rPr>
        <w:t>)</w:t>
      </w:r>
      <w:r w:rsidRPr="00432605">
        <w:rPr>
          <w:rFonts w:ascii="Times New Roman" w:hAnsi="Times New Roman"/>
          <w:b/>
          <w:szCs w:val="24"/>
        </w:rPr>
        <w:t xml:space="preserve"> Growth Rates in </w:t>
      </w:r>
      <w:r>
        <w:rPr>
          <w:rFonts w:ascii="Times New Roman" w:hAnsi="Times New Roman"/>
          <w:b/>
          <w:szCs w:val="24"/>
        </w:rPr>
        <w:t xml:space="preserve">Its </w:t>
      </w:r>
      <w:r w:rsidRPr="00432605">
        <w:rPr>
          <w:rFonts w:ascii="Times New Roman" w:hAnsi="Times New Roman"/>
          <w:b/>
          <w:szCs w:val="24"/>
        </w:rPr>
        <w:t xml:space="preserve">DCF Analysis is Reasonable.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F96ABC">
        <w:rPr>
          <w:rFonts w:ascii="Times New Roman" w:hAnsi="Times New Roman"/>
          <w:szCs w:val="24"/>
        </w:rPr>
        <w:tab/>
        <w:t xml:space="preserve">Messrs. Elgin and Gorman criticize Dr. </w:t>
      </w:r>
      <w:proofErr w:type="spellStart"/>
      <w:r w:rsidRPr="00F96ABC">
        <w:rPr>
          <w:rFonts w:ascii="Times New Roman" w:hAnsi="Times New Roman"/>
          <w:szCs w:val="24"/>
        </w:rPr>
        <w:t>Hadaway’s</w:t>
      </w:r>
      <w:proofErr w:type="spellEnd"/>
      <w:r w:rsidRPr="00F96ABC">
        <w:rPr>
          <w:rFonts w:ascii="Times New Roman" w:hAnsi="Times New Roman"/>
          <w:szCs w:val="24"/>
        </w:rPr>
        <w:t xml:space="preserve"> use of a long-term GDP average to </w:t>
      </w:r>
      <w:r w:rsidRPr="00F96ABC">
        <w:rPr>
          <w:rFonts w:ascii="Times New Roman" w:hAnsi="Times New Roman"/>
          <w:szCs w:val="24"/>
        </w:rPr>
        <w:lastRenderedPageBreak/>
        <w:t>forecast growth rates in his multi-stage DCF analysis.</w:t>
      </w:r>
      <w:r w:rsidRPr="00432605">
        <w:rPr>
          <w:rStyle w:val="FootnoteReference"/>
          <w:rFonts w:ascii="Times New Roman" w:hAnsi="Times New Roman"/>
          <w:szCs w:val="24"/>
        </w:rPr>
        <w:footnoteReference w:id="71"/>
      </w:r>
      <w:r w:rsidRPr="00F96ABC">
        <w:rPr>
          <w:rFonts w:ascii="Times New Roman" w:hAnsi="Times New Roman"/>
          <w:szCs w:val="24"/>
        </w:rPr>
        <w:t xml:space="preserve">  Mr. Elgin wrongly describe</w:t>
      </w:r>
      <w:r>
        <w:rPr>
          <w:rFonts w:ascii="Times New Roman" w:hAnsi="Times New Roman"/>
          <w:szCs w:val="24"/>
        </w:rPr>
        <w:t>s</w:t>
      </w:r>
      <w:r w:rsidRPr="00F96ABC">
        <w:rPr>
          <w:rFonts w:ascii="Times New Roman" w:hAnsi="Times New Roman"/>
          <w:szCs w:val="24"/>
        </w:rPr>
        <w:t xml:space="preserve"> Dr. </w:t>
      </w:r>
      <w:proofErr w:type="spellStart"/>
      <w:r w:rsidRPr="00F96ABC">
        <w:rPr>
          <w:rFonts w:ascii="Times New Roman" w:hAnsi="Times New Roman"/>
          <w:szCs w:val="24"/>
        </w:rPr>
        <w:t>Hadaway’s</w:t>
      </w:r>
      <w:proofErr w:type="spellEnd"/>
      <w:r w:rsidRPr="00F96ABC">
        <w:rPr>
          <w:rFonts w:ascii="Times New Roman" w:hAnsi="Times New Roman"/>
          <w:szCs w:val="24"/>
        </w:rPr>
        <w:t xml:space="preserve"> analysis as “simply us[</w:t>
      </w:r>
      <w:proofErr w:type="spellStart"/>
      <w:r w:rsidRPr="00F96ABC">
        <w:rPr>
          <w:rFonts w:ascii="Times New Roman" w:hAnsi="Times New Roman"/>
          <w:szCs w:val="24"/>
        </w:rPr>
        <w:t>ing</w:t>
      </w:r>
      <w:proofErr w:type="spellEnd"/>
      <w:r w:rsidRPr="00F96ABC">
        <w:rPr>
          <w:rFonts w:ascii="Times New Roman" w:hAnsi="Times New Roman"/>
          <w:szCs w:val="24"/>
        </w:rPr>
        <w:t>] the average of the last 60 year cumulative decade averages of GDP growth as a proxy for his estimate of long-term dividend growth.”</w:t>
      </w:r>
      <w:r w:rsidRPr="00432605">
        <w:rPr>
          <w:rStyle w:val="FootnoteReference"/>
          <w:rFonts w:ascii="Times New Roman" w:hAnsi="Times New Roman"/>
          <w:szCs w:val="24"/>
        </w:rPr>
        <w:footnoteReference w:id="72"/>
      </w:r>
      <w:r w:rsidRPr="00F96ABC">
        <w:rPr>
          <w:rFonts w:ascii="Times New Roman" w:hAnsi="Times New Roman"/>
          <w:szCs w:val="24"/>
        </w:rPr>
        <w:t xml:space="preserve">  Dr. </w:t>
      </w:r>
      <w:proofErr w:type="spellStart"/>
      <w:r w:rsidRPr="00F96ABC">
        <w:rPr>
          <w:rFonts w:ascii="Times New Roman" w:hAnsi="Times New Roman"/>
          <w:szCs w:val="24"/>
        </w:rPr>
        <w:t>Hadaway’s</w:t>
      </w:r>
      <w:proofErr w:type="spellEnd"/>
      <w:r w:rsidRPr="00F96ABC">
        <w:rPr>
          <w:rFonts w:ascii="Times New Roman" w:hAnsi="Times New Roman"/>
          <w:szCs w:val="24"/>
        </w:rPr>
        <w:t xml:space="preserve"> </w:t>
      </w:r>
      <w:r w:rsidRPr="002E4C43">
        <w:t>analysis</w:t>
      </w:r>
      <w:r w:rsidRPr="00F96ABC">
        <w:rPr>
          <w:rFonts w:ascii="Times New Roman" w:hAnsi="Times New Roman"/>
          <w:szCs w:val="24"/>
        </w:rPr>
        <w:t xml:space="preserve"> did not use a “simple average,” but rather </w:t>
      </w:r>
      <w:r>
        <w:rPr>
          <w:rFonts w:ascii="Times New Roman" w:hAnsi="Times New Roman"/>
          <w:szCs w:val="24"/>
        </w:rPr>
        <w:t xml:space="preserve">explicitly </w:t>
      </w:r>
      <w:r w:rsidRPr="00F96ABC">
        <w:rPr>
          <w:rFonts w:ascii="Times New Roman" w:hAnsi="Times New Roman"/>
          <w:szCs w:val="24"/>
        </w:rPr>
        <w:t xml:space="preserve">gave more weight to </w:t>
      </w:r>
      <w:r>
        <w:rPr>
          <w:rFonts w:ascii="Times New Roman" w:hAnsi="Times New Roman"/>
          <w:szCs w:val="24"/>
        </w:rPr>
        <w:t>more</w:t>
      </w:r>
      <w:r w:rsidRPr="00F96ABC">
        <w:rPr>
          <w:rFonts w:ascii="Times New Roman" w:hAnsi="Times New Roman"/>
          <w:szCs w:val="24"/>
        </w:rPr>
        <w:t xml:space="preserve"> recent data because that has a greater effect on investor expectations.</w:t>
      </w:r>
      <w:r w:rsidRPr="00432605">
        <w:rPr>
          <w:rStyle w:val="FootnoteReference"/>
          <w:rFonts w:ascii="Times New Roman" w:hAnsi="Times New Roman"/>
          <w:szCs w:val="24"/>
        </w:rPr>
        <w:footnoteReference w:id="73"/>
      </w:r>
      <w:r w:rsidRPr="00F96ABC">
        <w:rPr>
          <w:rFonts w:ascii="Times New Roman" w:hAnsi="Times New Roman"/>
          <w:szCs w:val="24"/>
        </w:rPr>
        <w:t xml:space="preserve">  </w:t>
      </w:r>
      <w:r w:rsidR="004E2D15">
        <w:rPr>
          <w:rFonts w:ascii="Times New Roman" w:hAnsi="Times New Roman"/>
          <w:szCs w:val="24"/>
        </w:rPr>
        <w:t>As Dr. Hadaw</w:t>
      </w:r>
      <w:r w:rsidR="00F505D8">
        <w:rPr>
          <w:rFonts w:ascii="Times New Roman" w:hAnsi="Times New Roman"/>
          <w:szCs w:val="24"/>
        </w:rPr>
        <w:t>a</w:t>
      </w:r>
      <w:r w:rsidR="004E2D15">
        <w:rPr>
          <w:rFonts w:ascii="Times New Roman" w:hAnsi="Times New Roman"/>
          <w:szCs w:val="24"/>
        </w:rPr>
        <w:t>y explained</w:t>
      </w:r>
      <w:proofErr w:type="gramStart"/>
      <w:r w:rsidR="004E2D15">
        <w:rPr>
          <w:rFonts w:ascii="Times New Roman" w:hAnsi="Times New Roman"/>
          <w:szCs w:val="24"/>
        </w:rPr>
        <w:t xml:space="preserve">, </w:t>
      </w:r>
      <w:r w:rsidRPr="00F96ABC">
        <w:rPr>
          <w:rFonts w:ascii="Times New Roman" w:hAnsi="Times New Roman"/>
          <w:szCs w:val="24"/>
        </w:rPr>
        <w:t xml:space="preserve"> the</w:t>
      </w:r>
      <w:proofErr w:type="gramEnd"/>
      <w:r w:rsidRPr="00F96ABC">
        <w:rPr>
          <w:rFonts w:ascii="Times New Roman" w:hAnsi="Times New Roman"/>
          <w:szCs w:val="24"/>
        </w:rPr>
        <w:t xml:space="preserve"> use of historical data to </w:t>
      </w:r>
      <w:r>
        <w:rPr>
          <w:rFonts w:ascii="Times New Roman" w:hAnsi="Times New Roman"/>
          <w:szCs w:val="24"/>
        </w:rPr>
        <w:t xml:space="preserve">identify economic trends and relationships </w:t>
      </w:r>
      <w:r w:rsidRPr="00F96ABC">
        <w:rPr>
          <w:rFonts w:ascii="Times New Roman" w:hAnsi="Times New Roman"/>
          <w:szCs w:val="24"/>
        </w:rPr>
        <w:t>is the basis of most econometric forecasts.</w:t>
      </w:r>
      <w:r w:rsidRPr="00432605">
        <w:rPr>
          <w:rStyle w:val="FootnoteReference"/>
          <w:rFonts w:ascii="Times New Roman" w:hAnsi="Times New Roman"/>
          <w:szCs w:val="24"/>
        </w:rPr>
        <w:footnoteReference w:id="74"/>
      </w:r>
      <w:r w:rsidRPr="00F96ABC">
        <w:rPr>
          <w:rFonts w:ascii="Times New Roman" w:hAnsi="Times New Roman"/>
          <w:szCs w:val="24"/>
        </w:rPr>
        <w:t xml:space="preserve">  This is especially true in the case of DCF modeling because it requires a long-term constant growth rate.</w:t>
      </w:r>
      <w:r w:rsidRPr="00432605">
        <w:rPr>
          <w:rStyle w:val="FootnoteReference"/>
          <w:rFonts w:ascii="Times New Roman" w:hAnsi="Times New Roman"/>
          <w:szCs w:val="24"/>
        </w:rPr>
        <w:footnoteReference w:id="75"/>
      </w:r>
      <w:r w:rsidRPr="00F96ABC">
        <w:rPr>
          <w:rFonts w:ascii="Times New Roman" w:hAnsi="Times New Roman"/>
          <w:szCs w:val="24"/>
        </w:rPr>
        <w:t xml:space="preserve">  </w:t>
      </w:r>
      <w:r w:rsidR="004E2D15">
        <w:rPr>
          <w:rFonts w:ascii="Times New Roman" w:hAnsi="Times New Roman"/>
          <w:szCs w:val="24"/>
        </w:rPr>
        <w:t>T</w:t>
      </w:r>
      <w:r w:rsidRPr="00F96ABC">
        <w:rPr>
          <w:rFonts w:ascii="Times New Roman" w:hAnsi="Times New Roman"/>
          <w:szCs w:val="24"/>
        </w:rPr>
        <w:t xml:space="preserve">he Commission has explicitly endorsed the use of forecasts </w:t>
      </w:r>
      <w:r w:rsidRPr="00F96ABC">
        <w:rPr>
          <w:rFonts w:ascii="Times New Roman" w:hAnsi="Times New Roman"/>
          <w:i/>
          <w:szCs w:val="24"/>
        </w:rPr>
        <w:t>and historical data</w:t>
      </w:r>
      <w:r w:rsidRPr="00F96ABC">
        <w:rPr>
          <w:rFonts w:ascii="Times New Roman" w:hAnsi="Times New Roman"/>
          <w:szCs w:val="24"/>
        </w:rPr>
        <w:t xml:space="preserve"> when determining growth rates for DCF analysis.</w:t>
      </w:r>
      <w:r w:rsidRPr="00432605">
        <w:rPr>
          <w:rStyle w:val="FootnoteReference"/>
          <w:rFonts w:ascii="Times New Roman" w:hAnsi="Times New Roman"/>
          <w:szCs w:val="24"/>
        </w:rPr>
        <w:footnoteReference w:id="76"/>
      </w:r>
      <w:r w:rsidRPr="00F96ABC">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t xml:space="preserve">While critical of Dr. </w:t>
      </w:r>
      <w:proofErr w:type="spellStart"/>
      <w:r w:rsidRPr="00432605">
        <w:rPr>
          <w:rFonts w:ascii="Times New Roman" w:hAnsi="Times New Roman"/>
          <w:szCs w:val="24"/>
        </w:rPr>
        <w:t>Hadaway’s</w:t>
      </w:r>
      <w:proofErr w:type="spellEnd"/>
      <w:r w:rsidRPr="00432605">
        <w:rPr>
          <w:rFonts w:ascii="Times New Roman" w:hAnsi="Times New Roman"/>
          <w:szCs w:val="24"/>
        </w:rPr>
        <w:t xml:space="preserve"> use of long-term historical data to develop a long-term forecast, both </w:t>
      </w:r>
      <w:r>
        <w:rPr>
          <w:rFonts w:ascii="Times New Roman" w:hAnsi="Times New Roman"/>
          <w:szCs w:val="24"/>
        </w:rPr>
        <w:t>Messrs. </w:t>
      </w:r>
      <w:r w:rsidRPr="00432605">
        <w:rPr>
          <w:rFonts w:ascii="Times New Roman" w:hAnsi="Times New Roman"/>
          <w:szCs w:val="24"/>
        </w:rPr>
        <w:t xml:space="preserve">Elgin and Gorman </w:t>
      </w:r>
      <w:r w:rsidRPr="002E4C43">
        <w:t>testified</w:t>
      </w:r>
      <w:r w:rsidRPr="00432605">
        <w:rPr>
          <w:rFonts w:ascii="Times New Roman" w:hAnsi="Times New Roman"/>
          <w:szCs w:val="24"/>
        </w:rPr>
        <w:t xml:space="preserve"> that the GDP growth rate should be based on short-term </w:t>
      </w:r>
      <w:r>
        <w:rPr>
          <w:rFonts w:ascii="Times New Roman" w:hAnsi="Times New Roman"/>
          <w:szCs w:val="24"/>
        </w:rPr>
        <w:t>forecasts (5-to-10 years)</w:t>
      </w:r>
      <w:r w:rsidRPr="00432605">
        <w:rPr>
          <w:rFonts w:ascii="Times New Roman" w:hAnsi="Times New Roman"/>
          <w:szCs w:val="24"/>
        </w:rPr>
        <w:t>.</w:t>
      </w:r>
      <w:r w:rsidRPr="00432605">
        <w:rPr>
          <w:rStyle w:val="FootnoteReference"/>
          <w:rFonts w:ascii="Times New Roman" w:hAnsi="Times New Roman"/>
          <w:szCs w:val="24"/>
        </w:rPr>
        <w:footnoteReference w:id="77"/>
      </w:r>
      <w:r w:rsidRPr="00432605">
        <w:rPr>
          <w:rFonts w:ascii="Times New Roman" w:hAnsi="Times New Roman"/>
          <w:szCs w:val="24"/>
        </w:rPr>
        <w:t xml:space="preserve">  </w:t>
      </w:r>
      <w:r>
        <w:rPr>
          <w:rFonts w:ascii="Times New Roman" w:hAnsi="Times New Roman"/>
          <w:szCs w:val="24"/>
        </w:rPr>
        <w:t>However, t</w:t>
      </w:r>
      <w:r w:rsidRPr="00432605">
        <w:rPr>
          <w:rFonts w:ascii="Times New Roman" w:hAnsi="Times New Roman"/>
          <w:szCs w:val="24"/>
        </w:rPr>
        <w:t xml:space="preserve">hese forecasts </w:t>
      </w:r>
      <w:r>
        <w:rPr>
          <w:rFonts w:ascii="Times New Roman" w:hAnsi="Times New Roman"/>
          <w:szCs w:val="24"/>
        </w:rPr>
        <w:t xml:space="preserve">give too much weight to outlier </w:t>
      </w:r>
      <w:r w:rsidRPr="00432605">
        <w:rPr>
          <w:rFonts w:ascii="Times New Roman" w:hAnsi="Times New Roman"/>
          <w:szCs w:val="24"/>
        </w:rPr>
        <w:t>data</w:t>
      </w:r>
      <w:r>
        <w:rPr>
          <w:rFonts w:ascii="Times New Roman" w:hAnsi="Times New Roman"/>
          <w:szCs w:val="24"/>
        </w:rPr>
        <w:t xml:space="preserve"> from </w:t>
      </w:r>
      <w:r w:rsidRPr="00432605">
        <w:rPr>
          <w:rFonts w:ascii="Times New Roman" w:hAnsi="Times New Roman"/>
          <w:szCs w:val="24"/>
        </w:rPr>
        <w:t xml:space="preserve">the </w:t>
      </w:r>
      <w:r>
        <w:rPr>
          <w:rFonts w:ascii="Times New Roman" w:hAnsi="Times New Roman"/>
          <w:szCs w:val="24"/>
        </w:rPr>
        <w:t>financial crisis and unusually low rates of inflation</w:t>
      </w:r>
      <w:r w:rsidRPr="00432605">
        <w:rPr>
          <w:rFonts w:ascii="Times New Roman" w:hAnsi="Times New Roman"/>
          <w:szCs w:val="24"/>
        </w:rPr>
        <w:t>.</w:t>
      </w:r>
      <w:r w:rsidRPr="00432605">
        <w:rPr>
          <w:rStyle w:val="FootnoteReference"/>
          <w:rFonts w:ascii="Times New Roman" w:hAnsi="Times New Roman"/>
          <w:szCs w:val="24"/>
        </w:rPr>
        <w:footnoteReference w:id="78"/>
      </w:r>
      <w:r w:rsidRPr="00432605">
        <w:rPr>
          <w:rFonts w:ascii="Times New Roman" w:hAnsi="Times New Roman"/>
          <w:szCs w:val="24"/>
        </w:rPr>
        <w:t xml:space="preserve">  Because the DCF analysis assumes a growth rate for the long-term, it is unreasonable to use a forecast that is unduly influenced by recent events that are not expected to persist for the long-term.</w:t>
      </w:r>
      <w:r w:rsidRPr="00432605">
        <w:rPr>
          <w:rStyle w:val="FootnoteReference"/>
          <w:rFonts w:ascii="Times New Roman" w:hAnsi="Times New Roman"/>
          <w:szCs w:val="24"/>
        </w:rPr>
        <w:footnoteReference w:id="79"/>
      </w:r>
      <w:r w:rsidRPr="00432605">
        <w:rPr>
          <w:rFonts w:ascii="Times New Roman" w:hAnsi="Times New Roman"/>
          <w:szCs w:val="24"/>
        </w:rPr>
        <w:t xml:space="preserve">  </w:t>
      </w:r>
      <w:r>
        <w:rPr>
          <w:rFonts w:ascii="Times New Roman" w:hAnsi="Times New Roman"/>
          <w:szCs w:val="24"/>
        </w:rPr>
        <w:t>Mr. </w:t>
      </w:r>
      <w:r w:rsidRPr="00432605">
        <w:rPr>
          <w:rFonts w:ascii="Times New Roman" w:hAnsi="Times New Roman"/>
          <w:szCs w:val="24"/>
        </w:rPr>
        <w:t xml:space="preserve">Elgin </w:t>
      </w:r>
      <w:r w:rsidR="004E2D15">
        <w:rPr>
          <w:rFonts w:ascii="Times New Roman" w:hAnsi="Times New Roman"/>
          <w:szCs w:val="24"/>
        </w:rPr>
        <w:t>acknowledge</w:t>
      </w:r>
      <w:r w:rsidR="00F505D8">
        <w:rPr>
          <w:rFonts w:ascii="Times New Roman" w:hAnsi="Times New Roman"/>
          <w:szCs w:val="24"/>
        </w:rPr>
        <w:t>d</w:t>
      </w:r>
      <w:r w:rsidRPr="00432605">
        <w:rPr>
          <w:rFonts w:ascii="Times New Roman" w:hAnsi="Times New Roman"/>
          <w:szCs w:val="24"/>
        </w:rPr>
        <w:t xml:space="preserve"> that the growth rate must be “what could be maintained in the long term.”</w:t>
      </w:r>
      <w:r w:rsidRPr="00432605">
        <w:rPr>
          <w:rStyle w:val="FootnoteReference"/>
          <w:rFonts w:ascii="Times New Roman" w:hAnsi="Times New Roman"/>
          <w:szCs w:val="24"/>
        </w:rPr>
        <w:footnoteReference w:id="80"/>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r>
      <w:r>
        <w:rPr>
          <w:rFonts w:ascii="Times New Roman" w:hAnsi="Times New Roman"/>
          <w:szCs w:val="24"/>
        </w:rPr>
        <w:t>Mr. </w:t>
      </w:r>
      <w:r w:rsidRPr="00432605">
        <w:rPr>
          <w:rFonts w:ascii="Times New Roman" w:hAnsi="Times New Roman"/>
          <w:szCs w:val="24"/>
        </w:rPr>
        <w:t xml:space="preserve">Gorman’s criticism of the use of a long-term GDP growth rate is particularly </w:t>
      </w:r>
      <w:r w:rsidRPr="00432605">
        <w:rPr>
          <w:rFonts w:ascii="Times New Roman" w:hAnsi="Times New Roman"/>
          <w:szCs w:val="24"/>
        </w:rPr>
        <w:lastRenderedPageBreak/>
        <w:t xml:space="preserve">troubling.  When </w:t>
      </w:r>
      <w:r>
        <w:rPr>
          <w:rFonts w:ascii="Times New Roman" w:hAnsi="Times New Roman"/>
          <w:szCs w:val="24"/>
        </w:rPr>
        <w:t>discounting</w:t>
      </w:r>
      <w:r w:rsidRPr="00432605">
        <w:rPr>
          <w:rFonts w:ascii="Times New Roman" w:hAnsi="Times New Roman"/>
          <w:szCs w:val="24"/>
        </w:rPr>
        <w:t xml:space="preserve"> his own </w:t>
      </w:r>
      <w:r>
        <w:rPr>
          <w:rFonts w:ascii="Times New Roman" w:hAnsi="Times New Roman"/>
          <w:szCs w:val="24"/>
        </w:rPr>
        <w:t xml:space="preserve">10.5% </w:t>
      </w:r>
      <w:r w:rsidRPr="002E4C43">
        <w:t>constant</w:t>
      </w:r>
      <w:r w:rsidRPr="00432605">
        <w:rPr>
          <w:rFonts w:ascii="Times New Roman" w:hAnsi="Times New Roman"/>
          <w:szCs w:val="24"/>
        </w:rPr>
        <w:t xml:space="preserve"> growth DCF </w:t>
      </w:r>
      <w:r>
        <w:rPr>
          <w:rFonts w:ascii="Times New Roman" w:hAnsi="Times New Roman"/>
          <w:szCs w:val="24"/>
        </w:rPr>
        <w:t>ROE</w:t>
      </w:r>
      <w:r w:rsidRPr="00432605">
        <w:rPr>
          <w:rFonts w:ascii="Times New Roman" w:hAnsi="Times New Roman"/>
          <w:szCs w:val="24"/>
        </w:rPr>
        <w:t xml:space="preserve"> results that used analysts’ growth rates (which he </w:t>
      </w:r>
      <w:r>
        <w:rPr>
          <w:rFonts w:ascii="Times New Roman" w:hAnsi="Times New Roman"/>
          <w:szCs w:val="24"/>
        </w:rPr>
        <w:t xml:space="preserve">expressly </w:t>
      </w:r>
      <w:r w:rsidRPr="00432605">
        <w:rPr>
          <w:rFonts w:ascii="Times New Roman" w:hAnsi="Times New Roman"/>
          <w:szCs w:val="24"/>
        </w:rPr>
        <w:t>testified are superior)</w:t>
      </w:r>
      <w:r>
        <w:rPr>
          <w:rFonts w:ascii="Times New Roman" w:hAnsi="Times New Roman"/>
          <w:szCs w:val="24"/>
        </w:rPr>
        <w:t>,</w:t>
      </w:r>
      <w:r w:rsidRPr="00432605">
        <w:rPr>
          <w:rFonts w:ascii="Times New Roman" w:hAnsi="Times New Roman"/>
          <w:szCs w:val="24"/>
        </w:rPr>
        <w:t xml:space="preserve"> </w:t>
      </w:r>
      <w:r>
        <w:rPr>
          <w:rFonts w:ascii="Times New Roman" w:hAnsi="Times New Roman"/>
          <w:szCs w:val="24"/>
        </w:rPr>
        <w:t>Mr. </w:t>
      </w:r>
      <w:r w:rsidRPr="00432605">
        <w:rPr>
          <w:rFonts w:ascii="Times New Roman" w:hAnsi="Times New Roman"/>
          <w:szCs w:val="24"/>
        </w:rPr>
        <w:t>Gorman indicated that the analyst</w:t>
      </w:r>
      <w:r>
        <w:rPr>
          <w:rFonts w:ascii="Times New Roman" w:hAnsi="Times New Roman"/>
          <w:szCs w:val="24"/>
        </w:rPr>
        <w:t>s’</w:t>
      </w:r>
      <w:r w:rsidRPr="00432605">
        <w:rPr>
          <w:rFonts w:ascii="Times New Roman" w:hAnsi="Times New Roman"/>
          <w:szCs w:val="24"/>
        </w:rPr>
        <w:t xml:space="preserve"> growth rates exceeded a “long-term sustainable growth rate as required by the constant growth DCF model.”</w:t>
      </w:r>
      <w:r w:rsidRPr="00432605">
        <w:rPr>
          <w:rStyle w:val="FootnoteReference"/>
          <w:rFonts w:ascii="Times New Roman" w:hAnsi="Times New Roman"/>
          <w:szCs w:val="24"/>
        </w:rPr>
        <w:footnoteReference w:id="81"/>
      </w:r>
      <w:r w:rsidRPr="00432605">
        <w:rPr>
          <w:rFonts w:ascii="Times New Roman" w:hAnsi="Times New Roman"/>
          <w:szCs w:val="24"/>
        </w:rPr>
        <w:t xml:space="preserve">  Thus, he </w:t>
      </w:r>
      <w:r w:rsidR="00316E39" w:rsidRPr="00432605">
        <w:rPr>
          <w:rFonts w:ascii="Times New Roman" w:hAnsi="Times New Roman"/>
          <w:szCs w:val="24"/>
        </w:rPr>
        <w:t>discount</w:t>
      </w:r>
      <w:r w:rsidR="00316E39">
        <w:rPr>
          <w:rFonts w:ascii="Times New Roman" w:hAnsi="Times New Roman"/>
          <w:szCs w:val="24"/>
        </w:rPr>
        <w:t>ed</w:t>
      </w:r>
      <w:r w:rsidR="00316E39" w:rsidRPr="00432605">
        <w:rPr>
          <w:rFonts w:ascii="Times New Roman" w:hAnsi="Times New Roman"/>
          <w:szCs w:val="24"/>
        </w:rPr>
        <w:t xml:space="preserve"> </w:t>
      </w:r>
      <w:r w:rsidRPr="00432605">
        <w:rPr>
          <w:rFonts w:ascii="Times New Roman" w:hAnsi="Times New Roman"/>
          <w:szCs w:val="24"/>
        </w:rPr>
        <w:t xml:space="preserve">his </w:t>
      </w:r>
      <w:r>
        <w:rPr>
          <w:rFonts w:ascii="Times New Roman" w:hAnsi="Times New Roman"/>
          <w:szCs w:val="24"/>
        </w:rPr>
        <w:t xml:space="preserve">constant growth </w:t>
      </w:r>
      <w:r w:rsidRPr="00432605">
        <w:rPr>
          <w:rFonts w:ascii="Times New Roman" w:hAnsi="Times New Roman"/>
          <w:szCs w:val="24"/>
        </w:rPr>
        <w:t>DCF analysis</w:t>
      </w:r>
      <w:r>
        <w:rPr>
          <w:rFonts w:ascii="Times New Roman" w:hAnsi="Times New Roman"/>
          <w:szCs w:val="24"/>
        </w:rPr>
        <w:t xml:space="preserve"> b</w:t>
      </w:r>
      <w:r w:rsidRPr="00432605">
        <w:rPr>
          <w:rFonts w:ascii="Times New Roman" w:hAnsi="Times New Roman"/>
          <w:szCs w:val="24"/>
        </w:rPr>
        <w:t xml:space="preserve">ecause </w:t>
      </w:r>
      <w:r>
        <w:rPr>
          <w:rFonts w:ascii="Times New Roman" w:hAnsi="Times New Roman"/>
          <w:szCs w:val="24"/>
        </w:rPr>
        <w:t xml:space="preserve">of the </w:t>
      </w:r>
      <w:r w:rsidRPr="00432605">
        <w:rPr>
          <w:rFonts w:ascii="Times New Roman" w:hAnsi="Times New Roman"/>
          <w:szCs w:val="24"/>
        </w:rPr>
        <w:t>short</w:t>
      </w:r>
      <w:r>
        <w:rPr>
          <w:rFonts w:ascii="Times New Roman" w:hAnsi="Times New Roman"/>
          <w:szCs w:val="24"/>
        </w:rPr>
        <w:t>er-</w:t>
      </w:r>
      <w:r w:rsidRPr="00432605">
        <w:rPr>
          <w:rFonts w:ascii="Times New Roman" w:hAnsi="Times New Roman"/>
          <w:szCs w:val="24"/>
        </w:rPr>
        <w:t xml:space="preserve">term </w:t>
      </w:r>
      <w:r>
        <w:rPr>
          <w:rFonts w:ascii="Times New Roman" w:hAnsi="Times New Roman"/>
          <w:szCs w:val="24"/>
        </w:rPr>
        <w:t xml:space="preserve">focus of analysts’ </w:t>
      </w:r>
      <w:r w:rsidRPr="00432605">
        <w:rPr>
          <w:rFonts w:ascii="Times New Roman" w:hAnsi="Times New Roman"/>
          <w:szCs w:val="24"/>
        </w:rPr>
        <w:t>forecasts</w:t>
      </w:r>
      <w:r>
        <w:rPr>
          <w:rFonts w:ascii="Times New Roman" w:hAnsi="Times New Roman"/>
          <w:szCs w:val="24"/>
        </w:rPr>
        <w:t xml:space="preserve">, but then proposes a GDP growth rate relying on similar </w:t>
      </w:r>
      <w:r w:rsidRPr="00432605">
        <w:rPr>
          <w:rFonts w:ascii="Times New Roman" w:hAnsi="Times New Roman"/>
          <w:szCs w:val="24"/>
        </w:rPr>
        <w:t>short-term forecasts.</w:t>
      </w:r>
      <w:r w:rsidRPr="00432605">
        <w:rPr>
          <w:rStyle w:val="FootnoteReference"/>
          <w:rFonts w:ascii="Times New Roman" w:hAnsi="Times New Roman"/>
          <w:szCs w:val="24"/>
        </w:rPr>
        <w:footnoteReference w:id="82"/>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9A756E">
        <w:rPr>
          <w:rFonts w:ascii="Times New Roman" w:hAnsi="Times New Roman"/>
          <w:szCs w:val="24"/>
        </w:rPr>
        <w:tab/>
        <w:t>Mr. Elgin also criticized the use of a long-term GDP historical average in the DCF model because he claimed that it was “contrary to the Commission’s order in PacifiCorp’s [2005] rate case.”</w:t>
      </w:r>
      <w:r w:rsidRPr="00432605">
        <w:rPr>
          <w:rStyle w:val="FootnoteReference"/>
          <w:rFonts w:ascii="Times New Roman" w:hAnsi="Times New Roman"/>
          <w:szCs w:val="24"/>
        </w:rPr>
        <w:footnoteReference w:id="83"/>
      </w:r>
      <w:r w:rsidRPr="009A756E">
        <w:rPr>
          <w:rFonts w:ascii="Times New Roman" w:hAnsi="Times New Roman"/>
          <w:szCs w:val="24"/>
        </w:rPr>
        <w:t xml:space="preserve">  </w:t>
      </w:r>
      <w:r>
        <w:rPr>
          <w:rFonts w:ascii="Times New Roman" w:hAnsi="Times New Roman"/>
          <w:szCs w:val="24"/>
        </w:rPr>
        <w:t xml:space="preserve">However, </w:t>
      </w:r>
      <w:r w:rsidR="004E2D15">
        <w:rPr>
          <w:rFonts w:ascii="Times New Roman" w:hAnsi="Times New Roman"/>
          <w:szCs w:val="24"/>
        </w:rPr>
        <w:t>in</w:t>
      </w:r>
      <w:r w:rsidR="00E76E64">
        <w:rPr>
          <w:rFonts w:ascii="Times New Roman" w:hAnsi="Times New Roman"/>
          <w:szCs w:val="24"/>
        </w:rPr>
        <w:t xml:space="preserve"> </w:t>
      </w:r>
      <w:r w:rsidR="004E2D15">
        <w:rPr>
          <w:rFonts w:ascii="Times New Roman" w:hAnsi="Times New Roman"/>
          <w:szCs w:val="24"/>
        </w:rPr>
        <w:t>the 2005 GRC</w:t>
      </w:r>
      <w:r w:rsidRPr="009A756E">
        <w:rPr>
          <w:rFonts w:ascii="Times New Roman" w:hAnsi="Times New Roman"/>
          <w:szCs w:val="24"/>
        </w:rPr>
        <w:t xml:space="preserve">, the Commission noted that it did “not take issue with Dr. </w:t>
      </w:r>
      <w:proofErr w:type="spellStart"/>
      <w:r w:rsidRPr="009A756E">
        <w:rPr>
          <w:rFonts w:ascii="Times New Roman" w:hAnsi="Times New Roman"/>
          <w:szCs w:val="24"/>
        </w:rPr>
        <w:t>Hadaway’s</w:t>
      </w:r>
      <w:proofErr w:type="spellEnd"/>
      <w:r w:rsidRPr="009A756E">
        <w:rPr>
          <w:rFonts w:ascii="Times New Roman" w:hAnsi="Times New Roman"/>
          <w:szCs w:val="24"/>
        </w:rPr>
        <w:t xml:space="preserve"> opinion that the DCF formula requires a long-term growth rate or that growth in GDP may serve as a better measure of long-term growth than analysts’ forecasts in the short-term.”</w:t>
      </w:r>
      <w:r w:rsidRPr="00432605">
        <w:rPr>
          <w:rStyle w:val="FootnoteReference"/>
          <w:rFonts w:ascii="Times New Roman" w:hAnsi="Times New Roman"/>
          <w:szCs w:val="24"/>
        </w:rPr>
        <w:footnoteReference w:id="84"/>
      </w:r>
      <w:r w:rsidRPr="009A756E">
        <w:rPr>
          <w:rFonts w:ascii="Times New Roman" w:hAnsi="Times New Roman"/>
          <w:szCs w:val="24"/>
        </w:rPr>
        <w:t xml:space="preserve">  Only after making these statements did the Commission then conclude that </w:t>
      </w:r>
      <w:r w:rsidRPr="009A756E">
        <w:rPr>
          <w:rFonts w:ascii="Times New Roman" w:hAnsi="Times New Roman"/>
          <w:i/>
          <w:szCs w:val="24"/>
        </w:rPr>
        <w:t>in that case</w:t>
      </w:r>
      <w:r>
        <w:rPr>
          <w:rFonts w:ascii="Times New Roman" w:hAnsi="Times New Roman"/>
          <w:szCs w:val="24"/>
        </w:rPr>
        <w:t xml:space="preserve"> shorter-term</w:t>
      </w:r>
      <w:r w:rsidRPr="009A756E">
        <w:rPr>
          <w:rFonts w:ascii="Times New Roman" w:hAnsi="Times New Roman"/>
          <w:szCs w:val="24"/>
        </w:rPr>
        <w:t xml:space="preserve"> </w:t>
      </w:r>
      <w:r>
        <w:rPr>
          <w:rFonts w:ascii="Times New Roman" w:hAnsi="Times New Roman"/>
          <w:szCs w:val="24"/>
        </w:rPr>
        <w:t xml:space="preserve">GDP </w:t>
      </w:r>
      <w:r w:rsidRPr="009A756E">
        <w:rPr>
          <w:rFonts w:ascii="Times New Roman" w:hAnsi="Times New Roman"/>
          <w:szCs w:val="24"/>
        </w:rPr>
        <w:t xml:space="preserve">growth </w:t>
      </w:r>
      <w:r>
        <w:rPr>
          <w:rFonts w:ascii="Times New Roman" w:hAnsi="Times New Roman"/>
          <w:szCs w:val="24"/>
        </w:rPr>
        <w:t xml:space="preserve">forecasts </w:t>
      </w:r>
      <w:r w:rsidRPr="009A756E">
        <w:rPr>
          <w:rFonts w:ascii="Times New Roman" w:hAnsi="Times New Roman"/>
          <w:szCs w:val="24"/>
        </w:rPr>
        <w:t>should be used.  Here, the use of a short</w:t>
      </w:r>
      <w:r>
        <w:rPr>
          <w:rFonts w:ascii="Times New Roman" w:hAnsi="Times New Roman"/>
          <w:szCs w:val="24"/>
        </w:rPr>
        <w:t>er</w:t>
      </w:r>
      <w:r w:rsidRPr="009A756E">
        <w:rPr>
          <w:rFonts w:ascii="Times New Roman" w:hAnsi="Times New Roman"/>
          <w:szCs w:val="24"/>
        </w:rPr>
        <w:t>-term GDP growth</w:t>
      </w:r>
      <w:r>
        <w:rPr>
          <w:rFonts w:ascii="Times New Roman" w:hAnsi="Times New Roman"/>
          <w:szCs w:val="24"/>
        </w:rPr>
        <w:t xml:space="preserve"> forecasts</w:t>
      </w:r>
      <w:r w:rsidRPr="009A756E">
        <w:rPr>
          <w:rFonts w:ascii="Times New Roman" w:hAnsi="Times New Roman"/>
          <w:szCs w:val="24"/>
        </w:rPr>
        <w:t xml:space="preserve"> is problematic because </w:t>
      </w:r>
      <w:r>
        <w:rPr>
          <w:rFonts w:ascii="Times New Roman" w:hAnsi="Times New Roman"/>
          <w:szCs w:val="24"/>
        </w:rPr>
        <w:t>those forecasts are</w:t>
      </w:r>
      <w:r w:rsidRPr="009A756E">
        <w:rPr>
          <w:rFonts w:ascii="Times New Roman" w:hAnsi="Times New Roman"/>
          <w:szCs w:val="24"/>
        </w:rPr>
        <w:t xml:space="preserve"> unduly influenced by recent economic events</w:t>
      </w:r>
      <w:r>
        <w:rPr>
          <w:rFonts w:ascii="Times New Roman" w:hAnsi="Times New Roman"/>
          <w:szCs w:val="24"/>
        </w:rPr>
        <w:t xml:space="preserve"> and conditions</w:t>
      </w:r>
      <w:r w:rsidRPr="009A756E">
        <w:rPr>
          <w:rFonts w:ascii="Times New Roman" w:hAnsi="Times New Roman"/>
          <w:szCs w:val="24"/>
        </w:rPr>
        <w:t xml:space="preserve">.  In the years prior to the </w:t>
      </w:r>
      <w:r w:rsidR="004E2D15">
        <w:rPr>
          <w:rFonts w:ascii="Times New Roman" w:hAnsi="Times New Roman"/>
          <w:szCs w:val="24"/>
        </w:rPr>
        <w:t>2005 GRC</w:t>
      </w:r>
      <w:r w:rsidRPr="009A756E">
        <w:rPr>
          <w:rFonts w:ascii="Times New Roman" w:hAnsi="Times New Roman"/>
          <w:szCs w:val="24"/>
        </w:rPr>
        <w:t>, the economy did not experience what it has experienced prior to this case—the market turbulence since 2008 has been the greatest seen since the 1930s.</w:t>
      </w:r>
      <w:r w:rsidRPr="00432605">
        <w:rPr>
          <w:rStyle w:val="FootnoteReference"/>
          <w:rFonts w:ascii="Times New Roman" w:hAnsi="Times New Roman"/>
          <w:szCs w:val="24"/>
        </w:rPr>
        <w:footnoteReference w:id="85"/>
      </w:r>
      <w:r w:rsidRPr="009A756E">
        <w:rPr>
          <w:rFonts w:ascii="Times New Roman" w:hAnsi="Times New Roman"/>
          <w:szCs w:val="24"/>
        </w:rPr>
        <w:t xml:space="preserve">  Therefore, </w:t>
      </w:r>
      <w:r w:rsidRPr="009A756E">
        <w:rPr>
          <w:rFonts w:ascii="Times New Roman" w:hAnsi="Times New Roman"/>
          <w:i/>
          <w:szCs w:val="24"/>
        </w:rPr>
        <w:t>in this case</w:t>
      </w:r>
      <w:r w:rsidRPr="009A756E">
        <w:rPr>
          <w:rFonts w:ascii="Times New Roman" w:hAnsi="Times New Roman"/>
          <w:szCs w:val="24"/>
        </w:rPr>
        <w:t xml:space="preserve"> </w:t>
      </w:r>
      <w:r>
        <w:rPr>
          <w:rFonts w:ascii="Times New Roman" w:hAnsi="Times New Roman"/>
          <w:szCs w:val="24"/>
        </w:rPr>
        <w:t xml:space="preserve">the use of </w:t>
      </w:r>
      <w:r w:rsidRPr="009A756E">
        <w:rPr>
          <w:rFonts w:ascii="Times New Roman" w:hAnsi="Times New Roman"/>
          <w:szCs w:val="24"/>
        </w:rPr>
        <w:t>weighted long-term historical averages</w:t>
      </w:r>
      <w:r>
        <w:rPr>
          <w:rFonts w:ascii="Times New Roman" w:hAnsi="Times New Roman"/>
          <w:szCs w:val="24"/>
        </w:rPr>
        <w:t xml:space="preserve"> to forecast future, long-term GDP growth rates</w:t>
      </w:r>
      <w:r w:rsidRPr="009A756E">
        <w:rPr>
          <w:rFonts w:ascii="Times New Roman" w:hAnsi="Times New Roman"/>
          <w:szCs w:val="24"/>
        </w:rPr>
        <w:t xml:space="preserve"> </w:t>
      </w:r>
      <w:r>
        <w:rPr>
          <w:rFonts w:ascii="Times New Roman" w:hAnsi="Times New Roman"/>
          <w:szCs w:val="24"/>
        </w:rPr>
        <w:t xml:space="preserve">certainly </w:t>
      </w:r>
      <w:r w:rsidRPr="009A756E">
        <w:rPr>
          <w:rFonts w:ascii="Times New Roman" w:hAnsi="Times New Roman"/>
          <w:szCs w:val="24"/>
        </w:rPr>
        <w:t xml:space="preserve">is </w:t>
      </w:r>
      <w:r>
        <w:rPr>
          <w:rFonts w:ascii="Times New Roman" w:hAnsi="Times New Roman"/>
          <w:szCs w:val="24"/>
        </w:rPr>
        <w:t xml:space="preserve">appropriate.  </w:t>
      </w:r>
      <w:r w:rsidRPr="009A756E">
        <w:rPr>
          <w:rFonts w:ascii="Times New Roman" w:hAnsi="Times New Roman"/>
          <w:szCs w:val="24"/>
        </w:rPr>
        <w:t xml:space="preserve">   </w:t>
      </w:r>
    </w:p>
    <w:p w:rsidR="00973298" w:rsidRDefault="002E098B">
      <w:pPr>
        <w:keepNext/>
        <w:widowControl w:val="0"/>
        <w:spacing w:after="240"/>
        <w:ind w:left="1440" w:hanging="720"/>
        <w:rPr>
          <w:rFonts w:ascii="Times New Roman" w:hAnsi="Times New Roman"/>
          <w:szCs w:val="24"/>
        </w:rPr>
      </w:pPr>
      <w:r>
        <w:rPr>
          <w:rFonts w:ascii="Times New Roman" w:hAnsi="Times New Roman"/>
          <w:b/>
          <w:szCs w:val="24"/>
        </w:rPr>
        <w:lastRenderedPageBreak/>
        <w:t xml:space="preserve">6. </w:t>
      </w:r>
      <w:r>
        <w:rPr>
          <w:rFonts w:ascii="Times New Roman" w:hAnsi="Times New Roman"/>
          <w:b/>
          <w:szCs w:val="24"/>
        </w:rPr>
        <w:tab/>
        <w:t xml:space="preserve">Given the Unusual Financial Circumstances of this Post-Financial Crisis Period, </w:t>
      </w:r>
      <w:r w:rsidR="00CE02B6">
        <w:rPr>
          <w:rFonts w:ascii="Times New Roman" w:hAnsi="Times New Roman"/>
          <w:b/>
          <w:szCs w:val="24"/>
        </w:rPr>
        <w:t>i</w:t>
      </w:r>
      <w:r>
        <w:rPr>
          <w:rFonts w:ascii="Times New Roman" w:hAnsi="Times New Roman"/>
          <w:b/>
          <w:szCs w:val="24"/>
        </w:rPr>
        <w:t xml:space="preserve">t was Reasonable for PacifiCorp Not to Include </w:t>
      </w:r>
      <w:r w:rsidR="00450E9C">
        <w:rPr>
          <w:rFonts w:ascii="Times New Roman" w:hAnsi="Times New Roman"/>
          <w:b/>
          <w:szCs w:val="24"/>
        </w:rPr>
        <w:t>Capital Asset Pricing Model (</w:t>
      </w:r>
      <w:r w:rsidRPr="007B6ACB">
        <w:rPr>
          <w:rFonts w:ascii="Times New Roman" w:hAnsi="Times New Roman"/>
          <w:b/>
          <w:szCs w:val="24"/>
        </w:rPr>
        <w:t>CAPM</w:t>
      </w:r>
      <w:r w:rsidR="00450E9C">
        <w:rPr>
          <w:rFonts w:ascii="Times New Roman" w:hAnsi="Times New Roman"/>
          <w:b/>
          <w:szCs w:val="24"/>
        </w:rPr>
        <w:t>)</w:t>
      </w:r>
      <w:r w:rsidRPr="007B6ACB">
        <w:rPr>
          <w:rFonts w:ascii="Times New Roman" w:hAnsi="Times New Roman"/>
          <w:b/>
          <w:szCs w:val="24"/>
        </w:rPr>
        <w:t xml:space="preserve"> Results.</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F96ABC">
        <w:rPr>
          <w:rFonts w:ascii="Times New Roman" w:hAnsi="Times New Roman"/>
          <w:szCs w:val="24"/>
        </w:rPr>
        <w:tab/>
        <w:t>While both Messrs. Gorman and Elgin included in their analysis the results of their CAPM calculations,</w:t>
      </w:r>
      <w:r w:rsidRPr="00432605">
        <w:rPr>
          <w:rStyle w:val="FootnoteReference"/>
          <w:rFonts w:ascii="Times New Roman" w:hAnsi="Times New Roman"/>
          <w:szCs w:val="24"/>
        </w:rPr>
        <w:footnoteReference w:id="86"/>
      </w:r>
      <w:r w:rsidRPr="00F96ABC">
        <w:rPr>
          <w:rFonts w:ascii="Times New Roman" w:hAnsi="Times New Roman"/>
          <w:szCs w:val="24"/>
        </w:rPr>
        <w:t xml:space="preserve"> only Mr. Gorman relied on his CAPM results to </w:t>
      </w:r>
      <w:r>
        <w:rPr>
          <w:rFonts w:ascii="Times New Roman" w:hAnsi="Times New Roman"/>
          <w:szCs w:val="24"/>
        </w:rPr>
        <w:t xml:space="preserve">reduce </w:t>
      </w:r>
      <w:r w:rsidRPr="00F96ABC">
        <w:rPr>
          <w:rFonts w:ascii="Times New Roman" w:hAnsi="Times New Roman"/>
          <w:szCs w:val="24"/>
        </w:rPr>
        <w:t>his ROE recommendation.</w:t>
      </w:r>
      <w:r w:rsidRPr="00432605">
        <w:rPr>
          <w:rStyle w:val="FootnoteReference"/>
          <w:rFonts w:ascii="Times New Roman" w:hAnsi="Times New Roman"/>
          <w:szCs w:val="24"/>
        </w:rPr>
        <w:footnoteReference w:id="87"/>
      </w:r>
      <w:r w:rsidRPr="00F96ABC">
        <w:rPr>
          <w:rFonts w:ascii="Times New Roman" w:hAnsi="Times New Roman"/>
          <w:szCs w:val="24"/>
        </w:rPr>
        <w:t xml:space="preserve">  </w:t>
      </w:r>
      <w:r>
        <w:rPr>
          <w:rFonts w:ascii="Times New Roman" w:hAnsi="Times New Roman"/>
          <w:szCs w:val="24"/>
        </w:rPr>
        <w:t>Dr. Hadaway did not include a CAPM analysis because of his opinion that the model would produce artificially low results (</w:t>
      </w:r>
      <w:r w:rsidRPr="00030846">
        <w:rPr>
          <w:rFonts w:ascii="Times New Roman" w:hAnsi="Times New Roman"/>
          <w:i/>
          <w:szCs w:val="24"/>
        </w:rPr>
        <w:t>i.e.</w:t>
      </w:r>
      <w:r>
        <w:rPr>
          <w:rFonts w:ascii="Times New Roman" w:hAnsi="Times New Roman"/>
          <w:szCs w:val="24"/>
        </w:rPr>
        <w:t xml:space="preserve"> between 7% and 9%) under current economic conditions.</w:t>
      </w:r>
      <w:r>
        <w:rPr>
          <w:rStyle w:val="FootnoteReference"/>
          <w:rFonts w:ascii="Times New Roman" w:hAnsi="Times New Roman"/>
          <w:szCs w:val="24"/>
        </w:rPr>
        <w:footnoteReference w:id="88"/>
      </w:r>
      <w:r>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030846">
        <w:rPr>
          <w:rFonts w:ascii="Times New Roman" w:hAnsi="Times New Roman"/>
          <w:szCs w:val="24"/>
        </w:rPr>
        <w:tab/>
        <w:t xml:space="preserve">In the </w:t>
      </w:r>
      <w:r>
        <w:rPr>
          <w:rFonts w:ascii="Times New Roman" w:hAnsi="Times New Roman"/>
          <w:szCs w:val="24"/>
        </w:rPr>
        <w:t>recent</w:t>
      </w:r>
      <w:r w:rsidRPr="00030846">
        <w:rPr>
          <w:rFonts w:ascii="Times New Roman" w:hAnsi="Times New Roman"/>
          <w:szCs w:val="24"/>
        </w:rPr>
        <w:t xml:space="preserve"> </w:t>
      </w:r>
      <w:r>
        <w:rPr>
          <w:rFonts w:ascii="Times New Roman" w:hAnsi="Times New Roman"/>
          <w:szCs w:val="24"/>
        </w:rPr>
        <w:t>Puget GRC, the Commission</w:t>
      </w:r>
      <w:r w:rsidRPr="00030846">
        <w:rPr>
          <w:rFonts w:ascii="Times New Roman" w:hAnsi="Times New Roman"/>
          <w:szCs w:val="24"/>
        </w:rPr>
        <w:t xml:space="preserve"> concluded that “in these unusual financial circumstances we have accorded the CAPM results diminished weight.”</w:t>
      </w:r>
      <w:r w:rsidRPr="00432605">
        <w:rPr>
          <w:rStyle w:val="FootnoteReference"/>
          <w:rFonts w:ascii="Times New Roman" w:hAnsi="Times New Roman"/>
          <w:szCs w:val="24"/>
        </w:rPr>
        <w:footnoteReference w:id="89"/>
      </w:r>
      <w:r w:rsidRPr="00030846">
        <w:rPr>
          <w:rFonts w:ascii="Times New Roman" w:hAnsi="Times New Roman"/>
          <w:szCs w:val="24"/>
        </w:rPr>
        <w:t xml:space="preserve">  The “unusual financial circumstances” that existed as of April 2010 when the Commission made this statement continue today.  The government’s “easy money” policies, the volatility of utility stock prices, and the relatively poor market performance of utility stocks all result in understated inputs to the CAPM model.</w:t>
      </w:r>
      <w:r w:rsidRPr="00432605">
        <w:rPr>
          <w:rStyle w:val="FootnoteReference"/>
          <w:rFonts w:ascii="Times New Roman" w:hAnsi="Times New Roman"/>
          <w:szCs w:val="24"/>
        </w:rPr>
        <w:footnoteReference w:id="90"/>
      </w:r>
      <w:r w:rsidRPr="00030846">
        <w:rPr>
          <w:rFonts w:ascii="Times New Roman" w:hAnsi="Times New Roman"/>
          <w:szCs w:val="24"/>
        </w:rPr>
        <w:t xml:space="preserve">  Mr. Gorman’s CAPM results are a full 105 basis points below his DCF analysis and 66 basis points below his risk premium analysis.</w:t>
      </w:r>
      <w:r w:rsidRPr="00432605">
        <w:rPr>
          <w:rStyle w:val="FootnoteReference"/>
          <w:rFonts w:ascii="Times New Roman" w:hAnsi="Times New Roman"/>
          <w:szCs w:val="24"/>
        </w:rPr>
        <w:footnoteReference w:id="91"/>
      </w:r>
      <w:r w:rsidRPr="00030846">
        <w:rPr>
          <w:rFonts w:ascii="Times New Roman" w:hAnsi="Times New Roman"/>
          <w:szCs w:val="24"/>
        </w:rPr>
        <w:t xml:space="preserve">  In PacifiCorp’s </w:t>
      </w:r>
      <w:r>
        <w:rPr>
          <w:rFonts w:ascii="Times New Roman" w:hAnsi="Times New Roman"/>
          <w:szCs w:val="24"/>
        </w:rPr>
        <w:t>2005 GRC</w:t>
      </w:r>
      <w:r w:rsidRPr="00030846">
        <w:rPr>
          <w:rFonts w:ascii="Times New Roman" w:hAnsi="Times New Roman"/>
          <w:szCs w:val="24"/>
        </w:rPr>
        <w:t>, the Commission discouraged reliance on such outlier results:  “We find these extreme values to be of little practical use.”</w:t>
      </w:r>
      <w:r w:rsidRPr="00432605">
        <w:rPr>
          <w:rStyle w:val="FootnoteReference"/>
          <w:rFonts w:ascii="Times New Roman" w:hAnsi="Times New Roman"/>
          <w:szCs w:val="24"/>
        </w:rPr>
        <w:footnoteReference w:id="92"/>
      </w:r>
      <w:r w:rsidRPr="00030846">
        <w:rPr>
          <w:rFonts w:ascii="Times New Roman" w:hAnsi="Times New Roman"/>
          <w:szCs w:val="24"/>
        </w:rPr>
        <w:t xml:space="preserve">    </w:t>
      </w:r>
      <w:r w:rsidRPr="00030846">
        <w:rPr>
          <w:rFonts w:ascii="Times New Roman" w:hAnsi="Times New Roman"/>
          <w:szCs w:val="24"/>
        </w:rPr>
        <w:tab/>
        <w:t xml:space="preserve"> </w:t>
      </w:r>
    </w:p>
    <w:p w:rsidR="00973298" w:rsidRDefault="002E098B">
      <w:pPr>
        <w:keepNext/>
        <w:widowControl w:val="0"/>
        <w:spacing w:after="240"/>
        <w:rPr>
          <w:rFonts w:ascii="Times New Roman" w:hAnsi="Times New Roman"/>
          <w:szCs w:val="24"/>
        </w:rPr>
      </w:pPr>
      <w:r w:rsidRPr="00432605">
        <w:rPr>
          <w:rFonts w:ascii="Times New Roman" w:hAnsi="Times New Roman"/>
          <w:b/>
          <w:szCs w:val="24"/>
        </w:rPr>
        <w:t>B.</w:t>
      </w:r>
      <w:r w:rsidRPr="00432605">
        <w:rPr>
          <w:rFonts w:ascii="Times New Roman" w:hAnsi="Times New Roman"/>
          <w:b/>
          <w:szCs w:val="24"/>
        </w:rPr>
        <w:tab/>
        <w:t>Capital Structure</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t xml:space="preserve">The capital structure established by the Commission for ratemaking purposes must balance “debt and equity on the bases of </w:t>
      </w:r>
      <w:r w:rsidRPr="002E4C43">
        <w:t>economy</w:t>
      </w:r>
      <w:r w:rsidRPr="00432605">
        <w:rPr>
          <w:rFonts w:ascii="Times New Roman" w:hAnsi="Times New Roman"/>
          <w:szCs w:val="24"/>
        </w:rPr>
        <w:t xml:space="preserve"> and safety</w:t>
      </w:r>
      <w:r w:rsidR="00232617">
        <w:rPr>
          <w:rFonts w:ascii="Times New Roman" w:hAnsi="Times New Roman"/>
          <w:szCs w:val="24"/>
        </w:rPr>
        <w:t>,</w:t>
      </w:r>
      <w:r w:rsidRPr="00432605">
        <w:rPr>
          <w:rFonts w:ascii="Times New Roman" w:hAnsi="Times New Roman"/>
          <w:szCs w:val="24"/>
        </w:rPr>
        <w:t xml:space="preserve">” </w:t>
      </w:r>
      <w:proofErr w:type="gramStart"/>
      <w:r w:rsidR="00E76E64">
        <w:rPr>
          <w:rFonts w:ascii="Times New Roman" w:hAnsi="Times New Roman"/>
          <w:szCs w:val="24"/>
        </w:rPr>
        <w:t>reviewing</w:t>
      </w:r>
      <w:r w:rsidRPr="00432605">
        <w:rPr>
          <w:rFonts w:ascii="Times New Roman" w:hAnsi="Times New Roman"/>
          <w:szCs w:val="24"/>
        </w:rPr>
        <w:t xml:space="preserve"> </w:t>
      </w:r>
      <w:r w:rsidR="00232617">
        <w:rPr>
          <w:rFonts w:ascii="Times New Roman" w:hAnsi="Times New Roman"/>
          <w:szCs w:val="24"/>
        </w:rPr>
        <w:t xml:space="preserve"> </w:t>
      </w:r>
      <w:r w:rsidRPr="00432605">
        <w:rPr>
          <w:rFonts w:ascii="Times New Roman" w:hAnsi="Times New Roman"/>
          <w:szCs w:val="24"/>
        </w:rPr>
        <w:t>the</w:t>
      </w:r>
      <w:proofErr w:type="gramEnd"/>
      <w:r w:rsidRPr="00432605">
        <w:rPr>
          <w:rFonts w:ascii="Times New Roman" w:hAnsi="Times New Roman"/>
          <w:szCs w:val="24"/>
        </w:rPr>
        <w:t xml:space="preserve"> economy of lower </w:t>
      </w:r>
      <w:r w:rsidRPr="00432605">
        <w:rPr>
          <w:rFonts w:ascii="Times New Roman" w:hAnsi="Times New Roman"/>
          <w:szCs w:val="24"/>
        </w:rPr>
        <w:lastRenderedPageBreak/>
        <w:t>cost debt versus the safety of higher cost common equity.</w:t>
      </w:r>
      <w:r w:rsidRPr="00432605">
        <w:rPr>
          <w:rStyle w:val="FootnoteReference"/>
          <w:rFonts w:ascii="Times New Roman" w:hAnsi="Times New Roman"/>
          <w:szCs w:val="24"/>
        </w:rPr>
        <w:footnoteReference w:id="93"/>
      </w:r>
      <w:r w:rsidRPr="00432605">
        <w:rPr>
          <w:rFonts w:ascii="Times New Roman" w:hAnsi="Times New Roman"/>
          <w:szCs w:val="24"/>
        </w:rPr>
        <w:t xml:space="preserve">  Generally, the Commission’s goal is to “set the Company’s equity ratio at the level that the evidence shows is most likely to prevail, on average, over the course of the rate year.”</w:t>
      </w:r>
      <w:r w:rsidRPr="00432605">
        <w:rPr>
          <w:rStyle w:val="FootnoteReference"/>
          <w:rFonts w:ascii="Times New Roman" w:hAnsi="Times New Roman"/>
          <w:szCs w:val="24"/>
        </w:rPr>
        <w:footnoteReference w:id="94"/>
      </w:r>
      <w:r w:rsidRPr="00432605">
        <w:rPr>
          <w:rFonts w:ascii="Times New Roman" w:hAnsi="Times New Roman"/>
          <w:szCs w:val="24"/>
        </w:rPr>
        <w:t xml:space="preserve">  The Commission will use hypothetical capital structures, </w:t>
      </w:r>
      <w:r w:rsidRPr="00432605">
        <w:rPr>
          <w:rFonts w:ascii="Times New Roman" w:hAnsi="Times New Roman"/>
          <w:i/>
          <w:szCs w:val="24"/>
        </w:rPr>
        <w:t>i.e.</w:t>
      </w:r>
      <w:r w:rsidRPr="00432605">
        <w:rPr>
          <w:rFonts w:ascii="Times New Roman" w:hAnsi="Times New Roman"/>
          <w:szCs w:val="24"/>
        </w:rPr>
        <w:t>, capital structures that deviate from actual rate year capital structures, “when there [is] a clear and compelling reason to do so.”</w:t>
      </w:r>
      <w:r w:rsidRPr="00432605">
        <w:rPr>
          <w:rStyle w:val="FootnoteReference"/>
          <w:rFonts w:ascii="Times New Roman" w:hAnsi="Times New Roman"/>
          <w:szCs w:val="24"/>
        </w:rPr>
        <w:footnoteReference w:id="95"/>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b/>
          <w:szCs w:val="24"/>
        </w:rPr>
        <w:tab/>
      </w:r>
      <w:r w:rsidRPr="00432605">
        <w:rPr>
          <w:rFonts w:ascii="Times New Roman" w:hAnsi="Times New Roman"/>
          <w:szCs w:val="24"/>
        </w:rPr>
        <w:t xml:space="preserve">The </w:t>
      </w:r>
      <w:r w:rsidR="00F505D8">
        <w:rPr>
          <w:rFonts w:ascii="Times New Roman" w:hAnsi="Times New Roman"/>
          <w:szCs w:val="24"/>
        </w:rPr>
        <w:t xml:space="preserve">evidence supports the </w:t>
      </w:r>
      <w:r w:rsidRPr="00432605">
        <w:rPr>
          <w:rFonts w:ascii="Times New Roman" w:hAnsi="Times New Roman"/>
          <w:szCs w:val="24"/>
        </w:rPr>
        <w:t>Company</w:t>
      </w:r>
      <w:r w:rsidR="00F505D8">
        <w:rPr>
          <w:rFonts w:ascii="Times New Roman" w:hAnsi="Times New Roman"/>
          <w:szCs w:val="24"/>
        </w:rPr>
        <w:t>’s</w:t>
      </w:r>
      <w:r w:rsidRPr="00432605">
        <w:rPr>
          <w:rFonts w:ascii="Times New Roman" w:hAnsi="Times New Roman"/>
          <w:szCs w:val="24"/>
        </w:rPr>
        <w:t xml:space="preserve"> proposed a capital structure consisting of 52.1% common equity</w:t>
      </w:r>
      <w:r w:rsidR="00F505D8">
        <w:rPr>
          <w:rFonts w:ascii="Times New Roman" w:hAnsi="Times New Roman"/>
          <w:szCs w:val="24"/>
        </w:rPr>
        <w:t xml:space="preserve">, not </w:t>
      </w:r>
      <w:r w:rsidRPr="00432605">
        <w:rPr>
          <w:rFonts w:ascii="Times New Roman" w:hAnsi="Times New Roman"/>
          <w:szCs w:val="24"/>
        </w:rPr>
        <w:t>Staff</w:t>
      </w:r>
      <w:r w:rsidR="00F505D8">
        <w:rPr>
          <w:rFonts w:ascii="Times New Roman" w:hAnsi="Times New Roman"/>
          <w:szCs w:val="24"/>
        </w:rPr>
        <w:t>’s</w:t>
      </w:r>
      <w:r w:rsidRPr="00432605">
        <w:rPr>
          <w:rFonts w:ascii="Times New Roman" w:hAnsi="Times New Roman"/>
          <w:szCs w:val="24"/>
        </w:rPr>
        <w:t xml:space="preserve"> propose</w:t>
      </w:r>
      <w:r w:rsidR="00F505D8">
        <w:rPr>
          <w:rFonts w:ascii="Times New Roman" w:hAnsi="Times New Roman"/>
          <w:szCs w:val="24"/>
        </w:rPr>
        <w:t>d</w:t>
      </w:r>
      <w:r w:rsidRPr="00432605">
        <w:rPr>
          <w:rFonts w:ascii="Times New Roman" w:hAnsi="Times New Roman"/>
          <w:szCs w:val="24"/>
        </w:rPr>
        <w:t xml:space="preserve"> common equity ratio of 46.5% </w:t>
      </w:r>
      <w:r w:rsidR="00F505D8">
        <w:rPr>
          <w:rFonts w:ascii="Times New Roman" w:hAnsi="Times New Roman"/>
          <w:szCs w:val="24"/>
        </w:rPr>
        <w:t>or</w:t>
      </w:r>
      <w:r w:rsidRPr="00432605">
        <w:rPr>
          <w:rFonts w:ascii="Times New Roman" w:hAnsi="Times New Roman"/>
          <w:szCs w:val="24"/>
        </w:rPr>
        <w:t xml:space="preserve"> ICNU</w:t>
      </w:r>
      <w:r w:rsidR="00F505D8">
        <w:rPr>
          <w:rFonts w:ascii="Times New Roman" w:hAnsi="Times New Roman"/>
          <w:szCs w:val="24"/>
        </w:rPr>
        <w:t>’s</w:t>
      </w:r>
      <w:r w:rsidRPr="00432605">
        <w:rPr>
          <w:rFonts w:ascii="Times New Roman" w:hAnsi="Times New Roman"/>
          <w:szCs w:val="24"/>
        </w:rPr>
        <w:t xml:space="preserve"> proposed 49.1%.  </w:t>
      </w:r>
    </w:p>
    <w:p w:rsidR="00973298" w:rsidRDefault="002E098B">
      <w:pPr>
        <w:keepNext/>
        <w:widowControl w:val="0"/>
        <w:spacing w:after="240"/>
        <w:rPr>
          <w:rFonts w:ascii="Times New Roman" w:hAnsi="Times New Roman"/>
          <w:szCs w:val="24"/>
        </w:rPr>
      </w:pPr>
      <w:r w:rsidRPr="00432605">
        <w:rPr>
          <w:rFonts w:ascii="Times New Roman" w:hAnsi="Times New Roman"/>
          <w:b/>
          <w:szCs w:val="24"/>
        </w:rPr>
        <w:tab/>
        <w:t>1.</w:t>
      </w:r>
      <w:r w:rsidRPr="00432605">
        <w:rPr>
          <w:rFonts w:ascii="Times New Roman" w:hAnsi="Times New Roman"/>
          <w:b/>
          <w:szCs w:val="24"/>
        </w:rPr>
        <w:tab/>
        <w:t xml:space="preserve">The Company’s Proposed Equity Ratio is its </w:t>
      </w:r>
      <w:r w:rsidRPr="00432605">
        <w:rPr>
          <w:rFonts w:ascii="Times New Roman" w:hAnsi="Times New Roman"/>
          <w:b/>
          <w:szCs w:val="24"/>
          <w:u w:val="single"/>
        </w:rPr>
        <w:t>Actual</w:t>
      </w:r>
      <w:r w:rsidRPr="00432605">
        <w:rPr>
          <w:rFonts w:ascii="Times New Roman" w:hAnsi="Times New Roman"/>
          <w:b/>
          <w:szCs w:val="24"/>
        </w:rPr>
        <w:t xml:space="preserve"> Equity Ratio.</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786789">
        <w:rPr>
          <w:rFonts w:ascii="Times New Roman" w:hAnsi="Times New Roman"/>
          <w:szCs w:val="24"/>
        </w:rPr>
        <w:tab/>
        <w:t>The Company’s proposed capital structure is based upon the average of the five-quarters ending December 31, 2010.</w:t>
      </w:r>
      <w:r w:rsidRPr="00432605">
        <w:rPr>
          <w:rStyle w:val="FootnoteReference"/>
          <w:rFonts w:ascii="Times New Roman" w:hAnsi="Times New Roman"/>
          <w:szCs w:val="24"/>
        </w:rPr>
        <w:footnoteReference w:id="96"/>
      </w:r>
      <w:r w:rsidRPr="00786789">
        <w:rPr>
          <w:rFonts w:ascii="Times New Roman" w:hAnsi="Times New Roman"/>
          <w:szCs w:val="24"/>
        </w:rPr>
        <w:t xml:space="preserve">  </w:t>
      </w:r>
      <w:r>
        <w:rPr>
          <w:rFonts w:ascii="Times New Roman" w:hAnsi="Times New Roman"/>
          <w:szCs w:val="24"/>
        </w:rPr>
        <w:t>A 52.1% equity ratio reflects the actual</w:t>
      </w:r>
      <w:r w:rsidRPr="00786789">
        <w:rPr>
          <w:rFonts w:ascii="Times New Roman" w:hAnsi="Times New Roman"/>
          <w:szCs w:val="24"/>
        </w:rPr>
        <w:t xml:space="preserve"> equity ratio that will be in effect during the rate year</w:t>
      </w:r>
      <w:r>
        <w:rPr>
          <w:rFonts w:ascii="Times New Roman" w:hAnsi="Times New Roman"/>
          <w:szCs w:val="24"/>
        </w:rPr>
        <w:t>, a fact no party disputed</w:t>
      </w:r>
      <w:r w:rsidRPr="00786789">
        <w:rPr>
          <w:rFonts w:ascii="Times New Roman" w:hAnsi="Times New Roman"/>
          <w:szCs w:val="24"/>
        </w:rPr>
        <w:t>.</w:t>
      </w:r>
      <w:r w:rsidRPr="00432605">
        <w:rPr>
          <w:rStyle w:val="FootnoteReference"/>
          <w:rFonts w:ascii="Times New Roman" w:hAnsi="Times New Roman"/>
          <w:szCs w:val="24"/>
        </w:rPr>
        <w:footnoteReference w:id="97"/>
      </w:r>
      <w:r w:rsidRPr="00786789">
        <w:rPr>
          <w:rFonts w:ascii="Times New Roman" w:hAnsi="Times New Roman"/>
          <w:szCs w:val="24"/>
        </w:rPr>
        <w:t xml:space="preserve">  </w:t>
      </w:r>
      <w:r>
        <w:rPr>
          <w:rFonts w:ascii="Times New Roman" w:hAnsi="Times New Roman"/>
          <w:szCs w:val="24"/>
        </w:rPr>
        <w:t xml:space="preserve">PacifiCorp’s equity ratio has grown over the last several years in response to more stringent requirements for maintaining </w:t>
      </w:r>
      <w:r w:rsidR="00FC1612">
        <w:rPr>
          <w:rFonts w:ascii="Times New Roman" w:hAnsi="Times New Roman"/>
          <w:szCs w:val="24"/>
        </w:rPr>
        <w:t xml:space="preserve">its </w:t>
      </w:r>
      <w:r>
        <w:rPr>
          <w:rFonts w:ascii="Times New Roman" w:hAnsi="Times New Roman"/>
          <w:szCs w:val="24"/>
        </w:rPr>
        <w:t>“A” credit rating.</w:t>
      </w:r>
      <w:r>
        <w:rPr>
          <w:rStyle w:val="FootnoteReference"/>
          <w:rFonts w:ascii="Times New Roman" w:hAnsi="Times New Roman"/>
          <w:szCs w:val="24"/>
        </w:rPr>
        <w:footnoteReference w:id="98"/>
      </w:r>
      <w:r>
        <w:rPr>
          <w:rFonts w:ascii="Times New Roman" w:hAnsi="Times New Roman"/>
          <w:szCs w:val="24"/>
        </w:rPr>
        <w:t xml:space="preserve">  Consistent with Commission p</w:t>
      </w:r>
      <w:r w:rsidRPr="00786789">
        <w:rPr>
          <w:rFonts w:ascii="Times New Roman" w:hAnsi="Times New Roman"/>
          <w:szCs w:val="24"/>
        </w:rPr>
        <w:t xml:space="preserve">recedent, this actual equity ratio </w:t>
      </w:r>
      <w:r>
        <w:rPr>
          <w:rFonts w:ascii="Times New Roman" w:hAnsi="Times New Roman"/>
          <w:szCs w:val="24"/>
        </w:rPr>
        <w:t>should be used unless there is</w:t>
      </w:r>
      <w:r w:rsidRPr="00786789">
        <w:rPr>
          <w:rFonts w:ascii="Times New Roman" w:hAnsi="Times New Roman"/>
          <w:szCs w:val="24"/>
        </w:rPr>
        <w:t xml:space="preserve"> a “clear and compelling reason” for establishing a hypothetical capital structure</w:t>
      </w:r>
      <w:r>
        <w:rPr>
          <w:rFonts w:ascii="Times New Roman" w:hAnsi="Times New Roman"/>
          <w:szCs w:val="24"/>
        </w:rPr>
        <w:t>.</w:t>
      </w:r>
    </w:p>
    <w:p w:rsidR="00973298" w:rsidRDefault="002E098B">
      <w:pPr>
        <w:keepNext/>
        <w:widowControl w:val="0"/>
        <w:spacing w:after="240"/>
        <w:ind w:left="1440" w:hanging="720"/>
        <w:rPr>
          <w:rFonts w:ascii="Times New Roman" w:hAnsi="Times New Roman"/>
          <w:b/>
          <w:szCs w:val="24"/>
        </w:rPr>
      </w:pPr>
      <w:r w:rsidRPr="00432605">
        <w:rPr>
          <w:rFonts w:ascii="Times New Roman" w:hAnsi="Times New Roman"/>
          <w:b/>
          <w:szCs w:val="24"/>
        </w:rPr>
        <w:t>2.</w:t>
      </w:r>
      <w:r w:rsidRPr="00432605">
        <w:rPr>
          <w:rFonts w:ascii="Times New Roman" w:hAnsi="Times New Roman"/>
          <w:b/>
          <w:szCs w:val="24"/>
        </w:rPr>
        <w:tab/>
        <w:t>Staff Provides No Compelling Reason to Adopt a Hypothetical Capital Structure.</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8559B3">
        <w:rPr>
          <w:rFonts w:ascii="Times New Roman" w:hAnsi="Times New Roman"/>
          <w:szCs w:val="24"/>
        </w:rPr>
        <w:tab/>
        <w:t xml:space="preserve">Staff proposes a 4% reduction in the actual </w:t>
      </w:r>
      <w:r>
        <w:rPr>
          <w:rFonts w:ascii="Times New Roman" w:hAnsi="Times New Roman"/>
          <w:szCs w:val="24"/>
        </w:rPr>
        <w:t xml:space="preserve">common </w:t>
      </w:r>
      <w:r w:rsidRPr="008559B3">
        <w:rPr>
          <w:rFonts w:ascii="Times New Roman" w:hAnsi="Times New Roman"/>
          <w:szCs w:val="24"/>
        </w:rPr>
        <w:t xml:space="preserve">equity ratio because other utilities </w:t>
      </w:r>
      <w:r w:rsidRPr="008559B3">
        <w:rPr>
          <w:rFonts w:ascii="Times New Roman" w:hAnsi="Times New Roman"/>
          <w:szCs w:val="24"/>
        </w:rPr>
        <w:lastRenderedPageBreak/>
        <w:t xml:space="preserve">have similar equity levels, in recent proceedings the Commission has approved similar equity levels, and it is consistent with the </w:t>
      </w:r>
      <w:r w:rsidRPr="002E4C43">
        <w:t>equity</w:t>
      </w:r>
      <w:r w:rsidRPr="008559B3">
        <w:rPr>
          <w:rFonts w:ascii="Times New Roman" w:hAnsi="Times New Roman"/>
          <w:szCs w:val="24"/>
        </w:rPr>
        <w:t xml:space="preserve"> level in the Company’s last two rate cases.</w:t>
      </w:r>
      <w:r w:rsidRPr="00432605">
        <w:rPr>
          <w:rStyle w:val="FootnoteReference"/>
          <w:rFonts w:ascii="Times New Roman" w:hAnsi="Times New Roman"/>
          <w:szCs w:val="24"/>
        </w:rPr>
        <w:footnoteReference w:id="99"/>
      </w:r>
      <w:r w:rsidRPr="008559B3">
        <w:rPr>
          <w:rFonts w:ascii="Times New Roman" w:hAnsi="Times New Roman"/>
          <w:szCs w:val="24"/>
        </w:rPr>
        <w:t xml:space="preserve">  These are not compelling reasons to adopt a hypothetical capital structure.  First, Mr. Elgin’s ROE proxy group, a group he selected because they are comparable to PacifiCorp,</w:t>
      </w:r>
      <w:r w:rsidRPr="00432605">
        <w:rPr>
          <w:rStyle w:val="FootnoteReference"/>
          <w:rFonts w:ascii="Times New Roman" w:hAnsi="Times New Roman"/>
          <w:szCs w:val="24"/>
        </w:rPr>
        <w:footnoteReference w:id="100"/>
      </w:r>
      <w:r w:rsidRPr="008559B3">
        <w:rPr>
          <w:rFonts w:ascii="Times New Roman" w:hAnsi="Times New Roman"/>
          <w:szCs w:val="24"/>
        </w:rPr>
        <w:t xml:space="preserve"> has an average </w:t>
      </w:r>
      <w:r>
        <w:rPr>
          <w:rFonts w:ascii="Times New Roman" w:hAnsi="Times New Roman"/>
          <w:szCs w:val="24"/>
        </w:rPr>
        <w:t xml:space="preserve">projected </w:t>
      </w:r>
      <w:r w:rsidRPr="008559B3">
        <w:rPr>
          <w:rFonts w:ascii="Times New Roman" w:hAnsi="Times New Roman"/>
          <w:szCs w:val="24"/>
        </w:rPr>
        <w:t>common equity ratio of 50.4%.</w:t>
      </w:r>
      <w:r w:rsidRPr="00432605">
        <w:rPr>
          <w:rStyle w:val="FootnoteReference"/>
          <w:rFonts w:ascii="Times New Roman" w:hAnsi="Times New Roman"/>
          <w:szCs w:val="24"/>
        </w:rPr>
        <w:footnoteReference w:id="101"/>
      </w:r>
      <w:r w:rsidRPr="008559B3">
        <w:rPr>
          <w:rFonts w:ascii="Times New Roman" w:hAnsi="Times New Roman"/>
          <w:szCs w:val="24"/>
        </w:rPr>
        <w:t xml:space="preserve">  </w:t>
      </w:r>
      <w:r>
        <w:rPr>
          <w:rFonts w:ascii="Times New Roman" w:hAnsi="Times New Roman"/>
          <w:szCs w:val="24"/>
        </w:rPr>
        <w:t>Second, when co</w:t>
      </w:r>
      <w:r w:rsidRPr="008559B3">
        <w:rPr>
          <w:rFonts w:ascii="Times New Roman" w:hAnsi="Times New Roman"/>
          <w:szCs w:val="24"/>
        </w:rPr>
        <w:t xml:space="preserve">mparing the Company’s equity ratio to other </w:t>
      </w:r>
      <w:r>
        <w:rPr>
          <w:rFonts w:ascii="Times New Roman" w:hAnsi="Times New Roman"/>
          <w:szCs w:val="24"/>
        </w:rPr>
        <w:t xml:space="preserve">Washington </w:t>
      </w:r>
      <w:r w:rsidRPr="008559B3">
        <w:rPr>
          <w:rFonts w:ascii="Times New Roman" w:hAnsi="Times New Roman"/>
          <w:szCs w:val="24"/>
        </w:rPr>
        <w:t xml:space="preserve">utilities, Mr. Elgin makes no allowance for the fact that PacifiCorp has no </w:t>
      </w:r>
      <w:r w:rsidR="00450E9C">
        <w:rPr>
          <w:rFonts w:ascii="Times New Roman" w:hAnsi="Times New Roman"/>
          <w:szCs w:val="24"/>
        </w:rPr>
        <w:t>power cost adjustment mechanism (</w:t>
      </w:r>
      <w:r w:rsidRPr="008559B3">
        <w:rPr>
          <w:rFonts w:ascii="Times New Roman" w:hAnsi="Times New Roman"/>
          <w:szCs w:val="24"/>
        </w:rPr>
        <w:t>PCAM</w:t>
      </w:r>
      <w:r w:rsidR="00450E9C">
        <w:rPr>
          <w:rFonts w:ascii="Times New Roman" w:hAnsi="Times New Roman"/>
          <w:szCs w:val="24"/>
        </w:rPr>
        <w:t>)</w:t>
      </w:r>
      <w:r w:rsidRPr="008559B3">
        <w:rPr>
          <w:rFonts w:ascii="Times New Roman" w:hAnsi="Times New Roman"/>
          <w:szCs w:val="24"/>
        </w:rPr>
        <w:t xml:space="preserve"> or</w:t>
      </w:r>
      <w:r w:rsidR="00450E9C">
        <w:rPr>
          <w:rFonts w:ascii="Times New Roman" w:hAnsi="Times New Roman"/>
          <w:szCs w:val="24"/>
        </w:rPr>
        <w:t xml:space="preserve"> energy cost adjustment </w:t>
      </w:r>
      <w:r w:rsidR="00557B47">
        <w:rPr>
          <w:rFonts w:ascii="Times New Roman" w:hAnsi="Times New Roman"/>
          <w:szCs w:val="24"/>
        </w:rPr>
        <w:t>mechanism</w:t>
      </w:r>
      <w:r w:rsidR="00450E9C">
        <w:rPr>
          <w:rFonts w:ascii="Times New Roman" w:hAnsi="Times New Roman"/>
          <w:szCs w:val="24"/>
        </w:rPr>
        <w:t xml:space="preserve"> (</w:t>
      </w:r>
      <w:r w:rsidRPr="008559B3">
        <w:rPr>
          <w:rFonts w:ascii="Times New Roman" w:hAnsi="Times New Roman"/>
          <w:szCs w:val="24"/>
        </w:rPr>
        <w:t>ECAM</w:t>
      </w:r>
      <w:r w:rsidR="00450E9C">
        <w:rPr>
          <w:rFonts w:ascii="Times New Roman" w:hAnsi="Times New Roman"/>
          <w:szCs w:val="24"/>
        </w:rPr>
        <w:t>)</w:t>
      </w:r>
      <w:r>
        <w:rPr>
          <w:rFonts w:ascii="Times New Roman" w:hAnsi="Times New Roman"/>
          <w:szCs w:val="24"/>
        </w:rPr>
        <w:t xml:space="preserve"> in Washington.  This is inconsistent with the fact that w</w:t>
      </w:r>
      <w:r w:rsidRPr="008559B3">
        <w:rPr>
          <w:rFonts w:ascii="Times New Roman" w:hAnsi="Times New Roman"/>
          <w:szCs w:val="24"/>
        </w:rPr>
        <w:t xml:space="preserve">hen the Company sought a PCAM </w:t>
      </w:r>
      <w:r>
        <w:rPr>
          <w:rFonts w:ascii="Times New Roman" w:hAnsi="Times New Roman"/>
          <w:szCs w:val="24"/>
        </w:rPr>
        <w:t xml:space="preserve">in its 2006 </w:t>
      </w:r>
      <w:r w:rsidR="00EF2049">
        <w:rPr>
          <w:rFonts w:ascii="Times New Roman" w:hAnsi="Times New Roman"/>
          <w:szCs w:val="24"/>
        </w:rPr>
        <w:t xml:space="preserve">general rate case, </w:t>
      </w:r>
      <w:r w:rsidR="00EF2049">
        <w:t>Docket UE-061546 (2006 GRC)</w:t>
      </w:r>
      <w:r>
        <w:rPr>
          <w:rFonts w:ascii="Times New Roman" w:hAnsi="Times New Roman"/>
          <w:szCs w:val="24"/>
        </w:rPr>
        <w:t xml:space="preserve">, Mr. Elgin </w:t>
      </w:r>
      <w:r w:rsidRPr="008559B3">
        <w:rPr>
          <w:rFonts w:ascii="Times New Roman" w:hAnsi="Times New Roman"/>
          <w:szCs w:val="24"/>
        </w:rPr>
        <w:t>recommended a 4% reduction in equity ratio to account for decreased operational risk.</w:t>
      </w:r>
      <w:r>
        <w:rPr>
          <w:rStyle w:val="FootnoteReference"/>
          <w:rFonts w:ascii="Times New Roman" w:hAnsi="Times New Roman"/>
          <w:szCs w:val="24"/>
        </w:rPr>
        <w:footnoteReference w:id="102"/>
      </w:r>
      <w:r w:rsidRPr="008559B3">
        <w:rPr>
          <w:rFonts w:ascii="Times New Roman" w:hAnsi="Times New Roman"/>
          <w:szCs w:val="24"/>
        </w:rPr>
        <w:t xml:space="preserve">     </w:t>
      </w:r>
    </w:p>
    <w:p w:rsidR="00973298" w:rsidRDefault="002E098B">
      <w:pPr>
        <w:keepNext/>
        <w:widowControl w:val="0"/>
        <w:spacing w:after="240"/>
        <w:ind w:left="1440" w:hanging="720"/>
        <w:rPr>
          <w:rFonts w:ascii="Times New Roman" w:hAnsi="Times New Roman"/>
          <w:b/>
          <w:szCs w:val="24"/>
        </w:rPr>
      </w:pPr>
      <w:r w:rsidRPr="00432605">
        <w:rPr>
          <w:rFonts w:ascii="Times New Roman" w:hAnsi="Times New Roman"/>
          <w:b/>
          <w:szCs w:val="24"/>
        </w:rPr>
        <w:t>3.</w:t>
      </w:r>
      <w:r w:rsidRPr="00432605">
        <w:rPr>
          <w:rFonts w:ascii="Times New Roman" w:hAnsi="Times New Roman"/>
          <w:b/>
          <w:szCs w:val="24"/>
        </w:rPr>
        <w:tab/>
        <w:t>ICNU Provides No Compelling Reason to Adopt a Hypothetical Capital Structure.</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Pr="00432605">
        <w:rPr>
          <w:rFonts w:ascii="Times New Roman" w:hAnsi="Times New Roman"/>
          <w:szCs w:val="24"/>
        </w:rPr>
        <w:t xml:space="preserve">ICNU proposed a capital structure that </w:t>
      </w:r>
      <w:r w:rsidRPr="002E4C43">
        <w:t>includes</w:t>
      </w:r>
      <w:r w:rsidRPr="00432605">
        <w:rPr>
          <w:rFonts w:ascii="Times New Roman" w:hAnsi="Times New Roman"/>
          <w:szCs w:val="24"/>
        </w:rPr>
        <w:t xml:space="preserve"> 49.1% common equity.  ICNU failed to </w:t>
      </w:r>
      <w:r>
        <w:rPr>
          <w:rFonts w:ascii="Times New Roman" w:hAnsi="Times New Roman"/>
          <w:szCs w:val="24"/>
        </w:rPr>
        <w:t xml:space="preserve">demonstrate a clear and compelling basis for adoption of its hypothetical capital structure </w:t>
      </w:r>
      <w:r w:rsidRPr="00432605">
        <w:rPr>
          <w:rFonts w:ascii="Times New Roman" w:hAnsi="Times New Roman"/>
          <w:szCs w:val="24"/>
        </w:rPr>
        <w:t>and instead relied upon arbitrary adjustments that lack a sound financial basis.</w:t>
      </w:r>
      <w:r w:rsidRPr="00432605">
        <w:rPr>
          <w:rStyle w:val="FootnoteReference"/>
          <w:rFonts w:ascii="Times New Roman" w:hAnsi="Times New Roman"/>
          <w:szCs w:val="24"/>
        </w:rPr>
        <w:footnoteReference w:id="103"/>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t xml:space="preserve">The first flaw in </w:t>
      </w:r>
      <w:r>
        <w:rPr>
          <w:rFonts w:ascii="Times New Roman" w:hAnsi="Times New Roman"/>
          <w:szCs w:val="24"/>
        </w:rPr>
        <w:t>Mr. </w:t>
      </w:r>
      <w:r w:rsidRPr="00432605">
        <w:rPr>
          <w:rFonts w:ascii="Times New Roman" w:hAnsi="Times New Roman"/>
          <w:szCs w:val="24"/>
        </w:rPr>
        <w:t xml:space="preserve">Gorman’s analysis </w:t>
      </w:r>
      <w:r>
        <w:rPr>
          <w:rFonts w:ascii="Times New Roman" w:hAnsi="Times New Roman"/>
          <w:szCs w:val="24"/>
        </w:rPr>
        <w:t xml:space="preserve">is </w:t>
      </w:r>
      <w:r w:rsidRPr="00432605">
        <w:rPr>
          <w:rFonts w:ascii="Times New Roman" w:hAnsi="Times New Roman"/>
          <w:szCs w:val="24"/>
        </w:rPr>
        <w:t>his use of the most recent five quarters ending June 30, 2010, as the starting point</w:t>
      </w:r>
      <w:r>
        <w:rPr>
          <w:rFonts w:ascii="Times New Roman" w:hAnsi="Times New Roman"/>
          <w:szCs w:val="24"/>
        </w:rPr>
        <w:t>, instead of the more current period used by the Company (five quarters ending December 2010)</w:t>
      </w:r>
      <w:r w:rsidRPr="00432605">
        <w:rPr>
          <w:rFonts w:ascii="Times New Roman" w:hAnsi="Times New Roman"/>
          <w:szCs w:val="24"/>
        </w:rPr>
        <w:t>.</w:t>
      </w:r>
      <w:r w:rsidRPr="00432605">
        <w:rPr>
          <w:rStyle w:val="FootnoteReference"/>
          <w:rFonts w:ascii="Times New Roman" w:hAnsi="Times New Roman"/>
          <w:szCs w:val="24"/>
        </w:rPr>
        <w:footnoteReference w:id="104"/>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r>
      <w:r>
        <w:rPr>
          <w:rFonts w:ascii="Times New Roman" w:hAnsi="Times New Roman"/>
          <w:szCs w:val="24"/>
        </w:rPr>
        <w:t>Mr. </w:t>
      </w:r>
      <w:r w:rsidRPr="00432605">
        <w:rPr>
          <w:rFonts w:ascii="Times New Roman" w:hAnsi="Times New Roman"/>
          <w:szCs w:val="24"/>
        </w:rPr>
        <w:t>Gorman also remove</w:t>
      </w:r>
      <w:r w:rsidR="007754C1">
        <w:rPr>
          <w:rFonts w:ascii="Times New Roman" w:hAnsi="Times New Roman"/>
          <w:szCs w:val="24"/>
        </w:rPr>
        <w:t>d</w:t>
      </w:r>
      <w:r w:rsidRPr="00432605">
        <w:rPr>
          <w:rFonts w:ascii="Times New Roman" w:hAnsi="Times New Roman"/>
          <w:szCs w:val="24"/>
        </w:rPr>
        <w:t xml:space="preserve"> $158 million in acquisition adjustments from the equity component of the capital structure because </w:t>
      </w:r>
      <w:r w:rsidR="007754C1">
        <w:rPr>
          <w:rFonts w:ascii="Times New Roman" w:hAnsi="Times New Roman"/>
          <w:szCs w:val="24"/>
        </w:rPr>
        <w:t xml:space="preserve">he alleged that </w:t>
      </w:r>
      <w:r w:rsidRPr="002E4C43">
        <w:t>these</w:t>
      </w:r>
      <w:r w:rsidRPr="00432605">
        <w:rPr>
          <w:rFonts w:ascii="Times New Roman" w:hAnsi="Times New Roman"/>
          <w:szCs w:val="24"/>
        </w:rPr>
        <w:t xml:space="preserve"> relate to generating plants </w:t>
      </w:r>
      <w:r w:rsidRPr="00432605">
        <w:rPr>
          <w:rFonts w:ascii="Times New Roman" w:hAnsi="Times New Roman"/>
          <w:szCs w:val="24"/>
        </w:rPr>
        <w:lastRenderedPageBreak/>
        <w:t>outside the western control area.</w:t>
      </w:r>
      <w:r w:rsidRPr="00432605">
        <w:rPr>
          <w:rStyle w:val="FootnoteReference"/>
          <w:rFonts w:ascii="Times New Roman" w:hAnsi="Times New Roman"/>
          <w:szCs w:val="24"/>
        </w:rPr>
        <w:footnoteReference w:id="105"/>
      </w:r>
      <w:r w:rsidR="00BE332B">
        <w:rPr>
          <w:rFonts w:ascii="Times New Roman" w:hAnsi="Times New Roman"/>
          <w:szCs w:val="24"/>
        </w:rPr>
        <w:t xml:space="preserve">  </w:t>
      </w:r>
      <w:r>
        <w:rPr>
          <w:rFonts w:ascii="Times New Roman" w:hAnsi="Times New Roman"/>
          <w:szCs w:val="24"/>
        </w:rPr>
        <w:t>H</w:t>
      </w:r>
      <w:r w:rsidRPr="00432605">
        <w:rPr>
          <w:rFonts w:ascii="Times New Roman" w:hAnsi="Times New Roman"/>
          <w:szCs w:val="24"/>
        </w:rPr>
        <w:t xml:space="preserve">is </w:t>
      </w:r>
      <w:r>
        <w:rPr>
          <w:rFonts w:ascii="Times New Roman" w:hAnsi="Times New Roman"/>
          <w:szCs w:val="24"/>
        </w:rPr>
        <w:t xml:space="preserve">proposed </w:t>
      </w:r>
      <w:r w:rsidRPr="00432605">
        <w:rPr>
          <w:rFonts w:ascii="Times New Roman" w:hAnsi="Times New Roman"/>
          <w:szCs w:val="24"/>
        </w:rPr>
        <w:t>adjustment includ</w:t>
      </w:r>
      <w:r>
        <w:rPr>
          <w:rFonts w:ascii="Times New Roman" w:hAnsi="Times New Roman"/>
          <w:szCs w:val="24"/>
        </w:rPr>
        <w:t>ed</w:t>
      </w:r>
      <w:r w:rsidRPr="00432605">
        <w:rPr>
          <w:rFonts w:ascii="Times New Roman" w:hAnsi="Times New Roman"/>
          <w:szCs w:val="24"/>
        </w:rPr>
        <w:t xml:space="preserve"> significant errors,</w:t>
      </w:r>
      <w:r w:rsidRPr="00432605">
        <w:rPr>
          <w:rStyle w:val="FootnoteReference"/>
          <w:rFonts w:ascii="Times New Roman" w:hAnsi="Times New Roman"/>
          <w:szCs w:val="24"/>
        </w:rPr>
        <w:footnoteReference w:id="106"/>
      </w:r>
      <w:r w:rsidRPr="00432605">
        <w:rPr>
          <w:rFonts w:ascii="Times New Roman" w:hAnsi="Times New Roman"/>
          <w:szCs w:val="24"/>
        </w:rPr>
        <w:t xml:space="preserve"> </w:t>
      </w:r>
      <w:r>
        <w:rPr>
          <w:rFonts w:ascii="Times New Roman" w:hAnsi="Times New Roman"/>
          <w:szCs w:val="24"/>
        </w:rPr>
        <w:t xml:space="preserve">and </w:t>
      </w:r>
      <w:r w:rsidRPr="00432605">
        <w:rPr>
          <w:rFonts w:ascii="Times New Roman" w:hAnsi="Times New Roman"/>
          <w:szCs w:val="24"/>
        </w:rPr>
        <w:t>removal of these a</w:t>
      </w:r>
      <w:r>
        <w:rPr>
          <w:rFonts w:ascii="Times New Roman" w:hAnsi="Times New Roman"/>
          <w:szCs w:val="24"/>
        </w:rPr>
        <w:t>mounts</w:t>
      </w:r>
      <w:r w:rsidRPr="00432605">
        <w:rPr>
          <w:rFonts w:ascii="Times New Roman" w:hAnsi="Times New Roman"/>
          <w:szCs w:val="24"/>
        </w:rPr>
        <w:t xml:space="preserve"> </w:t>
      </w:r>
      <w:r>
        <w:rPr>
          <w:rFonts w:ascii="Times New Roman" w:hAnsi="Times New Roman"/>
          <w:szCs w:val="24"/>
        </w:rPr>
        <w:t>from PacifiCorp’s equity component</w:t>
      </w:r>
      <w:r w:rsidRPr="00432605">
        <w:rPr>
          <w:rFonts w:ascii="Times New Roman" w:hAnsi="Times New Roman"/>
          <w:szCs w:val="24"/>
        </w:rPr>
        <w:t xml:space="preserve"> is improper because the Company finances its operation</w:t>
      </w:r>
      <w:r w:rsidR="007754C1">
        <w:rPr>
          <w:rFonts w:ascii="Times New Roman" w:hAnsi="Times New Roman"/>
          <w:szCs w:val="24"/>
        </w:rPr>
        <w:t>s</w:t>
      </w:r>
      <w:r w:rsidRPr="00432605">
        <w:rPr>
          <w:rFonts w:ascii="Times New Roman" w:hAnsi="Times New Roman"/>
          <w:szCs w:val="24"/>
        </w:rPr>
        <w:t xml:space="preserve"> </w:t>
      </w:r>
      <w:r>
        <w:rPr>
          <w:rFonts w:ascii="Times New Roman" w:hAnsi="Times New Roman"/>
          <w:szCs w:val="24"/>
        </w:rPr>
        <w:t xml:space="preserve">and </w:t>
      </w:r>
      <w:r w:rsidR="007754C1">
        <w:rPr>
          <w:rFonts w:ascii="Times New Roman" w:hAnsi="Times New Roman"/>
          <w:szCs w:val="24"/>
        </w:rPr>
        <w:t>receives</w:t>
      </w:r>
      <w:r>
        <w:rPr>
          <w:rFonts w:ascii="Times New Roman" w:hAnsi="Times New Roman"/>
          <w:szCs w:val="24"/>
        </w:rPr>
        <w:t xml:space="preserve"> a credit rating</w:t>
      </w:r>
      <w:r w:rsidRPr="00432605">
        <w:rPr>
          <w:rFonts w:ascii="Times New Roman" w:hAnsi="Times New Roman"/>
          <w:szCs w:val="24"/>
        </w:rPr>
        <w:t xml:space="preserve"> </w:t>
      </w:r>
      <w:r w:rsidR="007754C1">
        <w:rPr>
          <w:rFonts w:ascii="Times New Roman" w:hAnsi="Times New Roman"/>
          <w:szCs w:val="24"/>
        </w:rPr>
        <w:t>on an overall</w:t>
      </w:r>
      <w:r w:rsidRPr="00432605">
        <w:rPr>
          <w:rFonts w:ascii="Times New Roman" w:hAnsi="Times New Roman"/>
          <w:szCs w:val="24"/>
        </w:rPr>
        <w:t xml:space="preserve"> capital structure</w:t>
      </w:r>
      <w:r w:rsidR="007754C1">
        <w:rPr>
          <w:rFonts w:ascii="Times New Roman" w:hAnsi="Times New Roman"/>
          <w:szCs w:val="24"/>
        </w:rPr>
        <w:t>,</w:t>
      </w:r>
      <w:r w:rsidRPr="00432605">
        <w:rPr>
          <w:rFonts w:ascii="Times New Roman" w:hAnsi="Times New Roman"/>
          <w:szCs w:val="24"/>
        </w:rPr>
        <w:t xml:space="preserve"> not a state-by-state structure</w:t>
      </w:r>
      <w:r>
        <w:rPr>
          <w:rFonts w:ascii="Times New Roman" w:hAnsi="Times New Roman"/>
          <w:szCs w:val="24"/>
        </w:rPr>
        <w:t>.  I</w:t>
      </w:r>
      <w:r w:rsidRPr="00432605">
        <w:rPr>
          <w:rFonts w:ascii="Times New Roman" w:hAnsi="Times New Roman"/>
          <w:szCs w:val="24"/>
        </w:rPr>
        <w:t xml:space="preserve">f </w:t>
      </w:r>
      <w:r>
        <w:rPr>
          <w:rFonts w:ascii="Times New Roman" w:hAnsi="Times New Roman"/>
          <w:szCs w:val="24"/>
        </w:rPr>
        <w:t>Mr. </w:t>
      </w:r>
      <w:r w:rsidRPr="00432605">
        <w:rPr>
          <w:rFonts w:ascii="Times New Roman" w:hAnsi="Times New Roman"/>
          <w:szCs w:val="24"/>
        </w:rPr>
        <w:t>Gorman’s method is to be adopted it would require additional adjustments that exclude favorable</w:t>
      </w:r>
      <w:r w:rsidR="007754C1">
        <w:rPr>
          <w:rFonts w:ascii="Times New Roman" w:hAnsi="Times New Roman"/>
          <w:szCs w:val="24"/>
        </w:rPr>
        <w:t>, non-WCA items</w:t>
      </w:r>
      <w:r w:rsidRPr="00432605">
        <w:rPr>
          <w:rFonts w:ascii="Times New Roman" w:hAnsi="Times New Roman"/>
          <w:szCs w:val="24"/>
        </w:rPr>
        <w:t xml:space="preserve"> from the capital structure.</w:t>
      </w:r>
      <w:r w:rsidRPr="00432605">
        <w:rPr>
          <w:rStyle w:val="FootnoteReference"/>
          <w:rFonts w:ascii="Times New Roman" w:hAnsi="Times New Roman"/>
          <w:szCs w:val="24"/>
        </w:rPr>
        <w:footnoteReference w:id="107"/>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r>
      <w:r>
        <w:rPr>
          <w:rFonts w:ascii="Times New Roman" w:hAnsi="Times New Roman"/>
          <w:szCs w:val="24"/>
        </w:rPr>
        <w:t>Mr. </w:t>
      </w:r>
      <w:r w:rsidRPr="00432605">
        <w:rPr>
          <w:rFonts w:ascii="Times New Roman" w:hAnsi="Times New Roman"/>
          <w:szCs w:val="24"/>
        </w:rPr>
        <w:t>Gorman also propose</w:t>
      </w:r>
      <w:r>
        <w:rPr>
          <w:rFonts w:ascii="Times New Roman" w:hAnsi="Times New Roman"/>
          <w:szCs w:val="24"/>
        </w:rPr>
        <w:t>s</w:t>
      </w:r>
      <w:r w:rsidRPr="00432605">
        <w:rPr>
          <w:rFonts w:ascii="Times New Roman" w:hAnsi="Times New Roman"/>
          <w:szCs w:val="24"/>
        </w:rPr>
        <w:t xml:space="preserve"> a reduction in equity to reflect the removal of certain short-term investments.</w:t>
      </w:r>
      <w:r w:rsidRPr="00432605">
        <w:rPr>
          <w:rStyle w:val="FootnoteReference"/>
          <w:rFonts w:ascii="Times New Roman" w:hAnsi="Times New Roman"/>
          <w:szCs w:val="24"/>
        </w:rPr>
        <w:footnoteReference w:id="108"/>
      </w:r>
      <w:r w:rsidRPr="00432605">
        <w:rPr>
          <w:rFonts w:ascii="Times New Roman" w:hAnsi="Times New Roman"/>
          <w:szCs w:val="24"/>
        </w:rPr>
        <w:t xml:space="preserve">  This proposal is </w:t>
      </w:r>
      <w:r w:rsidRPr="002E4C43">
        <w:t>wrong</w:t>
      </w:r>
      <w:r w:rsidRPr="00432605">
        <w:rPr>
          <w:rFonts w:ascii="Times New Roman" w:hAnsi="Times New Roman"/>
          <w:szCs w:val="24"/>
        </w:rPr>
        <w:t xml:space="preserve"> for two reasons.  First, </w:t>
      </w:r>
      <w:r>
        <w:rPr>
          <w:rFonts w:ascii="Times New Roman" w:hAnsi="Times New Roman"/>
          <w:szCs w:val="24"/>
        </w:rPr>
        <w:t>Mr. Gorman nets</w:t>
      </w:r>
      <w:r w:rsidRPr="00432605">
        <w:rPr>
          <w:rFonts w:ascii="Times New Roman" w:hAnsi="Times New Roman"/>
          <w:szCs w:val="24"/>
        </w:rPr>
        <w:t xml:space="preserve"> short-term investments against </w:t>
      </w:r>
      <w:r>
        <w:rPr>
          <w:rFonts w:ascii="Times New Roman" w:hAnsi="Times New Roman"/>
          <w:szCs w:val="24"/>
        </w:rPr>
        <w:t xml:space="preserve">common equity rather than the accepted practice of netting against </w:t>
      </w:r>
      <w:r w:rsidRPr="00432605">
        <w:rPr>
          <w:rFonts w:ascii="Times New Roman" w:hAnsi="Times New Roman"/>
          <w:szCs w:val="24"/>
        </w:rPr>
        <w:t xml:space="preserve">long-term debt </w:t>
      </w:r>
      <w:r>
        <w:rPr>
          <w:rFonts w:ascii="Times New Roman" w:hAnsi="Times New Roman"/>
          <w:szCs w:val="24"/>
        </w:rPr>
        <w:t>to determine “net debt.”</w:t>
      </w:r>
      <w:r w:rsidRPr="00432605">
        <w:rPr>
          <w:rFonts w:ascii="Times New Roman" w:hAnsi="Times New Roman"/>
          <w:szCs w:val="24"/>
        </w:rPr>
        <w:t xml:space="preserve">  </w:t>
      </w:r>
      <w:r>
        <w:rPr>
          <w:rFonts w:ascii="Times New Roman" w:hAnsi="Times New Roman"/>
          <w:szCs w:val="24"/>
        </w:rPr>
        <w:t>Mr. </w:t>
      </w:r>
      <w:r w:rsidRPr="00432605">
        <w:rPr>
          <w:rFonts w:ascii="Times New Roman" w:hAnsi="Times New Roman"/>
          <w:szCs w:val="24"/>
        </w:rPr>
        <w:t xml:space="preserve">Gorman’s proposal is </w:t>
      </w:r>
      <w:r>
        <w:rPr>
          <w:rFonts w:ascii="Times New Roman" w:hAnsi="Times New Roman"/>
          <w:szCs w:val="24"/>
        </w:rPr>
        <w:t>highly unusual</w:t>
      </w:r>
      <w:r w:rsidRPr="00432605">
        <w:rPr>
          <w:rFonts w:ascii="Times New Roman" w:hAnsi="Times New Roman"/>
          <w:szCs w:val="24"/>
        </w:rPr>
        <w:t xml:space="preserve"> and no</w:t>
      </w:r>
      <w:r>
        <w:rPr>
          <w:rFonts w:ascii="Times New Roman" w:hAnsi="Times New Roman"/>
          <w:szCs w:val="24"/>
        </w:rPr>
        <w:t>t</w:t>
      </w:r>
      <w:r w:rsidRPr="00432605">
        <w:rPr>
          <w:rFonts w:ascii="Times New Roman" w:hAnsi="Times New Roman"/>
          <w:szCs w:val="24"/>
        </w:rPr>
        <w:t xml:space="preserve"> supported in general financial theory or practice.</w:t>
      </w:r>
      <w:r w:rsidRPr="00432605">
        <w:rPr>
          <w:rStyle w:val="FootnoteReference"/>
          <w:rFonts w:ascii="Times New Roman" w:hAnsi="Times New Roman"/>
          <w:szCs w:val="24"/>
        </w:rPr>
        <w:footnoteReference w:id="109"/>
      </w:r>
      <w:r w:rsidRPr="00432605">
        <w:rPr>
          <w:rFonts w:ascii="Times New Roman" w:hAnsi="Times New Roman"/>
          <w:szCs w:val="24"/>
        </w:rPr>
        <w:t xml:space="preserve">  Second, the Company exhausted its temporary cash investments in September 2010, and therefore th</w:t>
      </w:r>
      <w:r>
        <w:rPr>
          <w:rFonts w:ascii="Times New Roman" w:hAnsi="Times New Roman"/>
          <w:szCs w:val="24"/>
        </w:rPr>
        <w:t xml:space="preserve">is proposed adjustment is </w:t>
      </w:r>
      <w:r w:rsidR="00F505D8">
        <w:rPr>
          <w:rFonts w:ascii="Times New Roman" w:hAnsi="Times New Roman"/>
          <w:szCs w:val="24"/>
        </w:rPr>
        <w:t>moot</w:t>
      </w:r>
      <w:r>
        <w:rPr>
          <w:rFonts w:ascii="Times New Roman" w:hAnsi="Times New Roman"/>
          <w:szCs w:val="24"/>
        </w:rPr>
        <w:t>.</w:t>
      </w:r>
      <w:r w:rsidRPr="00432605">
        <w:rPr>
          <w:rStyle w:val="FootnoteReference"/>
          <w:rFonts w:ascii="Times New Roman" w:hAnsi="Times New Roman"/>
          <w:szCs w:val="24"/>
        </w:rPr>
        <w:footnoteReference w:id="110"/>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r>
      <w:r>
        <w:rPr>
          <w:rFonts w:ascii="Times New Roman" w:hAnsi="Times New Roman"/>
          <w:szCs w:val="24"/>
        </w:rPr>
        <w:t>Mr. </w:t>
      </w:r>
      <w:r w:rsidRPr="00432605">
        <w:rPr>
          <w:rFonts w:ascii="Times New Roman" w:hAnsi="Times New Roman"/>
          <w:szCs w:val="24"/>
        </w:rPr>
        <w:t xml:space="preserve">Gorman’s analysis is also flawed because </w:t>
      </w:r>
      <w:r w:rsidRPr="002E4C43">
        <w:t>he</w:t>
      </w:r>
      <w:r w:rsidRPr="00432605">
        <w:rPr>
          <w:rFonts w:ascii="Times New Roman" w:hAnsi="Times New Roman"/>
          <w:szCs w:val="24"/>
        </w:rPr>
        <w:t xml:space="preserve"> asserts that these short-term investments represent a placeholder for retained earnings.</w:t>
      </w:r>
      <w:r w:rsidRPr="00432605">
        <w:rPr>
          <w:rStyle w:val="FootnoteReference"/>
          <w:rFonts w:ascii="Times New Roman" w:hAnsi="Times New Roman"/>
          <w:szCs w:val="24"/>
        </w:rPr>
        <w:footnoteReference w:id="111"/>
      </w:r>
      <w:r w:rsidRPr="00432605">
        <w:rPr>
          <w:rFonts w:ascii="Times New Roman" w:hAnsi="Times New Roman"/>
          <w:szCs w:val="24"/>
        </w:rPr>
        <w:t xml:space="preserve">  This is incorrect.  The facts demonstrate that PacifiCorp is inves</w:t>
      </w:r>
      <w:r>
        <w:rPr>
          <w:rFonts w:ascii="Times New Roman" w:hAnsi="Times New Roman"/>
          <w:szCs w:val="24"/>
        </w:rPr>
        <w:t>ting more into its business than</w:t>
      </w:r>
      <w:r w:rsidRPr="00432605">
        <w:rPr>
          <w:rFonts w:ascii="Times New Roman" w:hAnsi="Times New Roman"/>
          <w:szCs w:val="24"/>
        </w:rPr>
        <w:t xml:space="preserve"> its cash flow from operations.</w:t>
      </w:r>
      <w:r w:rsidRPr="00432605">
        <w:rPr>
          <w:rStyle w:val="FootnoteReference"/>
          <w:rFonts w:ascii="Times New Roman" w:hAnsi="Times New Roman"/>
          <w:szCs w:val="24"/>
        </w:rPr>
        <w:footnoteReference w:id="112"/>
      </w:r>
    </w:p>
    <w:p w:rsidR="00973298" w:rsidRDefault="002E098B">
      <w:pPr>
        <w:keepNext/>
        <w:widowControl w:val="0"/>
        <w:spacing w:after="240"/>
        <w:ind w:left="1440" w:hanging="720"/>
        <w:rPr>
          <w:rFonts w:ascii="Times New Roman" w:hAnsi="Times New Roman"/>
          <w:szCs w:val="24"/>
        </w:rPr>
      </w:pPr>
      <w:r w:rsidRPr="00432605">
        <w:rPr>
          <w:rFonts w:ascii="Times New Roman" w:hAnsi="Times New Roman"/>
          <w:b/>
          <w:szCs w:val="24"/>
        </w:rPr>
        <w:t>4.</w:t>
      </w:r>
      <w:r w:rsidRPr="00432605">
        <w:rPr>
          <w:rFonts w:ascii="Times New Roman" w:hAnsi="Times New Roman"/>
          <w:b/>
          <w:szCs w:val="24"/>
        </w:rPr>
        <w:tab/>
        <w:t>ICNU’s Hypothetical Capital Structure Fail</w:t>
      </w:r>
      <w:r>
        <w:rPr>
          <w:rFonts w:ascii="Times New Roman" w:hAnsi="Times New Roman"/>
          <w:b/>
          <w:szCs w:val="24"/>
        </w:rPr>
        <w:t>s</w:t>
      </w:r>
      <w:r w:rsidRPr="00432605">
        <w:rPr>
          <w:rFonts w:ascii="Times New Roman" w:hAnsi="Times New Roman"/>
          <w:b/>
          <w:szCs w:val="24"/>
        </w:rPr>
        <w:t xml:space="preserve"> to Account for the Lack of a </w:t>
      </w:r>
      <w:r>
        <w:rPr>
          <w:rFonts w:ascii="Times New Roman" w:hAnsi="Times New Roman"/>
          <w:b/>
          <w:szCs w:val="24"/>
        </w:rPr>
        <w:t>PCAM</w:t>
      </w:r>
      <w:r w:rsidR="00444D94">
        <w:rPr>
          <w:rFonts w:ascii="Times New Roman" w:hAnsi="Times New Roman"/>
          <w:b/>
          <w:szCs w:val="24"/>
        </w:rPr>
        <w:t xml:space="preserve"> and i</w:t>
      </w:r>
      <w:r>
        <w:rPr>
          <w:rFonts w:ascii="Times New Roman" w:hAnsi="Times New Roman"/>
          <w:b/>
          <w:szCs w:val="24"/>
        </w:rPr>
        <w:t xml:space="preserve">s Inconsistent with Mr. Gorman’s Position in Other Cases.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F657BC">
        <w:rPr>
          <w:rFonts w:ascii="Times New Roman" w:hAnsi="Times New Roman"/>
          <w:szCs w:val="24"/>
        </w:rPr>
        <w:tab/>
      </w:r>
      <w:r w:rsidR="00573C9F">
        <w:rPr>
          <w:rFonts w:ascii="Times New Roman" w:hAnsi="Times New Roman"/>
          <w:szCs w:val="24"/>
        </w:rPr>
        <w:t>In Mr. Gorman’s cross-answering testimony filed on November 5, 2010, he criticized PacifiCorp’s equity build-up as “more than necessary to fund its utility plant investments.”</w:t>
      </w:r>
      <w:r w:rsidR="00573C9F">
        <w:rPr>
          <w:rStyle w:val="FootnoteReference"/>
          <w:rFonts w:ascii="Times New Roman" w:hAnsi="Times New Roman"/>
          <w:szCs w:val="24"/>
        </w:rPr>
        <w:footnoteReference w:id="113"/>
      </w:r>
      <w:r w:rsidR="00573C9F">
        <w:rPr>
          <w:rFonts w:ascii="Times New Roman" w:hAnsi="Times New Roman"/>
          <w:szCs w:val="24"/>
        </w:rPr>
        <w:t xml:space="preserve">  </w:t>
      </w:r>
      <w:r w:rsidRPr="00F657BC">
        <w:rPr>
          <w:rFonts w:ascii="Times New Roman" w:hAnsi="Times New Roman"/>
          <w:szCs w:val="24"/>
        </w:rPr>
        <w:t xml:space="preserve">When testifying before the Wyoming Public Service Commission </w:t>
      </w:r>
      <w:r w:rsidR="00573C9F">
        <w:rPr>
          <w:rFonts w:ascii="Times New Roman" w:hAnsi="Times New Roman"/>
          <w:szCs w:val="24"/>
        </w:rPr>
        <w:t xml:space="preserve">five days later, </w:t>
      </w:r>
      <w:r w:rsidRPr="00F657BC">
        <w:rPr>
          <w:rFonts w:ascii="Times New Roman" w:hAnsi="Times New Roman"/>
          <w:szCs w:val="24"/>
        </w:rPr>
        <w:t xml:space="preserve">Mr. Gorman acknowledged that PacifiCorp’s equity ratio was over 50%, which he stated was “significant </w:t>
      </w:r>
      <w:r w:rsidRPr="00F657BC">
        <w:rPr>
          <w:rFonts w:ascii="Times New Roman" w:hAnsi="Times New Roman"/>
          <w:szCs w:val="24"/>
        </w:rPr>
        <w:lastRenderedPageBreak/>
        <w:t>because increasing common equity ratio reduces financial risk to help balance total investment risk for the operating risk related to not being given full guaranteed cost recovery of power cost[s].”</w:t>
      </w:r>
      <w:r w:rsidRPr="00432605">
        <w:rPr>
          <w:rStyle w:val="FootnoteReference"/>
          <w:rFonts w:ascii="Times New Roman" w:hAnsi="Times New Roman"/>
          <w:szCs w:val="24"/>
        </w:rPr>
        <w:footnoteReference w:id="114"/>
      </w:r>
      <w:r w:rsidRPr="00F657BC">
        <w:rPr>
          <w:rFonts w:ascii="Times New Roman" w:hAnsi="Times New Roman"/>
          <w:szCs w:val="24"/>
        </w:rPr>
        <w:t xml:space="preserve">  As Mr. Gorman testified, the objective is to balance financial risk, which is decreased by increasing the common equity ratio, with operational </w:t>
      </w:r>
      <w:r>
        <w:rPr>
          <w:rFonts w:ascii="Times New Roman" w:hAnsi="Times New Roman"/>
          <w:szCs w:val="24"/>
        </w:rPr>
        <w:t xml:space="preserve">(or business) </w:t>
      </w:r>
      <w:r w:rsidRPr="00F657BC">
        <w:rPr>
          <w:rFonts w:ascii="Times New Roman" w:hAnsi="Times New Roman"/>
          <w:szCs w:val="24"/>
        </w:rPr>
        <w:t>risk, which is decreased by allow</w:t>
      </w:r>
      <w:r>
        <w:rPr>
          <w:rFonts w:ascii="Times New Roman" w:hAnsi="Times New Roman"/>
          <w:szCs w:val="24"/>
        </w:rPr>
        <w:t>ing</w:t>
      </w:r>
      <w:r w:rsidRPr="00F657BC">
        <w:rPr>
          <w:rFonts w:ascii="Times New Roman" w:hAnsi="Times New Roman"/>
          <w:szCs w:val="24"/>
        </w:rPr>
        <w:t xml:space="preserve"> a </w:t>
      </w:r>
      <w:r>
        <w:rPr>
          <w:rFonts w:ascii="Times New Roman" w:hAnsi="Times New Roman"/>
          <w:szCs w:val="24"/>
        </w:rPr>
        <w:t>PCAM</w:t>
      </w:r>
      <w:r w:rsidRPr="00F657BC">
        <w:rPr>
          <w:rFonts w:ascii="Times New Roman" w:hAnsi="Times New Roman"/>
          <w:szCs w:val="24"/>
        </w:rPr>
        <w:t>.</w:t>
      </w:r>
      <w:r w:rsidRPr="00432605">
        <w:rPr>
          <w:rStyle w:val="FootnoteReference"/>
          <w:rFonts w:ascii="Times New Roman" w:hAnsi="Times New Roman"/>
          <w:szCs w:val="24"/>
        </w:rPr>
        <w:footnoteReference w:id="115"/>
      </w:r>
      <w:r w:rsidRPr="00F657BC">
        <w:rPr>
          <w:rFonts w:ascii="Times New Roman" w:hAnsi="Times New Roman"/>
          <w:szCs w:val="24"/>
        </w:rPr>
        <w:t xml:space="preserve">  In Washington, PacifiCorp has no </w:t>
      </w:r>
      <w:r>
        <w:rPr>
          <w:rFonts w:ascii="Times New Roman" w:hAnsi="Times New Roman"/>
          <w:szCs w:val="24"/>
        </w:rPr>
        <w:t>PCAM</w:t>
      </w:r>
      <w:r w:rsidRPr="00F657BC">
        <w:rPr>
          <w:rFonts w:ascii="Times New Roman" w:hAnsi="Times New Roman"/>
          <w:szCs w:val="24"/>
        </w:rPr>
        <w:t xml:space="preserve"> and is therefore exposed to greater </w:t>
      </w:r>
      <w:r>
        <w:rPr>
          <w:rFonts w:ascii="Times New Roman" w:hAnsi="Times New Roman"/>
          <w:szCs w:val="24"/>
        </w:rPr>
        <w:t>operational/business</w:t>
      </w:r>
      <w:r w:rsidRPr="00F657BC">
        <w:rPr>
          <w:rFonts w:ascii="Times New Roman" w:hAnsi="Times New Roman"/>
          <w:szCs w:val="24"/>
        </w:rPr>
        <w:t xml:space="preserve"> risk.  This exposure necessitates, in Mr. Gorman’s words, mitigation in the form of increased common equity</w:t>
      </w:r>
      <w:r>
        <w:rPr>
          <w:rFonts w:ascii="Times New Roman" w:hAnsi="Times New Roman"/>
          <w:szCs w:val="24"/>
        </w:rPr>
        <w:t xml:space="preserve">, </w:t>
      </w:r>
      <w:r w:rsidRPr="0090779F">
        <w:rPr>
          <w:rFonts w:ascii="Times New Roman" w:hAnsi="Times New Roman"/>
          <w:i/>
          <w:szCs w:val="24"/>
        </w:rPr>
        <w:t>i.e.</w:t>
      </w:r>
      <w:r>
        <w:rPr>
          <w:rFonts w:ascii="Times New Roman" w:hAnsi="Times New Roman"/>
          <w:szCs w:val="24"/>
        </w:rPr>
        <w:t>, reduced financial risk</w:t>
      </w:r>
      <w:r w:rsidRPr="00F657BC">
        <w:rPr>
          <w:rFonts w:ascii="Times New Roman" w:hAnsi="Times New Roman"/>
          <w:szCs w:val="24"/>
        </w:rPr>
        <w:t xml:space="preserve">.  Therefore, </w:t>
      </w:r>
      <w:r w:rsidR="00F505D8">
        <w:rPr>
          <w:rFonts w:ascii="Times New Roman" w:hAnsi="Times New Roman"/>
          <w:szCs w:val="24"/>
        </w:rPr>
        <w:t xml:space="preserve">according to Mr. Gorman’s testimony </w:t>
      </w:r>
      <w:r w:rsidR="005B41A1">
        <w:rPr>
          <w:rFonts w:ascii="Times New Roman" w:hAnsi="Times New Roman"/>
          <w:szCs w:val="24"/>
        </w:rPr>
        <w:t xml:space="preserve">in Wyoming, </w:t>
      </w:r>
      <w:r w:rsidRPr="00F657BC">
        <w:rPr>
          <w:rFonts w:ascii="Times New Roman" w:hAnsi="Times New Roman"/>
          <w:szCs w:val="24"/>
        </w:rPr>
        <w:t>the Company’s increased equity ratio beyond 50% is reasonable as a means to “</w:t>
      </w:r>
      <w:proofErr w:type="gramStart"/>
      <w:r w:rsidRPr="00F657BC">
        <w:rPr>
          <w:rFonts w:ascii="Times New Roman" w:hAnsi="Times New Roman"/>
          <w:szCs w:val="24"/>
        </w:rPr>
        <w:t>ensure[</w:t>
      </w:r>
      <w:proofErr w:type="gramEnd"/>
      <w:r w:rsidRPr="00F657BC">
        <w:rPr>
          <w:rFonts w:ascii="Times New Roman" w:hAnsi="Times New Roman"/>
          <w:szCs w:val="24"/>
        </w:rPr>
        <w:t>] that the financial and operating risk of the utility are structure</w:t>
      </w:r>
      <w:r>
        <w:rPr>
          <w:rFonts w:ascii="Times New Roman" w:hAnsi="Times New Roman"/>
          <w:szCs w:val="24"/>
        </w:rPr>
        <w:t>d</w:t>
      </w:r>
      <w:r w:rsidRPr="00F657BC">
        <w:rPr>
          <w:rFonts w:ascii="Times New Roman" w:hAnsi="Times New Roman"/>
          <w:szCs w:val="24"/>
        </w:rPr>
        <w:t xml:space="preserve"> in a way that . . .  maintain</w:t>
      </w:r>
      <w:r>
        <w:rPr>
          <w:rFonts w:ascii="Times New Roman" w:hAnsi="Times New Roman"/>
          <w:szCs w:val="24"/>
        </w:rPr>
        <w:t>s</w:t>
      </w:r>
      <w:r w:rsidRPr="00F657BC">
        <w:rPr>
          <w:rFonts w:ascii="Times New Roman" w:hAnsi="Times New Roman"/>
          <w:szCs w:val="24"/>
        </w:rPr>
        <w:t xml:space="preserve"> investment grade credit quality.”</w:t>
      </w:r>
      <w:r w:rsidRPr="00432605">
        <w:rPr>
          <w:rStyle w:val="FootnoteReference"/>
          <w:rFonts w:ascii="Times New Roman" w:hAnsi="Times New Roman"/>
          <w:szCs w:val="24"/>
        </w:rPr>
        <w:footnoteReference w:id="116"/>
      </w:r>
      <w:r w:rsidRPr="00F657BC">
        <w:rPr>
          <w:rFonts w:ascii="Times New Roman" w:hAnsi="Times New Roman"/>
          <w:szCs w:val="24"/>
        </w:rPr>
        <w:tab/>
      </w:r>
    </w:p>
    <w:p w:rsidR="00973298" w:rsidRDefault="005B41A1">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85659B">
        <w:rPr>
          <w:rFonts w:ascii="Times New Roman" w:hAnsi="Times New Roman"/>
          <w:szCs w:val="24"/>
        </w:rPr>
        <w:t xml:space="preserve">During cross-examination, </w:t>
      </w:r>
      <w:r>
        <w:rPr>
          <w:rFonts w:ascii="Times New Roman" w:hAnsi="Times New Roman"/>
          <w:szCs w:val="24"/>
        </w:rPr>
        <w:t>Mr. Gorman disavow</w:t>
      </w:r>
      <w:r w:rsidR="0085659B">
        <w:rPr>
          <w:rFonts w:ascii="Times New Roman" w:hAnsi="Times New Roman"/>
          <w:szCs w:val="24"/>
        </w:rPr>
        <w:t>ed</w:t>
      </w:r>
      <w:r>
        <w:rPr>
          <w:rFonts w:ascii="Times New Roman" w:hAnsi="Times New Roman"/>
          <w:szCs w:val="24"/>
        </w:rPr>
        <w:t xml:space="preserve"> </w:t>
      </w:r>
      <w:r w:rsidR="00AA5B00">
        <w:rPr>
          <w:rFonts w:ascii="Times New Roman" w:hAnsi="Times New Roman"/>
          <w:szCs w:val="24"/>
        </w:rPr>
        <w:t>his</w:t>
      </w:r>
      <w:r>
        <w:rPr>
          <w:rFonts w:ascii="Times New Roman" w:hAnsi="Times New Roman"/>
          <w:szCs w:val="24"/>
        </w:rPr>
        <w:t xml:space="preserve"> Wyoming testimony</w:t>
      </w:r>
      <w:r w:rsidR="00182A2C">
        <w:rPr>
          <w:rFonts w:ascii="Times New Roman" w:hAnsi="Times New Roman"/>
          <w:szCs w:val="24"/>
        </w:rPr>
        <w:t>,</w:t>
      </w:r>
      <w:r>
        <w:rPr>
          <w:rFonts w:ascii="Times New Roman" w:hAnsi="Times New Roman"/>
          <w:szCs w:val="24"/>
        </w:rPr>
        <w:t xml:space="preserve"> </w:t>
      </w:r>
      <w:r w:rsidR="0085659B">
        <w:rPr>
          <w:rFonts w:ascii="Times New Roman" w:hAnsi="Times New Roman"/>
          <w:szCs w:val="24"/>
        </w:rPr>
        <w:t xml:space="preserve">claiming </w:t>
      </w:r>
      <w:r>
        <w:rPr>
          <w:rFonts w:ascii="Times New Roman" w:hAnsi="Times New Roman"/>
          <w:szCs w:val="24"/>
        </w:rPr>
        <w:t>he either misspoke or the transcript was incorrect</w:t>
      </w:r>
      <w:r w:rsidR="0085659B">
        <w:rPr>
          <w:rFonts w:ascii="Times New Roman" w:hAnsi="Times New Roman"/>
          <w:szCs w:val="24"/>
        </w:rPr>
        <w:t>.</w:t>
      </w:r>
      <w:r w:rsidR="00C1243E">
        <w:rPr>
          <w:rStyle w:val="FootnoteReference"/>
          <w:rFonts w:ascii="Times New Roman" w:hAnsi="Times New Roman"/>
          <w:szCs w:val="24"/>
        </w:rPr>
        <w:footnoteReference w:id="117"/>
      </w:r>
      <w:r w:rsidR="0085659B">
        <w:rPr>
          <w:rFonts w:ascii="Times New Roman" w:hAnsi="Times New Roman"/>
          <w:szCs w:val="24"/>
        </w:rPr>
        <w:t xml:space="preserve">  </w:t>
      </w:r>
      <w:r w:rsidR="00C1243E">
        <w:rPr>
          <w:rFonts w:ascii="Times New Roman" w:hAnsi="Times New Roman"/>
          <w:szCs w:val="24"/>
        </w:rPr>
        <w:t>When pressed, however, Mr. Gorman</w:t>
      </w:r>
      <w:r w:rsidR="00AA5B00">
        <w:rPr>
          <w:rFonts w:ascii="Times New Roman" w:hAnsi="Times New Roman"/>
          <w:szCs w:val="24"/>
        </w:rPr>
        <w:t xml:space="preserve"> stood by his testimony </w:t>
      </w:r>
      <w:r w:rsidR="00C1243E">
        <w:rPr>
          <w:rFonts w:ascii="Times New Roman" w:hAnsi="Times New Roman"/>
          <w:szCs w:val="24"/>
        </w:rPr>
        <w:t xml:space="preserve">quoted above </w:t>
      </w:r>
      <w:r w:rsidR="00AA5B00">
        <w:rPr>
          <w:rFonts w:ascii="Times New Roman" w:hAnsi="Times New Roman"/>
          <w:szCs w:val="24"/>
        </w:rPr>
        <w:t>that</w:t>
      </w:r>
      <w:r w:rsidR="00504D71">
        <w:rPr>
          <w:rFonts w:ascii="Times New Roman" w:hAnsi="Times New Roman"/>
          <w:szCs w:val="24"/>
        </w:rPr>
        <w:t xml:space="preserve"> increased</w:t>
      </w:r>
      <w:r w:rsidR="00AA5B00">
        <w:rPr>
          <w:rFonts w:ascii="Times New Roman" w:hAnsi="Times New Roman"/>
          <w:szCs w:val="24"/>
        </w:rPr>
        <w:t xml:space="preserve"> equity in </w:t>
      </w:r>
      <w:r w:rsidR="00182A2C">
        <w:rPr>
          <w:rFonts w:ascii="Times New Roman" w:hAnsi="Times New Roman"/>
          <w:szCs w:val="24"/>
        </w:rPr>
        <w:t>PacifiCorp’s</w:t>
      </w:r>
      <w:r w:rsidR="00AA5B00">
        <w:rPr>
          <w:rFonts w:ascii="Times New Roman" w:hAnsi="Times New Roman"/>
          <w:szCs w:val="24"/>
        </w:rPr>
        <w:t xml:space="preserve"> capital struct</w:t>
      </w:r>
      <w:r w:rsidR="0085659B">
        <w:rPr>
          <w:rFonts w:ascii="Times New Roman" w:hAnsi="Times New Roman"/>
          <w:szCs w:val="24"/>
        </w:rPr>
        <w:t>u</w:t>
      </w:r>
      <w:r w:rsidR="00AA5B00">
        <w:rPr>
          <w:rFonts w:ascii="Times New Roman" w:hAnsi="Times New Roman"/>
          <w:szCs w:val="24"/>
        </w:rPr>
        <w:t xml:space="preserve">re </w:t>
      </w:r>
      <w:r w:rsidR="00C1243E">
        <w:rPr>
          <w:rFonts w:ascii="Times New Roman" w:hAnsi="Times New Roman"/>
          <w:szCs w:val="24"/>
        </w:rPr>
        <w:t>helps to balance operating risk associated with recovery of power costs in a non-PCAM environment.</w:t>
      </w:r>
      <w:r w:rsidR="00C1243E">
        <w:rPr>
          <w:rStyle w:val="FootnoteReference"/>
          <w:rFonts w:ascii="Times New Roman" w:hAnsi="Times New Roman"/>
          <w:szCs w:val="24"/>
        </w:rPr>
        <w:footnoteReference w:id="118"/>
      </w:r>
      <w:r w:rsidR="00C1243E">
        <w:rPr>
          <w:rFonts w:ascii="Times New Roman" w:hAnsi="Times New Roman"/>
          <w:szCs w:val="24"/>
        </w:rPr>
        <w:t xml:space="preserve">  </w:t>
      </w:r>
      <w:r>
        <w:rPr>
          <w:rFonts w:ascii="Times New Roman" w:hAnsi="Times New Roman"/>
          <w:szCs w:val="24"/>
        </w:rPr>
        <w:t xml:space="preserve">   </w:t>
      </w:r>
    </w:p>
    <w:p w:rsidR="00973298" w:rsidRDefault="002E098B">
      <w:pPr>
        <w:keepNext/>
        <w:widowControl w:val="0"/>
        <w:spacing w:after="240"/>
        <w:ind w:left="1440" w:hanging="720"/>
        <w:rPr>
          <w:rFonts w:ascii="Times New Roman" w:hAnsi="Times New Roman"/>
          <w:b/>
          <w:szCs w:val="24"/>
        </w:rPr>
      </w:pPr>
      <w:r>
        <w:rPr>
          <w:rFonts w:ascii="Times New Roman" w:hAnsi="Times New Roman"/>
          <w:b/>
          <w:szCs w:val="24"/>
        </w:rPr>
        <w:t>5</w:t>
      </w:r>
      <w:r w:rsidRPr="00432605">
        <w:rPr>
          <w:rFonts w:ascii="Times New Roman" w:hAnsi="Times New Roman"/>
          <w:b/>
          <w:szCs w:val="24"/>
        </w:rPr>
        <w:t>.</w:t>
      </w:r>
      <w:r w:rsidRPr="00432605">
        <w:rPr>
          <w:rFonts w:ascii="Times New Roman" w:hAnsi="Times New Roman"/>
          <w:b/>
          <w:szCs w:val="24"/>
        </w:rPr>
        <w:tab/>
        <w:t>The Commission Should E</w:t>
      </w:r>
      <w:r>
        <w:rPr>
          <w:rFonts w:ascii="Times New Roman" w:hAnsi="Times New Roman"/>
          <w:b/>
          <w:szCs w:val="24"/>
        </w:rPr>
        <w:t>xclude Short-Term Debt Because t</w:t>
      </w:r>
      <w:r w:rsidRPr="00432605">
        <w:rPr>
          <w:rFonts w:ascii="Times New Roman" w:hAnsi="Times New Roman"/>
          <w:b/>
          <w:szCs w:val="24"/>
        </w:rPr>
        <w:t>he Company Has None.</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C676D2">
        <w:rPr>
          <w:rFonts w:ascii="Times New Roman" w:hAnsi="Times New Roman"/>
          <w:b/>
          <w:szCs w:val="24"/>
        </w:rPr>
        <w:tab/>
      </w:r>
      <w:r w:rsidRPr="00C676D2">
        <w:rPr>
          <w:rFonts w:ascii="Times New Roman" w:hAnsi="Times New Roman"/>
          <w:szCs w:val="24"/>
        </w:rPr>
        <w:t xml:space="preserve">As part of Mr. Elgin’s hypothetical capital structure, he proposed the Commission impute 3% of </w:t>
      </w:r>
      <w:r>
        <w:rPr>
          <w:rFonts w:ascii="Times New Roman" w:hAnsi="Times New Roman"/>
          <w:szCs w:val="24"/>
        </w:rPr>
        <w:t xml:space="preserve">the capital structure as </w:t>
      </w:r>
      <w:r w:rsidRPr="00C676D2">
        <w:rPr>
          <w:rFonts w:ascii="Times New Roman" w:hAnsi="Times New Roman"/>
          <w:szCs w:val="24"/>
        </w:rPr>
        <w:t>short-term debt.  The Company’s actual capital structure for the rate year includes no short-term debt because the Company recently issued long-term debt and has received capital contributions from its parent company.</w:t>
      </w:r>
      <w:r w:rsidRPr="00432605">
        <w:rPr>
          <w:rStyle w:val="FootnoteReference"/>
          <w:rFonts w:ascii="Times New Roman" w:hAnsi="Times New Roman"/>
          <w:szCs w:val="24"/>
        </w:rPr>
        <w:footnoteReference w:id="119"/>
      </w:r>
      <w:r w:rsidRPr="00C676D2">
        <w:rPr>
          <w:rFonts w:ascii="Times New Roman" w:hAnsi="Times New Roman"/>
          <w:szCs w:val="24"/>
        </w:rPr>
        <w:t xml:space="preserve">  The Company </w:t>
      </w:r>
      <w:r>
        <w:rPr>
          <w:rFonts w:ascii="Times New Roman" w:hAnsi="Times New Roman"/>
          <w:szCs w:val="24"/>
        </w:rPr>
        <w:t>has not</w:t>
      </w:r>
      <w:r w:rsidRPr="00C676D2">
        <w:rPr>
          <w:rFonts w:ascii="Times New Roman" w:hAnsi="Times New Roman"/>
          <w:szCs w:val="24"/>
        </w:rPr>
        <w:t xml:space="preserve"> carr</w:t>
      </w:r>
      <w:r>
        <w:rPr>
          <w:rFonts w:ascii="Times New Roman" w:hAnsi="Times New Roman"/>
          <w:szCs w:val="24"/>
        </w:rPr>
        <w:t>ied</w:t>
      </w:r>
      <w:r w:rsidRPr="00C676D2">
        <w:rPr>
          <w:rFonts w:ascii="Times New Roman" w:hAnsi="Times New Roman"/>
          <w:szCs w:val="24"/>
        </w:rPr>
        <w:t xml:space="preserve"> a </w:t>
      </w:r>
      <w:r w:rsidRPr="00C676D2">
        <w:rPr>
          <w:rFonts w:ascii="Times New Roman" w:hAnsi="Times New Roman"/>
          <w:szCs w:val="24"/>
        </w:rPr>
        <w:lastRenderedPageBreak/>
        <w:t>material amount of short-term debt,</w:t>
      </w:r>
      <w:r w:rsidRPr="00432605">
        <w:rPr>
          <w:rStyle w:val="FootnoteReference"/>
          <w:rFonts w:ascii="Times New Roman" w:hAnsi="Times New Roman"/>
          <w:szCs w:val="24"/>
        </w:rPr>
        <w:footnoteReference w:id="120"/>
      </w:r>
      <w:r w:rsidRPr="00C676D2">
        <w:rPr>
          <w:rFonts w:ascii="Times New Roman" w:hAnsi="Times New Roman"/>
          <w:szCs w:val="24"/>
        </w:rPr>
        <w:t xml:space="preserve"> and even Mr. Gorman acknowledges that the Company’s actual capital structure does not include short-term debt to finance rate base.</w:t>
      </w:r>
      <w:r w:rsidRPr="00432605">
        <w:rPr>
          <w:rStyle w:val="FootnoteReference"/>
          <w:rFonts w:ascii="Times New Roman" w:hAnsi="Times New Roman"/>
          <w:szCs w:val="24"/>
        </w:rPr>
        <w:footnoteReference w:id="121"/>
      </w:r>
      <w:r w:rsidRPr="00C676D2">
        <w:rPr>
          <w:rFonts w:ascii="Times New Roman" w:hAnsi="Times New Roman"/>
          <w:szCs w:val="24"/>
        </w:rPr>
        <w:t xml:space="preserve">  </w:t>
      </w:r>
      <w:r>
        <w:rPr>
          <w:rFonts w:ascii="Times New Roman" w:hAnsi="Times New Roman"/>
          <w:szCs w:val="24"/>
        </w:rPr>
        <w:t>Given the problems caused by</w:t>
      </w:r>
      <w:r w:rsidRPr="00C676D2">
        <w:rPr>
          <w:rFonts w:ascii="Times New Roman" w:hAnsi="Times New Roman"/>
          <w:szCs w:val="24"/>
        </w:rPr>
        <w:t xml:space="preserve"> the financial crisis especially in the short-term markets,</w:t>
      </w:r>
      <w:r>
        <w:rPr>
          <w:rFonts w:ascii="Times New Roman" w:hAnsi="Times New Roman"/>
          <w:szCs w:val="24"/>
        </w:rPr>
        <w:t xml:space="preserve"> </w:t>
      </w:r>
      <w:r w:rsidRPr="00C676D2">
        <w:rPr>
          <w:rFonts w:ascii="Times New Roman" w:hAnsi="Times New Roman"/>
          <w:szCs w:val="24"/>
        </w:rPr>
        <w:t xml:space="preserve">the Company’s decision to rely on favorably priced long-term debt was </w:t>
      </w:r>
      <w:r>
        <w:rPr>
          <w:rFonts w:ascii="Times New Roman" w:hAnsi="Times New Roman"/>
          <w:szCs w:val="24"/>
        </w:rPr>
        <w:t xml:space="preserve">prudent and </w:t>
      </w:r>
      <w:r w:rsidRPr="00C676D2">
        <w:rPr>
          <w:rFonts w:ascii="Times New Roman" w:hAnsi="Times New Roman"/>
          <w:szCs w:val="24"/>
        </w:rPr>
        <w:t>reasonable.</w:t>
      </w:r>
      <w:r w:rsidRPr="00432605">
        <w:rPr>
          <w:rStyle w:val="FootnoteReference"/>
          <w:rFonts w:ascii="Times New Roman" w:hAnsi="Times New Roman"/>
          <w:szCs w:val="24"/>
        </w:rPr>
        <w:footnoteReference w:id="122"/>
      </w:r>
      <w:r w:rsidRPr="00C676D2">
        <w:rPr>
          <w:rFonts w:ascii="Times New Roman" w:hAnsi="Times New Roman"/>
          <w:szCs w:val="24"/>
        </w:rPr>
        <w:t xml:space="preserve">  Mr. Elgin also erroneously con</w:t>
      </w:r>
      <w:r>
        <w:rPr>
          <w:rFonts w:ascii="Times New Roman" w:hAnsi="Times New Roman"/>
          <w:szCs w:val="24"/>
        </w:rPr>
        <w:t xml:space="preserve">flates </w:t>
      </w:r>
      <w:r w:rsidRPr="00C676D2">
        <w:rPr>
          <w:rFonts w:ascii="Times New Roman" w:hAnsi="Times New Roman"/>
          <w:szCs w:val="24"/>
        </w:rPr>
        <w:t>the Company</w:t>
      </w:r>
      <w:r>
        <w:rPr>
          <w:rFonts w:ascii="Times New Roman" w:hAnsi="Times New Roman"/>
          <w:szCs w:val="24"/>
        </w:rPr>
        <w:t>’s</w:t>
      </w:r>
      <w:r w:rsidRPr="00C676D2">
        <w:rPr>
          <w:rFonts w:ascii="Times New Roman" w:hAnsi="Times New Roman"/>
          <w:szCs w:val="24"/>
        </w:rPr>
        <w:t xml:space="preserve"> short-term debt facilities</w:t>
      </w:r>
      <w:r>
        <w:rPr>
          <w:rFonts w:ascii="Times New Roman" w:hAnsi="Times New Roman"/>
          <w:szCs w:val="24"/>
        </w:rPr>
        <w:t xml:space="preserve"> with actual short-term debt</w:t>
      </w:r>
      <w:r w:rsidRPr="00C676D2">
        <w:rPr>
          <w:rFonts w:ascii="Times New Roman" w:hAnsi="Times New Roman"/>
          <w:szCs w:val="24"/>
        </w:rPr>
        <w:t>.</w:t>
      </w:r>
      <w:r w:rsidRPr="00432605">
        <w:rPr>
          <w:rStyle w:val="FootnoteReference"/>
          <w:rFonts w:ascii="Times New Roman" w:hAnsi="Times New Roman"/>
          <w:szCs w:val="24"/>
        </w:rPr>
        <w:footnoteReference w:id="123"/>
      </w:r>
      <w:r>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r>
      <w:r>
        <w:rPr>
          <w:rFonts w:ascii="Times New Roman" w:hAnsi="Times New Roman"/>
          <w:szCs w:val="24"/>
        </w:rPr>
        <w:t>Mr. </w:t>
      </w:r>
      <w:r w:rsidRPr="00432605">
        <w:rPr>
          <w:rFonts w:ascii="Times New Roman" w:hAnsi="Times New Roman"/>
          <w:szCs w:val="24"/>
        </w:rPr>
        <w:t xml:space="preserve">Elgin testified that the Commission should include 3% short-term debt here because that is what it did in the 2005 </w:t>
      </w:r>
      <w:r w:rsidR="00182A2C">
        <w:rPr>
          <w:rFonts w:ascii="Times New Roman" w:hAnsi="Times New Roman"/>
          <w:szCs w:val="24"/>
        </w:rPr>
        <w:t>GRC</w:t>
      </w:r>
      <w:r w:rsidRPr="00432605">
        <w:rPr>
          <w:rFonts w:ascii="Times New Roman" w:hAnsi="Times New Roman"/>
          <w:szCs w:val="24"/>
        </w:rPr>
        <w:t>.</w:t>
      </w:r>
      <w:r w:rsidRPr="00432605">
        <w:rPr>
          <w:rStyle w:val="FootnoteReference"/>
          <w:rFonts w:ascii="Times New Roman" w:hAnsi="Times New Roman"/>
          <w:szCs w:val="24"/>
        </w:rPr>
        <w:footnoteReference w:id="124"/>
      </w:r>
      <w:r w:rsidRPr="00432605">
        <w:rPr>
          <w:rFonts w:ascii="Times New Roman" w:hAnsi="Times New Roman"/>
          <w:szCs w:val="24"/>
        </w:rPr>
        <w:t xml:space="preserve">  In that case, </w:t>
      </w:r>
      <w:r w:rsidR="00672AB1">
        <w:rPr>
          <w:rFonts w:ascii="Times New Roman" w:hAnsi="Times New Roman"/>
          <w:szCs w:val="24"/>
        </w:rPr>
        <w:t xml:space="preserve">however, </w:t>
      </w:r>
      <w:r w:rsidR="00672AB1" w:rsidRPr="00432605">
        <w:rPr>
          <w:rFonts w:ascii="Times New Roman" w:hAnsi="Times New Roman"/>
          <w:szCs w:val="24"/>
        </w:rPr>
        <w:t xml:space="preserve">the Company actually had short-term debt </w:t>
      </w:r>
      <w:r w:rsidR="00557B47">
        <w:rPr>
          <w:rFonts w:ascii="Times New Roman" w:hAnsi="Times New Roman"/>
          <w:szCs w:val="24"/>
        </w:rPr>
        <w:t>outstanding and</w:t>
      </w:r>
      <w:r w:rsidR="00672AB1">
        <w:rPr>
          <w:rFonts w:ascii="Times New Roman" w:hAnsi="Times New Roman"/>
          <w:szCs w:val="24"/>
        </w:rPr>
        <w:t xml:space="preserve"> </w:t>
      </w:r>
      <w:r w:rsidRPr="00432605">
        <w:rPr>
          <w:rFonts w:ascii="Times New Roman" w:hAnsi="Times New Roman"/>
          <w:szCs w:val="24"/>
        </w:rPr>
        <w:t xml:space="preserve">the Commission included a component of short-term debt because it had traditionally done so “based on a company’s </w:t>
      </w:r>
      <w:r w:rsidRPr="00432605">
        <w:rPr>
          <w:rFonts w:ascii="Times New Roman" w:hAnsi="Times New Roman"/>
          <w:i/>
          <w:szCs w:val="24"/>
        </w:rPr>
        <w:t>actual capital structure</w:t>
      </w:r>
      <w:r w:rsidRPr="00432605">
        <w:rPr>
          <w:rFonts w:ascii="Times New Roman" w:hAnsi="Times New Roman"/>
          <w:szCs w:val="24"/>
        </w:rPr>
        <w:t>.”</w:t>
      </w:r>
      <w:r w:rsidRPr="00432605">
        <w:rPr>
          <w:rStyle w:val="FootnoteReference"/>
          <w:rFonts w:ascii="Times New Roman" w:hAnsi="Times New Roman"/>
          <w:szCs w:val="24"/>
        </w:rPr>
        <w:footnoteReference w:id="125"/>
      </w:r>
      <w:r w:rsidRPr="00432605">
        <w:rPr>
          <w:rFonts w:ascii="Times New Roman" w:hAnsi="Times New Roman"/>
          <w:szCs w:val="24"/>
        </w:rPr>
        <w:t xml:space="preserve">  </w:t>
      </w:r>
      <w:r w:rsidR="00672AB1">
        <w:rPr>
          <w:rFonts w:ascii="Times New Roman" w:hAnsi="Times New Roman"/>
          <w:szCs w:val="24"/>
        </w:rPr>
        <w:t>B</w:t>
      </w:r>
      <w:r w:rsidRPr="00432605">
        <w:rPr>
          <w:rFonts w:ascii="Times New Roman" w:hAnsi="Times New Roman"/>
          <w:szCs w:val="24"/>
        </w:rPr>
        <w:t>asing the capital structure on the “company’s actual capital structure”</w:t>
      </w:r>
      <w:r w:rsidR="00672AB1">
        <w:rPr>
          <w:rFonts w:ascii="Times New Roman" w:hAnsi="Times New Roman"/>
          <w:szCs w:val="24"/>
        </w:rPr>
        <w:t xml:space="preserve"> in this case,</w:t>
      </w:r>
      <w:r w:rsidRPr="00432605">
        <w:rPr>
          <w:rFonts w:ascii="Times New Roman" w:hAnsi="Times New Roman"/>
          <w:szCs w:val="24"/>
        </w:rPr>
        <w:t xml:space="preserve"> </w:t>
      </w:r>
      <w:r>
        <w:rPr>
          <w:rFonts w:ascii="Times New Roman" w:hAnsi="Times New Roman"/>
          <w:szCs w:val="24"/>
        </w:rPr>
        <w:t>and recognizing that the Company is not improperly employing short-term sources of funds to finance long-term assets</w:t>
      </w:r>
      <w:r w:rsidR="00450E9C">
        <w:rPr>
          <w:rFonts w:ascii="Times New Roman" w:hAnsi="Times New Roman"/>
          <w:szCs w:val="24"/>
        </w:rPr>
        <w:t>,</w:t>
      </w:r>
      <w:r w:rsidRPr="00432605">
        <w:rPr>
          <w:rFonts w:ascii="Times New Roman" w:hAnsi="Times New Roman"/>
          <w:szCs w:val="24"/>
        </w:rPr>
        <w:t xml:space="preserve"> the Commission should reject Staff’s imputation</w:t>
      </w:r>
      <w:r w:rsidR="00672AB1">
        <w:rPr>
          <w:rFonts w:ascii="Times New Roman" w:hAnsi="Times New Roman"/>
          <w:szCs w:val="24"/>
        </w:rPr>
        <w:t xml:space="preserve"> of short-term debt</w:t>
      </w:r>
      <w:r w:rsidRPr="00432605">
        <w:rPr>
          <w:rFonts w:ascii="Times New Roman" w:hAnsi="Times New Roman"/>
          <w:szCs w:val="24"/>
        </w:rPr>
        <w:t xml:space="preserve">.  </w:t>
      </w:r>
    </w:p>
    <w:p w:rsidR="00973298" w:rsidRDefault="002E098B">
      <w:pPr>
        <w:widowControl w:val="0"/>
        <w:spacing w:line="480" w:lineRule="auto"/>
        <w:rPr>
          <w:rFonts w:ascii="Times New Roman" w:hAnsi="Times New Roman"/>
          <w:b/>
          <w:szCs w:val="24"/>
        </w:rPr>
      </w:pPr>
      <w:r w:rsidRPr="00C676D2">
        <w:rPr>
          <w:rFonts w:ascii="Times New Roman" w:hAnsi="Times New Roman"/>
          <w:b/>
          <w:szCs w:val="24"/>
        </w:rPr>
        <w:t>C.</w:t>
      </w:r>
      <w:r w:rsidRPr="00C676D2">
        <w:rPr>
          <w:rFonts w:ascii="Times New Roman" w:hAnsi="Times New Roman"/>
          <w:b/>
          <w:szCs w:val="24"/>
        </w:rPr>
        <w:tab/>
        <w:t xml:space="preserve">Credit Metrics </w:t>
      </w:r>
      <w:proofErr w:type="gramStart"/>
      <w:r w:rsidRPr="00C676D2">
        <w:rPr>
          <w:rFonts w:ascii="Times New Roman" w:hAnsi="Times New Roman"/>
          <w:b/>
          <w:szCs w:val="24"/>
        </w:rPr>
        <w:t>Under</w:t>
      </w:r>
      <w:proofErr w:type="gramEnd"/>
      <w:r w:rsidRPr="00C676D2">
        <w:rPr>
          <w:rFonts w:ascii="Times New Roman" w:hAnsi="Times New Roman"/>
          <w:b/>
          <w:szCs w:val="24"/>
        </w:rPr>
        <w:t xml:space="preserve"> Staff’s and ICNU’s Cost of Capital Proposals.</w:t>
      </w:r>
    </w:p>
    <w:p w:rsidR="00973298" w:rsidRDefault="002E098B">
      <w:pPr>
        <w:keepNext/>
        <w:widowControl w:val="0"/>
        <w:spacing w:after="240"/>
        <w:ind w:left="1440" w:hanging="720"/>
        <w:rPr>
          <w:rFonts w:ascii="Times New Roman" w:hAnsi="Times New Roman"/>
          <w:b/>
          <w:szCs w:val="24"/>
        </w:rPr>
      </w:pPr>
      <w:r>
        <w:rPr>
          <w:rFonts w:ascii="Times New Roman" w:hAnsi="Times New Roman"/>
          <w:b/>
          <w:szCs w:val="24"/>
        </w:rPr>
        <w:t>1</w:t>
      </w:r>
      <w:r w:rsidRPr="00432605">
        <w:rPr>
          <w:rFonts w:ascii="Times New Roman" w:hAnsi="Times New Roman"/>
          <w:b/>
          <w:szCs w:val="24"/>
        </w:rPr>
        <w:t>.</w:t>
      </w:r>
      <w:r w:rsidRPr="00432605">
        <w:rPr>
          <w:rFonts w:ascii="Times New Roman" w:hAnsi="Times New Roman"/>
          <w:b/>
          <w:szCs w:val="24"/>
        </w:rPr>
        <w:tab/>
      </w:r>
      <w:r w:rsidR="000E4436">
        <w:rPr>
          <w:rFonts w:ascii="Times New Roman" w:hAnsi="Times New Roman"/>
          <w:b/>
          <w:szCs w:val="24"/>
        </w:rPr>
        <w:t>The</w:t>
      </w:r>
      <w:r>
        <w:rPr>
          <w:rFonts w:ascii="Times New Roman" w:hAnsi="Times New Roman"/>
          <w:b/>
          <w:szCs w:val="24"/>
        </w:rPr>
        <w:t xml:space="preserve"> </w:t>
      </w:r>
      <w:r w:rsidRPr="00432605">
        <w:rPr>
          <w:rFonts w:ascii="Times New Roman" w:hAnsi="Times New Roman"/>
          <w:b/>
          <w:szCs w:val="24"/>
        </w:rPr>
        <w:t>Proposed Hypothetical Equity Ratio</w:t>
      </w:r>
      <w:r w:rsidR="000E4436">
        <w:rPr>
          <w:rFonts w:ascii="Times New Roman" w:hAnsi="Times New Roman"/>
          <w:b/>
          <w:szCs w:val="24"/>
        </w:rPr>
        <w:t>s</w:t>
      </w:r>
      <w:r w:rsidRPr="00432605">
        <w:rPr>
          <w:rFonts w:ascii="Times New Roman" w:hAnsi="Times New Roman"/>
          <w:b/>
          <w:szCs w:val="24"/>
        </w:rPr>
        <w:t xml:space="preserve"> </w:t>
      </w:r>
      <w:r>
        <w:rPr>
          <w:rFonts w:ascii="Times New Roman" w:hAnsi="Times New Roman"/>
          <w:b/>
          <w:szCs w:val="24"/>
        </w:rPr>
        <w:t>Would Downgrade</w:t>
      </w:r>
      <w:r w:rsidRPr="00432605">
        <w:rPr>
          <w:rFonts w:ascii="Times New Roman" w:hAnsi="Times New Roman"/>
          <w:b/>
          <w:szCs w:val="24"/>
        </w:rPr>
        <w:t xml:space="preserve"> the Company’s Credit Rating.</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357BD6">
        <w:rPr>
          <w:rFonts w:ascii="Times New Roman" w:hAnsi="Times New Roman"/>
          <w:szCs w:val="24"/>
        </w:rPr>
        <w:tab/>
        <w:t>The Company’s current equity ratio is intended to allow it to maintain its current credit ratings</w:t>
      </w:r>
      <w:r w:rsidR="00182A2C">
        <w:rPr>
          <w:rFonts w:ascii="Times New Roman" w:hAnsi="Times New Roman"/>
          <w:szCs w:val="24"/>
        </w:rPr>
        <w:t>,</w:t>
      </w:r>
      <w:r w:rsidRPr="00357BD6">
        <w:rPr>
          <w:rFonts w:ascii="Times New Roman" w:hAnsi="Times New Roman"/>
          <w:szCs w:val="24"/>
        </w:rPr>
        <w:t xml:space="preserve"> result</w:t>
      </w:r>
      <w:r w:rsidR="00182A2C">
        <w:rPr>
          <w:rFonts w:ascii="Times New Roman" w:hAnsi="Times New Roman"/>
          <w:szCs w:val="24"/>
        </w:rPr>
        <w:t>ing</w:t>
      </w:r>
      <w:r w:rsidRPr="00357BD6">
        <w:rPr>
          <w:rFonts w:ascii="Times New Roman" w:hAnsi="Times New Roman"/>
          <w:szCs w:val="24"/>
        </w:rPr>
        <w:t xml:space="preserve"> in lower overall financing costs to customers</w:t>
      </w:r>
      <w:r>
        <w:rPr>
          <w:rStyle w:val="FootnoteReference"/>
          <w:rFonts w:ascii="Times New Roman" w:hAnsi="Times New Roman"/>
          <w:szCs w:val="24"/>
        </w:rPr>
        <w:footnoteReference w:id="126"/>
      </w:r>
      <w:r w:rsidR="00782923">
        <w:rPr>
          <w:rFonts w:ascii="Times New Roman" w:hAnsi="Times New Roman"/>
          <w:szCs w:val="24"/>
        </w:rPr>
        <w:t>a</w:t>
      </w:r>
      <w:r w:rsidR="00672AB1">
        <w:rPr>
          <w:rFonts w:ascii="Times New Roman" w:hAnsi="Times New Roman"/>
          <w:szCs w:val="24"/>
        </w:rPr>
        <w:t>nd</w:t>
      </w:r>
      <w:r w:rsidRPr="00357BD6">
        <w:rPr>
          <w:rFonts w:ascii="Times New Roman" w:hAnsi="Times New Roman"/>
          <w:szCs w:val="24"/>
        </w:rPr>
        <w:t xml:space="preserve"> uninterrupted access to capital markets</w:t>
      </w:r>
      <w:r w:rsidR="00782923">
        <w:rPr>
          <w:rFonts w:ascii="Times New Roman" w:hAnsi="Times New Roman"/>
          <w:szCs w:val="24"/>
        </w:rPr>
        <w:t>.</w:t>
      </w:r>
      <w:r w:rsidR="004356C4">
        <w:rPr>
          <w:rFonts w:ascii="Times New Roman" w:hAnsi="Times New Roman"/>
          <w:szCs w:val="24"/>
        </w:rPr>
        <w:t xml:space="preserve">  </w:t>
      </w:r>
      <w:r w:rsidRPr="00782923">
        <w:rPr>
          <w:rFonts w:ascii="Times New Roman" w:hAnsi="Times New Roman"/>
          <w:szCs w:val="24"/>
        </w:rPr>
        <w:t xml:space="preserve">Mr. Elgin testified that “a reasonable equity ratio is in the mid 40% range, </w:t>
      </w:r>
      <w:r w:rsidRPr="00782923">
        <w:rPr>
          <w:rFonts w:ascii="Times New Roman" w:hAnsi="Times New Roman"/>
          <w:szCs w:val="24"/>
        </w:rPr>
        <w:lastRenderedPageBreak/>
        <w:t>supporting a ‘BBB’ rating on corporate debt and an ‘A-’ secured credit rating.</w:t>
      </w:r>
      <w:r w:rsidRPr="00357BD6">
        <w:rPr>
          <w:rFonts w:ascii="Times New Roman" w:hAnsi="Times New Roman"/>
          <w:szCs w:val="24"/>
        </w:rPr>
        <w:t>”</w:t>
      </w:r>
      <w:r w:rsidRPr="00782923">
        <w:rPr>
          <w:rStyle w:val="FootnoteReference"/>
          <w:rFonts w:ascii="Times New Roman" w:hAnsi="Times New Roman"/>
          <w:szCs w:val="24"/>
        </w:rPr>
        <w:footnoteReference w:id="127"/>
      </w:r>
      <w:r w:rsidRPr="00782923">
        <w:rPr>
          <w:rFonts w:ascii="Times New Roman" w:hAnsi="Times New Roman"/>
          <w:szCs w:val="24"/>
        </w:rPr>
        <w:t xml:space="preserve">  He recommends an equity ratio of 46.5% because that ratio “</w:t>
      </w:r>
      <w:r w:rsidR="00655827" w:rsidRPr="00655827">
        <w:rPr>
          <w:rFonts w:ascii="Times New Roman" w:hAnsi="Times New Roman"/>
          <w:szCs w:val="24"/>
        </w:rPr>
        <w:t>is</w:t>
      </w:r>
      <w:r w:rsidRPr="00782923">
        <w:rPr>
          <w:rFonts w:ascii="Times New Roman" w:hAnsi="Times New Roman"/>
          <w:szCs w:val="24"/>
        </w:rPr>
        <w:t xml:space="preserve"> sufficient to support a solid BBB corporate credit rating.”</w:t>
      </w:r>
      <w:r w:rsidRPr="00782923">
        <w:rPr>
          <w:rStyle w:val="FootnoteReference"/>
          <w:rFonts w:ascii="Times New Roman" w:hAnsi="Times New Roman"/>
          <w:szCs w:val="24"/>
        </w:rPr>
        <w:footnoteReference w:id="128"/>
      </w:r>
      <w:r w:rsidRPr="00782923">
        <w:rPr>
          <w:rFonts w:ascii="Times New Roman" w:hAnsi="Times New Roman"/>
          <w:szCs w:val="24"/>
        </w:rPr>
        <w:t xml:space="preserve"> </w:t>
      </w:r>
      <w:r w:rsidR="00BE332B" w:rsidRPr="00782923">
        <w:rPr>
          <w:rFonts w:ascii="Times New Roman" w:hAnsi="Times New Roman"/>
          <w:szCs w:val="24"/>
        </w:rPr>
        <w:t xml:space="preserve"> </w:t>
      </w:r>
      <w:r w:rsidRPr="00782923">
        <w:rPr>
          <w:rFonts w:ascii="Times New Roman" w:hAnsi="Times New Roman"/>
          <w:szCs w:val="24"/>
        </w:rPr>
        <w:t xml:space="preserve">Mr. Elgin </w:t>
      </w:r>
      <w:r w:rsidR="004356C4">
        <w:rPr>
          <w:rFonts w:ascii="Times New Roman" w:hAnsi="Times New Roman"/>
          <w:szCs w:val="24"/>
        </w:rPr>
        <w:t xml:space="preserve">thus </w:t>
      </w:r>
      <w:r w:rsidRPr="00782923">
        <w:rPr>
          <w:rFonts w:ascii="Times New Roman" w:hAnsi="Times New Roman"/>
          <w:szCs w:val="24"/>
        </w:rPr>
        <w:t>recommends a capital structure that he acknowledges will result in a credit downgrade.</w:t>
      </w:r>
      <w:r w:rsidRPr="00782923">
        <w:rPr>
          <w:rStyle w:val="FootnoteReference"/>
          <w:rFonts w:ascii="Times New Roman" w:hAnsi="Times New Roman"/>
          <w:szCs w:val="24"/>
        </w:rPr>
        <w:footnoteReference w:id="129"/>
      </w:r>
      <w:r w:rsidRPr="00782923">
        <w:rPr>
          <w:rFonts w:ascii="Times New Roman" w:hAnsi="Times New Roman"/>
          <w:szCs w:val="24"/>
        </w:rPr>
        <w:t xml:space="preserve">  To support</w:t>
      </w:r>
      <w:r w:rsidRPr="00357BD6">
        <w:rPr>
          <w:rFonts w:ascii="Times New Roman" w:hAnsi="Times New Roman"/>
          <w:szCs w:val="24"/>
        </w:rPr>
        <w:t xml:space="preserve"> </w:t>
      </w:r>
      <w:r w:rsidRPr="00782923">
        <w:rPr>
          <w:rFonts w:ascii="Times New Roman" w:hAnsi="Times New Roman"/>
          <w:szCs w:val="24"/>
        </w:rPr>
        <w:t>his proposed downgrade, Mr. Elgin stated that only about one in fo</w:t>
      </w:r>
      <w:r w:rsidRPr="00357BD6">
        <w:rPr>
          <w:rFonts w:ascii="Times New Roman" w:hAnsi="Times New Roman"/>
          <w:szCs w:val="24"/>
        </w:rPr>
        <w:t>ur</w:t>
      </w:r>
      <w:r w:rsidRPr="00782923">
        <w:rPr>
          <w:rFonts w:ascii="Times New Roman" w:hAnsi="Times New Roman"/>
          <w:szCs w:val="24"/>
        </w:rPr>
        <w:t xml:space="preserve"> utilities have an “A” rating and therefore PacifiCorp’s dow</w:t>
      </w:r>
      <w:r w:rsidRPr="00357BD6">
        <w:rPr>
          <w:rFonts w:ascii="Times New Roman" w:hAnsi="Times New Roman"/>
          <w:szCs w:val="24"/>
        </w:rPr>
        <w:t>n</w:t>
      </w:r>
      <w:r w:rsidRPr="00782923">
        <w:rPr>
          <w:rFonts w:ascii="Times New Roman" w:hAnsi="Times New Roman"/>
          <w:szCs w:val="24"/>
        </w:rPr>
        <w:t>grade would place it in the majority of nation-wide utilities.</w:t>
      </w:r>
      <w:r w:rsidRPr="00782923">
        <w:rPr>
          <w:rStyle w:val="FootnoteReference"/>
          <w:rFonts w:ascii="Times New Roman" w:hAnsi="Times New Roman"/>
          <w:szCs w:val="24"/>
        </w:rPr>
        <w:footnoteReference w:id="130"/>
      </w:r>
      <w:r w:rsidRPr="00782923">
        <w:rPr>
          <w:rFonts w:ascii="Times New Roman" w:hAnsi="Times New Roman"/>
          <w:szCs w:val="24"/>
        </w:rPr>
        <w:t xml:space="preserve">  His analysis fails to account for the industry-wide trend towards increasing equity rati</w:t>
      </w:r>
      <w:r w:rsidRPr="00357BD6">
        <w:rPr>
          <w:rFonts w:ascii="Times New Roman" w:hAnsi="Times New Roman"/>
          <w:szCs w:val="24"/>
        </w:rPr>
        <w:t>o</w:t>
      </w:r>
      <w:r w:rsidRPr="00782923">
        <w:rPr>
          <w:rFonts w:ascii="Times New Roman" w:hAnsi="Times New Roman"/>
          <w:szCs w:val="24"/>
        </w:rPr>
        <w:t xml:space="preserve">s, as </w:t>
      </w:r>
      <w:r w:rsidR="00626F84">
        <w:rPr>
          <w:rFonts w:ascii="Times New Roman" w:hAnsi="Times New Roman"/>
          <w:szCs w:val="24"/>
        </w:rPr>
        <w:t>independently confirmed by a recent S&amp;P report and acknowledged by the Commission in the Company’s 2005 GRC.</w:t>
      </w:r>
      <w:r w:rsidRPr="00782923">
        <w:rPr>
          <w:rStyle w:val="FootnoteReference"/>
          <w:rFonts w:ascii="Times New Roman" w:hAnsi="Times New Roman"/>
          <w:szCs w:val="24"/>
        </w:rPr>
        <w:footnoteReference w:id="131"/>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782923">
        <w:rPr>
          <w:rFonts w:ascii="Times New Roman" w:hAnsi="Times New Roman"/>
          <w:szCs w:val="24"/>
        </w:rPr>
        <w:tab/>
        <w:t>Mr. Gorman’s analysis also supports the Company’s position that a cre</w:t>
      </w:r>
      <w:r w:rsidRPr="00357BD6">
        <w:rPr>
          <w:rFonts w:ascii="Times New Roman" w:hAnsi="Times New Roman"/>
          <w:szCs w:val="24"/>
        </w:rPr>
        <w:t>d</w:t>
      </w:r>
      <w:r w:rsidRPr="00782923">
        <w:rPr>
          <w:rFonts w:ascii="Times New Roman" w:hAnsi="Times New Roman"/>
          <w:szCs w:val="24"/>
        </w:rPr>
        <w:t>it downgrade</w:t>
      </w:r>
      <w:r w:rsidR="00782923">
        <w:rPr>
          <w:rFonts w:ascii="Times New Roman" w:hAnsi="Times New Roman"/>
          <w:szCs w:val="24"/>
        </w:rPr>
        <w:t xml:space="preserve"> and increased capital costs</w:t>
      </w:r>
      <w:r w:rsidRPr="00782923">
        <w:rPr>
          <w:rFonts w:ascii="Times New Roman" w:hAnsi="Times New Roman"/>
          <w:szCs w:val="24"/>
        </w:rPr>
        <w:t xml:space="preserve"> </w:t>
      </w:r>
      <w:r w:rsidR="00782923">
        <w:rPr>
          <w:rFonts w:ascii="Times New Roman" w:hAnsi="Times New Roman"/>
          <w:szCs w:val="24"/>
        </w:rPr>
        <w:t>are</w:t>
      </w:r>
      <w:r w:rsidRPr="00782923">
        <w:rPr>
          <w:rFonts w:ascii="Times New Roman" w:hAnsi="Times New Roman"/>
          <w:szCs w:val="24"/>
        </w:rPr>
        <w:t xml:space="preserve"> real risk</w:t>
      </w:r>
      <w:r w:rsidR="00782923">
        <w:rPr>
          <w:rFonts w:ascii="Times New Roman" w:hAnsi="Times New Roman"/>
          <w:szCs w:val="24"/>
        </w:rPr>
        <w:t>s</w:t>
      </w:r>
      <w:r w:rsidRPr="00782923">
        <w:rPr>
          <w:rFonts w:ascii="Times New Roman" w:hAnsi="Times New Roman"/>
          <w:szCs w:val="24"/>
        </w:rPr>
        <w:t xml:space="preserve"> if </w:t>
      </w:r>
      <w:r w:rsidR="00BC04BD">
        <w:rPr>
          <w:rFonts w:ascii="Times New Roman" w:hAnsi="Times New Roman"/>
          <w:szCs w:val="24"/>
        </w:rPr>
        <w:t xml:space="preserve">the proposed </w:t>
      </w:r>
      <w:r w:rsidR="000E4436">
        <w:rPr>
          <w:rFonts w:ascii="Times New Roman" w:hAnsi="Times New Roman"/>
          <w:szCs w:val="24"/>
        </w:rPr>
        <w:t>hypothetical</w:t>
      </w:r>
      <w:r w:rsidRPr="00782923">
        <w:rPr>
          <w:rFonts w:ascii="Times New Roman" w:hAnsi="Times New Roman"/>
          <w:szCs w:val="24"/>
        </w:rPr>
        <w:t xml:space="preserve"> equity ratio</w:t>
      </w:r>
      <w:r w:rsidR="000E4436">
        <w:rPr>
          <w:rFonts w:ascii="Times New Roman" w:hAnsi="Times New Roman"/>
          <w:szCs w:val="24"/>
        </w:rPr>
        <w:t>s are</w:t>
      </w:r>
      <w:r w:rsidRPr="00782923">
        <w:rPr>
          <w:rFonts w:ascii="Times New Roman" w:hAnsi="Times New Roman"/>
          <w:szCs w:val="24"/>
        </w:rPr>
        <w:t xml:space="preserve"> adopted.  Mr. Gorman testified before the Iowa Utilities Board in September, 2010, that a 50% equity ratio would support an “A” credit rating, which “would help min</w:t>
      </w:r>
      <w:r w:rsidRPr="00357BD6">
        <w:rPr>
          <w:rFonts w:ascii="Times New Roman" w:hAnsi="Times New Roman"/>
          <w:szCs w:val="24"/>
        </w:rPr>
        <w:t>i</w:t>
      </w:r>
      <w:r w:rsidRPr="00782923">
        <w:rPr>
          <w:rFonts w:ascii="Times New Roman" w:hAnsi="Times New Roman"/>
          <w:szCs w:val="24"/>
        </w:rPr>
        <w:t>m</w:t>
      </w:r>
      <w:r w:rsidRPr="00357BD6">
        <w:rPr>
          <w:rFonts w:ascii="Times New Roman" w:hAnsi="Times New Roman"/>
          <w:szCs w:val="24"/>
        </w:rPr>
        <w:t xml:space="preserve">ize the utility’s overall cost of capital . . . which in turn </w:t>
      </w:r>
      <w:proofErr w:type="gramStart"/>
      <w:r w:rsidRPr="00357BD6">
        <w:rPr>
          <w:rFonts w:ascii="Times New Roman" w:hAnsi="Times New Roman"/>
          <w:szCs w:val="24"/>
        </w:rPr>
        <w:t>help[</w:t>
      </w:r>
      <w:proofErr w:type="gramEnd"/>
      <w:r w:rsidRPr="00357BD6">
        <w:rPr>
          <w:rFonts w:ascii="Times New Roman" w:hAnsi="Times New Roman"/>
          <w:szCs w:val="24"/>
        </w:rPr>
        <w:t xml:space="preserve">s] maintain the utility’s access to external capital </w:t>
      </w:r>
      <w:r w:rsidRPr="002E4C43">
        <w:t>markets</w:t>
      </w:r>
      <w:r w:rsidRPr="00357BD6">
        <w:rPr>
          <w:rFonts w:ascii="Times New Roman" w:hAnsi="Times New Roman"/>
          <w:szCs w:val="24"/>
        </w:rPr>
        <w:t>.”</w:t>
      </w:r>
      <w:r w:rsidRPr="00432605">
        <w:rPr>
          <w:rStyle w:val="FootnoteReference"/>
          <w:rFonts w:ascii="Times New Roman" w:hAnsi="Times New Roman"/>
          <w:szCs w:val="24"/>
        </w:rPr>
        <w:footnoteReference w:id="132"/>
      </w:r>
      <w:r w:rsidRPr="00357BD6">
        <w:rPr>
          <w:rFonts w:ascii="Times New Roman" w:hAnsi="Times New Roman"/>
          <w:szCs w:val="24"/>
        </w:rPr>
        <w:t xml:space="preserve">  </w:t>
      </w:r>
      <w:r w:rsidR="004356C4">
        <w:rPr>
          <w:rFonts w:ascii="Times New Roman" w:hAnsi="Times New Roman"/>
          <w:szCs w:val="24"/>
        </w:rPr>
        <w:t>In this case</w:t>
      </w:r>
      <w:r w:rsidRPr="00357BD6">
        <w:rPr>
          <w:rFonts w:ascii="Times New Roman" w:hAnsi="Times New Roman"/>
          <w:szCs w:val="24"/>
        </w:rPr>
        <w:t xml:space="preserve">, </w:t>
      </w:r>
      <w:r w:rsidR="004356C4">
        <w:rPr>
          <w:rFonts w:ascii="Times New Roman" w:hAnsi="Times New Roman"/>
          <w:szCs w:val="24"/>
        </w:rPr>
        <w:t>Mr. Gorman’s</w:t>
      </w:r>
      <w:r w:rsidRPr="00357BD6">
        <w:rPr>
          <w:rFonts w:ascii="Times New Roman" w:hAnsi="Times New Roman"/>
          <w:szCs w:val="24"/>
        </w:rPr>
        <w:t xml:space="preserve"> original </w:t>
      </w:r>
      <w:r w:rsidR="00BC04BD">
        <w:rPr>
          <w:rFonts w:ascii="Times New Roman" w:hAnsi="Times New Roman"/>
          <w:szCs w:val="24"/>
        </w:rPr>
        <w:t xml:space="preserve">credit metrics </w:t>
      </w:r>
      <w:r w:rsidRPr="00357BD6">
        <w:rPr>
          <w:rFonts w:ascii="Times New Roman" w:hAnsi="Times New Roman"/>
          <w:szCs w:val="24"/>
        </w:rPr>
        <w:t xml:space="preserve">analysis </w:t>
      </w:r>
      <w:r w:rsidR="004356C4">
        <w:rPr>
          <w:rFonts w:ascii="Times New Roman" w:hAnsi="Times New Roman"/>
          <w:szCs w:val="24"/>
        </w:rPr>
        <w:t>acknowledged</w:t>
      </w:r>
      <w:r w:rsidRPr="00357BD6">
        <w:rPr>
          <w:rFonts w:ascii="Times New Roman" w:hAnsi="Times New Roman"/>
          <w:szCs w:val="24"/>
        </w:rPr>
        <w:t xml:space="preserve"> that </w:t>
      </w:r>
      <w:r w:rsidR="000E4436">
        <w:rPr>
          <w:rFonts w:ascii="Times New Roman" w:hAnsi="Times New Roman"/>
          <w:szCs w:val="24"/>
        </w:rPr>
        <w:t>his proposed</w:t>
      </w:r>
      <w:r w:rsidRPr="00357BD6">
        <w:rPr>
          <w:rFonts w:ascii="Times New Roman" w:hAnsi="Times New Roman"/>
          <w:szCs w:val="24"/>
        </w:rPr>
        <w:t xml:space="preserve"> debt ratio of 51% “might deteriorate [PacifiCorp’s] credit rating.”</w:t>
      </w:r>
      <w:r w:rsidRPr="00432605">
        <w:rPr>
          <w:rStyle w:val="FootnoteReference"/>
          <w:rFonts w:ascii="Times New Roman" w:hAnsi="Times New Roman"/>
          <w:szCs w:val="24"/>
        </w:rPr>
        <w:footnoteReference w:id="133"/>
      </w:r>
      <w:r w:rsidRPr="00357BD6">
        <w:rPr>
          <w:rFonts w:ascii="Times New Roman" w:hAnsi="Times New Roman"/>
          <w:szCs w:val="24"/>
        </w:rPr>
        <w:t xml:space="preserve">  Accounting for an error in his calculations, Mr. Gorman modified </w:t>
      </w:r>
      <w:r w:rsidR="00BC04BD">
        <w:rPr>
          <w:rFonts w:ascii="Times New Roman" w:hAnsi="Times New Roman"/>
          <w:szCs w:val="24"/>
        </w:rPr>
        <w:t xml:space="preserve">his debt ratio from </w:t>
      </w:r>
      <w:r w:rsidRPr="00357BD6">
        <w:rPr>
          <w:rFonts w:ascii="Times New Roman" w:hAnsi="Times New Roman"/>
          <w:szCs w:val="24"/>
        </w:rPr>
        <w:t xml:space="preserve">51% to 52%, making the risk even greater that a downgrade will occur if </w:t>
      </w:r>
      <w:r w:rsidR="000E4436">
        <w:rPr>
          <w:rFonts w:ascii="Times New Roman" w:hAnsi="Times New Roman"/>
          <w:szCs w:val="24"/>
        </w:rPr>
        <w:t xml:space="preserve">Mr. Gorman’s </w:t>
      </w:r>
      <w:r w:rsidRPr="00357BD6">
        <w:rPr>
          <w:rFonts w:ascii="Times New Roman" w:hAnsi="Times New Roman"/>
          <w:szCs w:val="24"/>
        </w:rPr>
        <w:t xml:space="preserve">proposed </w:t>
      </w:r>
      <w:r w:rsidR="000E4436">
        <w:rPr>
          <w:rFonts w:ascii="Times New Roman" w:hAnsi="Times New Roman"/>
          <w:szCs w:val="24"/>
        </w:rPr>
        <w:t xml:space="preserve">hypothetical </w:t>
      </w:r>
      <w:r w:rsidRPr="00357BD6">
        <w:rPr>
          <w:rFonts w:ascii="Times New Roman" w:hAnsi="Times New Roman"/>
          <w:szCs w:val="24"/>
        </w:rPr>
        <w:t>equity ratio</w:t>
      </w:r>
      <w:r w:rsidR="000E4436">
        <w:rPr>
          <w:rFonts w:ascii="Times New Roman" w:hAnsi="Times New Roman"/>
          <w:szCs w:val="24"/>
        </w:rPr>
        <w:t xml:space="preserve"> </w:t>
      </w:r>
      <w:r w:rsidR="00BC04BD">
        <w:rPr>
          <w:rFonts w:ascii="Times New Roman" w:hAnsi="Times New Roman"/>
          <w:szCs w:val="24"/>
        </w:rPr>
        <w:t>is</w:t>
      </w:r>
      <w:r w:rsidRPr="00357BD6">
        <w:rPr>
          <w:rFonts w:ascii="Times New Roman" w:hAnsi="Times New Roman"/>
          <w:szCs w:val="24"/>
        </w:rPr>
        <w:t xml:space="preserve"> adopted.</w:t>
      </w:r>
      <w:r w:rsidRPr="00432605">
        <w:rPr>
          <w:rStyle w:val="FootnoteReference"/>
          <w:rFonts w:ascii="Times New Roman" w:hAnsi="Times New Roman"/>
          <w:szCs w:val="24"/>
        </w:rPr>
        <w:footnoteReference w:id="134"/>
      </w:r>
      <w:r>
        <w:rPr>
          <w:rFonts w:ascii="Times New Roman" w:hAnsi="Times New Roman"/>
          <w:szCs w:val="24"/>
        </w:rPr>
        <w:t xml:space="preserve"> </w:t>
      </w:r>
      <w:r w:rsidRPr="00357BD6">
        <w:rPr>
          <w:rFonts w:ascii="Times New Roman" w:hAnsi="Times New Roman"/>
          <w:szCs w:val="24"/>
        </w:rPr>
        <w:t xml:space="preserve">  </w:t>
      </w:r>
    </w:p>
    <w:p w:rsidR="00973298" w:rsidRDefault="002E098B">
      <w:pPr>
        <w:keepNext/>
        <w:widowControl w:val="0"/>
        <w:spacing w:after="240"/>
        <w:ind w:left="1440" w:hanging="720"/>
        <w:rPr>
          <w:rFonts w:ascii="Times New Roman" w:hAnsi="Times New Roman"/>
          <w:szCs w:val="24"/>
        </w:rPr>
      </w:pPr>
      <w:r>
        <w:rPr>
          <w:rFonts w:ascii="Times New Roman" w:hAnsi="Times New Roman"/>
          <w:b/>
          <w:szCs w:val="24"/>
        </w:rPr>
        <w:lastRenderedPageBreak/>
        <w:t>2</w:t>
      </w:r>
      <w:r w:rsidRPr="00432605">
        <w:rPr>
          <w:rFonts w:ascii="Times New Roman" w:hAnsi="Times New Roman"/>
          <w:b/>
          <w:szCs w:val="24"/>
        </w:rPr>
        <w:t>.</w:t>
      </w:r>
      <w:r w:rsidRPr="00432605">
        <w:rPr>
          <w:rFonts w:ascii="Times New Roman" w:hAnsi="Times New Roman"/>
          <w:b/>
          <w:szCs w:val="24"/>
        </w:rPr>
        <w:tab/>
      </w:r>
      <w:r>
        <w:rPr>
          <w:rFonts w:ascii="Times New Roman" w:hAnsi="Times New Roman"/>
          <w:b/>
          <w:szCs w:val="24"/>
        </w:rPr>
        <w:t xml:space="preserve">Staff’s Analysis of the Safety of its Cost of Capital Recommendation is Unpersuasive.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Mr. Elgin uses a </w:t>
      </w:r>
      <w:r w:rsidRPr="00432605">
        <w:rPr>
          <w:rFonts w:ascii="Times New Roman" w:hAnsi="Times New Roman"/>
          <w:szCs w:val="24"/>
        </w:rPr>
        <w:t xml:space="preserve">pretax interest coverage ratio to </w:t>
      </w:r>
      <w:r>
        <w:rPr>
          <w:rFonts w:ascii="Times New Roman" w:hAnsi="Times New Roman"/>
          <w:szCs w:val="24"/>
        </w:rPr>
        <w:t>test the safety of his cost of capital recommendations</w:t>
      </w:r>
      <w:r w:rsidRPr="00432605">
        <w:rPr>
          <w:rFonts w:ascii="Times New Roman" w:hAnsi="Times New Roman"/>
          <w:szCs w:val="24"/>
        </w:rPr>
        <w:t>.</w:t>
      </w:r>
      <w:r w:rsidRPr="00432605">
        <w:rPr>
          <w:rStyle w:val="FootnoteReference"/>
          <w:rFonts w:ascii="Times New Roman" w:hAnsi="Times New Roman"/>
          <w:szCs w:val="24"/>
        </w:rPr>
        <w:footnoteReference w:id="135"/>
      </w:r>
      <w:r w:rsidRPr="00432605">
        <w:rPr>
          <w:rFonts w:ascii="Times New Roman" w:hAnsi="Times New Roman"/>
          <w:szCs w:val="24"/>
        </w:rPr>
        <w:t xml:space="preserve"> </w:t>
      </w:r>
      <w:r>
        <w:rPr>
          <w:rFonts w:ascii="Times New Roman" w:hAnsi="Times New Roman"/>
          <w:szCs w:val="24"/>
        </w:rPr>
        <w:t xml:space="preserve"> As explicitly acknowledged by Mr. </w:t>
      </w:r>
      <w:proofErr w:type="spellStart"/>
      <w:r>
        <w:rPr>
          <w:rFonts w:ascii="Times New Roman" w:hAnsi="Times New Roman"/>
          <w:szCs w:val="24"/>
        </w:rPr>
        <w:t>Parcell</w:t>
      </w:r>
      <w:proofErr w:type="spellEnd"/>
      <w:r>
        <w:rPr>
          <w:rFonts w:ascii="Times New Roman" w:hAnsi="Times New Roman"/>
          <w:szCs w:val="24"/>
        </w:rPr>
        <w:t xml:space="preserve"> in the Puget GRC, this metric has not been relied upon by credit ratings agencies for more than 10 years;</w:t>
      </w:r>
      <w:r w:rsidRPr="00432605">
        <w:rPr>
          <w:rStyle w:val="FootnoteReference"/>
          <w:rFonts w:ascii="Times New Roman" w:hAnsi="Times New Roman"/>
          <w:szCs w:val="24"/>
        </w:rPr>
        <w:footnoteReference w:id="136"/>
      </w:r>
      <w:r>
        <w:rPr>
          <w:rFonts w:ascii="Times New Roman" w:hAnsi="Times New Roman"/>
          <w:szCs w:val="24"/>
        </w:rPr>
        <w:t xml:space="preserve"> Mr. Elgin’s </w:t>
      </w:r>
      <w:r w:rsidRPr="00432605">
        <w:rPr>
          <w:rFonts w:ascii="Times New Roman" w:hAnsi="Times New Roman"/>
          <w:szCs w:val="24"/>
        </w:rPr>
        <w:t>testimony</w:t>
      </w:r>
      <w:r>
        <w:rPr>
          <w:rFonts w:ascii="Times New Roman" w:hAnsi="Times New Roman"/>
          <w:szCs w:val="24"/>
        </w:rPr>
        <w:t xml:space="preserve"> fails to </w:t>
      </w:r>
      <w:r w:rsidRPr="00432605">
        <w:rPr>
          <w:rFonts w:ascii="Times New Roman" w:hAnsi="Times New Roman"/>
          <w:szCs w:val="24"/>
        </w:rPr>
        <w:t xml:space="preserve">mention this important fact.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8B6B34">
        <w:rPr>
          <w:rFonts w:ascii="Times New Roman" w:hAnsi="Times New Roman"/>
          <w:szCs w:val="24"/>
        </w:rPr>
        <w:tab/>
        <w:t>Second, Mr. Elgin’s ratio analysis is purely hypothetical a</w:t>
      </w:r>
      <w:r>
        <w:rPr>
          <w:rFonts w:ascii="Times New Roman" w:hAnsi="Times New Roman"/>
          <w:szCs w:val="24"/>
        </w:rPr>
        <w:t>nd assumes that his</w:t>
      </w:r>
      <w:r w:rsidRPr="008B6B34">
        <w:rPr>
          <w:rFonts w:ascii="Times New Roman" w:hAnsi="Times New Roman"/>
          <w:szCs w:val="24"/>
        </w:rPr>
        <w:t xml:space="preserve"> authorized cost of capital translates into actual performance.</w:t>
      </w:r>
      <w:r w:rsidRPr="00432605">
        <w:rPr>
          <w:rStyle w:val="FootnoteReference"/>
          <w:rFonts w:ascii="Times New Roman" w:hAnsi="Times New Roman"/>
          <w:szCs w:val="24"/>
        </w:rPr>
        <w:footnoteReference w:id="137"/>
      </w:r>
      <w:r w:rsidRPr="008B6B34">
        <w:rPr>
          <w:rFonts w:ascii="Times New Roman" w:hAnsi="Times New Roman"/>
          <w:szCs w:val="24"/>
        </w:rPr>
        <w:t xml:space="preserve">  Mr. Elgin’s testimony indicated that safety is determined based upon </w:t>
      </w:r>
      <w:r w:rsidRPr="002E4C43">
        <w:t>whether</w:t>
      </w:r>
      <w:r w:rsidRPr="008B6B34">
        <w:rPr>
          <w:rFonts w:ascii="Times New Roman" w:hAnsi="Times New Roman"/>
          <w:szCs w:val="24"/>
        </w:rPr>
        <w:t xml:space="preserve"> the </w:t>
      </w:r>
      <w:r>
        <w:rPr>
          <w:rFonts w:ascii="Times New Roman" w:hAnsi="Times New Roman"/>
          <w:szCs w:val="24"/>
        </w:rPr>
        <w:t xml:space="preserve">authorized cost of </w:t>
      </w:r>
      <w:r w:rsidRPr="008B6B34">
        <w:rPr>
          <w:rFonts w:ascii="Times New Roman" w:hAnsi="Times New Roman"/>
          <w:szCs w:val="24"/>
        </w:rPr>
        <w:t>capital meets or exceeds a 2</w:t>
      </w:r>
      <w:r>
        <w:rPr>
          <w:rFonts w:ascii="Times New Roman" w:hAnsi="Times New Roman"/>
          <w:szCs w:val="24"/>
        </w:rPr>
        <w:t xml:space="preserve"> times</w:t>
      </w:r>
      <w:r w:rsidRPr="008B6B34">
        <w:rPr>
          <w:rFonts w:ascii="Times New Roman" w:hAnsi="Times New Roman"/>
          <w:szCs w:val="24"/>
        </w:rPr>
        <w:t xml:space="preserve"> pretax coverage ratio.</w:t>
      </w:r>
      <w:r w:rsidRPr="00432605">
        <w:rPr>
          <w:rStyle w:val="FootnoteReference"/>
          <w:rFonts w:ascii="Times New Roman" w:hAnsi="Times New Roman"/>
          <w:szCs w:val="24"/>
        </w:rPr>
        <w:footnoteReference w:id="138"/>
      </w:r>
      <w:r w:rsidRPr="008B6B34">
        <w:rPr>
          <w:rFonts w:ascii="Times New Roman" w:hAnsi="Times New Roman"/>
          <w:szCs w:val="24"/>
        </w:rPr>
        <w:t xml:space="preserve">  To fall below 2</w:t>
      </w:r>
      <w:r>
        <w:rPr>
          <w:rFonts w:ascii="Times New Roman" w:hAnsi="Times New Roman"/>
          <w:szCs w:val="24"/>
        </w:rPr>
        <w:t xml:space="preserve"> times</w:t>
      </w:r>
      <w:r w:rsidRPr="008B6B34">
        <w:rPr>
          <w:rFonts w:ascii="Times New Roman" w:hAnsi="Times New Roman"/>
          <w:szCs w:val="24"/>
        </w:rPr>
        <w:t>, Mr. Elgin testified that PacifiCorp’s ROE would have to “fall significantly,” to below 4%.</w:t>
      </w:r>
      <w:r w:rsidRPr="00432605">
        <w:rPr>
          <w:rStyle w:val="FootnoteReference"/>
          <w:rFonts w:ascii="Times New Roman" w:hAnsi="Times New Roman"/>
          <w:szCs w:val="24"/>
        </w:rPr>
        <w:footnoteReference w:id="139"/>
      </w:r>
      <w:r w:rsidRPr="008B6B34">
        <w:rPr>
          <w:rFonts w:ascii="Times New Roman" w:hAnsi="Times New Roman"/>
          <w:szCs w:val="24"/>
        </w:rPr>
        <w:t xml:space="preserve">  In the Company’s 2006 </w:t>
      </w:r>
      <w:r w:rsidR="00782923">
        <w:rPr>
          <w:rFonts w:ascii="Times New Roman" w:hAnsi="Times New Roman"/>
          <w:szCs w:val="24"/>
        </w:rPr>
        <w:t>GRC</w:t>
      </w:r>
      <w:r w:rsidRPr="008B6B34">
        <w:rPr>
          <w:rFonts w:ascii="Times New Roman" w:hAnsi="Times New Roman"/>
          <w:szCs w:val="24"/>
        </w:rPr>
        <w:t xml:space="preserve">, Mr. Elgin concluded that if the coverage ratio fell </w:t>
      </w:r>
      <w:r w:rsidRPr="002E4C43">
        <w:t>below</w:t>
      </w:r>
      <w:r w:rsidRPr="008B6B34">
        <w:rPr>
          <w:rFonts w:ascii="Times New Roman" w:hAnsi="Times New Roman"/>
          <w:szCs w:val="24"/>
        </w:rPr>
        <w:t xml:space="preserve"> 2.5</w:t>
      </w:r>
      <w:r>
        <w:rPr>
          <w:rFonts w:ascii="Times New Roman" w:hAnsi="Times New Roman"/>
          <w:szCs w:val="24"/>
        </w:rPr>
        <w:t xml:space="preserve"> times,</w:t>
      </w:r>
      <w:r w:rsidRPr="008B6B34">
        <w:rPr>
          <w:rFonts w:ascii="Times New Roman" w:hAnsi="Times New Roman"/>
          <w:szCs w:val="24"/>
        </w:rPr>
        <w:t xml:space="preserve"> then the Company’s ability to access capital would be threatened.</w:t>
      </w:r>
      <w:r w:rsidRPr="00432605">
        <w:rPr>
          <w:rStyle w:val="FootnoteReference"/>
          <w:rFonts w:ascii="Times New Roman" w:hAnsi="Times New Roman"/>
          <w:szCs w:val="24"/>
        </w:rPr>
        <w:footnoteReference w:id="140"/>
      </w:r>
      <w:r w:rsidRPr="008B6B34">
        <w:rPr>
          <w:rFonts w:ascii="Times New Roman" w:hAnsi="Times New Roman"/>
          <w:szCs w:val="24"/>
        </w:rPr>
        <w:t xml:space="preserve">  Using the 2.5 </w:t>
      </w:r>
      <w:r>
        <w:rPr>
          <w:rFonts w:ascii="Times New Roman" w:hAnsi="Times New Roman"/>
          <w:szCs w:val="24"/>
        </w:rPr>
        <w:t>times</w:t>
      </w:r>
      <w:r w:rsidRPr="008B6B34">
        <w:rPr>
          <w:rFonts w:ascii="Times New Roman" w:hAnsi="Times New Roman"/>
          <w:szCs w:val="24"/>
        </w:rPr>
        <w:t xml:space="preserve"> coverage ratio from Mr. Elgin’s past testimony moves the ROE trigger</w:t>
      </w:r>
      <w:r>
        <w:rPr>
          <w:rFonts w:ascii="Times New Roman" w:hAnsi="Times New Roman"/>
          <w:szCs w:val="24"/>
        </w:rPr>
        <w:t xml:space="preserve"> from </w:t>
      </w:r>
      <w:r w:rsidRPr="008B6B34">
        <w:rPr>
          <w:rFonts w:ascii="Times New Roman" w:hAnsi="Times New Roman"/>
          <w:szCs w:val="24"/>
        </w:rPr>
        <w:t>4% to 6.77%.</w:t>
      </w:r>
      <w:r w:rsidRPr="00432605">
        <w:rPr>
          <w:rStyle w:val="FootnoteReference"/>
          <w:rFonts w:ascii="Times New Roman" w:hAnsi="Times New Roman"/>
          <w:szCs w:val="24"/>
        </w:rPr>
        <w:footnoteReference w:id="141"/>
      </w:r>
      <w:r w:rsidRPr="008B6B34">
        <w:rPr>
          <w:rFonts w:ascii="Times New Roman" w:hAnsi="Times New Roman"/>
          <w:szCs w:val="24"/>
        </w:rPr>
        <w:t xml:space="preserve">  </w:t>
      </w:r>
      <w:r w:rsidR="00E65F40">
        <w:rPr>
          <w:rFonts w:ascii="Times New Roman" w:hAnsi="Times New Roman"/>
          <w:szCs w:val="24"/>
        </w:rPr>
        <w:t>Here</w:t>
      </w:r>
      <w:r>
        <w:rPr>
          <w:rFonts w:ascii="Times New Roman" w:hAnsi="Times New Roman"/>
          <w:szCs w:val="24"/>
        </w:rPr>
        <w:t>, the evidence is undisputed</w:t>
      </w:r>
      <w:r w:rsidR="00E65F40">
        <w:rPr>
          <w:rFonts w:ascii="Times New Roman" w:hAnsi="Times New Roman"/>
          <w:szCs w:val="24"/>
        </w:rPr>
        <w:t>:</w:t>
      </w:r>
      <w:r>
        <w:rPr>
          <w:rFonts w:ascii="Times New Roman" w:hAnsi="Times New Roman"/>
          <w:szCs w:val="24"/>
        </w:rPr>
        <w:t xml:space="preserve"> </w:t>
      </w:r>
      <w:r w:rsidR="00E65F40">
        <w:rPr>
          <w:rFonts w:ascii="Times New Roman" w:hAnsi="Times New Roman"/>
          <w:szCs w:val="24"/>
        </w:rPr>
        <w:t>PacifiCorp</w:t>
      </w:r>
      <w:r>
        <w:rPr>
          <w:rFonts w:ascii="Times New Roman" w:hAnsi="Times New Roman"/>
          <w:szCs w:val="24"/>
        </w:rPr>
        <w:t xml:space="preserve">’s </w:t>
      </w:r>
      <w:r w:rsidR="00450E9C">
        <w:rPr>
          <w:rFonts w:ascii="Times New Roman" w:hAnsi="Times New Roman"/>
          <w:szCs w:val="24"/>
        </w:rPr>
        <w:t>ROE</w:t>
      </w:r>
      <w:r>
        <w:rPr>
          <w:rFonts w:ascii="Times New Roman" w:hAnsi="Times New Roman"/>
          <w:szCs w:val="24"/>
        </w:rPr>
        <w:t xml:space="preserve"> in the test period is well below this 6.77% level, </w:t>
      </w:r>
      <w:r w:rsidR="00182A2C">
        <w:rPr>
          <w:rFonts w:ascii="Times New Roman" w:hAnsi="Times New Roman"/>
          <w:szCs w:val="24"/>
        </w:rPr>
        <w:t>reinforcing</w:t>
      </w:r>
      <w:r>
        <w:rPr>
          <w:rFonts w:ascii="Times New Roman" w:hAnsi="Times New Roman"/>
          <w:szCs w:val="24"/>
        </w:rPr>
        <w:t xml:space="preserve"> the danger of Mr. Elgin’s recommendations in Washington where PacifiCorp historically has fallen far short of earning its allowed </w:t>
      </w:r>
      <w:r w:rsidR="00450E9C">
        <w:rPr>
          <w:rFonts w:ascii="Times New Roman" w:hAnsi="Times New Roman"/>
          <w:szCs w:val="24"/>
        </w:rPr>
        <w:t>ROE</w:t>
      </w:r>
      <w:r>
        <w:rPr>
          <w:rFonts w:ascii="Times New Roman" w:hAnsi="Times New Roman"/>
          <w:szCs w:val="24"/>
        </w:rPr>
        <w:t xml:space="preserve">. </w:t>
      </w:r>
    </w:p>
    <w:p w:rsidR="00973298" w:rsidRDefault="002E098B">
      <w:pPr>
        <w:keepNext/>
        <w:widowControl w:val="0"/>
        <w:spacing w:after="240"/>
        <w:ind w:left="1440" w:hanging="720"/>
        <w:rPr>
          <w:rFonts w:ascii="Times New Roman" w:hAnsi="Times New Roman"/>
          <w:szCs w:val="24"/>
        </w:rPr>
      </w:pPr>
      <w:r w:rsidRPr="009F7732">
        <w:rPr>
          <w:rFonts w:ascii="Times New Roman" w:hAnsi="Times New Roman"/>
          <w:b/>
          <w:szCs w:val="24"/>
        </w:rPr>
        <w:t>3</w:t>
      </w:r>
      <w:r>
        <w:rPr>
          <w:rFonts w:ascii="Times New Roman" w:hAnsi="Times New Roman"/>
          <w:szCs w:val="24"/>
        </w:rPr>
        <w:t>.</w:t>
      </w:r>
      <w:r>
        <w:rPr>
          <w:rFonts w:ascii="Times New Roman" w:hAnsi="Times New Roman"/>
          <w:szCs w:val="24"/>
        </w:rPr>
        <w:tab/>
      </w:r>
      <w:r>
        <w:rPr>
          <w:rFonts w:ascii="Times New Roman" w:hAnsi="Times New Roman"/>
          <w:b/>
          <w:szCs w:val="24"/>
        </w:rPr>
        <w:t>ICNU’s Analysis of the Safety of its Cost of Capital Recommendation is Unpersuasive.</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9F7732">
        <w:rPr>
          <w:rFonts w:ascii="Times New Roman" w:hAnsi="Times New Roman"/>
          <w:b/>
          <w:szCs w:val="24"/>
        </w:rPr>
        <w:tab/>
      </w:r>
      <w:r w:rsidRPr="009F7732">
        <w:rPr>
          <w:rFonts w:ascii="Times New Roman" w:hAnsi="Times New Roman"/>
          <w:szCs w:val="24"/>
        </w:rPr>
        <w:t>Mr. Gorman argue</w:t>
      </w:r>
      <w:r>
        <w:rPr>
          <w:rFonts w:ascii="Times New Roman" w:hAnsi="Times New Roman"/>
          <w:szCs w:val="24"/>
        </w:rPr>
        <w:t>s</w:t>
      </w:r>
      <w:r w:rsidRPr="009F7732">
        <w:rPr>
          <w:rFonts w:ascii="Times New Roman" w:hAnsi="Times New Roman"/>
          <w:szCs w:val="24"/>
        </w:rPr>
        <w:t xml:space="preserve"> that his analysis demonstrated that adoption of his 9.5% ROE will </w:t>
      </w:r>
      <w:r w:rsidRPr="009F7732">
        <w:rPr>
          <w:rFonts w:ascii="Times New Roman" w:hAnsi="Times New Roman"/>
          <w:szCs w:val="24"/>
        </w:rPr>
        <w:lastRenderedPageBreak/>
        <w:t>allow the Company to maintain its current credit rating.</w:t>
      </w:r>
      <w:r w:rsidRPr="00432605">
        <w:rPr>
          <w:rStyle w:val="FootnoteReference"/>
          <w:rFonts w:ascii="Times New Roman" w:hAnsi="Times New Roman"/>
          <w:szCs w:val="24"/>
        </w:rPr>
        <w:footnoteReference w:id="142"/>
      </w:r>
      <w:r w:rsidRPr="009F7732">
        <w:rPr>
          <w:rFonts w:ascii="Times New Roman" w:hAnsi="Times New Roman"/>
          <w:szCs w:val="24"/>
        </w:rPr>
        <w:t xml:space="preserve">  </w:t>
      </w:r>
      <w:r>
        <w:rPr>
          <w:rFonts w:ascii="Times New Roman" w:hAnsi="Times New Roman"/>
          <w:szCs w:val="24"/>
        </w:rPr>
        <w:t>However, Mr. Gorman admitted that his analysis failed to consider approximately $500 million in off-balance sheet obligations included by S&amp;P in its analysis</w:t>
      </w:r>
      <w:r w:rsidRPr="009F7732">
        <w:rPr>
          <w:rFonts w:ascii="Times New Roman" w:hAnsi="Times New Roman"/>
          <w:szCs w:val="24"/>
        </w:rPr>
        <w:t>.</w:t>
      </w:r>
      <w:r w:rsidRPr="00432605">
        <w:rPr>
          <w:rStyle w:val="FootnoteReference"/>
          <w:rFonts w:ascii="Times New Roman" w:hAnsi="Times New Roman"/>
          <w:szCs w:val="24"/>
        </w:rPr>
        <w:footnoteReference w:id="143"/>
      </w:r>
      <w:r w:rsidRPr="009F7732">
        <w:rPr>
          <w:rFonts w:ascii="Times New Roman" w:hAnsi="Times New Roman"/>
          <w:szCs w:val="24"/>
        </w:rPr>
        <w:t xml:space="preserve"> </w:t>
      </w:r>
      <w:r>
        <w:rPr>
          <w:rFonts w:ascii="Times New Roman" w:hAnsi="Times New Roman"/>
          <w:szCs w:val="24"/>
        </w:rPr>
        <w:t xml:space="preserve">This omission </w:t>
      </w:r>
      <w:r w:rsidR="00782923">
        <w:rPr>
          <w:rFonts w:ascii="Times New Roman" w:hAnsi="Times New Roman"/>
          <w:szCs w:val="24"/>
        </w:rPr>
        <w:t xml:space="preserve">is significant enough to </w:t>
      </w:r>
      <w:r>
        <w:rPr>
          <w:rFonts w:ascii="Times New Roman" w:hAnsi="Times New Roman"/>
          <w:szCs w:val="24"/>
        </w:rPr>
        <w:t>undermine all other aspects of the analysis. Mr. Gorman also ignored the rating agencies explicitly stated expectations for PacifiCorp when trying to support the flawed results of his modeling effort.</w:t>
      </w:r>
      <w:r>
        <w:rPr>
          <w:rStyle w:val="FootnoteReference"/>
          <w:rFonts w:ascii="Times New Roman" w:hAnsi="Times New Roman"/>
          <w:szCs w:val="24"/>
        </w:rPr>
        <w:footnoteReference w:id="144"/>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432605">
        <w:rPr>
          <w:rFonts w:ascii="Times New Roman" w:hAnsi="Times New Roman"/>
          <w:szCs w:val="24"/>
        </w:rPr>
        <w:tab/>
        <w:t xml:space="preserve">Contrary to </w:t>
      </w:r>
      <w:r>
        <w:rPr>
          <w:rFonts w:ascii="Times New Roman" w:hAnsi="Times New Roman"/>
          <w:szCs w:val="24"/>
        </w:rPr>
        <w:t>Mr. </w:t>
      </w:r>
      <w:r w:rsidRPr="00432605">
        <w:rPr>
          <w:rFonts w:ascii="Times New Roman" w:hAnsi="Times New Roman"/>
          <w:szCs w:val="24"/>
        </w:rPr>
        <w:t xml:space="preserve">Gorman’s conclusions, there is a very real risk of a credit downgrade if the ROE is set at 9.5%.  </w:t>
      </w:r>
      <w:r>
        <w:rPr>
          <w:rFonts w:ascii="Times New Roman" w:hAnsi="Times New Roman"/>
          <w:szCs w:val="24"/>
        </w:rPr>
        <w:t>A</w:t>
      </w:r>
      <w:r w:rsidRPr="00432605">
        <w:rPr>
          <w:rFonts w:ascii="Times New Roman" w:hAnsi="Times New Roman"/>
          <w:szCs w:val="24"/>
        </w:rPr>
        <w:t>ccording to S&amp;P, the Company’s current stand-alone credit rating is already more in line with a “BBB” rating.</w:t>
      </w:r>
      <w:r w:rsidRPr="00432605">
        <w:rPr>
          <w:rStyle w:val="FootnoteReference"/>
          <w:rFonts w:ascii="Times New Roman" w:hAnsi="Times New Roman"/>
          <w:szCs w:val="24"/>
        </w:rPr>
        <w:footnoteReference w:id="145"/>
      </w:r>
      <w:r w:rsidRPr="00432605">
        <w:rPr>
          <w:rFonts w:ascii="Times New Roman" w:hAnsi="Times New Roman"/>
          <w:szCs w:val="24"/>
        </w:rPr>
        <w:t xml:space="preserve">  This risk is further </w:t>
      </w:r>
      <w:r w:rsidRPr="002E4C43">
        <w:t>exacerbated</w:t>
      </w:r>
      <w:r w:rsidRPr="00432605">
        <w:rPr>
          <w:rFonts w:ascii="Times New Roman" w:hAnsi="Times New Roman"/>
          <w:szCs w:val="24"/>
        </w:rPr>
        <w:t xml:space="preserve"> because the Company’s increasing capital expenditures require better financial metrics to maintain the current ratings.</w:t>
      </w:r>
      <w:r w:rsidRPr="00432605">
        <w:rPr>
          <w:rStyle w:val="FootnoteReference"/>
          <w:rFonts w:ascii="Times New Roman" w:hAnsi="Times New Roman"/>
          <w:szCs w:val="24"/>
        </w:rPr>
        <w:footnoteReference w:id="146"/>
      </w:r>
      <w:r w:rsidRPr="00432605">
        <w:rPr>
          <w:rFonts w:ascii="Times New Roman" w:hAnsi="Times New Roman"/>
          <w:szCs w:val="24"/>
        </w:rPr>
        <w:t xml:space="preserve">  </w:t>
      </w:r>
    </w:p>
    <w:p w:rsidR="00973298" w:rsidRDefault="002E098B">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3C43D7">
        <w:rPr>
          <w:rFonts w:ascii="Times New Roman" w:hAnsi="Times New Roman"/>
          <w:szCs w:val="24"/>
        </w:rPr>
        <w:tab/>
        <w:t>Moreover, the costs to customers in the event of a credit downgrade are both real and substantial.  A</w:t>
      </w:r>
      <w:r>
        <w:rPr>
          <w:rFonts w:ascii="Times New Roman" w:hAnsi="Times New Roman"/>
          <w:szCs w:val="24"/>
        </w:rPr>
        <w:t>s</w:t>
      </w:r>
      <w:r w:rsidRPr="003C43D7">
        <w:rPr>
          <w:rFonts w:ascii="Times New Roman" w:hAnsi="Times New Roman"/>
          <w:szCs w:val="24"/>
        </w:rPr>
        <w:t xml:space="preserve"> </w:t>
      </w:r>
      <w:r>
        <w:rPr>
          <w:rFonts w:ascii="Times New Roman" w:hAnsi="Times New Roman"/>
          <w:szCs w:val="24"/>
        </w:rPr>
        <w:t>Mr. Williams testified, a</w:t>
      </w:r>
      <w:r w:rsidRPr="003C43D7">
        <w:rPr>
          <w:rFonts w:ascii="Times New Roman" w:hAnsi="Times New Roman"/>
          <w:szCs w:val="24"/>
        </w:rPr>
        <w:t xml:space="preserve"> solid credit rating allows the Company to access critical debt markets and to do so at lower costs.</w:t>
      </w:r>
      <w:r w:rsidRPr="00432605">
        <w:rPr>
          <w:rStyle w:val="FootnoteReference"/>
          <w:rFonts w:ascii="Times New Roman" w:hAnsi="Times New Roman"/>
          <w:szCs w:val="24"/>
        </w:rPr>
        <w:footnoteReference w:id="147"/>
      </w:r>
      <w:r w:rsidRPr="003C43D7">
        <w:rPr>
          <w:rFonts w:ascii="Times New Roman" w:hAnsi="Times New Roman"/>
          <w:szCs w:val="24"/>
        </w:rPr>
        <w:t xml:space="preserve">  Indeed, if the Company had been rated “BBB” since the acquisition by MEHC in 2006, the increased cost of debt attributed to the downgraded rating alone is estimated to be $30 million more in annual interest expense.</w:t>
      </w:r>
      <w:r w:rsidRPr="00432605">
        <w:rPr>
          <w:rStyle w:val="FootnoteReference"/>
          <w:rFonts w:ascii="Times New Roman" w:hAnsi="Times New Roman"/>
          <w:szCs w:val="24"/>
        </w:rPr>
        <w:footnoteReference w:id="148"/>
      </w:r>
      <w:r w:rsidRPr="003C43D7">
        <w:rPr>
          <w:rFonts w:ascii="Times New Roman" w:hAnsi="Times New Roman"/>
          <w:szCs w:val="24"/>
        </w:rPr>
        <w:t xml:space="preserve">  The Commission acknowledged the significant costs associated with credit downgrades as recently as last November, when it noted in approving Avista’s settlement of its 2010 rate case:  “Stronger credit ratings will result in lower long-term costs to Avista’s customers and should allow longer intervals between general rate cases.”</w:t>
      </w:r>
      <w:r w:rsidRPr="00432605">
        <w:rPr>
          <w:rStyle w:val="FootnoteReference"/>
          <w:rFonts w:ascii="Times New Roman" w:hAnsi="Times New Roman"/>
          <w:szCs w:val="24"/>
        </w:rPr>
        <w:footnoteReference w:id="149"/>
      </w:r>
      <w:r w:rsidRPr="003C43D7">
        <w:rPr>
          <w:rFonts w:ascii="Times New Roman" w:hAnsi="Times New Roman"/>
          <w:szCs w:val="24"/>
        </w:rPr>
        <w:t xml:space="preserve">  </w:t>
      </w:r>
    </w:p>
    <w:p w:rsidR="00973298" w:rsidRDefault="007F494E">
      <w:pPr>
        <w:keepNext/>
        <w:widowControl w:val="0"/>
        <w:spacing w:line="480" w:lineRule="auto"/>
        <w:jc w:val="center"/>
        <w:rPr>
          <w:rFonts w:ascii="Times New Roman" w:hAnsi="Times New Roman"/>
          <w:b/>
        </w:rPr>
      </w:pPr>
      <w:r>
        <w:rPr>
          <w:rFonts w:ascii="Times New Roman" w:hAnsi="Times New Roman"/>
          <w:b/>
        </w:rPr>
        <w:lastRenderedPageBreak/>
        <w:t>IV.</w:t>
      </w:r>
      <w:r>
        <w:rPr>
          <w:rFonts w:ascii="Times New Roman" w:hAnsi="Times New Roman"/>
          <w:b/>
        </w:rPr>
        <w:tab/>
        <w:t>REVENUE ADJUSTMENTS</w:t>
      </w:r>
    </w:p>
    <w:p w:rsidR="00973298" w:rsidRDefault="007F494E">
      <w:pPr>
        <w:keepNext/>
        <w:widowControl w:val="0"/>
        <w:spacing w:line="480" w:lineRule="auto"/>
        <w:rPr>
          <w:b/>
        </w:rPr>
      </w:pPr>
      <w:r w:rsidRPr="000047EF">
        <w:rPr>
          <w:b/>
        </w:rPr>
        <w:t>A.</w:t>
      </w:r>
      <w:r>
        <w:rPr>
          <w:b/>
        </w:rPr>
        <w:tab/>
      </w:r>
      <w:r w:rsidRPr="000047EF">
        <w:rPr>
          <w:b/>
        </w:rPr>
        <w:t>Residential Revenues</w:t>
      </w:r>
      <w:r>
        <w:rPr>
          <w:b/>
        </w:rPr>
        <w:t xml:space="preserve"> Should Be Based on Temperature Normalized Usage.</w:t>
      </w:r>
    </w:p>
    <w:p w:rsidR="00973298" w:rsidRDefault="007F494E">
      <w:pPr>
        <w:pStyle w:val="ListParagraph"/>
        <w:widowControl w:val="0"/>
        <w:numPr>
          <w:ilvl w:val="0"/>
          <w:numId w:val="12"/>
        </w:numPr>
        <w:tabs>
          <w:tab w:val="clear" w:pos="1440"/>
          <w:tab w:val="num" w:pos="720"/>
        </w:tabs>
        <w:spacing w:line="480" w:lineRule="auto"/>
        <w:ind w:left="0"/>
      </w:pPr>
      <w:r>
        <w:tab/>
        <w:t>ICNU</w:t>
      </w:r>
      <w:r w:rsidR="00182A2C">
        <w:t>/</w:t>
      </w:r>
      <w:r>
        <w:t>Public Counsel recommend increasing the level of residential revenues by approximately $2.2 million.</w:t>
      </w:r>
      <w:r>
        <w:rPr>
          <w:rStyle w:val="FootnoteReference"/>
        </w:rPr>
        <w:footnoteReference w:id="150"/>
      </w:r>
      <w:r>
        <w:t xml:space="preserve">  ICNU</w:t>
      </w:r>
      <w:r w:rsidR="00182A2C">
        <w:t>/</w:t>
      </w:r>
      <w:r>
        <w:t>Public Counsel witness Mr. Meyer argued that revenues should be annualized based on the actual average usage per customer over the previous five years.</w:t>
      </w:r>
      <w:r>
        <w:rPr>
          <w:rStyle w:val="FootnoteReference"/>
        </w:rPr>
        <w:footnoteReference w:id="151"/>
      </w:r>
      <w:r>
        <w:t xml:space="preserve">  In contrast, Staff and the Company agree that</w:t>
      </w:r>
      <w:r w:rsidR="00182A2C">
        <w:t>, consistent with Commission precedent,</w:t>
      </w:r>
      <w:r>
        <w:t xml:space="preserve"> residential revenues should be calculated using temperature normalized usage.</w:t>
      </w:r>
      <w:r>
        <w:rPr>
          <w:rStyle w:val="FootnoteReference"/>
        </w:rPr>
        <w:footnoteReference w:id="152"/>
      </w:r>
      <w:r>
        <w:t xml:space="preserve">  </w:t>
      </w:r>
    </w:p>
    <w:p w:rsidR="00973298" w:rsidRDefault="007F494E">
      <w:pPr>
        <w:pStyle w:val="ListParagraph"/>
        <w:widowControl w:val="0"/>
        <w:numPr>
          <w:ilvl w:val="0"/>
          <w:numId w:val="12"/>
        </w:numPr>
        <w:tabs>
          <w:tab w:val="clear" w:pos="1440"/>
          <w:tab w:val="num" w:pos="720"/>
        </w:tabs>
        <w:spacing w:line="480" w:lineRule="auto"/>
        <w:ind w:left="0"/>
      </w:pPr>
      <w:r>
        <w:tab/>
        <w:t>As Staff witness Ms. Novak testified, temperature normalization is necessary because many of PacifiCorp’s customers use electricity for space heating and changes in temperature may have a significant impact on these customers’ usage.</w:t>
      </w:r>
      <w:r>
        <w:rPr>
          <w:rStyle w:val="FootnoteReference"/>
        </w:rPr>
        <w:footnoteReference w:id="153"/>
      </w:r>
      <w:r>
        <w:t xml:space="preserve">  The temperature normalization adjustment ensures that if the test year was warmer than usual, rates will not be set too high, and if the test year was colder than usual, rates will not be set too low.</w:t>
      </w:r>
      <w:r>
        <w:rPr>
          <w:rStyle w:val="FootnoteReference"/>
        </w:rPr>
        <w:footnoteReference w:id="154"/>
      </w:r>
      <w:r>
        <w:t xml:space="preserve">  The purpose of the adjustment is to calculate revenues on the basis of normal temperatures based on temperatures measured at the Yakima weather station.</w:t>
      </w:r>
      <w:r>
        <w:rPr>
          <w:rStyle w:val="FootnoteReference"/>
        </w:rPr>
        <w:footnoteReference w:id="155"/>
      </w:r>
    </w:p>
    <w:p w:rsidR="00973298" w:rsidRDefault="007F494E">
      <w:pPr>
        <w:pStyle w:val="ListParagraph"/>
        <w:widowControl w:val="0"/>
        <w:numPr>
          <w:ilvl w:val="0"/>
          <w:numId w:val="12"/>
        </w:numPr>
        <w:tabs>
          <w:tab w:val="clear" w:pos="1440"/>
          <w:tab w:val="num" w:pos="720"/>
        </w:tabs>
        <w:spacing w:line="480" w:lineRule="auto"/>
        <w:ind w:left="0"/>
      </w:pPr>
      <w:r>
        <w:tab/>
        <w:t>ICNU</w:t>
      </w:r>
      <w:r w:rsidR="00182A2C">
        <w:t>/</w:t>
      </w:r>
      <w:r>
        <w:t>Public Counsel’s proposal results in an unreasonably high level of residential usage.  Mr. Meyer’s methodology assumes that residential loads in Washington are not affected by temperature.</w:t>
      </w:r>
      <w:r>
        <w:rPr>
          <w:rStyle w:val="FootnoteReference"/>
        </w:rPr>
        <w:footnoteReference w:id="156"/>
      </w:r>
      <w:r>
        <w:t xml:space="preserve">  As Staff witness Mr. Schooley testified, temperature is in fact the primary </w:t>
      </w:r>
      <w:r>
        <w:lastRenderedPageBreak/>
        <w:t>influence on residential customer usage.</w:t>
      </w:r>
      <w:r>
        <w:rPr>
          <w:rStyle w:val="FootnoteReference"/>
        </w:rPr>
        <w:footnoteReference w:id="157"/>
      </w:r>
      <w:r>
        <w:t xml:space="preserve">  As a result, nearly all of the increase in residential usage from the 12-month period ended June 2008 to the 12-month period ended December 2009 was due to temperature differences.</w:t>
      </w:r>
      <w:r>
        <w:rPr>
          <w:rStyle w:val="FootnoteReference"/>
        </w:rPr>
        <w:footnoteReference w:id="158"/>
      </w:r>
      <w:r>
        <w:t xml:space="preserve">  Failing to account for these temperature differences will result in rates that are set too low based on normal temperatures.</w:t>
      </w:r>
    </w:p>
    <w:p w:rsidR="00973298" w:rsidRDefault="007F494E">
      <w:pPr>
        <w:pStyle w:val="ListParagraph"/>
        <w:widowControl w:val="0"/>
        <w:numPr>
          <w:ilvl w:val="0"/>
          <w:numId w:val="12"/>
        </w:numPr>
        <w:tabs>
          <w:tab w:val="clear" w:pos="1440"/>
          <w:tab w:val="num" w:pos="720"/>
        </w:tabs>
        <w:spacing w:line="480" w:lineRule="auto"/>
        <w:ind w:left="0"/>
      </w:pPr>
      <w:r>
        <w:tab/>
        <w:t xml:space="preserve">Moreover, Mr. Meyer’s proposal does not account for </w:t>
      </w:r>
      <w:r w:rsidR="00BE332B">
        <w:t xml:space="preserve">all </w:t>
      </w:r>
      <w:r>
        <w:t xml:space="preserve">increased costs that would result from increasing residential usage.  While Mr. Meyer offsets increased revenues </w:t>
      </w:r>
      <w:r w:rsidR="00BE332B">
        <w:t>for</w:t>
      </w:r>
      <w:r>
        <w:t xml:space="preserve"> fuel,</w:t>
      </w:r>
      <w:r>
        <w:rPr>
          <w:rStyle w:val="FootnoteReference"/>
        </w:rPr>
        <w:footnoteReference w:id="159"/>
      </w:r>
      <w:r>
        <w:t xml:space="preserve"> his adjustment ignores other costs and effects on allocation factors and the production factor.</w:t>
      </w:r>
      <w:r>
        <w:rPr>
          <w:rStyle w:val="FootnoteReference"/>
        </w:rPr>
        <w:footnoteReference w:id="160"/>
      </w:r>
      <w:r>
        <w:t xml:space="preserve">  </w:t>
      </w:r>
      <w:r w:rsidR="00182A2C">
        <w:t>Indeed, a change in loads for the test period would require recalculation of NPC</w:t>
      </w:r>
      <w:r w:rsidR="00F40B95">
        <w:t xml:space="preserve">, allocation factors and the production factor.  It would also impact the class cost of service study results. </w:t>
      </w:r>
    </w:p>
    <w:p w:rsidR="000E4436" w:rsidRDefault="007F494E" w:rsidP="00CE2723">
      <w:pPr>
        <w:pStyle w:val="ListParagraph"/>
        <w:numPr>
          <w:ilvl w:val="0"/>
          <w:numId w:val="12"/>
        </w:numPr>
        <w:tabs>
          <w:tab w:val="num" w:pos="720"/>
        </w:tabs>
        <w:spacing w:line="480" w:lineRule="auto"/>
        <w:ind w:left="0"/>
      </w:pPr>
      <w:r>
        <w:tab/>
        <w:t>Finally, ICNU</w:t>
      </w:r>
      <w:r w:rsidR="00F40B95">
        <w:t>/</w:t>
      </w:r>
      <w:r>
        <w:t>Public Counsel’s proposal is inconsistent with the temperature normalization methodology approved by the Commission in Docket UE-050684</w:t>
      </w:r>
      <w:r w:rsidR="00F753EB">
        <w:t xml:space="preserve"> and accepted by ICNU and Public Counsel in the Company’s 2009 rate case</w:t>
      </w:r>
      <w:r>
        <w:t>.</w:t>
      </w:r>
      <w:r>
        <w:rPr>
          <w:rStyle w:val="FootnoteReference"/>
        </w:rPr>
        <w:footnoteReference w:id="161"/>
      </w:r>
      <w:r>
        <w:t xml:space="preserve">  In the 2009 rate case stipulation, ICNU and Public Counsel reserved the right to propose changes to the Company’s temperature normalization methodology or a new methodology “if they believe the underlying data is insufficient, or if [they] believe[] new information comes to light.”</w:t>
      </w:r>
      <w:r>
        <w:rPr>
          <w:rStyle w:val="FootnoteReference"/>
        </w:rPr>
        <w:footnoteReference w:id="162"/>
      </w:r>
      <w:r>
        <w:t xml:space="preserve">  Mr. Meyer’s testimony does not explain that the temperature normalization methodology is insufficient or that new information has come to light—in fact, he does not discuss the Company’s temperature normalization methodology at all.</w:t>
      </w:r>
      <w:r>
        <w:rPr>
          <w:rStyle w:val="FootnoteReference"/>
        </w:rPr>
        <w:footnoteReference w:id="163"/>
      </w:r>
    </w:p>
    <w:p w:rsidR="00973298" w:rsidRDefault="007F494E" w:rsidP="000E4436">
      <w:pPr>
        <w:pStyle w:val="ListParagraph"/>
        <w:widowControl w:val="0"/>
        <w:numPr>
          <w:ilvl w:val="0"/>
          <w:numId w:val="12"/>
        </w:numPr>
        <w:tabs>
          <w:tab w:val="num" w:pos="720"/>
        </w:tabs>
        <w:spacing w:line="480" w:lineRule="auto"/>
        <w:ind w:left="0"/>
      </w:pPr>
      <w:r>
        <w:t xml:space="preserve">  </w:t>
      </w:r>
      <w:r>
        <w:tab/>
        <w:t xml:space="preserve">At the hearing, Commissioner Oshie questioned Staff witness Mr. Schooley on the implication of the R-squared statistic of 0.976 produced by the Company’s residential weather </w:t>
      </w:r>
      <w:r>
        <w:lastRenderedPageBreak/>
        <w:t>normalization regression model.</w:t>
      </w:r>
      <w:r>
        <w:rPr>
          <w:rStyle w:val="FootnoteReference"/>
        </w:rPr>
        <w:footnoteReference w:id="164"/>
      </w:r>
      <w:r>
        <w:t xml:space="preserve">  </w:t>
      </w:r>
      <w:r w:rsidR="00D70A60">
        <w:t>While the discussion suggested that the 0.976 R-squared was interpreted by some as indicating that the Company’s residential temperature normalization had a margin of error of 2.4</w:t>
      </w:r>
      <w:proofErr w:type="gramStart"/>
      <w:r w:rsidR="00D70A60">
        <w:t>%, that</w:t>
      </w:r>
      <w:proofErr w:type="gramEnd"/>
      <w:r w:rsidR="00D70A60">
        <w:t xml:space="preserve"> is not the meaning of the R-squared statistic.  </w:t>
      </w:r>
      <w:r w:rsidR="006B45ED">
        <w:t xml:space="preserve">As Ms. Novak’s testimony indicates, the statistic here means </w:t>
      </w:r>
      <w:r>
        <w:t>97.6% of the total variation in residential use per customer consumption was explained by the independent variables, leaving approximately 2.4% of the variation in dependent variable as “unexplained.”</w:t>
      </w:r>
      <w:r w:rsidR="006B45ED">
        <w:rPr>
          <w:rStyle w:val="FootnoteReference"/>
        </w:rPr>
        <w:footnoteReference w:id="165"/>
      </w:r>
      <w:r w:rsidR="000E4436">
        <w:t xml:space="preserve"> </w:t>
      </w:r>
      <w:r>
        <w:t>Because the R-squared statistic measure</w:t>
      </w:r>
      <w:r w:rsidR="00894F74">
        <w:t>s</w:t>
      </w:r>
      <w:r>
        <w:t xml:space="preserve"> the strength of the relationship between dependent and independent variables, it cannot be used to measure the difference in accuracy between Mr. Meyer’s residential use per customer and the Company’s weather normalized use per customer.   </w:t>
      </w:r>
    </w:p>
    <w:p w:rsidR="00973298" w:rsidRDefault="007F494E">
      <w:pPr>
        <w:pStyle w:val="ListParagraph"/>
        <w:keepNext/>
        <w:widowControl w:val="0"/>
        <w:spacing w:after="240"/>
        <w:ind w:hanging="720"/>
        <w:contextualSpacing w:val="0"/>
        <w:rPr>
          <w:b/>
        </w:rPr>
      </w:pPr>
      <w:r w:rsidRPr="00E70A8C">
        <w:rPr>
          <w:b/>
        </w:rPr>
        <w:t>B.</w:t>
      </w:r>
      <w:r w:rsidRPr="00E70A8C">
        <w:rPr>
          <w:b/>
        </w:rPr>
        <w:tab/>
      </w:r>
      <w:r>
        <w:rPr>
          <w:b/>
        </w:rPr>
        <w:t xml:space="preserve">The Company’s </w:t>
      </w:r>
      <w:r w:rsidRPr="00E70A8C">
        <w:rPr>
          <w:b/>
        </w:rPr>
        <w:t>Temperature Normalization of the Commercial Class</w:t>
      </w:r>
      <w:r>
        <w:rPr>
          <w:b/>
        </w:rPr>
        <w:t xml:space="preserve"> Increases the Accuracy of the Estimate of Commercial Class Usage.</w:t>
      </w:r>
    </w:p>
    <w:p w:rsidR="00973298" w:rsidRDefault="007F494E">
      <w:pPr>
        <w:pStyle w:val="ListParagraph"/>
        <w:widowControl w:val="0"/>
        <w:numPr>
          <w:ilvl w:val="0"/>
          <w:numId w:val="12"/>
        </w:numPr>
        <w:tabs>
          <w:tab w:val="clear" w:pos="1440"/>
          <w:tab w:val="num" w:pos="720"/>
        </w:tabs>
        <w:spacing w:line="480" w:lineRule="auto"/>
        <w:ind w:left="0"/>
      </w:pPr>
      <w:r>
        <w:tab/>
        <w:t xml:space="preserve">Staff </w:t>
      </w:r>
      <w:r w:rsidR="00132EE9">
        <w:t xml:space="preserve">proposed </w:t>
      </w:r>
      <w:r>
        <w:t>that the Commission reject the Company’s commercial class temperature normalization adjustment on the basis that the Company has not adequately defended its methodology.</w:t>
      </w:r>
      <w:r>
        <w:rPr>
          <w:rStyle w:val="FootnoteReference"/>
        </w:rPr>
        <w:footnoteReference w:id="166"/>
      </w:r>
      <w:r>
        <w:t xml:space="preserve">  Staff argues that the R-squared statistic of </w:t>
      </w:r>
      <w:r w:rsidR="0070014D">
        <w:t>0</w:t>
      </w:r>
      <w:r>
        <w:t>.644 does not demonstrate a good statistical fit.</w:t>
      </w:r>
      <w:r>
        <w:rPr>
          <w:rStyle w:val="FootnoteReference"/>
        </w:rPr>
        <w:footnoteReference w:id="167"/>
      </w:r>
      <w:r>
        <w:t xml:space="preserve">  </w:t>
      </w:r>
    </w:p>
    <w:p w:rsidR="00973298" w:rsidRDefault="007F494E">
      <w:pPr>
        <w:pStyle w:val="ListParagraph"/>
        <w:widowControl w:val="0"/>
        <w:numPr>
          <w:ilvl w:val="0"/>
          <w:numId w:val="12"/>
        </w:numPr>
        <w:tabs>
          <w:tab w:val="clear" w:pos="1440"/>
          <w:tab w:val="num" w:pos="720"/>
        </w:tabs>
        <w:spacing w:line="480" w:lineRule="auto"/>
        <w:ind w:left="0"/>
      </w:pPr>
      <w:r>
        <w:tab/>
        <w:t>The Company recommends that the Commission reject Staff’s proposal.  Staff agrees that the commercial class is a temperature-sensitive class and that the Company used the temperature normalization methodology agreed upon by parties in a stipulation approved by the Commission in Docket UE</w:t>
      </w:r>
      <w:r w:rsidR="0022319D">
        <w:t>-</w:t>
      </w:r>
      <w:r>
        <w:t>050684.</w:t>
      </w:r>
      <w:r>
        <w:rPr>
          <w:rStyle w:val="FootnoteReference"/>
        </w:rPr>
        <w:footnoteReference w:id="168"/>
      </w:r>
      <w:r>
        <w:t xml:space="preserve">  PacifiCorp’s temperature normalization of the commercial class results in an R-squared of 0.644, which means that 64.4% of the variation in load is explained by variations in temperature.</w:t>
      </w:r>
      <w:r>
        <w:rPr>
          <w:rStyle w:val="FootnoteReference"/>
        </w:rPr>
        <w:footnoteReference w:id="169"/>
      </w:r>
      <w:r>
        <w:t xml:space="preserve">  Moreover, removing the Company’s temperature normalization </w:t>
      </w:r>
      <w:r>
        <w:lastRenderedPageBreak/>
        <w:t>adjustment results in a decline in the R-squared value from 0.64 to 0.</w:t>
      </w:r>
      <w:r w:rsidR="0031044E">
        <w:t>58</w:t>
      </w:r>
      <w:r>
        <w:t>.</w:t>
      </w:r>
      <w:r>
        <w:rPr>
          <w:rStyle w:val="FootnoteReference"/>
        </w:rPr>
        <w:footnoteReference w:id="170"/>
      </w:r>
      <w:r>
        <w:t xml:space="preserve">  This means that Staff’s proposal would </w:t>
      </w:r>
      <w:r>
        <w:rPr>
          <w:i/>
        </w:rPr>
        <w:t xml:space="preserve">decrease </w:t>
      </w:r>
      <w:r>
        <w:t>the accuracy of the commercial class load forecast.</w:t>
      </w:r>
      <w:r>
        <w:rPr>
          <w:rStyle w:val="FootnoteReference"/>
        </w:rPr>
        <w:footnoteReference w:id="171"/>
      </w:r>
      <w:r>
        <w:t xml:space="preserve">  </w:t>
      </w:r>
    </w:p>
    <w:p w:rsidR="00973298" w:rsidRDefault="007F494E">
      <w:pPr>
        <w:pStyle w:val="ListParagraph"/>
        <w:widowControl w:val="0"/>
        <w:numPr>
          <w:ilvl w:val="0"/>
          <w:numId w:val="12"/>
        </w:numPr>
        <w:tabs>
          <w:tab w:val="clear" w:pos="1440"/>
          <w:tab w:val="num" w:pos="720"/>
        </w:tabs>
        <w:spacing w:line="480" w:lineRule="auto"/>
        <w:ind w:left="0"/>
      </w:pPr>
      <w:r>
        <w:tab/>
        <w:t>While the Company objects to the adoption of Staff’s adjustment in this case, it recommends that Staff, the Company, and other interested parties to work together to improve the commercial class temperature normalization adjustment for use in future filings.</w:t>
      </w:r>
      <w:r>
        <w:rPr>
          <w:rStyle w:val="FootnoteReference"/>
        </w:rPr>
        <w:footnoteReference w:id="172"/>
      </w:r>
    </w:p>
    <w:p w:rsidR="00973298" w:rsidRDefault="007F494E">
      <w:pPr>
        <w:keepNext/>
        <w:widowControl w:val="0"/>
        <w:spacing w:after="240"/>
        <w:ind w:left="720" w:hanging="720"/>
        <w:rPr>
          <w:rFonts w:ascii="Times New Roman" w:hAnsi="Times New Roman"/>
          <w:b/>
        </w:rPr>
      </w:pPr>
      <w:r w:rsidRPr="004F3E3D">
        <w:rPr>
          <w:rFonts w:ascii="Times New Roman" w:hAnsi="Times New Roman"/>
          <w:b/>
        </w:rPr>
        <w:t>C.</w:t>
      </w:r>
      <w:r>
        <w:rPr>
          <w:rFonts w:ascii="Times New Roman" w:hAnsi="Times New Roman"/>
          <w:b/>
        </w:rPr>
        <w:tab/>
        <w:t>The Company’s Rebuttal Filing Reflects Staff’s and ICNU’s R</w:t>
      </w:r>
      <w:r w:rsidR="00EF2049">
        <w:rPr>
          <w:rFonts w:ascii="Times New Roman" w:hAnsi="Times New Roman"/>
          <w:b/>
        </w:rPr>
        <w:t xml:space="preserve">enewable </w:t>
      </w:r>
      <w:r>
        <w:rPr>
          <w:rFonts w:ascii="Times New Roman" w:hAnsi="Times New Roman"/>
          <w:b/>
        </w:rPr>
        <w:t>E</w:t>
      </w:r>
      <w:r w:rsidR="00EF2049">
        <w:rPr>
          <w:rFonts w:ascii="Times New Roman" w:hAnsi="Times New Roman"/>
          <w:b/>
        </w:rPr>
        <w:t xml:space="preserve">nergy </w:t>
      </w:r>
      <w:r>
        <w:rPr>
          <w:rFonts w:ascii="Times New Roman" w:hAnsi="Times New Roman"/>
          <w:b/>
        </w:rPr>
        <w:t>C</w:t>
      </w:r>
      <w:r w:rsidR="00EF2049">
        <w:rPr>
          <w:rFonts w:ascii="Times New Roman" w:hAnsi="Times New Roman"/>
          <w:b/>
        </w:rPr>
        <w:t>redit (REC)</w:t>
      </w:r>
      <w:r>
        <w:rPr>
          <w:rFonts w:ascii="Times New Roman" w:hAnsi="Times New Roman"/>
          <w:b/>
        </w:rPr>
        <w:t xml:space="preserve"> Adjustments and Accurately Reflects Expected REC Revenues.</w:t>
      </w:r>
    </w:p>
    <w:p w:rsidR="00973298" w:rsidRDefault="007F494E">
      <w:pPr>
        <w:pStyle w:val="ListParagraph"/>
        <w:widowControl w:val="0"/>
        <w:numPr>
          <w:ilvl w:val="0"/>
          <w:numId w:val="12"/>
        </w:numPr>
        <w:tabs>
          <w:tab w:val="clear" w:pos="1440"/>
          <w:tab w:val="num" w:pos="720"/>
        </w:tabs>
        <w:spacing w:line="480" w:lineRule="auto"/>
        <w:ind w:left="0"/>
      </w:pPr>
      <w:r>
        <w:tab/>
        <w:t>In the rebuttal testimony of Mr. Duvall, the Company agreed to include in base rates a revenue credit for Washington-allocated RECs it expects to sell in the rate effective period.</w:t>
      </w:r>
      <w:r>
        <w:rPr>
          <w:rStyle w:val="FootnoteReference"/>
        </w:rPr>
        <w:footnoteReference w:id="173"/>
      </w:r>
      <w:r>
        <w:t xml:space="preserve">  The Company’s adjustment reduced the Washington revenue requirement by approximately $5.0 million,</w:t>
      </w:r>
      <w:r>
        <w:rPr>
          <w:rStyle w:val="FootnoteReference"/>
        </w:rPr>
        <w:footnoteReference w:id="174"/>
      </w:r>
      <w:r w:rsidR="000E4436">
        <w:t xml:space="preserve"> </w:t>
      </w:r>
      <w:r>
        <w:t>an adjustment greater than Staff’s base rate adjustment of $4.2 million</w:t>
      </w:r>
      <w:r>
        <w:rPr>
          <w:rStyle w:val="FootnoteReference"/>
        </w:rPr>
        <w:footnoteReference w:id="175"/>
      </w:r>
      <w:r>
        <w:t xml:space="preserve"> and approximately equal to ICNU’s base rate adjustment of $4.9 million.</w:t>
      </w:r>
      <w:r>
        <w:rPr>
          <w:rStyle w:val="FootnoteReference"/>
        </w:rPr>
        <w:footnoteReference w:id="176"/>
      </w:r>
      <w:r>
        <w:t xml:space="preserve"> While the Company did not use the same methodology proposed by Staff or ICNU in calculating its REC adjustment, the Company’s adjustment effectively resolves these base rate adjustments.</w:t>
      </w:r>
      <w:r>
        <w:rPr>
          <w:rStyle w:val="FootnoteReference"/>
        </w:rPr>
        <w:footnoteReference w:id="177"/>
      </w:r>
      <w:r>
        <w:t xml:space="preserve">  </w:t>
      </w:r>
    </w:p>
    <w:p w:rsidR="00973298" w:rsidRDefault="007F494E">
      <w:pPr>
        <w:pStyle w:val="ListParagraph"/>
        <w:widowControl w:val="0"/>
        <w:numPr>
          <w:ilvl w:val="0"/>
          <w:numId w:val="12"/>
        </w:numPr>
        <w:tabs>
          <w:tab w:val="clear" w:pos="1440"/>
          <w:tab w:val="num" w:pos="720"/>
        </w:tabs>
        <w:spacing w:line="480" w:lineRule="auto"/>
        <w:ind w:left="0"/>
      </w:pPr>
      <w:r>
        <w:tab/>
        <w:t>Staff also proposed that in addition to the base rate adjustment for REC revenues, the Company be required to record all REC revenues beginning on January 1, 2010 as a regulatory liability, with the Commission addressing the ratemaking treatment of these deferred revenues in a future case.</w:t>
      </w:r>
      <w:r>
        <w:rPr>
          <w:rStyle w:val="FootnoteReference"/>
        </w:rPr>
        <w:footnoteReference w:id="178"/>
      </w:r>
      <w:r>
        <w:t xml:space="preserve"> The Company objects to Staff’s proposal to retroactively track for inclusion in rates REC revenues received by the Company prior to the effective date of rates in this case. </w:t>
      </w:r>
    </w:p>
    <w:p w:rsidR="00973298" w:rsidRDefault="00CB701B">
      <w:pPr>
        <w:pStyle w:val="ListParagraph"/>
        <w:widowControl w:val="0"/>
        <w:numPr>
          <w:ilvl w:val="0"/>
          <w:numId w:val="12"/>
        </w:numPr>
        <w:tabs>
          <w:tab w:val="clear" w:pos="1440"/>
          <w:tab w:val="num" w:pos="720"/>
        </w:tabs>
        <w:spacing w:line="480" w:lineRule="auto"/>
        <w:ind w:left="0"/>
      </w:pPr>
      <w:r>
        <w:tab/>
      </w:r>
      <w:r w:rsidR="00557B47">
        <w:t xml:space="preserve">For support of the proposal to retroactively recover 2010 REC revenues, Staff relies on </w:t>
      </w:r>
      <w:r w:rsidR="00557B47">
        <w:lastRenderedPageBreak/>
        <w:t>the Commission’s recent order in a Puget case resolving Puget’s request to defer revenues from the sale of certain RECs and to use the revenues in a specific manner.</w:t>
      </w:r>
      <w:r w:rsidR="00557B47">
        <w:rPr>
          <w:rStyle w:val="FootnoteReference"/>
        </w:rPr>
        <w:footnoteReference w:id="179"/>
      </w:r>
      <w:r w:rsidR="00557B47">
        <w:t xml:space="preserve">  </w:t>
      </w:r>
      <w:r w:rsidR="007F494E">
        <w:t>Staff stated that the Commission recognized in that order that gains on the sale of RECs “should go to the ratepayers absent unusual or extraordinary circumstances.”</w:t>
      </w:r>
      <w:r w:rsidR="007F494E">
        <w:rPr>
          <w:rStyle w:val="FootnoteReference"/>
        </w:rPr>
        <w:footnoteReference w:id="180"/>
      </w:r>
      <w:r w:rsidR="007F494E">
        <w:t xml:space="preserve">  </w:t>
      </w:r>
    </w:p>
    <w:p w:rsidR="00973298" w:rsidRDefault="007F494E">
      <w:pPr>
        <w:pStyle w:val="ListParagraph"/>
        <w:widowControl w:val="0"/>
        <w:numPr>
          <w:ilvl w:val="0"/>
          <w:numId w:val="12"/>
        </w:numPr>
        <w:tabs>
          <w:tab w:val="clear" w:pos="1440"/>
          <w:tab w:val="num" w:pos="720"/>
        </w:tabs>
        <w:spacing w:line="480" w:lineRule="auto"/>
        <w:ind w:left="0"/>
      </w:pPr>
      <w:r>
        <w:tab/>
        <w:t>While the P</w:t>
      </w:r>
      <w:r w:rsidR="00EF2049">
        <w:t>uget</w:t>
      </w:r>
      <w:r>
        <w:t xml:space="preserve"> order indicates that customers are generally entitled to a revenue credit for REC sales, the order does not </w:t>
      </w:r>
      <w:r w:rsidR="00264104">
        <w:t>authorize</w:t>
      </w:r>
      <w:r>
        <w:t xml:space="preserve"> discarding established ratemaking principals, such as the </w:t>
      </w:r>
      <w:r w:rsidR="00264104">
        <w:t>doctrine</w:t>
      </w:r>
      <w:r>
        <w:t xml:space="preserve"> against retroactive ratemaking, when calculating a REC revenue adjustment.  </w:t>
      </w:r>
      <w:r w:rsidRPr="00E805C5">
        <w:t xml:space="preserve">The Commission has </w:t>
      </w:r>
      <w:r>
        <w:t>previously stated</w:t>
      </w:r>
      <w:r w:rsidRPr="00E805C5">
        <w:t xml:space="preserve"> that “retroactive ratemaking . . . is extremely poor public policy and is illegal under the statutes of Washington State as a rate applied to a service without prior notice and review.”</w:t>
      </w:r>
      <w:r>
        <w:rPr>
          <w:rStyle w:val="FootnoteReference"/>
        </w:rPr>
        <w:footnoteReference w:id="181"/>
      </w:r>
      <w:r w:rsidRPr="00E805C5">
        <w:t xml:space="preserve"> </w:t>
      </w:r>
      <w:r>
        <w:t xml:space="preserve"> </w:t>
      </w:r>
      <w:r w:rsidR="00264104">
        <w:t>The</w:t>
      </w:r>
      <w:r w:rsidRPr="00E805C5">
        <w:t xml:space="preserve"> doctrine “prohibits the Commission from authorizing or requiring a utility to adjust current rates to make up for past errors in projections.”</w:t>
      </w:r>
      <w:r>
        <w:rPr>
          <w:rStyle w:val="FootnoteReference"/>
        </w:rPr>
        <w:footnoteReference w:id="182"/>
      </w:r>
      <w:r w:rsidRPr="00E805C5">
        <w:t xml:space="preserve"> </w:t>
      </w:r>
      <w:r>
        <w:t xml:space="preserve"> Importantly, the doctrine was not implicated in the P</w:t>
      </w:r>
      <w:r w:rsidR="00EF2049">
        <w:t>uget</w:t>
      </w:r>
      <w:r>
        <w:t xml:space="preserve"> case, because P</w:t>
      </w:r>
      <w:r w:rsidR="00EF2049">
        <w:t>uget</w:t>
      </w:r>
      <w:r>
        <w:t xml:space="preserve"> had filed an accounting petition seeking to defer the proceeds of </w:t>
      </w:r>
      <w:r w:rsidR="00264104">
        <w:t>REC sales</w:t>
      </w:r>
      <w:r>
        <w:t xml:space="preserve"> in 2007.</w:t>
      </w:r>
      <w:r>
        <w:rPr>
          <w:rStyle w:val="FootnoteReference"/>
        </w:rPr>
        <w:footnoteReference w:id="183"/>
      </w:r>
      <w:r>
        <w:t xml:space="preserve">  </w:t>
      </w:r>
    </w:p>
    <w:p w:rsidR="00973298" w:rsidRDefault="00CB701B">
      <w:pPr>
        <w:pStyle w:val="ListParagraph"/>
        <w:widowControl w:val="0"/>
        <w:numPr>
          <w:ilvl w:val="0"/>
          <w:numId w:val="12"/>
        </w:numPr>
        <w:tabs>
          <w:tab w:val="clear" w:pos="1440"/>
          <w:tab w:val="num" w:pos="720"/>
        </w:tabs>
        <w:spacing w:line="480" w:lineRule="auto"/>
        <w:ind w:left="0"/>
      </w:pPr>
      <w:r>
        <w:tab/>
      </w:r>
      <w:r w:rsidR="007F494E">
        <w:t xml:space="preserve">In this case, no party has filed a deferral petition for PacifiCorp’s 2010 REC revenues.  As a result, Staff’s proposal to require PacifiCorp to record a regulatory liability for REC revenues received prior to the Commission’s order in this proceeding violates the rule against </w:t>
      </w:r>
      <w:r w:rsidR="007F494E">
        <w:lastRenderedPageBreak/>
        <w:t>retroactive ratemaking.</w:t>
      </w:r>
      <w:r w:rsidR="007F494E">
        <w:rPr>
          <w:rStyle w:val="FootnoteReference"/>
        </w:rPr>
        <w:footnoteReference w:id="184"/>
      </w:r>
      <w:r w:rsidR="007F494E">
        <w:t xml:space="preserve">  The rule similarly bars PacifiCorp from seeking to reflect in rates costs it under</w:t>
      </w:r>
      <w:r w:rsidR="002031A6">
        <w:t xml:space="preserve"> </w:t>
      </w:r>
      <w:r w:rsidR="007F494E">
        <w:t xml:space="preserve">recovered in 2010.  </w:t>
      </w:r>
    </w:p>
    <w:p w:rsidR="00973298" w:rsidRDefault="007F494E">
      <w:pPr>
        <w:pStyle w:val="ListParagraph"/>
        <w:widowControl w:val="0"/>
        <w:numPr>
          <w:ilvl w:val="0"/>
          <w:numId w:val="12"/>
        </w:numPr>
        <w:tabs>
          <w:tab w:val="clear" w:pos="1440"/>
          <w:tab w:val="num" w:pos="720"/>
        </w:tabs>
        <w:spacing w:line="480" w:lineRule="auto"/>
        <w:ind w:left="0"/>
      </w:pPr>
      <w:r>
        <w:tab/>
        <w:t>Even if Staff’s proposal did not constitute retroactive ratemaking, establishing a regulatory liability account would be inappropriate for other reasons.  First, absent a true-up mechanism, including REC revenues in base rates while tracking the revenues through a regulatory liability account would double count REC revenues.</w:t>
      </w:r>
      <w:r>
        <w:rPr>
          <w:rStyle w:val="FootnoteReference"/>
        </w:rPr>
        <w:footnoteReference w:id="185"/>
      </w:r>
      <w:r w:rsidR="000E4436">
        <w:t xml:space="preserve"> </w:t>
      </w:r>
      <w:r>
        <w:t>Second, Staff’s proposal violates the matching princip</w:t>
      </w:r>
      <w:r w:rsidR="006B45ED">
        <w:t>le</w:t>
      </w:r>
      <w:r>
        <w:t xml:space="preserve"> because it does not pr</w:t>
      </w:r>
      <w:r w:rsidR="00CB701B">
        <w:t>opose to track actual NPC, a</w:t>
      </w:r>
      <w:r w:rsidR="00371A07">
        <w:t>lt</w:t>
      </w:r>
      <w:r>
        <w:t>hough RECs and megawatt hou</w:t>
      </w:r>
      <w:r w:rsidR="006B45ED">
        <w:t>r</w:t>
      </w:r>
      <w:r>
        <w:t>s are generated from the same source at the same time.</w:t>
      </w:r>
      <w:r>
        <w:rPr>
          <w:rStyle w:val="FootnoteReference"/>
        </w:rPr>
        <w:footnoteReference w:id="186"/>
      </w:r>
      <w:r>
        <w:t xml:space="preserve">  The Commission previously rejected the Company’s proposal for a </w:t>
      </w:r>
      <w:r w:rsidR="00EF2049">
        <w:t>PCAM</w:t>
      </w:r>
      <w:r>
        <w:t xml:space="preserve"> on the basis that the WCA methodology results in “pseudo” actual power costs, a concern that is similarly implicated by </w:t>
      </w:r>
      <w:r w:rsidR="00CB1528">
        <w:t>a proposal to track “pseudo” revenues related to “pseudo” RECs.</w:t>
      </w:r>
      <w:r w:rsidR="00CB1528" w:rsidRPr="00CB1528">
        <w:rPr>
          <w:rStyle w:val="FootnoteReference"/>
        </w:rPr>
        <w:t xml:space="preserve"> </w:t>
      </w:r>
      <w:r w:rsidR="00CB1528">
        <w:rPr>
          <w:rStyle w:val="FootnoteReference"/>
        </w:rPr>
        <w:footnoteReference w:id="187"/>
      </w:r>
      <w:r w:rsidR="00CB1528">
        <w:t xml:space="preserve">  </w:t>
      </w:r>
    </w:p>
    <w:p w:rsidR="00973298" w:rsidRDefault="007F494E">
      <w:pPr>
        <w:pStyle w:val="ListParagraph"/>
        <w:keepNext/>
        <w:widowControl w:val="0"/>
        <w:spacing w:line="480" w:lineRule="auto"/>
        <w:ind w:left="0"/>
        <w:jc w:val="center"/>
        <w:rPr>
          <w:rFonts w:ascii="Times New Roman" w:hAnsi="Times New Roman"/>
          <w:b/>
        </w:rPr>
      </w:pPr>
      <w:r>
        <w:lastRenderedPageBreak/>
        <w:tab/>
      </w:r>
      <w:r w:rsidR="00AC625D" w:rsidRPr="00575C20">
        <w:rPr>
          <w:rFonts w:ascii="Times New Roman" w:hAnsi="Times New Roman"/>
          <w:b/>
        </w:rPr>
        <w:t>V.</w:t>
      </w:r>
      <w:r w:rsidR="00AC625D" w:rsidRPr="00575C20">
        <w:rPr>
          <w:rFonts w:ascii="Times New Roman" w:hAnsi="Times New Roman"/>
          <w:b/>
        </w:rPr>
        <w:tab/>
        <w:t>NET POWER COST ISSUES</w:t>
      </w:r>
    </w:p>
    <w:p w:rsidR="00973298" w:rsidRDefault="00AC625D">
      <w:pPr>
        <w:keepNext/>
        <w:widowControl w:val="0"/>
        <w:spacing w:after="240"/>
        <w:rPr>
          <w:b/>
        </w:rPr>
      </w:pPr>
      <w:r w:rsidRPr="00575C20">
        <w:rPr>
          <w:b/>
        </w:rPr>
        <w:t>A.</w:t>
      </w:r>
      <w:r w:rsidRPr="00575C20">
        <w:rPr>
          <w:b/>
        </w:rPr>
        <w:tab/>
        <w:t>Introduction</w:t>
      </w:r>
    </w:p>
    <w:p w:rsidR="00973298" w:rsidRDefault="00AC625D">
      <w:pPr>
        <w:pStyle w:val="ListParagraph"/>
        <w:widowControl w:val="0"/>
        <w:numPr>
          <w:ilvl w:val="0"/>
          <w:numId w:val="12"/>
        </w:numPr>
        <w:tabs>
          <w:tab w:val="left" w:pos="720"/>
        </w:tabs>
        <w:spacing w:line="480" w:lineRule="auto"/>
        <w:ind w:left="0"/>
        <w:rPr>
          <w:szCs w:val="24"/>
        </w:rPr>
      </w:pPr>
      <w:r>
        <w:rPr>
          <w:szCs w:val="24"/>
        </w:rPr>
        <w:tab/>
        <w:t xml:space="preserve">The Company is requesting NPC of $554.3 million on a WCA basis, or $125.5 million on a Washington-allocated basis.  This amount </w:t>
      </w:r>
      <w:r w:rsidR="00203FF7">
        <w:rPr>
          <w:szCs w:val="24"/>
        </w:rPr>
        <w:t xml:space="preserve">is </w:t>
      </w:r>
      <w:r>
        <w:rPr>
          <w:szCs w:val="24"/>
        </w:rPr>
        <w:t>a reduction from the $557.6 million WCA NPC included in the Company’s rebuttal filing,</w:t>
      </w:r>
      <w:r>
        <w:rPr>
          <w:rStyle w:val="FootnoteReference"/>
          <w:szCs w:val="24"/>
        </w:rPr>
        <w:footnoteReference w:id="188"/>
      </w:r>
      <w:r>
        <w:rPr>
          <w:szCs w:val="24"/>
        </w:rPr>
        <w:t xml:space="preserve"> which resulted from the Company’s update </w:t>
      </w:r>
      <w:r w:rsidR="002031A6">
        <w:rPr>
          <w:szCs w:val="24"/>
        </w:rPr>
        <w:t xml:space="preserve">to </w:t>
      </w:r>
      <w:r>
        <w:rPr>
          <w:szCs w:val="24"/>
        </w:rPr>
        <w:t xml:space="preserve">NPC for the December 2010 forward price curve and </w:t>
      </w:r>
      <w:r w:rsidR="002031A6">
        <w:rPr>
          <w:szCs w:val="24"/>
        </w:rPr>
        <w:t xml:space="preserve">to </w:t>
      </w:r>
      <w:r>
        <w:rPr>
          <w:szCs w:val="24"/>
        </w:rPr>
        <w:t xml:space="preserve">remove the </w:t>
      </w:r>
      <w:r w:rsidR="00655827" w:rsidRPr="00655827">
        <w:rPr>
          <w:rFonts w:ascii="Times New Roman" w:hAnsi="Times New Roman"/>
          <w:szCs w:val="24"/>
        </w:rPr>
        <w:t>Chehalis reserve</w:t>
      </w:r>
      <w:r w:rsidR="002031A6">
        <w:rPr>
          <w:rFonts w:ascii="Times New Roman" w:hAnsi="Times New Roman"/>
          <w:szCs w:val="24"/>
        </w:rPr>
        <w:t xml:space="preserve"> adjustment</w:t>
      </w:r>
      <w:r w:rsidR="00655827" w:rsidRPr="00655827">
        <w:rPr>
          <w:rFonts w:ascii="Times New Roman" w:hAnsi="Times New Roman"/>
          <w:szCs w:val="24"/>
        </w:rPr>
        <w:t>, as d</w:t>
      </w:r>
      <w:r w:rsidRPr="002031A6">
        <w:rPr>
          <w:szCs w:val="24"/>
        </w:rPr>
        <w:t>escribed</w:t>
      </w:r>
      <w:r>
        <w:rPr>
          <w:szCs w:val="24"/>
        </w:rPr>
        <w:t xml:space="preserve"> in the Company’s Response to Bench Request 3.</w:t>
      </w:r>
      <w:r w:rsidR="00830424">
        <w:rPr>
          <w:rStyle w:val="FootnoteReference"/>
          <w:szCs w:val="24"/>
        </w:rPr>
        <w:footnoteReference w:id="189"/>
      </w:r>
      <w:r>
        <w:rPr>
          <w:szCs w:val="24"/>
        </w:rPr>
        <w:t xml:space="preserve">  For reference, Staff’s and ICNU’s proposed adjustments to the Company’s requested level of NPC are set forth in Appendix B.</w:t>
      </w:r>
    </w:p>
    <w:p w:rsidR="00973298" w:rsidRDefault="00AC625D">
      <w:pPr>
        <w:keepNext/>
        <w:widowControl w:val="0"/>
        <w:spacing w:line="480" w:lineRule="auto"/>
        <w:rPr>
          <w:rFonts w:ascii="Times New Roman" w:hAnsi="Times New Roman"/>
          <w:b/>
        </w:rPr>
      </w:pPr>
      <w:r>
        <w:rPr>
          <w:rFonts w:ascii="Times New Roman" w:hAnsi="Times New Roman"/>
          <w:b/>
        </w:rPr>
        <w:t>B</w:t>
      </w:r>
      <w:r w:rsidRPr="00FC6627">
        <w:rPr>
          <w:rFonts w:ascii="Times New Roman" w:hAnsi="Times New Roman"/>
          <w:b/>
        </w:rPr>
        <w:t>.</w:t>
      </w:r>
      <w:r w:rsidRPr="00FC6627">
        <w:rPr>
          <w:rFonts w:ascii="Times New Roman" w:hAnsi="Times New Roman"/>
          <w:b/>
        </w:rPr>
        <w:tab/>
      </w:r>
      <w:r w:rsidR="00444D94">
        <w:rPr>
          <w:rFonts w:ascii="Times New Roman" w:hAnsi="Times New Roman"/>
          <w:b/>
        </w:rPr>
        <w:t>ICNU’s and Staff’s Adjustments</w:t>
      </w:r>
      <w:r>
        <w:rPr>
          <w:rFonts w:ascii="Times New Roman" w:hAnsi="Times New Roman"/>
          <w:b/>
        </w:rPr>
        <w:t xml:space="preserve"> for Arbitrage Margins Ha</w:t>
      </w:r>
      <w:r w:rsidR="00444D94">
        <w:rPr>
          <w:rFonts w:ascii="Times New Roman" w:hAnsi="Times New Roman"/>
          <w:b/>
        </w:rPr>
        <w:t>ve</w:t>
      </w:r>
      <w:r>
        <w:rPr>
          <w:rFonts w:ascii="Times New Roman" w:hAnsi="Times New Roman"/>
          <w:b/>
        </w:rPr>
        <w:t xml:space="preserve"> Multiple Flaws.</w:t>
      </w:r>
    </w:p>
    <w:p w:rsidR="00973298" w:rsidRDefault="00AC625D">
      <w:pPr>
        <w:pStyle w:val="ListParagraph"/>
        <w:widowControl w:val="0"/>
        <w:numPr>
          <w:ilvl w:val="0"/>
          <w:numId w:val="12"/>
        </w:numPr>
        <w:tabs>
          <w:tab w:val="clear" w:pos="1440"/>
          <w:tab w:val="num" w:pos="720"/>
        </w:tabs>
        <w:spacing w:line="480" w:lineRule="auto"/>
        <w:ind w:left="0"/>
      </w:pPr>
      <w:r>
        <w:tab/>
        <w:t>Staff and ICNU propose an adjustment intended to account for margins earned on actual arbitrage transactions.</w:t>
      </w:r>
      <w:r>
        <w:rPr>
          <w:rStyle w:val="FootnoteReference"/>
        </w:rPr>
        <w:footnoteReference w:id="190"/>
      </w:r>
      <w:r>
        <w:t xml:space="preserve">  Staff’s adjustment of $2.</w:t>
      </w:r>
      <w:r w:rsidR="0031044E">
        <w:t>4</w:t>
      </w:r>
      <w:r>
        <w:t> million</w:t>
      </w:r>
      <w:r w:rsidR="002031A6">
        <w:rPr>
          <w:rStyle w:val="FootnoteReference"/>
        </w:rPr>
        <w:footnoteReference w:id="191"/>
      </w:r>
      <w:r>
        <w:t xml:space="preserve"> is based on 90% of the four-year average to provide an incentive for the Company, while ICNU’s adjustment of $2.</w:t>
      </w:r>
      <w:r w:rsidR="00BA0D17">
        <w:t>6</w:t>
      </w:r>
      <w:r>
        <w:t xml:space="preserve"> million is based on 100% of the four-year average.</w:t>
      </w:r>
      <w:r>
        <w:rPr>
          <w:rStyle w:val="FootnoteReference"/>
        </w:rPr>
        <w:footnoteReference w:id="192"/>
      </w:r>
      <w:r>
        <w:t xml:space="preserve">  </w:t>
      </w:r>
    </w:p>
    <w:p w:rsidR="00973298" w:rsidRDefault="00AC625D">
      <w:pPr>
        <w:pStyle w:val="ListParagraph"/>
        <w:widowControl w:val="0"/>
        <w:numPr>
          <w:ilvl w:val="0"/>
          <w:numId w:val="12"/>
        </w:numPr>
        <w:tabs>
          <w:tab w:val="clear" w:pos="1440"/>
          <w:tab w:val="num" w:pos="720"/>
        </w:tabs>
        <w:spacing w:line="480" w:lineRule="auto"/>
        <w:ind w:left="0"/>
      </w:pPr>
      <w:r>
        <w:tab/>
        <w:t>The Company objects to these adjustments because they double count revenues associated with arbitrage transactions already embedded in the GRID model,</w:t>
      </w:r>
      <w:r>
        <w:rPr>
          <w:rStyle w:val="FootnoteReference"/>
        </w:rPr>
        <w:footnoteReference w:id="193"/>
      </w:r>
      <w:r>
        <w:t xml:space="preserve"> and are a selective departure from normalized ratemaking.  Neither Staff nor ICNU propose including short-term trading transactions in their adjustments.</w:t>
      </w:r>
      <w:r w:rsidRPr="00E5638F">
        <w:rPr>
          <w:rStyle w:val="FootnoteReference"/>
        </w:rPr>
        <w:t xml:space="preserve"> </w:t>
      </w:r>
      <w:r>
        <w:rPr>
          <w:rStyle w:val="FootnoteReference"/>
        </w:rPr>
        <w:footnoteReference w:id="194"/>
      </w:r>
      <w:r>
        <w:t xml:space="preserve">  Both parties conceded that doing so would reduce the amount of their proposed adjustments by approximately $1 million</w:t>
      </w:r>
      <w:r w:rsidR="00FE29E4">
        <w:t>.</w:t>
      </w:r>
      <w:r>
        <w:rPr>
          <w:rStyle w:val="FootnoteReference"/>
        </w:rPr>
        <w:footnoteReference w:id="195"/>
      </w:r>
      <w:r>
        <w:t xml:space="preserve">  While ICNU </w:t>
      </w:r>
      <w:r w:rsidR="00FE29E4">
        <w:t xml:space="preserve">witness Mr. Falkenberg </w:t>
      </w:r>
      <w:r>
        <w:t xml:space="preserve">cites an Oregon Public Utility Commission order to justify his </w:t>
      </w:r>
      <w:r>
        <w:lastRenderedPageBreak/>
        <w:t>proposal,</w:t>
      </w:r>
      <w:r>
        <w:rPr>
          <w:rStyle w:val="FootnoteReference"/>
        </w:rPr>
        <w:footnoteReference w:id="196"/>
      </w:r>
      <w:r>
        <w:t xml:space="preserve"> the adjustment in Oregon includes short-term trading revenues.</w:t>
      </w:r>
      <w:r>
        <w:rPr>
          <w:rStyle w:val="FootnoteReference"/>
        </w:rPr>
        <w:footnoteReference w:id="197"/>
      </w:r>
      <w:r>
        <w:t xml:space="preserve">  </w:t>
      </w:r>
    </w:p>
    <w:p w:rsidR="00973298" w:rsidRDefault="00AC625D">
      <w:pPr>
        <w:pStyle w:val="ListParagraph"/>
        <w:widowControl w:val="0"/>
        <w:numPr>
          <w:ilvl w:val="0"/>
          <w:numId w:val="12"/>
        </w:numPr>
        <w:tabs>
          <w:tab w:val="clear" w:pos="1440"/>
          <w:tab w:val="num" w:pos="720"/>
        </w:tabs>
        <w:spacing w:line="480" w:lineRule="auto"/>
        <w:ind w:left="0"/>
      </w:pPr>
      <w:r>
        <w:tab/>
        <w:t>Mr. Falkenberg states that the Company’s use of a “forecast period more advanced into the future than in any of the Company’s recent cases” justifies ICNU’s arbitrage adjustment.</w:t>
      </w:r>
      <w:r>
        <w:rPr>
          <w:rStyle w:val="FootnoteReference"/>
        </w:rPr>
        <w:footnoteReference w:id="198"/>
      </w:r>
      <w:r>
        <w:t xml:space="preserve">  In fact, as Mr. Falkenberg conceded on cross</w:t>
      </w:r>
      <w:r w:rsidR="00FE29E4">
        <w:t>-</w:t>
      </w:r>
      <w:r>
        <w:t xml:space="preserve">examination, the forecast period for </w:t>
      </w:r>
      <w:r w:rsidR="00DF315C">
        <w:t>NPC</w:t>
      </w:r>
      <w:r>
        <w:t xml:space="preserve"> in this case is no farther into the future than in the Company’s prior rate case.</w:t>
      </w:r>
      <w:r>
        <w:rPr>
          <w:rStyle w:val="FootnoteReference"/>
        </w:rPr>
        <w:footnoteReference w:id="199"/>
      </w:r>
      <w:r>
        <w:t xml:space="preserve">  In PacifiCorp’s 2006 rate case, the Commission rejected Mr. Falkenberg’s adjustment disallowing short-term firm transactions, which was based on the same rationale (</w:t>
      </w:r>
      <w:r w:rsidRPr="00575C20">
        <w:rPr>
          <w:i/>
        </w:rPr>
        <w:t>i.e.</w:t>
      </w:r>
      <w:r>
        <w:t>, that forecasted NPC did not properly account for short-term transactions).</w:t>
      </w:r>
      <w:r>
        <w:rPr>
          <w:rStyle w:val="FootnoteReference"/>
        </w:rPr>
        <w:footnoteReference w:id="200"/>
      </w:r>
      <w:r>
        <w:t xml:space="preserve">  </w:t>
      </w:r>
    </w:p>
    <w:p w:rsidR="00973298" w:rsidRDefault="00AC625D">
      <w:pPr>
        <w:pStyle w:val="ListParagraph"/>
        <w:widowControl w:val="0"/>
        <w:numPr>
          <w:ilvl w:val="0"/>
          <w:numId w:val="12"/>
        </w:numPr>
        <w:tabs>
          <w:tab w:val="clear" w:pos="1440"/>
          <w:tab w:val="num" w:pos="720"/>
        </w:tabs>
        <w:spacing w:line="480" w:lineRule="auto"/>
        <w:ind w:left="0"/>
      </w:pPr>
      <w:r>
        <w:t xml:space="preserve"> </w:t>
      </w:r>
      <w:r w:rsidR="002B0F2A">
        <w:tab/>
      </w:r>
      <w:r>
        <w:t>Finally, it is clear that if based upon the most recent year of historical data, the arbitrage margin adjustment would be much smaller.</w:t>
      </w:r>
      <w:r>
        <w:rPr>
          <w:rStyle w:val="FootnoteReference"/>
        </w:rPr>
        <w:footnoteReference w:id="201"/>
      </w:r>
      <w:r>
        <w:t xml:space="preserve">  This undermines the basis for the adjustment in the first instance. </w:t>
      </w:r>
    </w:p>
    <w:p w:rsidR="00973298" w:rsidRDefault="00AC625D">
      <w:pPr>
        <w:keepNext/>
        <w:widowControl w:val="0"/>
        <w:spacing w:after="240"/>
        <w:ind w:left="720" w:hanging="720"/>
        <w:rPr>
          <w:rFonts w:ascii="Times New Roman" w:hAnsi="Times New Roman"/>
          <w:b/>
        </w:rPr>
      </w:pPr>
      <w:r>
        <w:rPr>
          <w:rFonts w:ascii="Times New Roman" w:hAnsi="Times New Roman"/>
          <w:b/>
        </w:rPr>
        <w:t>C.</w:t>
      </w:r>
      <w:r>
        <w:rPr>
          <w:rFonts w:ascii="Times New Roman" w:hAnsi="Times New Roman"/>
          <w:b/>
        </w:rPr>
        <w:tab/>
        <w:t>Transmission Adjustments</w:t>
      </w:r>
    </w:p>
    <w:p w:rsidR="00973298" w:rsidRDefault="00AC625D">
      <w:pPr>
        <w:keepNext/>
        <w:widowControl w:val="0"/>
        <w:spacing w:after="240"/>
        <w:ind w:left="1440" w:hanging="720"/>
      </w:pPr>
      <w:r>
        <w:rPr>
          <w:b/>
        </w:rPr>
        <w:t>1</w:t>
      </w:r>
      <w:r w:rsidRPr="00F621F9">
        <w:rPr>
          <w:b/>
        </w:rPr>
        <w:t>.</w:t>
      </w:r>
      <w:r w:rsidRPr="00F621F9">
        <w:rPr>
          <w:b/>
        </w:rPr>
        <w:tab/>
        <w:t xml:space="preserve">ICNU’s Adjustments to the Commission-Approved WCA Methodology </w:t>
      </w:r>
      <w:proofErr w:type="gramStart"/>
      <w:r w:rsidRPr="00F621F9">
        <w:rPr>
          <w:b/>
        </w:rPr>
        <w:t>Should</w:t>
      </w:r>
      <w:proofErr w:type="gramEnd"/>
      <w:r w:rsidRPr="00F621F9">
        <w:rPr>
          <w:b/>
        </w:rPr>
        <w:t xml:space="preserve"> be Rejected.</w:t>
      </w:r>
    </w:p>
    <w:p w:rsidR="000958E3" w:rsidRDefault="00AC625D" w:rsidP="00EF2049">
      <w:pPr>
        <w:pStyle w:val="ListParagraph"/>
        <w:numPr>
          <w:ilvl w:val="0"/>
          <w:numId w:val="12"/>
        </w:numPr>
        <w:tabs>
          <w:tab w:val="num" w:pos="720"/>
        </w:tabs>
        <w:spacing w:line="480" w:lineRule="auto"/>
        <w:ind w:left="0"/>
      </w:pPr>
      <w:r>
        <w:tab/>
        <w:t>ICNU Adjustments 3 and 4 address allocation of costs and benefits between the Company’s east control area (PACE) and west control area (PACW).</w:t>
      </w:r>
      <w:r>
        <w:rPr>
          <w:rStyle w:val="FootnoteReference"/>
        </w:rPr>
        <w:footnoteReference w:id="202"/>
      </w:r>
      <w:r>
        <w:t xml:space="preserve">  These adjustments </w:t>
      </w:r>
      <w:proofErr w:type="spellStart"/>
      <w:r>
        <w:t>relitigate</w:t>
      </w:r>
      <w:proofErr w:type="spellEnd"/>
      <w:r>
        <w:t xml:space="preserve"> issues decided when the Commission approved the WCA inter-jurisdictional cost allocation methodology in </w:t>
      </w:r>
      <w:r w:rsidR="00EF2049">
        <w:t xml:space="preserve">the </w:t>
      </w:r>
      <w:r>
        <w:t>2006 GRC.</w:t>
      </w:r>
      <w:r>
        <w:rPr>
          <w:rStyle w:val="FootnoteReference"/>
        </w:rPr>
        <w:footnoteReference w:id="203"/>
      </w:r>
      <w:r>
        <w:t xml:space="preserve">  The Commission established the WCA methodology on a five-year evaluation period and subject to an oversight committee that was </w:t>
      </w:r>
      <w:r>
        <w:lastRenderedPageBreak/>
        <w:t>charged with developing refinements to the WCA for consideration in a future proceeding.</w:t>
      </w:r>
      <w:r>
        <w:rPr>
          <w:rStyle w:val="FootnoteReference"/>
        </w:rPr>
        <w:footnoteReference w:id="204"/>
      </w:r>
      <w:r>
        <w:t xml:space="preserve">  ICNU’s proposed ad hoc adjustments to the WCA are inconsistent with the Commission’s order in the 2006 GRC.</w:t>
      </w:r>
    </w:p>
    <w:p w:rsidR="00973298" w:rsidRDefault="00AC625D">
      <w:pPr>
        <w:pStyle w:val="ListParagraph"/>
        <w:widowControl w:val="0"/>
        <w:numPr>
          <w:ilvl w:val="0"/>
          <w:numId w:val="12"/>
        </w:numPr>
        <w:tabs>
          <w:tab w:val="clear" w:pos="1440"/>
          <w:tab w:val="num" w:pos="720"/>
        </w:tabs>
        <w:spacing w:line="480" w:lineRule="auto"/>
        <w:ind w:left="0"/>
      </w:pPr>
      <w:r>
        <w:tab/>
        <w:t>With respect to Adjustment 3, Mr. Falkenberg claims that the Company’s eastern market modeling does not comply with the Commission’s order in the 2006 GRC because the Company models only sales from the west to the east, not purchases.</w:t>
      </w:r>
      <w:r>
        <w:rPr>
          <w:rStyle w:val="FootnoteReference"/>
        </w:rPr>
        <w:footnoteReference w:id="205"/>
      </w:r>
      <w:r>
        <w:t xml:space="preserve">  The eastern market sale was a Staff adjustment, which the Company accepted</w:t>
      </w:r>
      <w:r w:rsidR="00B02559">
        <w:t>.</w:t>
      </w:r>
      <w:r>
        <w:t xml:space="preserve">  The Company has modeled the eastern market sale in this case precisely as it was modeled in the 2006 GRC.</w:t>
      </w:r>
      <w:r w:rsidRPr="00760104">
        <w:rPr>
          <w:rStyle w:val="FootnoteReference"/>
        </w:rPr>
        <w:t xml:space="preserve"> </w:t>
      </w:r>
      <w:r>
        <w:rPr>
          <w:rStyle w:val="FootnoteReference"/>
        </w:rPr>
        <w:footnoteReference w:id="206"/>
      </w:r>
      <w:r>
        <w:t xml:space="preserve">  While Mr. Falkenberg focuses on the issue of a purchase from the east, only approximately $48,000 of Mr. Falkenberg’s $1 million adjustment results from including purchases from the east to the west.  The remainder of the adjustment is due to Mr. Falkenberg’s changes to the </w:t>
      </w:r>
      <w:r w:rsidR="00FE29E4">
        <w:t xml:space="preserve">Commission-approved </w:t>
      </w:r>
      <w:r>
        <w:t>modeling of sales to the east</w:t>
      </w:r>
      <w:r w:rsidR="000A3331">
        <w:t>.</w:t>
      </w:r>
      <w:r>
        <w:t xml:space="preserve"> Notably, Mr. Falkenberg’s modifications include modeling the adjustment outside of GRID,</w:t>
      </w:r>
      <w:r w:rsidRPr="00760104">
        <w:rPr>
          <w:rStyle w:val="FootnoteReference"/>
        </w:rPr>
        <w:t xml:space="preserve"> </w:t>
      </w:r>
      <w:r>
        <w:rPr>
          <w:rStyle w:val="FootnoteReference"/>
        </w:rPr>
        <w:footnoteReference w:id="207"/>
      </w:r>
      <w:r w:rsidR="009F5463">
        <w:t xml:space="preserve"> </w:t>
      </w:r>
      <w:r>
        <w:t>which is contrary to his testimony that GRID should be used to model adjustments where practicable.</w:t>
      </w:r>
      <w:r>
        <w:rPr>
          <w:rStyle w:val="FootnoteReference"/>
        </w:rPr>
        <w:footnoteReference w:id="208"/>
      </w:r>
      <w:r>
        <w:t xml:space="preserve"> </w:t>
      </w:r>
    </w:p>
    <w:p w:rsidR="00973298" w:rsidRDefault="00AC625D">
      <w:pPr>
        <w:pStyle w:val="ListParagraph"/>
        <w:widowControl w:val="0"/>
        <w:numPr>
          <w:ilvl w:val="0"/>
          <w:numId w:val="12"/>
        </w:numPr>
        <w:tabs>
          <w:tab w:val="clear" w:pos="1440"/>
          <w:tab w:val="num" w:pos="720"/>
        </w:tabs>
        <w:spacing w:line="480" w:lineRule="auto"/>
        <w:ind w:left="0"/>
      </w:pPr>
      <w:r>
        <w:tab/>
        <w:t xml:space="preserve">With respect to Adjustment 4, ICNU severs the links between PACW and PACE </w:t>
      </w:r>
      <w:r w:rsidR="000A3331">
        <w:t xml:space="preserve">which </w:t>
      </w:r>
      <w:r>
        <w:t>artificially creates a shortage of energy in PACE</w:t>
      </w:r>
      <w:r w:rsidR="000A3331">
        <w:t>.  ICNU then</w:t>
      </w:r>
      <w:r>
        <w:t xml:space="preserve"> calculates the resulting imbalance charges and calculates an adjustment to PACE based on the value of the imbalance charges.</w:t>
      </w:r>
      <w:r>
        <w:rPr>
          <w:rStyle w:val="FootnoteReference"/>
        </w:rPr>
        <w:footnoteReference w:id="209"/>
      </w:r>
      <w:r w:rsidR="00CB29D9">
        <w:t xml:space="preserve"> T</w:t>
      </w:r>
      <w:r>
        <w:t>his $1.2 million adjustment</w:t>
      </w:r>
      <w:r w:rsidR="00CB29D9">
        <w:t xml:space="preserve"> </w:t>
      </w:r>
      <w:r>
        <w:t xml:space="preserve">is described in a single paragraph in Mr. Falkenberg’s testimony.  </w:t>
      </w:r>
      <w:r w:rsidR="0037225E">
        <w:t>The m</w:t>
      </w:r>
      <w:r>
        <w:t xml:space="preserve">ost significant </w:t>
      </w:r>
      <w:r w:rsidR="0037225E">
        <w:t xml:space="preserve">of the adjustment’s many analytical problems </w:t>
      </w:r>
      <w:r>
        <w:t>is the fact that when severing the ties between PACE and PACW, Mr. Falkenberg “islands” Colstrip 3</w:t>
      </w:r>
      <w:r w:rsidR="00A21196">
        <w:t xml:space="preserve"> and a portion of Jim </w:t>
      </w:r>
      <w:r w:rsidR="00A21196">
        <w:lastRenderedPageBreak/>
        <w:t>Bridger</w:t>
      </w:r>
      <w:r>
        <w:t xml:space="preserve"> in PACW (even though </w:t>
      </w:r>
      <w:r w:rsidR="00186735">
        <w:t xml:space="preserve">they are </w:t>
      </w:r>
      <w:r>
        <w:t>allocated to PACE) and partially cuts</w:t>
      </w:r>
      <w:r w:rsidR="00BC1C3D">
        <w:t xml:space="preserve"> </w:t>
      </w:r>
      <w:r>
        <w:t xml:space="preserve">off Wyoming from other PACE states by removing the IPC to Path C link.  This modeling creates false energy shortages in PACE and undermines the </w:t>
      </w:r>
      <w:r w:rsidR="0037225E">
        <w:t>basis</w:t>
      </w:r>
      <w:r>
        <w:t xml:space="preserve"> of ICNU’s adjustment.  </w:t>
      </w:r>
    </w:p>
    <w:p w:rsidR="00973298" w:rsidRDefault="00AC625D">
      <w:pPr>
        <w:keepNext/>
        <w:widowControl w:val="0"/>
        <w:tabs>
          <w:tab w:val="num" w:pos="720"/>
        </w:tabs>
        <w:spacing w:after="240"/>
        <w:ind w:left="720" w:hanging="720"/>
      </w:pPr>
      <w:r w:rsidRPr="00C6066A">
        <w:rPr>
          <w:b/>
        </w:rPr>
        <w:t>2.</w:t>
      </w:r>
      <w:r w:rsidRPr="00C6066A">
        <w:rPr>
          <w:b/>
        </w:rPr>
        <w:tab/>
        <w:t>ICNU’s Adjustment to the Colstrip Wheeling Expense is Unreasonable.</w:t>
      </w:r>
    </w:p>
    <w:p w:rsidR="00973298" w:rsidRDefault="00AC625D">
      <w:pPr>
        <w:pStyle w:val="ListParagraph"/>
        <w:widowControl w:val="0"/>
        <w:numPr>
          <w:ilvl w:val="0"/>
          <w:numId w:val="12"/>
        </w:numPr>
        <w:tabs>
          <w:tab w:val="clear" w:pos="1440"/>
          <w:tab w:val="num" w:pos="720"/>
        </w:tabs>
        <w:spacing w:line="480" w:lineRule="auto"/>
        <w:ind w:left="0"/>
      </w:pPr>
      <w:r>
        <w:tab/>
        <w:t>ICNU proposes that the Commission change the modeling of the Colstrip wheeling expense to apportion 45% of the cost to PACW, rather than 50% as modeled by the Company.</w:t>
      </w:r>
      <w:r>
        <w:rPr>
          <w:rStyle w:val="FootnoteReference"/>
        </w:rPr>
        <w:footnoteReference w:id="210"/>
      </w:r>
      <w:r>
        <w:t xml:space="preserve">  The Company’s even split of the Colstrip wheeling expense is reasonable, especially given the fact that the WCA includes a sale to PACE, which requires transmission capacity.</w:t>
      </w:r>
    </w:p>
    <w:p w:rsidR="00973298" w:rsidRDefault="00AC625D">
      <w:pPr>
        <w:widowControl w:val="0"/>
        <w:tabs>
          <w:tab w:val="num" w:pos="720"/>
        </w:tabs>
        <w:spacing w:after="240"/>
        <w:ind w:left="720" w:hanging="720"/>
      </w:pPr>
      <w:r w:rsidRPr="00C6066A">
        <w:rPr>
          <w:b/>
        </w:rPr>
        <w:t>3.</w:t>
      </w:r>
      <w:r w:rsidRPr="00C6066A">
        <w:rPr>
          <w:b/>
        </w:rPr>
        <w:tab/>
        <w:t>Staff’s Adjustment to the</w:t>
      </w:r>
      <w:r w:rsidR="005A2586">
        <w:rPr>
          <w:b/>
        </w:rPr>
        <w:t xml:space="preserve"> Idaho Point-to-Point Contract i</w:t>
      </w:r>
      <w:r w:rsidRPr="00C6066A">
        <w:rPr>
          <w:b/>
        </w:rPr>
        <w:t xml:space="preserve">s Based on an Incorrect Premise and ICNU’s Adjustment is an Attempt to </w:t>
      </w:r>
      <w:proofErr w:type="spellStart"/>
      <w:r w:rsidRPr="00C6066A">
        <w:rPr>
          <w:b/>
        </w:rPr>
        <w:t>Relitigate</w:t>
      </w:r>
      <w:proofErr w:type="spellEnd"/>
      <w:r w:rsidRPr="00C6066A">
        <w:rPr>
          <w:b/>
        </w:rPr>
        <w:t xml:space="preserve"> the WCA Methodology.</w:t>
      </w:r>
    </w:p>
    <w:p w:rsidR="00973298" w:rsidRDefault="00AC625D">
      <w:pPr>
        <w:pStyle w:val="ListParagraph"/>
        <w:widowControl w:val="0"/>
        <w:numPr>
          <w:ilvl w:val="0"/>
          <w:numId w:val="12"/>
        </w:numPr>
        <w:tabs>
          <w:tab w:val="clear" w:pos="1440"/>
          <w:tab w:val="num" w:pos="720"/>
        </w:tabs>
        <w:spacing w:line="480" w:lineRule="auto"/>
        <w:ind w:left="0"/>
      </w:pPr>
      <w:r>
        <w:tab/>
        <w:t>Staff and ICNU propose an adjustment to expenses related to the Company’s point-to-point contract with Idaho Power Company.</w:t>
      </w:r>
      <w:r>
        <w:rPr>
          <w:rStyle w:val="FootnoteReference"/>
        </w:rPr>
        <w:footnoteReference w:id="211"/>
      </w:r>
      <w:r>
        <w:t xml:space="preserve">  Staff’s adjustment is based on the premise that “[t]he Company appears to be proposing that the Commission should allocate the </w:t>
      </w:r>
      <w:r>
        <w:rPr>
          <w:i/>
        </w:rPr>
        <w:t>entire cost</w:t>
      </w:r>
      <w:r>
        <w:t xml:space="preserve"> of the wheeling contract to the West Control Area . . . at a minimum these costs should be split between the West Control Area and the East Control Area, because both control areas benefit from the service provided under the contract.”</w:t>
      </w:r>
      <w:r>
        <w:rPr>
          <w:rStyle w:val="FootnoteReference"/>
        </w:rPr>
        <w:footnoteReference w:id="212"/>
      </w:r>
      <w:r>
        <w:t xml:space="preserve">  However, as Mr. Falkenberg acknowledged at the hearing, the Company has already removed approximately one-third of the costs associated with the </w:t>
      </w:r>
      <w:r w:rsidRPr="00BF065D">
        <w:t xml:space="preserve">contract from this case, or $1.6 million, because those are resources that serve </w:t>
      </w:r>
      <w:r w:rsidR="0037225E">
        <w:t>PACE</w:t>
      </w:r>
      <w:r>
        <w:t>.</w:t>
      </w:r>
      <w:r>
        <w:rPr>
          <w:rStyle w:val="FootnoteReference"/>
        </w:rPr>
        <w:footnoteReference w:id="213"/>
      </w:r>
      <w:r>
        <w:t xml:space="preserve">  Staff’s proposed adjustment appears to be based on the incorrect premise that the Company included the entire cost of the contract, when it </w:t>
      </w:r>
      <w:r w:rsidR="0037225E">
        <w:t>did</w:t>
      </w:r>
      <w:r>
        <w:t xml:space="preserve"> not.</w:t>
      </w:r>
    </w:p>
    <w:p w:rsidR="00973298" w:rsidRDefault="00AC625D">
      <w:pPr>
        <w:pStyle w:val="ListParagraph"/>
        <w:widowControl w:val="0"/>
        <w:numPr>
          <w:ilvl w:val="0"/>
          <w:numId w:val="12"/>
        </w:numPr>
        <w:tabs>
          <w:tab w:val="clear" w:pos="1440"/>
          <w:tab w:val="num" w:pos="720"/>
        </w:tabs>
        <w:spacing w:line="480" w:lineRule="auto"/>
        <w:ind w:left="0"/>
      </w:pPr>
      <w:r>
        <w:tab/>
        <w:t xml:space="preserve">ICNU’s adjustment to the Idaho Point-to-Point contract is based on a different premise.  ICNU argues that because the Commission rejected ICNU’s proposal to include benefits from </w:t>
      </w:r>
      <w:r>
        <w:lastRenderedPageBreak/>
        <w:t>the reserve transfers between PACW and PACE associated with this transmission link</w:t>
      </w:r>
      <w:r w:rsidR="0037225E">
        <w:t xml:space="preserve"> in the 2006 GRC</w:t>
      </w:r>
      <w:r>
        <w:t>, it is unreasonable to include the associated costs.</w:t>
      </w:r>
      <w:r>
        <w:rPr>
          <w:rStyle w:val="FootnoteReference"/>
        </w:rPr>
        <w:footnoteReference w:id="214"/>
      </w:r>
      <w:r>
        <w:t xml:space="preserve">  </w:t>
      </w:r>
      <w:r w:rsidR="0037225E">
        <w:t>T</w:t>
      </w:r>
      <w:r>
        <w:t xml:space="preserve">he Commission </w:t>
      </w:r>
      <w:r w:rsidR="0037225E">
        <w:t xml:space="preserve">previously </w:t>
      </w:r>
      <w:r>
        <w:t xml:space="preserve">rejected ICNU’s proposal to impute benefits to PACW for reserves provided to PACE under the Idaho Point-to-Point contract on the basis that “ICNU’s imputations of </w:t>
      </w:r>
      <w:r w:rsidR="000920FA">
        <w:t xml:space="preserve">. . . </w:t>
      </w:r>
      <w:r>
        <w:t>$1.2 million of operating reserve benefits are speculative and rely on arbitrage that may not be physically possible.”</w:t>
      </w:r>
      <w:r>
        <w:rPr>
          <w:rStyle w:val="FootnoteReference"/>
        </w:rPr>
        <w:footnoteReference w:id="215"/>
      </w:r>
      <w:r>
        <w:t xml:space="preserve">  In this case, ICNU is simply proposing the flip side to its prior argument, now arguing that the costs of providing PACE with reserves should be disallowed, rather than arguing that benefits should be imputed to PACW for providing PACE with reserves.  The Company has not changed its modeling of the Idaho Point-to-Point contract since the 2006 case, and there is no other basis identified for revisiting this issue.</w:t>
      </w:r>
      <w:r>
        <w:rPr>
          <w:rStyle w:val="FootnoteReference"/>
        </w:rPr>
        <w:footnoteReference w:id="216"/>
      </w:r>
    </w:p>
    <w:p w:rsidR="00973298" w:rsidRDefault="00AC625D">
      <w:pPr>
        <w:widowControl w:val="0"/>
        <w:spacing w:line="480" w:lineRule="auto"/>
        <w:rPr>
          <w:rFonts w:ascii="Times New Roman" w:hAnsi="Times New Roman"/>
          <w:b/>
        </w:rPr>
      </w:pPr>
      <w:r w:rsidRPr="006212FF">
        <w:rPr>
          <w:rFonts w:ascii="Times New Roman" w:hAnsi="Times New Roman"/>
          <w:b/>
        </w:rPr>
        <w:t>D.</w:t>
      </w:r>
      <w:r w:rsidRPr="006212FF">
        <w:rPr>
          <w:rFonts w:ascii="Times New Roman" w:hAnsi="Times New Roman"/>
          <w:b/>
        </w:rPr>
        <w:tab/>
        <w:t>The DC Intertie Contract Is Used and Useful in the Test Year.</w:t>
      </w:r>
    </w:p>
    <w:p w:rsidR="00973298" w:rsidRDefault="00AC625D">
      <w:pPr>
        <w:pStyle w:val="ListParagraph"/>
        <w:widowControl w:val="0"/>
        <w:numPr>
          <w:ilvl w:val="0"/>
          <w:numId w:val="12"/>
        </w:numPr>
        <w:tabs>
          <w:tab w:val="clear" w:pos="1440"/>
          <w:tab w:val="num" w:pos="720"/>
        </w:tabs>
        <w:spacing w:line="480" w:lineRule="auto"/>
        <w:ind w:left="0"/>
      </w:pPr>
      <w:r>
        <w:tab/>
        <w:t>Staff and ICNU propose removing the costs associated with the DC Intertie agreement from rates on the basis that GRID does not reflect any purchases associated with this contract in the test year and therefore the Company has not demonstrated the benefits of the contract.</w:t>
      </w:r>
      <w:r>
        <w:rPr>
          <w:rStyle w:val="FootnoteReference"/>
        </w:rPr>
        <w:footnoteReference w:id="217"/>
      </w:r>
      <w:r>
        <w:t xml:space="preserve">  This proposal should be rejected.  First, ICNU witness Mr. Falkenberg conceded that the Company uses the DC Intertie to purchase power.</w:t>
      </w:r>
      <w:r>
        <w:rPr>
          <w:rStyle w:val="FootnoteReference"/>
        </w:rPr>
        <w:footnoteReference w:id="218"/>
      </w:r>
      <w:r>
        <w:t xml:space="preserve">  </w:t>
      </w:r>
      <w:r w:rsidR="0037225E">
        <w:t xml:space="preserve">Mr. Duvall testified that </w:t>
      </w:r>
      <w:r w:rsidR="00C75FB4">
        <w:t xml:space="preserve">the Company uses the line for over 200 transactions a year, or 75,000 </w:t>
      </w:r>
      <w:proofErr w:type="spellStart"/>
      <w:r w:rsidR="00C75FB4">
        <w:t>MWh</w:t>
      </w:r>
      <w:proofErr w:type="spellEnd"/>
      <w:r w:rsidR="00C75FB4">
        <w:t>, at a rate of $2 per kW-month, which compares favorably to Bonneville Power Administration’s capacity charge of $8 per kW-month.</w:t>
      </w:r>
      <w:r w:rsidR="00C75FB4">
        <w:rPr>
          <w:rStyle w:val="FootnoteReference"/>
        </w:rPr>
        <w:footnoteReference w:id="219"/>
      </w:r>
      <w:r w:rsidR="00C75FB4">
        <w:t xml:space="preserve">  </w:t>
      </w:r>
      <w:r>
        <w:t xml:space="preserve">The fact that GRID does not include purchases using the DC Intertie contract on a forecast, normalized basis does not mean that such purchases will not occur. Moreover, both </w:t>
      </w:r>
      <w:r>
        <w:lastRenderedPageBreak/>
        <w:t>Staff and ICNU focus on the energy benefits o</w:t>
      </w:r>
      <w:r w:rsidR="000A3331">
        <w:t>f</w:t>
      </w:r>
      <w:r>
        <w:t xml:space="preserve"> the contract and ignore the capacity and diversity benefits of the contract.</w:t>
      </w:r>
      <w:r>
        <w:rPr>
          <w:rStyle w:val="FootnoteReference"/>
        </w:rPr>
        <w:footnoteReference w:id="220"/>
      </w:r>
      <w:r>
        <w:t xml:space="preserve">  The costs of the contract are </w:t>
      </w:r>
      <w:r w:rsidR="00C75FB4">
        <w:t>reasonable</w:t>
      </w:r>
      <w:r>
        <w:t xml:space="preserve"> in light of the benefit to the Company’s overall transmission strategy and hedge against changes in the market.</w:t>
      </w:r>
      <w:r>
        <w:rPr>
          <w:rStyle w:val="FootnoteReference"/>
        </w:rPr>
        <w:footnoteReference w:id="221"/>
      </w:r>
      <w:r>
        <w:t xml:space="preserve"> Therefore ICNU’s claim that the DC Intertie contract is not used and useful in the test year is incorrect.</w:t>
      </w:r>
      <w:r>
        <w:rPr>
          <w:rStyle w:val="FootnoteReference"/>
        </w:rPr>
        <w:footnoteReference w:id="222"/>
      </w:r>
      <w:r>
        <w:t xml:space="preserve">  </w:t>
      </w:r>
    </w:p>
    <w:p w:rsidR="00973298" w:rsidRDefault="00AC625D" w:rsidP="000E4436">
      <w:pPr>
        <w:pStyle w:val="ListParagraph"/>
        <w:widowControl w:val="0"/>
        <w:numPr>
          <w:ilvl w:val="0"/>
          <w:numId w:val="12"/>
        </w:numPr>
        <w:tabs>
          <w:tab w:val="clear" w:pos="1440"/>
          <w:tab w:val="num" w:pos="720"/>
        </w:tabs>
        <w:spacing w:line="480" w:lineRule="auto"/>
        <w:ind w:left="0"/>
      </w:pPr>
      <w:r>
        <w:tab/>
        <w:t>Second, to the extent that Staff and ICNU allege that the DC Intertie contract is imprudent,  the Commission has found in previous cases that a party challenging a contract that could have been challenged years earlier “should raise the issue sooner rather than later when there is an opportunity to do so,” and must make a “substantial showing” of imprudence.</w:t>
      </w:r>
      <w:r>
        <w:rPr>
          <w:rStyle w:val="FootnoteReference"/>
        </w:rPr>
        <w:footnoteReference w:id="223"/>
      </w:r>
      <w:r>
        <w:t xml:space="preserve">  Staff and ICNU have had an opportunity to challenge the DC Intertie agreement since at least 2003 and have not done so, even during the development of the WCA methodology when the parties reviewed all transmission resources to determine whether they </w:t>
      </w:r>
      <w:r w:rsidR="000A3331">
        <w:t>we</w:t>
      </w:r>
      <w:r>
        <w:t>re used and useful.</w:t>
      </w:r>
      <w:r>
        <w:rPr>
          <w:rStyle w:val="FootnoteReference"/>
        </w:rPr>
        <w:footnoteReference w:id="224"/>
      </w:r>
      <w:r>
        <w:t xml:space="preserve">   Neither Staff nor ICNU have made a substantial showing that the DC Intertie agreement is imprudent.  In fact, Mr. Falkenberg conceded in a proceeding in Idaho that the DC Intertie has been a valuable resource.</w:t>
      </w:r>
      <w:r>
        <w:rPr>
          <w:rStyle w:val="FootnoteReference"/>
        </w:rPr>
        <w:footnoteReference w:id="225"/>
      </w:r>
      <w:r>
        <w:t xml:space="preserve">  He also noted that “[t]</w:t>
      </w:r>
      <w:proofErr w:type="spellStart"/>
      <w:r>
        <w:t>ransmission</w:t>
      </w:r>
      <w:proofErr w:type="spellEnd"/>
      <w:r>
        <w:t xml:space="preserve"> capacity in the region is limited and it is hard to imagine that this important link [the DC Intertie contract] has no value.”</w:t>
      </w:r>
      <w:r>
        <w:rPr>
          <w:rStyle w:val="FootnoteReference"/>
        </w:rPr>
        <w:footnoteReference w:id="226"/>
      </w:r>
    </w:p>
    <w:p w:rsidR="00973298" w:rsidRDefault="00AC625D">
      <w:pPr>
        <w:keepNext/>
        <w:widowControl w:val="0"/>
        <w:spacing w:after="240"/>
        <w:ind w:left="720" w:hanging="720"/>
        <w:rPr>
          <w:rFonts w:ascii="Times New Roman" w:hAnsi="Times New Roman"/>
          <w:b/>
        </w:rPr>
      </w:pPr>
      <w:proofErr w:type="gramStart"/>
      <w:r>
        <w:rPr>
          <w:rFonts w:ascii="Times New Roman" w:hAnsi="Times New Roman"/>
          <w:b/>
        </w:rPr>
        <w:t>E</w:t>
      </w:r>
      <w:r w:rsidRPr="00FC6627">
        <w:rPr>
          <w:rFonts w:ascii="Times New Roman" w:hAnsi="Times New Roman"/>
          <w:b/>
        </w:rPr>
        <w:t>.</w:t>
      </w:r>
      <w:r w:rsidRPr="00FC6627">
        <w:rPr>
          <w:rFonts w:ascii="Times New Roman" w:hAnsi="Times New Roman"/>
          <w:b/>
        </w:rPr>
        <w:tab/>
      </w:r>
      <w:r>
        <w:rPr>
          <w:rFonts w:ascii="Times New Roman" w:hAnsi="Times New Roman"/>
          <w:b/>
        </w:rPr>
        <w:t>Consistent with the Supremacy Clause, t</w:t>
      </w:r>
      <w:r w:rsidRPr="001051E9">
        <w:rPr>
          <w:rFonts w:ascii="Times New Roman" w:hAnsi="Times New Roman"/>
          <w:b/>
        </w:rPr>
        <w:t>he Commission Should</w:t>
      </w:r>
      <w:r>
        <w:rPr>
          <w:rFonts w:ascii="Times New Roman" w:hAnsi="Times New Roman"/>
          <w:b/>
        </w:rPr>
        <w:t xml:space="preserve"> Allow Recovery of </w:t>
      </w:r>
      <w:r w:rsidRPr="001051E9">
        <w:rPr>
          <w:rFonts w:ascii="Times New Roman" w:hAnsi="Times New Roman"/>
          <w:b/>
        </w:rPr>
        <w:t xml:space="preserve">Costs </w:t>
      </w:r>
      <w:r w:rsidR="008059C1">
        <w:rPr>
          <w:rFonts w:ascii="Times New Roman" w:hAnsi="Times New Roman"/>
          <w:b/>
        </w:rPr>
        <w:t>Incurred</w:t>
      </w:r>
      <w:r w:rsidRPr="001051E9">
        <w:rPr>
          <w:rFonts w:ascii="Times New Roman" w:hAnsi="Times New Roman"/>
          <w:b/>
        </w:rPr>
        <w:t xml:space="preserve"> under the Company’s OATT</w:t>
      </w:r>
      <w:r w:rsidRPr="00CF2769">
        <w:rPr>
          <w:rFonts w:ascii="Times New Roman" w:hAnsi="Times New Roman"/>
          <w:b/>
        </w:rPr>
        <w:t>.</w:t>
      </w:r>
      <w:proofErr w:type="gramEnd"/>
    </w:p>
    <w:p w:rsidR="00973298" w:rsidRDefault="00AC625D">
      <w:pPr>
        <w:pStyle w:val="ListParagraph"/>
        <w:widowControl w:val="0"/>
        <w:numPr>
          <w:ilvl w:val="0"/>
          <w:numId w:val="12"/>
        </w:numPr>
        <w:tabs>
          <w:tab w:val="clear" w:pos="1440"/>
          <w:tab w:val="num" w:pos="720"/>
        </w:tabs>
        <w:spacing w:line="480" w:lineRule="auto"/>
        <w:ind w:left="0"/>
      </w:pPr>
      <w:r>
        <w:tab/>
        <w:t xml:space="preserve">Staff and ICNU propose that the Commission disallow costs associated with integrating non-owned wind plants that the Company is required to </w:t>
      </w:r>
      <w:r w:rsidR="00037B64">
        <w:t xml:space="preserve">incur </w:t>
      </w:r>
      <w:r>
        <w:t xml:space="preserve">under its Federal Energy </w:t>
      </w:r>
      <w:r>
        <w:lastRenderedPageBreak/>
        <w:t>Regulatory Commission (FERC) Open Access Transmission Tariff (OATT).</w:t>
      </w:r>
      <w:r>
        <w:rPr>
          <w:rStyle w:val="FootnoteReference"/>
        </w:rPr>
        <w:footnoteReference w:id="227"/>
      </w:r>
      <w:r>
        <w:t xml:space="preserve"> ICNU and Staff acknowledge that the Company actually provides wind integration services to non-owned facilities and that the Company’s OATT does not allow the Company to recover the cost of providing wind integration services from these facilities.</w:t>
      </w:r>
      <w:r>
        <w:rPr>
          <w:rStyle w:val="FootnoteReference"/>
        </w:rPr>
        <w:footnoteReference w:id="228"/>
      </w:r>
      <w:r>
        <w:t xml:space="preserve">  The issue, then, is whether retail customers should pay the costs associated with integrating non-owned wind facilities that the Company is required to integrate pursuant to its OATT.</w:t>
      </w:r>
    </w:p>
    <w:p w:rsidR="00973298" w:rsidRDefault="00AC625D">
      <w:pPr>
        <w:pStyle w:val="ListParagraph"/>
        <w:widowControl w:val="0"/>
        <w:numPr>
          <w:ilvl w:val="0"/>
          <w:numId w:val="12"/>
        </w:numPr>
        <w:tabs>
          <w:tab w:val="clear" w:pos="1440"/>
          <w:tab w:val="num" w:pos="720"/>
        </w:tabs>
        <w:spacing w:line="480" w:lineRule="auto"/>
        <w:ind w:left="0"/>
      </w:pPr>
      <w:r>
        <w:tab/>
        <w:t>Staff’s and ICNU’s adjustment violates the Supremacy Clause of the United States Constitution and the filed rate doctrine.  FERC has exclusive authority over the transmission and sale of electricity in interstate commerce pursuant to the Federal Power Act.</w:t>
      </w:r>
      <w:r>
        <w:rPr>
          <w:rStyle w:val="FootnoteReference"/>
        </w:rPr>
        <w:footnoteReference w:id="229"/>
      </w:r>
      <w:r>
        <w:t xml:space="preserve">  The Supreme Court held in </w:t>
      </w:r>
      <w:r w:rsidRPr="001834FD">
        <w:rPr>
          <w:i/>
        </w:rPr>
        <w:t>Nantahala</w:t>
      </w:r>
      <w:r w:rsidR="00FC60A1">
        <w:rPr>
          <w:i/>
        </w:rPr>
        <w:fldChar w:fldCharType="begin"/>
      </w:r>
      <w:r w:rsidR="007B47FD">
        <w:instrText xml:space="preserve"> TA \l "</w:instrText>
      </w:r>
      <w:r w:rsidR="007B47FD" w:rsidRPr="006E38F5">
        <w:rPr>
          <w:i/>
        </w:rPr>
        <w:instrText>Nantahala Power &amp; Light Co. v. Thornberg</w:instrText>
      </w:r>
      <w:r w:rsidR="007B47FD" w:rsidRPr="006E38F5">
        <w:instrText>, 476 U.S. 953 (1986)</w:instrText>
      </w:r>
      <w:r w:rsidR="007B47FD">
        <w:instrText xml:space="preserve">" \s "Nantahala" \c 1 </w:instrText>
      </w:r>
      <w:r w:rsidR="00FC60A1">
        <w:rPr>
          <w:i/>
        </w:rPr>
        <w:fldChar w:fldCharType="end"/>
      </w:r>
      <w:r w:rsidRPr="001834FD">
        <w:rPr>
          <w:i/>
        </w:rPr>
        <w:t xml:space="preserve"> Power and Light Co. v. </w:t>
      </w:r>
      <w:proofErr w:type="spellStart"/>
      <w:r w:rsidRPr="001834FD">
        <w:rPr>
          <w:i/>
        </w:rPr>
        <w:t>Thornberg</w:t>
      </w:r>
      <w:proofErr w:type="spellEnd"/>
      <w:r>
        <w:t>, 476 U.S. 953 (1986)</w:t>
      </w:r>
      <w:r w:rsidRPr="001834FD">
        <w:rPr>
          <w:i/>
        </w:rPr>
        <w:t xml:space="preserve"> </w:t>
      </w:r>
      <w:r>
        <w:t>that by virtue of FERC’s supremacy in this arena, “a state utility commission setting retail rates must allow, as reasonable operating expenses, costs incurred as a result of paying a FERC-determined wholesale price . . . Once FERC sets such a rate, a State may not conclude in setting retail rates that the FERC-approved wholesale rates are unreasonable.”</w:t>
      </w:r>
      <w:r>
        <w:rPr>
          <w:rStyle w:val="FootnoteReference"/>
        </w:rPr>
        <w:footnoteReference w:id="230"/>
      </w:r>
      <w:r>
        <w:t xml:space="preserve">  States may not bar utilities “from passing through to retail customers FERC-mandated wholesale rates.”</w:t>
      </w:r>
      <w:r>
        <w:rPr>
          <w:rStyle w:val="FootnoteReference"/>
        </w:rPr>
        <w:footnoteReference w:id="231"/>
      </w:r>
      <w:r>
        <w:t xml:space="preserve">  The filed rate doctrine also prevents a state from modifying FERC-approved wholesale rates.</w:t>
      </w:r>
      <w:r>
        <w:rPr>
          <w:rStyle w:val="FootnoteReference"/>
        </w:rPr>
        <w:footnoteReference w:id="232"/>
      </w:r>
      <w:r>
        <w:t xml:space="preserve">  The filed rate doctrine </w:t>
      </w:r>
      <w:r>
        <w:lastRenderedPageBreak/>
        <w:t>requires that FERC-approved rates be given binding effect by states.</w:t>
      </w:r>
      <w:r>
        <w:rPr>
          <w:rStyle w:val="FootnoteReference"/>
        </w:rPr>
        <w:footnoteReference w:id="233"/>
      </w:r>
      <w:r>
        <w:t xml:space="preserve">  </w:t>
      </w:r>
    </w:p>
    <w:p w:rsidR="00973298" w:rsidRDefault="00AC625D">
      <w:pPr>
        <w:pStyle w:val="ListParagraph"/>
        <w:widowControl w:val="0"/>
        <w:numPr>
          <w:ilvl w:val="0"/>
          <w:numId w:val="12"/>
        </w:numPr>
        <w:tabs>
          <w:tab w:val="clear" w:pos="1440"/>
          <w:tab w:val="num" w:pos="720"/>
        </w:tabs>
        <w:spacing w:line="480" w:lineRule="auto"/>
        <w:ind w:left="0"/>
      </w:pPr>
      <w:r>
        <w:tab/>
        <w:t>ICNU argues that the Company should have filed with FERC to recover wind integration costs from transmission customers and that customers should not be charged because the Company has not done so.</w:t>
      </w:r>
      <w:r>
        <w:rPr>
          <w:rStyle w:val="FootnoteReference"/>
        </w:rPr>
        <w:footnoteReference w:id="234"/>
      </w:r>
      <w:r>
        <w:t xml:space="preserve">  The implication is that PacifiCorp would be able to recover wind integration charges under its OATT if only it had made such a request to FERC.  In fact, FERC has rejected several requests by utilities, including </w:t>
      </w:r>
      <w:proofErr w:type="gramStart"/>
      <w:r>
        <w:t>Puget  to</w:t>
      </w:r>
      <w:proofErr w:type="gramEnd"/>
      <w:r>
        <w:t xml:space="preserve"> include a wind integration charge in their OATTs.</w:t>
      </w:r>
      <w:r>
        <w:rPr>
          <w:rStyle w:val="FootnoteReference"/>
        </w:rPr>
        <w:footnoteReference w:id="235"/>
      </w:r>
      <w:r>
        <w:t xml:space="preserve">  The only wind integration charge proposal accepted by FERC thus far has been a proposal by Westar, which was adopted only as “an interim measure which will be effective only until [the Southwest Power Pool, Inc.’s] expected balancing area consolidation and ancillary services market are implemented.”</w:t>
      </w:r>
      <w:r>
        <w:rPr>
          <w:rStyle w:val="FootnoteReference"/>
        </w:rPr>
        <w:footnoteReference w:id="236"/>
      </w:r>
      <w:r>
        <w:t xml:space="preserve">  </w:t>
      </w:r>
    </w:p>
    <w:p w:rsidR="00973298" w:rsidRDefault="00AC625D">
      <w:pPr>
        <w:pStyle w:val="ListParagraph"/>
        <w:widowControl w:val="0"/>
        <w:numPr>
          <w:ilvl w:val="0"/>
          <w:numId w:val="12"/>
        </w:numPr>
        <w:tabs>
          <w:tab w:val="clear" w:pos="1440"/>
          <w:tab w:val="num" w:pos="720"/>
        </w:tabs>
        <w:spacing w:line="480" w:lineRule="auto"/>
        <w:ind w:left="0"/>
      </w:pPr>
      <w:r>
        <w:tab/>
        <w:t>In addition, FERC recently issued a notice of proposed rulemaking (NOPR) on the issue.</w:t>
      </w:r>
      <w:r>
        <w:rPr>
          <w:rStyle w:val="FootnoteReference"/>
        </w:rPr>
        <w:footnoteReference w:id="237"/>
      </w:r>
      <w:r>
        <w:t xml:space="preserve">  T</w:t>
      </w:r>
      <w:r w:rsidRPr="009C7AE8">
        <w:t xml:space="preserve">he NOPR lays out the path to begin charging </w:t>
      </w:r>
      <w:r>
        <w:t xml:space="preserve">all wind generators, including </w:t>
      </w:r>
      <w:r w:rsidRPr="009C7AE8">
        <w:t>non-owned facilities</w:t>
      </w:r>
      <w:r>
        <w:t>,</w:t>
      </w:r>
      <w:r w:rsidRPr="009C7AE8">
        <w:t xml:space="preserve"> for the costs incurred to integrate them into </w:t>
      </w:r>
      <w:r>
        <w:t>the Company’s</w:t>
      </w:r>
      <w:r w:rsidRPr="009C7AE8">
        <w:t xml:space="preserve"> balancing area</w:t>
      </w:r>
      <w:r>
        <w:t>s.  P</w:t>
      </w:r>
      <w:r w:rsidRPr="009C7AE8">
        <w:t xml:space="preserve">ending any additional guidance from FERC on this issue, </w:t>
      </w:r>
      <w:r>
        <w:t xml:space="preserve">the Company believes </w:t>
      </w:r>
      <w:r w:rsidRPr="009C7AE8">
        <w:t xml:space="preserve">that it can include a proposal for a new regulation service charge as part of the transmission rate case filing and that such a proposal has a higher chance of being accepted because of this recent guidance.  </w:t>
      </w:r>
    </w:p>
    <w:p w:rsidR="00973298" w:rsidRDefault="00B60919">
      <w:pPr>
        <w:pStyle w:val="ListParagraph"/>
        <w:widowControl w:val="0"/>
        <w:numPr>
          <w:ilvl w:val="0"/>
          <w:numId w:val="12"/>
        </w:numPr>
        <w:tabs>
          <w:tab w:val="clear" w:pos="1440"/>
          <w:tab w:val="num" w:pos="720"/>
        </w:tabs>
        <w:spacing w:line="480" w:lineRule="auto"/>
        <w:ind w:left="0"/>
      </w:pPr>
      <w:r>
        <w:tab/>
      </w:r>
      <w:r w:rsidR="00AC625D">
        <w:t xml:space="preserve">As an alternative to Staff’s and ICNU’s </w:t>
      </w:r>
      <w:r w:rsidR="00CB7E0B">
        <w:t>proposal</w:t>
      </w:r>
      <w:r w:rsidR="00AC625D">
        <w:t xml:space="preserve">, the Company proposes the Commission </w:t>
      </w:r>
      <w:r w:rsidR="000A3331">
        <w:t xml:space="preserve">allow </w:t>
      </w:r>
      <w:r w:rsidR="00AC625D">
        <w:t xml:space="preserve">the Company to monitor FERC guidance on this issue and include a proposed </w:t>
      </w:r>
      <w:r w:rsidR="00AC625D" w:rsidRPr="009C7AE8">
        <w:t xml:space="preserve">regulation service charge </w:t>
      </w:r>
      <w:r w:rsidR="00AC625D">
        <w:t xml:space="preserve">to integrate wind, in its request for transmission tariff rates in its upcoming rate </w:t>
      </w:r>
      <w:r w:rsidR="00AC625D">
        <w:lastRenderedPageBreak/>
        <w:t>case if consistent with the direction provided in the NOPR and any future FERC guidance.</w:t>
      </w:r>
      <w:r w:rsidR="00AC625D">
        <w:rPr>
          <w:rStyle w:val="FootnoteReference"/>
        </w:rPr>
        <w:footnoteReference w:id="238"/>
      </w:r>
      <w:r w:rsidR="00AC625D">
        <w:t xml:space="preserve">  Such an outcome would be consistent with the approach Oregon and Utah have taken by not adopting an adjustment to costs associated with non-owned wind generation, but allowing the Company to pursue recovering such costs in its OATT before FERC.</w:t>
      </w:r>
      <w:r w:rsidR="00AC625D">
        <w:rPr>
          <w:rStyle w:val="FootnoteReference"/>
        </w:rPr>
        <w:footnoteReference w:id="239"/>
      </w:r>
    </w:p>
    <w:p w:rsidR="00973298" w:rsidRDefault="00AC625D">
      <w:pPr>
        <w:keepNext/>
        <w:widowControl w:val="0"/>
        <w:spacing w:after="240"/>
        <w:ind w:left="720" w:hanging="720"/>
        <w:rPr>
          <w:rFonts w:ascii="Times New Roman" w:hAnsi="Times New Roman"/>
          <w:b/>
        </w:rPr>
      </w:pPr>
      <w:r>
        <w:rPr>
          <w:rFonts w:ascii="Times New Roman" w:hAnsi="Times New Roman"/>
          <w:b/>
        </w:rPr>
        <w:t>F</w:t>
      </w:r>
      <w:r w:rsidRPr="00FC6627">
        <w:rPr>
          <w:rFonts w:ascii="Times New Roman" w:hAnsi="Times New Roman"/>
          <w:b/>
        </w:rPr>
        <w:t>.</w:t>
      </w:r>
      <w:r w:rsidRPr="00FC6627">
        <w:rPr>
          <w:rFonts w:ascii="Times New Roman" w:hAnsi="Times New Roman"/>
          <w:b/>
        </w:rPr>
        <w:tab/>
      </w:r>
      <w:r>
        <w:rPr>
          <w:rFonts w:ascii="Times New Roman" w:hAnsi="Times New Roman"/>
          <w:b/>
        </w:rPr>
        <w:t xml:space="preserve">Staff’s and ICNU’s </w:t>
      </w:r>
      <w:r w:rsidRPr="00FC6627">
        <w:rPr>
          <w:rFonts w:ascii="Times New Roman" w:hAnsi="Times New Roman"/>
          <w:b/>
        </w:rPr>
        <w:t>Colstrip Outage</w:t>
      </w:r>
      <w:r>
        <w:rPr>
          <w:rFonts w:ascii="Times New Roman" w:hAnsi="Times New Roman"/>
          <w:b/>
        </w:rPr>
        <w:t xml:space="preserve"> Adjustments Will Result in Inaccurate Forced Outage Rates.</w:t>
      </w:r>
    </w:p>
    <w:p w:rsidR="00973298" w:rsidRDefault="00AC625D">
      <w:pPr>
        <w:pStyle w:val="ListParagraph"/>
        <w:widowControl w:val="0"/>
        <w:numPr>
          <w:ilvl w:val="0"/>
          <w:numId w:val="12"/>
        </w:numPr>
        <w:tabs>
          <w:tab w:val="clear" w:pos="1440"/>
          <w:tab w:val="num" w:pos="720"/>
        </w:tabs>
        <w:spacing w:line="480" w:lineRule="auto"/>
        <w:ind w:left="0"/>
      </w:pPr>
      <w:r>
        <w:tab/>
        <w:t xml:space="preserve">Staff and ICNU propose adjusting the Company’s forced outage rate to account for the unplanned outage of 166 days experienced at the Company’s Colstrip 4 </w:t>
      </w:r>
      <w:r w:rsidR="00D73DB9">
        <w:t xml:space="preserve">plant </w:t>
      </w:r>
      <w:r>
        <w:t>in 2009.</w:t>
      </w:r>
      <w:r>
        <w:rPr>
          <w:rStyle w:val="FootnoteReference"/>
        </w:rPr>
        <w:footnoteReference w:id="240"/>
      </w:r>
      <w:r>
        <w:t xml:space="preserve">  Staff recommends that the extended outage be removed and the outage rate of Colstrip 4 be based on an 8% effective forced outage rate,</w:t>
      </w:r>
      <w:r>
        <w:rPr>
          <w:rStyle w:val="FootnoteReference"/>
        </w:rPr>
        <w:footnoteReference w:id="241"/>
      </w:r>
      <w:r>
        <w:t xml:space="preserve"> while ICNU recommends that the outage be capped at 28 days (which produces an even lower forced outage rate).</w:t>
      </w:r>
      <w:r>
        <w:rPr>
          <w:rStyle w:val="FootnoteReference"/>
        </w:rPr>
        <w:footnoteReference w:id="242"/>
      </w:r>
      <w:r>
        <w:t xml:space="preserve">  Neither Staff nor ICNU contend that the outage was imprudent.  Therefore, the question is </w:t>
      </w:r>
      <w:r w:rsidR="00672AB1">
        <w:t xml:space="preserve">whether </w:t>
      </w:r>
      <w:r>
        <w:t xml:space="preserve">the forced outage rate proposed by the Company, which includes the Colstrip </w:t>
      </w:r>
      <w:r w:rsidR="00672AB1">
        <w:t xml:space="preserve">4 </w:t>
      </w:r>
      <w:r>
        <w:t>outage as a part of a four-year average, is a reasonable estimate of the forced outage rate expected in the test year.</w:t>
      </w:r>
    </w:p>
    <w:p w:rsidR="00973298" w:rsidRDefault="00AC625D">
      <w:pPr>
        <w:pStyle w:val="ListParagraph"/>
        <w:widowControl w:val="0"/>
        <w:numPr>
          <w:ilvl w:val="0"/>
          <w:numId w:val="12"/>
        </w:numPr>
        <w:tabs>
          <w:tab w:val="clear" w:pos="1440"/>
          <w:tab w:val="num" w:pos="720"/>
        </w:tabs>
        <w:spacing w:line="480" w:lineRule="auto"/>
        <w:ind w:left="0"/>
      </w:pPr>
      <w:r>
        <w:tab/>
        <w:t>The adjustments of Staff and ICNU would result in an abnormally low outage rate in the test year.</w:t>
      </w:r>
      <w:r>
        <w:rPr>
          <w:rStyle w:val="FootnoteReference"/>
        </w:rPr>
        <w:footnoteReference w:id="243"/>
      </w:r>
      <w:r>
        <w:t xml:space="preserve">  Staff’s adjustment is based on an 8% outage rate, which Mr. Buckley state</w:t>
      </w:r>
      <w:r w:rsidR="000B4931">
        <w:t>s</w:t>
      </w:r>
      <w:r>
        <w:t xml:space="preserve"> is “conservative when anomalous extended outages are not considered.”</w:t>
      </w:r>
      <w:r>
        <w:rPr>
          <w:rStyle w:val="FootnoteReference"/>
        </w:rPr>
        <w:footnoteReference w:id="244"/>
      </w:r>
      <w:r>
        <w:t xml:space="preserve">  Removing significant </w:t>
      </w:r>
      <w:r>
        <w:lastRenderedPageBreak/>
        <w:t>outages from the calculation of forced outages, while keeping unusually low outage periods such as the 174-day period used to calculate the forced outage rate in this case, artificially skews forced outage rates downward.</w:t>
      </w:r>
      <w:r>
        <w:rPr>
          <w:rStyle w:val="FootnoteReference"/>
        </w:rPr>
        <w:footnoteReference w:id="245"/>
      </w:r>
      <w:r>
        <w:t xml:space="preserve">  Staff’s proposal to remove unusually long, but prudent, forced outages results in a forced outage rate that does not reflect actual experience.</w:t>
      </w:r>
      <w:r>
        <w:rPr>
          <w:rStyle w:val="FootnoteReference"/>
        </w:rPr>
        <w:footnoteReference w:id="246"/>
      </w:r>
    </w:p>
    <w:p w:rsidR="00973298" w:rsidRDefault="00AC625D">
      <w:pPr>
        <w:pStyle w:val="ListParagraph"/>
        <w:widowControl w:val="0"/>
        <w:numPr>
          <w:ilvl w:val="0"/>
          <w:numId w:val="12"/>
        </w:numPr>
        <w:tabs>
          <w:tab w:val="clear" w:pos="1440"/>
          <w:tab w:val="num" w:pos="720"/>
        </w:tabs>
        <w:spacing w:line="480" w:lineRule="auto"/>
        <w:ind w:left="0"/>
      </w:pPr>
      <w:r>
        <w:tab/>
        <w:t xml:space="preserve">Furthermore, while outages of the length experienced at Colstrip are rare, experiencing an unusually high forced outage rate at Colstrip in one year out of a four-year period is not unusual.  The </w:t>
      </w:r>
      <w:proofErr w:type="spellStart"/>
      <w:r>
        <w:t>Avista</w:t>
      </w:r>
      <w:proofErr w:type="spellEnd"/>
      <w:r>
        <w:t xml:space="preserve"> testimony relied upon by Mr. Buckley in calculating his adjustment shows that the outage rate at Colstrip exceeds 10% every 3.7 years.</w:t>
      </w:r>
      <w:r>
        <w:rPr>
          <w:rStyle w:val="FootnoteReference"/>
        </w:rPr>
        <w:footnoteReference w:id="247"/>
      </w:r>
      <w:r>
        <w:t xml:space="preserve">  While Mr. Falkenberg claims that the Colstrip outage was “an extremely rare event,”</w:t>
      </w:r>
      <w:r>
        <w:rPr>
          <w:rStyle w:val="FootnoteReference"/>
        </w:rPr>
        <w:footnoteReference w:id="248"/>
      </w:r>
      <w:r>
        <w:t xml:space="preserve"> he also states that “a one in 4 year event is clearly ordinary.”</w:t>
      </w:r>
      <w:r>
        <w:rPr>
          <w:rStyle w:val="FootnoteReference"/>
        </w:rPr>
        <w:footnoteReference w:id="249"/>
      </w:r>
      <w:r>
        <w:t xml:space="preserve">  Because experiencing a forced outage rate above 10% in one year out of four is “clearly ordinary,” there is no basis to adjust the forced outage rate.</w:t>
      </w:r>
    </w:p>
    <w:p w:rsidR="00973298" w:rsidRDefault="00AC625D">
      <w:pPr>
        <w:pStyle w:val="ListParagraph"/>
        <w:widowControl w:val="0"/>
        <w:numPr>
          <w:ilvl w:val="0"/>
          <w:numId w:val="12"/>
        </w:numPr>
        <w:tabs>
          <w:tab w:val="clear" w:pos="1440"/>
          <w:tab w:val="num" w:pos="720"/>
        </w:tabs>
        <w:spacing w:line="480" w:lineRule="auto"/>
        <w:ind w:left="0"/>
      </w:pPr>
      <w:r>
        <w:tab/>
        <w:t xml:space="preserve">Finally, the Company requests that the Commission disregard Staff’s reliance on the settlement with </w:t>
      </w:r>
      <w:proofErr w:type="spellStart"/>
      <w:r>
        <w:t>Avista</w:t>
      </w:r>
      <w:proofErr w:type="spellEnd"/>
      <w:r>
        <w:t xml:space="preserve"> regarding the removal of anomalous outage rate years.</w:t>
      </w:r>
      <w:r>
        <w:rPr>
          <w:rStyle w:val="FootnoteReference"/>
        </w:rPr>
        <w:footnoteReference w:id="250"/>
      </w:r>
      <w:r>
        <w:t xml:space="preserve">  Unlike </w:t>
      </w:r>
      <w:proofErr w:type="spellStart"/>
      <w:r>
        <w:t>Avista</w:t>
      </w:r>
      <w:proofErr w:type="spellEnd"/>
      <w:r>
        <w:t xml:space="preserve">, PacifiCorp does not have a </w:t>
      </w:r>
      <w:r w:rsidR="00557B47">
        <w:t>PCAM in</w:t>
      </w:r>
      <w:r>
        <w:t xml:space="preserve"> Washington.</w:t>
      </w:r>
      <w:r>
        <w:rPr>
          <w:rStyle w:val="FootnoteReference"/>
        </w:rPr>
        <w:footnoteReference w:id="251"/>
      </w:r>
      <w:r>
        <w:t xml:space="preserve">  PacifiCorp therefore has no opportunity to recover if the forced outage </w:t>
      </w:r>
      <w:proofErr w:type="gramStart"/>
      <w:r>
        <w:t>rate  results</w:t>
      </w:r>
      <w:proofErr w:type="gramEnd"/>
      <w:r>
        <w:t xml:space="preserve"> in an under recovery of NPC</w:t>
      </w:r>
      <w:r w:rsidR="00D73DB9">
        <w:t xml:space="preserve"> in base rates</w:t>
      </w:r>
      <w:r>
        <w:t xml:space="preserve">.  </w:t>
      </w:r>
      <w:r w:rsidRPr="00E85521">
        <w:t>If the Commission accepts an adjustment to NPC</w:t>
      </w:r>
      <w:r>
        <w:t xml:space="preserve"> for the Colstrip outage</w:t>
      </w:r>
      <w:r w:rsidRPr="00E85521">
        <w:t xml:space="preserve">, the Company </w:t>
      </w:r>
      <w:r>
        <w:t>requests that the Commission authorize the Company to f</w:t>
      </w:r>
      <w:r w:rsidRPr="00E85521">
        <w:t>il</w:t>
      </w:r>
      <w:r>
        <w:t>e</w:t>
      </w:r>
      <w:r w:rsidRPr="00E85521">
        <w:t xml:space="preserve"> for deferral </w:t>
      </w:r>
      <w:r w:rsidR="00BE0487">
        <w:t>to recover the difference between the actual forced outage rate for Colstrip 4</w:t>
      </w:r>
      <w:r w:rsidR="00C00BA5">
        <w:t xml:space="preserve"> filed in this case and the adjusted forced outage rate allowed</w:t>
      </w:r>
      <w:r w:rsidRPr="00E85521">
        <w:t>.  Staff witness Mr. Buckley stated that Staff would be open to such a deferral</w:t>
      </w:r>
      <w:r w:rsidR="00D73DB9">
        <w:t xml:space="preserve"> </w:t>
      </w:r>
      <w:r>
        <w:t xml:space="preserve">to allow </w:t>
      </w:r>
      <w:r>
        <w:lastRenderedPageBreak/>
        <w:t>PacifiCorp to recover its prudent costs</w:t>
      </w:r>
      <w:r w:rsidRPr="00E85521">
        <w:t>.</w:t>
      </w:r>
      <w:r>
        <w:rPr>
          <w:rStyle w:val="FootnoteReference"/>
        </w:rPr>
        <w:footnoteReference w:id="252"/>
      </w:r>
    </w:p>
    <w:p w:rsidR="00973298" w:rsidRDefault="00AC625D">
      <w:pPr>
        <w:keepNext/>
        <w:widowControl w:val="0"/>
        <w:spacing w:after="240"/>
        <w:ind w:left="720" w:hanging="720"/>
        <w:rPr>
          <w:rFonts w:ascii="Times New Roman" w:hAnsi="Times New Roman"/>
          <w:b/>
        </w:rPr>
      </w:pPr>
      <w:r>
        <w:rPr>
          <w:rFonts w:ascii="Times New Roman" w:hAnsi="Times New Roman"/>
          <w:b/>
        </w:rPr>
        <w:t>G.</w:t>
      </w:r>
      <w:r w:rsidRPr="00FC6627">
        <w:rPr>
          <w:rFonts w:ascii="Times New Roman" w:hAnsi="Times New Roman"/>
          <w:b/>
        </w:rPr>
        <w:tab/>
      </w:r>
      <w:r>
        <w:rPr>
          <w:rFonts w:ascii="Times New Roman" w:hAnsi="Times New Roman"/>
          <w:b/>
        </w:rPr>
        <w:t xml:space="preserve">ICNU’s Proposed Disallowance of </w:t>
      </w:r>
      <w:proofErr w:type="spellStart"/>
      <w:r>
        <w:rPr>
          <w:rFonts w:ascii="Times New Roman" w:hAnsi="Times New Roman"/>
          <w:b/>
        </w:rPr>
        <w:t>Derations</w:t>
      </w:r>
      <w:proofErr w:type="spellEnd"/>
      <w:r>
        <w:rPr>
          <w:rFonts w:ascii="Times New Roman" w:hAnsi="Times New Roman"/>
          <w:b/>
        </w:rPr>
        <w:t xml:space="preserve"> at the Jim Bridger Plant Ignores that Overall Costs Associated with Bridger Fuel Have Decreased.</w:t>
      </w:r>
    </w:p>
    <w:p w:rsidR="00973298" w:rsidRDefault="00AC625D">
      <w:pPr>
        <w:pStyle w:val="ListParagraph"/>
        <w:widowControl w:val="0"/>
        <w:numPr>
          <w:ilvl w:val="0"/>
          <w:numId w:val="12"/>
        </w:numPr>
        <w:tabs>
          <w:tab w:val="clear" w:pos="1440"/>
          <w:tab w:val="num" w:pos="720"/>
        </w:tabs>
        <w:spacing w:line="480" w:lineRule="auto"/>
        <w:ind w:left="0"/>
      </w:pPr>
      <w:r>
        <w:tab/>
        <w:t xml:space="preserve">ICNU proposes to disallow </w:t>
      </w:r>
      <w:proofErr w:type="spellStart"/>
      <w:r>
        <w:t>derations</w:t>
      </w:r>
      <w:proofErr w:type="spellEnd"/>
      <w:r>
        <w:t xml:space="preserve"> at the Jim Bridger plant based on ICNU’s position that the fuel quality at the Bridger Plant has resulted in </w:t>
      </w:r>
      <w:proofErr w:type="spellStart"/>
      <w:r>
        <w:t>derations</w:t>
      </w:r>
      <w:proofErr w:type="spellEnd"/>
      <w:r>
        <w:t>.</w:t>
      </w:r>
      <w:r>
        <w:rPr>
          <w:rStyle w:val="FootnoteReference"/>
        </w:rPr>
        <w:footnoteReference w:id="253"/>
      </w:r>
      <w:r>
        <w:t xml:space="preserve">  The Bridger plant has experienced a higher level of </w:t>
      </w:r>
      <w:proofErr w:type="spellStart"/>
      <w:r>
        <w:t>derations</w:t>
      </w:r>
      <w:proofErr w:type="spellEnd"/>
      <w:r>
        <w:t xml:space="preserve"> due to increased reliance on coal from the underground mine and limitations on blending of coal.</w:t>
      </w:r>
      <w:r>
        <w:rPr>
          <w:rStyle w:val="FootnoteReference"/>
        </w:rPr>
        <w:footnoteReference w:id="254"/>
      </w:r>
      <w:r>
        <w:t xml:space="preserve">  </w:t>
      </w:r>
    </w:p>
    <w:p w:rsidR="00973298" w:rsidRDefault="002B0F2A">
      <w:pPr>
        <w:pStyle w:val="ListParagraph"/>
        <w:widowControl w:val="0"/>
        <w:numPr>
          <w:ilvl w:val="0"/>
          <w:numId w:val="12"/>
        </w:numPr>
        <w:tabs>
          <w:tab w:val="clear" w:pos="1440"/>
          <w:tab w:val="num" w:pos="720"/>
        </w:tabs>
        <w:spacing w:line="480" w:lineRule="auto"/>
        <w:ind w:left="0"/>
      </w:pPr>
      <w:r>
        <w:tab/>
      </w:r>
      <w:r w:rsidR="00AC625D">
        <w:t>ICNU’s proposed adjustment is inappropriate because it ignores the fact that the overall costs at the Bridger mine in NPC have decreased by $3.3 million on a WCA basis due to increased production and efficiency in the underground operation.</w:t>
      </w:r>
      <w:r w:rsidR="00AC625D">
        <w:rPr>
          <w:rStyle w:val="FootnoteReference"/>
        </w:rPr>
        <w:footnoteReference w:id="255"/>
      </w:r>
      <w:r w:rsidR="00AC625D">
        <w:t xml:space="preserve">  ICNU’s proposed adjustment would </w:t>
      </w:r>
      <w:r w:rsidR="006F2C03">
        <w:t xml:space="preserve">unfairly </w:t>
      </w:r>
      <w:r w:rsidR="00AC625D">
        <w:t>remove the costs associated with “low-quality” coal from the underground mine, but accept the lower costs resulting from the savings that result from the use of that coal.</w:t>
      </w:r>
      <w:r w:rsidR="00AC625D">
        <w:rPr>
          <w:rStyle w:val="FootnoteReference"/>
        </w:rPr>
        <w:footnoteReference w:id="256"/>
      </w:r>
      <w:r w:rsidR="00AC625D">
        <w:t xml:space="preserve">  </w:t>
      </w:r>
    </w:p>
    <w:p w:rsidR="00973298" w:rsidRDefault="00AC625D">
      <w:pPr>
        <w:widowControl w:val="0"/>
        <w:spacing w:line="480" w:lineRule="auto"/>
        <w:rPr>
          <w:rFonts w:ascii="Times New Roman" w:hAnsi="Times New Roman"/>
          <w:b/>
        </w:rPr>
      </w:pPr>
      <w:r>
        <w:rPr>
          <w:rFonts w:ascii="Times New Roman" w:hAnsi="Times New Roman"/>
          <w:b/>
        </w:rPr>
        <w:t>H</w:t>
      </w:r>
      <w:r w:rsidRPr="00FC6627">
        <w:rPr>
          <w:rFonts w:ascii="Times New Roman" w:hAnsi="Times New Roman"/>
          <w:b/>
        </w:rPr>
        <w:t>.</w:t>
      </w:r>
      <w:r w:rsidRPr="00FC6627">
        <w:rPr>
          <w:rFonts w:ascii="Times New Roman" w:hAnsi="Times New Roman"/>
          <w:b/>
        </w:rPr>
        <w:tab/>
      </w:r>
      <w:r>
        <w:rPr>
          <w:rFonts w:ascii="Times New Roman" w:hAnsi="Times New Roman"/>
          <w:b/>
        </w:rPr>
        <w:t>ICNU’s Planned Outage Schedule is Unreasonable.</w:t>
      </w:r>
    </w:p>
    <w:p w:rsidR="00973298" w:rsidRDefault="00AC625D">
      <w:pPr>
        <w:pStyle w:val="ListParagraph"/>
        <w:widowControl w:val="0"/>
        <w:numPr>
          <w:ilvl w:val="0"/>
          <w:numId w:val="12"/>
        </w:numPr>
        <w:tabs>
          <w:tab w:val="clear" w:pos="1440"/>
          <w:tab w:val="num" w:pos="720"/>
        </w:tabs>
        <w:spacing w:line="480" w:lineRule="auto"/>
        <w:ind w:left="0"/>
      </w:pPr>
      <w:r>
        <w:tab/>
        <w:t>ICNU proposes that its planned outage schedule be substituted for the one used by Company in modeling planned outages.  While the Company accepts ICNU’s proposed change to the Colstrip outage schedule,</w:t>
      </w:r>
      <w:r>
        <w:rPr>
          <w:rStyle w:val="FootnoteReference"/>
        </w:rPr>
        <w:footnoteReference w:id="257"/>
      </w:r>
      <w:r>
        <w:t xml:space="preserve"> the Company objects to ICNU’s proposed change to the Hermiston schedule.  ICNU’s proposal would move the Hermiston outage from the spring of 2011 to the spring of 2012, when “the economics of running the plant are least attractive.”</w:t>
      </w:r>
      <w:r>
        <w:rPr>
          <w:rStyle w:val="FootnoteReference"/>
        </w:rPr>
        <w:footnoteReference w:id="258"/>
      </w:r>
      <w:r>
        <w:t xml:space="preserve">  ICNU’s proposal is inappropriate because it unreasonably assumes that the Hermiston plant can </w:t>
      </w:r>
      <w:r>
        <w:lastRenderedPageBreak/>
        <w:t>go without a planned outage in 2011.</w:t>
      </w:r>
      <w:r>
        <w:rPr>
          <w:rStyle w:val="FootnoteReference"/>
        </w:rPr>
        <w:footnoteReference w:id="259"/>
      </w:r>
      <w:r>
        <w:t xml:space="preserve">  Also, ICNU’s proposal would mean that the Hermiston outage would occur in February and March of 2012, when winter peak loads can occur in the Pacific Northwest, rather than April and May of 2011, during the spring runoff.</w:t>
      </w:r>
      <w:r>
        <w:rPr>
          <w:rStyle w:val="FootnoteReference"/>
        </w:rPr>
        <w:footnoteReference w:id="260"/>
      </w:r>
      <w:r>
        <w:t xml:space="preserve">  Finally, the Commission has previously found that it is unreasonable to assume that maintenance is always timed to coincide with the period of lowest wholesale prices.</w:t>
      </w:r>
      <w:r>
        <w:rPr>
          <w:rStyle w:val="FootnoteReference"/>
        </w:rPr>
        <w:footnoteReference w:id="261"/>
      </w:r>
      <w:r>
        <w:t xml:space="preserve">  Given that ICNU’s proposal is based on timing the maintenance for when the economics of running the plant are least attractive and ignores other variables, the Company requests that the Commission reject this adjustment.</w:t>
      </w:r>
    </w:p>
    <w:p w:rsidR="00973298" w:rsidRDefault="00AC625D">
      <w:pPr>
        <w:widowControl w:val="0"/>
        <w:spacing w:after="240"/>
        <w:ind w:left="720" w:hanging="720"/>
        <w:rPr>
          <w:rFonts w:ascii="Times New Roman" w:hAnsi="Times New Roman"/>
          <w:b/>
        </w:rPr>
      </w:pPr>
      <w:r>
        <w:rPr>
          <w:rFonts w:ascii="Times New Roman" w:hAnsi="Times New Roman"/>
          <w:b/>
        </w:rPr>
        <w:t>I.</w:t>
      </w:r>
      <w:r>
        <w:rPr>
          <w:rFonts w:ascii="Times New Roman" w:hAnsi="Times New Roman"/>
          <w:b/>
        </w:rPr>
        <w:tab/>
        <w:t>The SMUD Delivery Pattern Should Reflect Normalized Data, Consistent with the Treatment of Similar Contracts.</w:t>
      </w:r>
    </w:p>
    <w:p w:rsidR="00973298" w:rsidRDefault="00AC625D">
      <w:pPr>
        <w:pStyle w:val="ListParagraph"/>
        <w:widowControl w:val="0"/>
        <w:numPr>
          <w:ilvl w:val="0"/>
          <w:numId w:val="12"/>
        </w:numPr>
        <w:tabs>
          <w:tab w:val="clear" w:pos="1440"/>
          <w:tab w:val="num" w:pos="720"/>
        </w:tabs>
        <w:spacing w:line="480" w:lineRule="auto"/>
        <w:ind w:left="0"/>
      </w:pPr>
      <w:r>
        <w:tab/>
        <w:t>Staff and ICNU propose substituting actual data for normalized data for modeling the SMUD call option sales contract.</w:t>
      </w:r>
      <w:r>
        <w:rPr>
          <w:rStyle w:val="FootnoteReference"/>
        </w:rPr>
        <w:footnoteReference w:id="262"/>
      </w:r>
      <w:r>
        <w:t xml:space="preserve">  Staff</w:t>
      </w:r>
      <w:r w:rsidR="00672AB1">
        <w:t>’s</w:t>
      </w:r>
      <w:r>
        <w:t xml:space="preserve"> and ICNU’s proposal should be rejected because the parties do not propose </w:t>
      </w:r>
      <w:proofErr w:type="spellStart"/>
      <w:r w:rsidR="00535679">
        <w:t>de</w:t>
      </w:r>
      <w:r>
        <w:t>optimizing</w:t>
      </w:r>
      <w:proofErr w:type="spellEnd"/>
      <w:r>
        <w:t xml:space="preserve"> all resources and contracts—only the SMUD contract, which results in a decrease to NPC.</w:t>
      </w:r>
      <w:r>
        <w:rPr>
          <w:rStyle w:val="FootnoteReference"/>
        </w:rPr>
        <w:footnoteReference w:id="263"/>
      </w:r>
      <w:r>
        <w:t xml:space="preserve">  Optimization of the Company’s operations decreases NPC on a net basis.</w:t>
      </w:r>
      <w:r>
        <w:rPr>
          <w:rStyle w:val="FootnoteReference"/>
        </w:rPr>
        <w:footnoteReference w:id="264"/>
      </w:r>
      <w:r>
        <w:t xml:space="preserve">  ICNU attempts to justify its selective and one-sided adjustment by arguing that the Company </w:t>
      </w:r>
      <w:r w:rsidR="00535679">
        <w:t>cannot model</w:t>
      </w:r>
      <w:r>
        <w:t xml:space="preserve"> the loads, constraints, or forward price curves used by SMUD.</w:t>
      </w:r>
      <w:r>
        <w:rPr>
          <w:rStyle w:val="FootnoteReference"/>
        </w:rPr>
        <w:footnoteReference w:id="265"/>
      </w:r>
      <w:r>
        <w:t xml:space="preserve">  Given the impossibility of obtaining such data, however, the only reasonable way to model such contracts is to assume the counterparties will act rationally and exercise their rights to lower their costs.</w:t>
      </w:r>
      <w:r>
        <w:rPr>
          <w:rStyle w:val="FootnoteReference"/>
        </w:rPr>
        <w:footnoteReference w:id="266"/>
      </w:r>
      <w:r>
        <w:t xml:space="preserve">  ICNU’s criticism also ignores the fact that actual market prices that SMUD will be evaluating in the test year will be different from historical prices.</w:t>
      </w:r>
      <w:r>
        <w:rPr>
          <w:rStyle w:val="FootnoteReference"/>
        </w:rPr>
        <w:footnoteReference w:id="267"/>
      </w:r>
      <w:r w:rsidR="006F2C03">
        <w:t xml:space="preserve">  This </w:t>
      </w:r>
      <w:r w:rsidR="006F2C03">
        <w:lastRenderedPageBreak/>
        <w:t>adjustment is an indirect way of disallowing costs associated with the SMUD contract, an adjustment that ICNU proposed and the Commission rejected in the 2006 GRC.</w:t>
      </w:r>
      <w:r w:rsidR="006F2C03">
        <w:rPr>
          <w:rStyle w:val="FootnoteReference"/>
        </w:rPr>
        <w:footnoteReference w:id="268"/>
      </w:r>
      <w:r w:rsidR="006F2C03">
        <w:t xml:space="preserve"> </w:t>
      </w:r>
    </w:p>
    <w:p w:rsidR="00973298" w:rsidRDefault="00AC625D">
      <w:pPr>
        <w:widowControl w:val="0"/>
        <w:spacing w:after="240"/>
        <w:ind w:left="720" w:hanging="720"/>
        <w:rPr>
          <w:rFonts w:ascii="Times New Roman" w:hAnsi="Times New Roman"/>
          <w:b/>
        </w:rPr>
      </w:pPr>
      <w:r>
        <w:rPr>
          <w:rFonts w:ascii="Times New Roman" w:hAnsi="Times New Roman"/>
          <w:b/>
        </w:rPr>
        <w:t>J.</w:t>
      </w:r>
      <w:r>
        <w:rPr>
          <w:rFonts w:ascii="Times New Roman" w:hAnsi="Times New Roman"/>
          <w:b/>
        </w:rPr>
        <w:tab/>
        <w:t xml:space="preserve">ICNU’s Minimum Loading and </w:t>
      </w:r>
      <w:proofErr w:type="spellStart"/>
      <w:r>
        <w:rPr>
          <w:rFonts w:ascii="Times New Roman" w:hAnsi="Times New Roman"/>
          <w:b/>
        </w:rPr>
        <w:t>Deration</w:t>
      </w:r>
      <w:proofErr w:type="spellEnd"/>
      <w:r>
        <w:rPr>
          <w:rFonts w:ascii="Times New Roman" w:hAnsi="Times New Roman"/>
          <w:b/>
        </w:rPr>
        <w:t xml:space="preserve"> Method Results in Artificial Reductions to NPC.</w:t>
      </w:r>
    </w:p>
    <w:p w:rsidR="00973298" w:rsidRDefault="00AC625D">
      <w:pPr>
        <w:pStyle w:val="ListParagraph"/>
        <w:widowControl w:val="0"/>
        <w:numPr>
          <w:ilvl w:val="0"/>
          <w:numId w:val="12"/>
        </w:numPr>
        <w:tabs>
          <w:tab w:val="clear" w:pos="1440"/>
          <w:tab w:val="num" w:pos="720"/>
        </w:tabs>
        <w:spacing w:line="480" w:lineRule="auto"/>
        <w:ind w:left="0"/>
      </w:pPr>
      <w:r>
        <w:tab/>
        <w:t xml:space="preserve">ICNU proposes to alter the Company’s method of </w:t>
      </w:r>
      <w:proofErr w:type="spellStart"/>
      <w:r>
        <w:t>derating</w:t>
      </w:r>
      <w:proofErr w:type="spellEnd"/>
      <w:r>
        <w:t xml:space="preserve"> the maximum capacity of generating units, which </w:t>
      </w:r>
      <w:proofErr w:type="spellStart"/>
      <w:r>
        <w:t>derates</w:t>
      </w:r>
      <w:proofErr w:type="spellEnd"/>
      <w:r>
        <w:t xml:space="preserve"> the maximum capacity of the unit in every hour of the year by an equal percent based on historic forced outage rates, </w:t>
      </w:r>
      <w:r w:rsidR="001E11C2">
        <w:t>and</w:t>
      </w:r>
      <w:r>
        <w:t xml:space="preserve"> results in a “haircut” in unit availability.</w:t>
      </w:r>
      <w:r>
        <w:rPr>
          <w:rStyle w:val="FootnoteReference"/>
        </w:rPr>
        <w:footnoteReference w:id="269"/>
      </w:r>
      <w:r>
        <w:t xml:space="preserve">  Mr. Falkenberg’s adjustment is inappropriate because the only time that the </w:t>
      </w:r>
      <w:proofErr w:type="spellStart"/>
      <w:r>
        <w:t>derate</w:t>
      </w:r>
      <w:proofErr w:type="spellEnd"/>
      <w:r>
        <w:t xml:space="preserve"> adjustment is applicable is when a unit is dispatched at its </w:t>
      </w:r>
      <w:proofErr w:type="spellStart"/>
      <w:r>
        <w:t>derated</w:t>
      </w:r>
      <w:proofErr w:type="spellEnd"/>
      <w:r>
        <w:t xml:space="preserve"> maximum capacity; at any level below that, GRID decided to dispatch the unit at a lower and less efficient generation level, whether it had been </w:t>
      </w:r>
      <w:proofErr w:type="spellStart"/>
      <w:r>
        <w:t>derated</w:t>
      </w:r>
      <w:proofErr w:type="spellEnd"/>
      <w:r>
        <w:t xml:space="preserve"> or not.</w:t>
      </w:r>
      <w:r>
        <w:rPr>
          <w:rStyle w:val="FootnoteReference"/>
        </w:rPr>
        <w:footnoteReference w:id="270"/>
      </w:r>
      <w:r>
        <w:t xml:space="preserve">  Mr. Duvall’s testimony shows that heat input required for various levels of generation is understated using the </w:t>
      </w:r>
      <w:proofErr w:type="spellStart"/>
      <w:r>
        <w:t>derate</w:t>
      </w:r>
      <w:proofErr w:type="spellEnd"/>
      <w:r>
        <w:t>-adjusted heat rate.</w:t>
      </w:r>
      <w:r>
        <w:rPr>
          <w:rStyle w:val="FootnoteReference"/>
        </w:rPr>
        <w:footnoteReference w:id="271"/>
      </w:r>
      <w:r>
        <w:t xml:space="preserve">  Mr. Falkenberg’s adjustment also reduces the minimum generation level of units below their technical capability, which artificially increases the operating range of each unit.</w:t>
      </w:r>
      <w:r>
        <w:rPr>
          <w:rStyle w:val="FootnoteReference"/>
        </w:rPr>
        <w:footnoteReference w:id="272"/>
      </w:r>
      <w:r>
        <w:t xml:space="preserve">  ICNU’s minimum loading and </w:t>
      </w:r>
      <w:proofErr w:type="spellStart"/>
      <w:r>
        <w:t>deration</w:t>
      </w:r>
      <w:proofErr w:type="spellEnd"/>
      <w:r>
        <w:t xml:space="preserve"> adjustment artificially reduces NPC.</w:t>
      </w:r>
    </w:p>
    <w:p w:rsidR="00973298" w:rsidRDefault="00AC625D">
      <w:pPr>
        <w:keepNext/>
        <w:widowControl w:val="0"/>
        <w:spacing w:line="480" w:lineRule="auto"/>
        <w:rPr>
          <w:rFonts w:ascii="Times New Roman" w:hAnsi="Times New Roman"/>
          <w:b/>
        </w:rPr>
      </w:pPr>
      <w:r>
        <w:rPr>
          <w:rFonts w:ascii="Times New Roman" w:hAnsi="Times New Roman"/>
          <w:b/>
        </w:rPr>
        <w:t>K.</w:t>
      </w:r>
      <w:r>
        <w:rPr>
          <w:rFonts w:ascii="Times New Roman" w:hAnsi="Times New Roman"/>
          <w:b/>
        </w:rPr>
        <w:tab/>
        <w:t>Additional Adjustments Accepted by the Parties</w:t>
      </w:r>
      <w:r w:rsidR="000E4436">
        <w:rPr>
          <w:rFonts w:ascii="Times New Roman" w:hAnsi="Times New Roman"/>
          <w:b/>
        </w:rPr>
        <w:t>.</w:t>
      </w:r>
    </w:p>
    <w:p w:rsidR="00973298" w:rsidRDefault="00AC625D">
      <w:pPr>
        <w:pStyle w:val="ListParagraph"/>
        <w:widowControl w:val="0"/>
        <w:numPr>
          <w:ilvl w:val="0"/>
          <w:numId w:val="12"/>
        </w:numPr>
        <w:tabs>
          <w:tab w:val="clear" w:pos="1440"/>
          <w:tab w:val="num" w:pos="720"/>
        </w:tabs>
        <w:spacing w:line="480" w:lineRule="auto"/>
        <w:ind w:left="0"/>
      </w:pPr>
      <w:r>
        <w:tab/>
        <w:t>In Mr. Duvall’s rebuttal testimony, he outlined the NPC adjustments accepted by the Company in whole and in part.</w:t>
      </w:r>
      <w:r>
        <w:rPr>
          <w:rStyle w:val="FootnoteReference"/>
        </w:rPr>
        <w:footnoteReference w:id="273"/>
      </w:r>
      <w:r>
        <w:t xml:space="preserve">  The Company believes that the adjustments it has accepted in part represent reasonable compromises of the issues raised by Staff and ICNU.  To the extent those parties disagree and continue to contest the adjustments that the Company accepted in part, the Company will address those adjustments in its reply brief.</w:t>
      </w:r>
    </w:p>
    <w:p w:rsidR="00973298" w:rsidRDefault="00AC625D">
      <w:pPr>
        <w:pStyle w:val="ListParagraph"/>
        <w:widowControl w:val="0"/>
        <w:numPr>
          <w:ilvl w:val="0"/>
          <w:numId w:val="12"/>
        </w:numPr>
        <w:tabs>
          <w:tab w:val="clear" w:pos="1440"/>
          <w:tab w:val="num" w:pos="720"/>
        </w:tabs>
        <w:spacing w:line="480" w:lineRule="auto"/>
        <w:ind w:left="0"/>
      </w:pPr>
      <w:r>
        <w:lastRenderedPageBreak/>
        <w:tab/>
        <w:t xml:space="preserve">Since the Company’s rebuttal testimony, additional NPC adjustments have been resolved as follows:  </w:t>
      </w:r>
    </w:p>
    <w:p w:rsidR="00973298" w:rsidRDefault="00AC625D">
      <w:pPr>
        <w:pStyle w:val="ListParagraph"/>
        <w:widowControl w:val="0"/>
        <w:numPr>
          <w:ilvl w:val="0"/>
          <w:numId w:val="14"/>
        </w:numPr>
        <w:spacing w:line="480" w:lineRule="auto"/>
        <w:ind w:left="720" w:hanging="630"/>
      </w:pPr>
      <w:r>
        <w:t>Update to Chehalis reserves:  As described in the Comp</w:t>
      </w:r>
      <w:r w:rsidR="002B0F2A">
        <w:t>any’s Response to Bench Request </w:t>
      </w:r>
      <w:r>
        <w:t>3, the Company has agreed to remove the Chehalis reserve update.</w:t>
      </w:r>
    </w:p>
    <w:p w:rsidR="00973298" w:rsidRDefault="00AC625D">
      <w:pPr>
        <w:pStyle w:val="ListParagraph"/>
        <w:widowControl w:val="0"/>
        <w:numPr>
          <w:ilvl w:val="0"/>
          <w:numId w:val="14"/>
        </w:numPr>
        <w:spacing w:line="480" w:lineRule="auto"/>
        <w:ind w:left="720" w:hanging="630"/>
      </w:pPr>
      <w:r>
        <w:t xml:space="preserve">SCL Stateline:  As described </w:t>
      </w:r>
      <w:r w:rsidR="00853F4F">
        <w:t xml:space="preserve">and qualified </w:t>
      </w:r>
      <w:r>
        <w:t xml:space="preserve">in the Company’s Response to Bench Request 3, in return for the Company’s agreement on the Chehalis reserves, Staff and ICNU have agreed to support the Company’s treatment of Seattle City Light Stateline as contained in the rebuttal testimony of Mr. Duvall. </w:t>
      </w:r>
    </w:p>
    <w:p w:rsidR="00973298" w:rsidRDefault="00AC625D">
      <w:pPr>
        <w:pStyle w:val="ListParagraph"/>
        <w:widowControl w:val="0"/>
        <w:numPr>
          <w:ilvl w:val="0"/>
          <w:numId w:val="14"/>
        </w:numPr>
        <w:spacing w:line="480" w:lineRule="auto"/>
        <w:ind w:left="720" w:hanging="630"/>
      </w:pPr>
      <w:r>
        <w:t>Staff, the Company, and ICNU agree to update NPC for the December 2010 official forward curve.</w:t>
      </w:r>
    </w:p>
    <w:p w:rsidR="00973298" w:rsidRDefault="007B797B">
      <w:pPr>
        <w:pStyle w:val="ListParagraph"/>
        <w:widowControl w:val="0"/>
        <w:numPr>
          <w:ilvl w:val="0"/>
          <w:numId w:val="14"/>
        </w:numPr>
        <w:spacing w:line="480" w:lineRule="auto"/>
        <w:ind w:left="720"/>
      </w:pPr>
      <w:r>
        <w:t>Start-</w:t>
      </w:r>
      <w:r w:rsidR="00AC625D">
        <w:t xml:space="preserve">up O&amp;M:  Based on Mr. Falkenberg’s admission at the hearing that </w:t>
      </w:r>
      <w:r w:rsidR="00B02559">
        <w:t xml:space="preserve">the </w:t>
      </w:r>
      <w:r w:rsidR="00AC625D">
        <w:t xml:space="preserve">Company did not include incremental O&amp;M start up costs in its filing, the Company believes that ICNU’s proposed adjustment to remove such costs is </w:t>
      </w:r>
      <w:r w:rsidR="001E11C2">
        <w:t>resolved</w:t>
      </w:r>
      <w:r w:rsidR="00AC625D">
        <w:t>.</w:t>
      </w:r>
      <w:r w:rsidR="00AC625D">
        <w:rPr>
          <w:rStyle w:val="FootnoteReference"/>
        </w:rPr>
        <w:footnoteReference w:id="274"/>
      </w:r>
    </w:p>
    <w:p w:rsidR="00973298" w:rsidRDefault="00B043C0">
      <w:pPr>
        <w:keepNext/>
        <w:widowControl w:val="0"/>
        <w:spacing w:line="480" w:lineRule="auto"/>
        <w:jc w:val="center"/>
        <w:rPr>
          <w:rFonts w:ascii="Times New Roman" w:hAnsi="Times New Roman"/>
          <w:b/>
        </w:rPr>
      </w:pPr>
      <w:r w:rsidRPr="005C76B4">
        <w:rPr>
          <w:rFonts w:ascii="Times New Roman" w:hAnsi="Times New Roman"/>
          <w:b/>
        </w:rPr>
        <w:t>VI.</w:t>
      </w:r>
      <w:r w:rsidRPr="005C76B4">
        <w:rPr>
          <w:rFonts w:ascii="Times New Roman" w:hAnsi="Times New Roman"/>
          <w:b/>
        </w:rPr>
        <w:tab/>
        <w:t>TAX ISSUES</w:t>
      </w:r>
    </w:p>
    <w:p w:rsidR="00973298" w:rsidRDefault="00B043C0">
      <w:pPr>
        <w:keepNext/>
        <w:widowControl w:val="0"/>
        <w:spacing w:line="480" w:lineRule="auto"/>
        <w:rPr>
          <w:rFonts w:ascii="Times New Roman" w:hAnsi="Times New Roman"/>
          <w:b/>
        </w:rPr>
      </w:pPr>
      <w:r>
        <w:rPr>
          <w:rFonts w:ascii="Times New Roman" w:hAnsi="Times New Roman"/>
          <w:b/>
        </w:rPr>
        <w:t>A.</w:t>
      </w:r>
      <w:r>
        <w:rPr>
          <w:rFonts w:ascii="Times New Roman" w:hAnsi="Times New Roman"/>
          <w:b/>
        </w:rPr>
        <w:tab/>
      </w:r>
      <w:r w:rsidRPr="005C76B4">
        <w:rPr>
          <w:rFonts w:ascii="Times New Roman" w:hAnsi="Times New Roman"/>
          <w:b/>
          <w:szCs w:val="24"/>
        </w:rPr>
        <w:t xml:space="preserve">Full </w:t>
      </w:r>
      <w:r w:rsidRPr="005C76B4">
        <w:rPr>
          <w:b/>
        </w:rPr>
        <w:t>Normalization</w:t>
      </w:r>
      <w:r w:rsidRPr="005C76B4">
        <w:rPr>
          <w:rFonts w:ascii="Times New Roman" w:hAnsi="Times New Roman"/>
          <w:b/>
          <w:szCs w:val="24"/>
        </w:rPr>
        <w:t xml:space="preserve"> Benefits Customers and is Good Policy</w:t>
      </w:r>
      <w:r>
        <w:rPr>
          <w:rFonts w:ascii="Times New Roman" w:hAnsi="Times New Roman"/>
          <w:b/>
          <w:szCs w:val="24"/>
        </w:rPr>
        <w:t>.</w:t>
      </w:r>
    </w:p>
    <w:p w:rsidR="00973298" w:rsidRDefault="00B043C0">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1E11C2">
        <w:rPr>
          <w:rFonts w:ascii="Times New Roman" w:hAnsi="Times New Roman"/>
          <w:szCs w:val="24"/>
        </w:rPr>
        <w:tab/>
        <w:t>Staff objected to the Company’s proposal to move to full normalization of income taxes because Staff maintained that it is the “Commission’s long-standing policy to use flow-through when it is lawful to do so.”</w:t>
      </w:r>
      <w:r w:rsidRPr="00991DAC">
        <w:rPr>
          <w:rStyle w:val="FootnoteReference"/>
          <w:rFonts w:ascii="Times New Roman" w:hAnsi="Times New Roman"/>
          <w:szCs w:val="24"/>
        </w:rPr>
        <w:footnoteReference w:id="275"/>
      </w:r>
      <w:r w:rsidRPr="001E11C2">
        <w:rPr>
          <w:rFonts w:ascii="Times New Roman" w:hAnsi="Times New Roman"/>
          <w:szCs w:val="24"/>
        </w:rPr>
        <w:t xml:space="preserve">  Staff cited four Commission orders from the 1980’s and one from the 1990’s to support </w:t>
      </w:r>
      <w:r w:rsidR="001E11C2">
        <w:rPr>
          <w:rFonts w:ascii="Times New Roman" w:hAnsi="Times New Roman"/>
          <w:szCs w:val="24"/>
        </w:rPr>
        <w:t>this</w:t>
      </w:r>
      <w:r w:rsidRPr="001E11C2">
        <w:rPr>
          <w:rFonts w:ascii="Times New Roman" w:hAnsi="Times New Roman"/>
          <w:szCs w:val="24"/>
        </w:rPr>
        <w:t xml:space="preserve"> contention</w:t>
      </w:r>
      <w:r w:rsidR="001E11C2">
        <w:rPr>
          <w:rFonts w:ascii="Times New Roman" w:hAnsi="Times New Roman"/>
          <w:szCs w:val="24"/>
        </w:rPr>
        <w:t>.</w:t>
      </w:r>
      <w:r w:rsidRPr="00991DAC">
        <w:rPr>
          <w:rStyle w:val="FootnoteReference"/>
          <w:rFonts w:ascii="Times New Roman" w:hAnsi="Times New Roman"/>
          <w:szCs w:val="24"/>
        </w:rPr>
        <w:footnoteReference w:id="276"/>
      </w:r>
      <w:r w:rsidRPr="001E11C2">
        <w:rPr>
          <w:rFonts w:ascii="Times New Roman" w:hAnsi="Times New Roman"/>
          <w:szCs w:val="24"/>
        </w:rPr>
        <w:t xml:space="preserve">  Staff witness Ms. Kathryn Breda</w:t>
      </w:r>
      <w:r w:rsidR="001E11C2">
        <w:rPr>
          <w:rFonts w:ascii="Times New Roman" w:hAnsi="Times New Roman"/>
          <w:szCs w:val="24"/>
        </w:rPr>
        <w:t>’s testimony</w:t>
      </w:r>
      <w:r w:rsidRPr="001E11C2">
        <w:rPr>
          <w:rFonts w:ascii="Times New Roman" w:hAnsi="Times New Roman"/>
          <w:szCs w:val="24"/>
        </w:rPr>
        <w:t xml:space="preserve"> </w:t>
      </w:r>
      <w:r w:rsidR="000E4436">
        <w:rPr>
          <w:rFonts w:ascii="Times New Roman" w:hAnsi="Times New Roman"/>
          <w:szCs w:val="24"/>
        </w:rPr>
        <w:t xml:space="preserve">also </w:t>
      </w:r>
      <w:r w:rsidRPr="001E11C2">
        <w:rPr>
          <w:rFonts w:ascii="Times New Roman" w:hAnsi="Times New Roman"/>
          <w:szCs w:val="24"/>
        </w:rPr>
        <w:t>identifie</w:t>
      </w:r>
      <w:r w:rsidR="001E11C2">
        <w:rPr>
          <w:rFonts w:ascii="Times New Roman" w:hAnsi="Times New Roman"/>
          <w:szCs w:val="24"/>
        </w:rPr>
        <w:t>s</w:t>
      </w:r>
      <w:r w:rsidRPr="001E11C2">
        <w:rPr>
          <w:rFonts w:ascii="Times New Roman" w:hAnsi="Times New Roman"/>
          <w:szCs w:val="24"/>
        </w:rPr>
        <w:t xml:space="preserve"> three orders from 1994, 2004, and 2005 where the Commission explicitly authorized the use of normalized accounting</w:t>
      </w:r>
      <w:r w:rsidR="001E11C2">
        <w:rPr>
          <w:rFonts w:ascii="Times New Roman" w:hAnsi="Times New Roman"/>
          <w:szCs w:val="24"/>
        </w:rPr>
        <w:t>, acknowledging that:</w:t>
      </w:r>
      <w:r w:rsidRPr="001E11C2">
        <w:rPr>
          <w:rFonts w:ascii="Times New Roman" w:hAnsi="Times New Roman"/>
          <w:szCs w:val="24"/>
        </w:rPr>
        <w:t xml:space="preserve"> “The Commission has approved </w:t>
      </w:r>
      <w:r w:rsidRPr="001E11C2">
        <w:rPr>
          <w:rFonts w:ascii="Times New Roman" w:hAnsi="Times New Roman"/>
          <w:szCs w:val="24"/>
        </w:rPr>
        <w:lastRenderedPageBreak/>
        <w:t>normalization for many single issues.”</w:t>
      </w:r>
      <w:r>
        <w:rPr>
          <w:rStyle w:val="FootnoteReference"/>
          <w:rFonts w:ascii="Times New Roman" w:hAnsi="Times New Roman"/>
          <w:szCs w:val="24"/>
        </w:rPr>
        <w:footnoteReference w:id="277"/>
      </w:r>
      <w:r w:rsidRPr="001E11C2">
        <w:rPr>
          <w:rFonts w:ascii="Times New Roman" w:hAnsi="Times New Roman"/>
          <w:szCs w:val="24"/>
        </w:rPr>
        <w:t xml:space="preserve">  </w:t>
      </w:r>
      <w:r w:rsidR="001E11C2">
        <w:rPr>
          <w:rFonts w:ascii="Times New Roman" w:hAnsi="Times New Roman"/>
          <w:szCs w:val="24"/>
        </w:rPr>
        <w:t>I</w:t>
      </w:r>
      <w:r w:rsidRPr="001E11C2">
        <w:rPr>
          <w:rFonts w:ascii="Times New Roman" w:hAnsi="Times New Roman"/>
          <w:szCs w:val="24"/>
        </w:rPr>
        <w:t xml:space="preserve">n response to a Company data request, Ms. Breda identified </w:t>
      </w:r>
      <w:r w:rsidR="00672AB1" w:rsidRPr="001E11C2">
        <w:rPr>
          <w:rFonts w:ascii="Times New Roman" w:hAnsi="Times New Roman"/>
          <w:szCs w:val="24"/>
        </w:rPr>
        <w:t>14</w:t>
      </w:r>
      <w:r w:rsidRPr="001E11C2">
        <w:rPr>
          <w:rFonts w:ascii="Times New Roman" w:hAnsi="Times New Roman"/>
          <w:szCs w:val="24"/>
        </w:rPr>
        <w:t xml:space="preserve"> additional Commission orders authorizing normalized accounting.</w:t>
      </w:r>
      <w:r>
        <w:rPr>
          <w:rStyle w:val="FootnoteReference"/>
          <w:rFonts w:ascii="Times New Roman" w:hAnsi="Times New Roman"/>
          <w:szCs w:val="24"/>
        </w:rPr>
        <w:footnoteReference w:id="278"/>
      </w:r>
      <w:r w:rsidRPr="001E11C2">
        <w:rPr>
          <w:rFonts w:ascii="Times New Roman" w:hAnsi="Times New Roman"/>
          <w:szCs w:val="24"/>
        </w:rPr>
        <w:t xml:space="preserve">  </w:t>
      </w:r>
      <w:r w:rsidR="001E11C2">
        <w:rPr>
          <w:rFonts w:ascii="Times New Roman" w:hAnsi="Times New Roman"/>
          <w:szCs w:val="24"/>
        </w:rPr>
        <w:t xml:space="preserve">Almost all of these orders </w:t>
      </w:r>
      <w:r w:rsidRPr="001E11C2">
        <w:rPr>
          <w:rFonts w:ascii="Times New Roman" w:hAnsi="Times New Roman"/>
          <w:szCs w:val="24"/>
        </w:rPr>
        <w:t xml:space="preserve">post-date the </w:t>
      </w:r>
      <w:r w:rsidR="000E4436">
        <w:rPr>
          <w:rFonts w:ascii="Times New Roman" w:hAnsi="Times New Roman"/>
          <w:szCs w:val="24"/>
        </w:rPr>
        <w:t xml:space="preserve">flow-through </w:t>
      </w:r>
      <w:r w:rsidRPr="001E11C2">
        <w:rPr>
          <w:rFonts w:ascii="Times New Roman" w:hAnsi="Times New Roman"/>
          <w:szCs w:val="24"/>
        </w:rPr>
        <w:t>orders Ms. Breda</w:t>
      </w:r>
      <w:r w:rsidR="001E11C2">
        <w:rPr>
          <w:rFonts w:ascii="Times New Roman" w:hAnsi="Times New Roman"/>
          <w:szCs w:val="24"/>
        </w:rPr>
        <w:t xml:space="preserve"> relied upon</w:t>
      </w:r>
      <w:r w:rsidR="000F48B1">
        <w:rPr>
          <w:rFonts w:ascii="Times New Roman" w:hAnsi="Times New Roman"/>
          <w:szCs w:val="24"/>
        </w:rPr>
        <w:t xml:space="preserve">, suggesting that </w:t>
      </w:r>
      <w:r w:rsidRPr="001E11C2">
        <w:rPr>
          <w:rFonts w:ascii="Times New Roman" w:hAnsi="Times New Roman"/>
          <w:szCs w:val="24"/>
        </w:rPr>
        <w:t>the Commission’s policy is moving towards full normalization</w:t>
      </w:r>
      <w:r w:rsidR="000F48B1">
        <w:rPr>
          <w:rFonts w:ascii="Times New Roman" w:hAnsi="Times New Roman"/>
          <w:szCs w:val="24"/>
        </w:rPr>
        <w:t>.</w:t>
      </w:r>
      <w:r w:rsidRPr="001E11C2">
        <w:rPr>
          <w:rFonts w:ascii="Times New Roman" w:hAnsi="Times New Roman"/>
          <w:szCs w:val="24"/>
        </w:rPr>
        <w:t xml:space="preserve"> </w:t>
      </w:r>
    </w:p>
    <w:p w:rsidR="00973298" w:rsidRDefault="00B043C0">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5C76B4">
        <w:rPr>
          <w:rFonts w:ascii="Times New Roman" w:hAnsi="Times New Roman"/>
          <w:szCs w:val="24"/>
        </w:rPr>
        <w:tab/>
      </w:r>
      <w:r w:rsidR="00590D5F">
        <w:rPr>
          <w:rFonts w:ascii="Times New Roman" w:hAnsi="Times New Roman"/>
          <w:szCs w:val="24"/>
        </w:rPr>
        <w:t>W</w:t>
      </w:r>
      <w:r>
        <w:rPr>
          <w:rFonts w:ascii="Times New Roman" w:hAnsi="Times New Roman"/>
          <w:szCs w:val="24"/>
        </w:rPr>
        <w:t>hile offering no policy arguments in support of flow-through accounting</w:t>
      </w:r>
      <w:r w:rsidR="000E4436">
        <w:rPr>
          <w:rFonts w:ascii="Times New Roman" w:hAnsi="Times New Roman"/>
          <w:szCs w:val="24"/>
        </w:rPr>
        <w:t>,</w:t>
      </w:r>
      <w:r>
        <w:rPr>
          <w:rStyle w:val="FootnoteReference"/>
          <w:rFonts w:ascii="Times New Roman" w:hAnsi="Times New Roman"/>
          <w:szCs w:val="24"/>
        </w:rPr>
        <w:footnoteReference w:id="279"/>
      </w:r>
      <w:r>
        <w:rPr>
          <w:rFonts w:ascii="Times New Roman" w:hAnsi="Times New Roman"/>
          <w:szCs w:val="24"/>
        </w:rPr>
        <w:t xml:space="preserve"> </w:t>
      </w:r>
      <w:r w:rsidRPr="005C76B4">
        <w:rPr>
          <w:rFonts w:ascii="Times New Roman" w:hAnsi="Times New Roman"/>
          <w:szCs w:val="24"/>
        </w:rPr>
        <w:t>Ms. Breda’s testimony admitted that normalization is more consistent with sound ratemaking principles and “upholds the matching principle and provides for intergeneration</w:t>
      </w:r>
      <w:r w:rsidR="007447D2">
        <w:rPr>
          <w:rFonts w:ascii="Times New Roman" w:hAnsi="Times New Roman"/>
          <w:szCs w:val="24"/>
        </w:rPr>
        <w:t>al</w:t>
      </w:r>
      <w:r w:rsidRPr="005C76B4">
        <w:rPr>
          <w:rFonts w:ascii="Times New Roman" w:hAnsi="Times New Roman"/>
          <w:szCs w:val="24"/>
        </w:rPr>
        <w:t xml:space="preserve"> equity.”</w:t>
      </w:r>
      <w:r>
        <w:rPr>
          <w:rStyle w:val="FootnoteReference"/>
          <w:rFonts w:ascii="Times New Roman" w:hAnsi="Times New Roman"/>
          <w:szCs w:val="24"/>
        </w:rPr>
        <w:footnoteReference w:id="280"/>
      </w:r>
      <w:r w:rsidRPr="005C76B4">
        <w:rPr>
          <w:rFonts w:ascii="Times New Roman" w:hAnsi="Times New Roman"/>
          <w:szCs w:val="24"/>
        </w:rPr>
        <w:t xml:space="preserve">  </w:t>
      </w:r>
      <w:r w:rsidR="000F48B1">
        <w:rPr>
          <w:rFonts w:ascii="Times New Roman" w:hAnsi="Times New Roman"/>
          <w:szCs w:val="24"/>
        </w:rPr>
        <w:t xml:space="preserve"> </w:t>
      </w:r>
      <w:r w:rsidRPr="005C76B4">
        <w:rPr>
          <w:rFonts w:ascii="Times New Roman" w:hAnsi="Times New Roman"/>
          <w:szCs w:val="24"/>
        </w:rPr>
        <w:t>Normalizing “matches tax benefits with cost responsibility and prevents customers who pay for the cost of an asset well past its tax life from paying a disproportionately higher tax rate than customers that pay for the same asset during its tax life.”</w:t>
      </w:r>
      <w:r>
        <w:rPr>
          <w:rStyle w:val="FootnoteReference"/>
          <w:rFonts w:ascii="Times New Roman" w:hAnsi="Times New Roman"/>
          <w:szCs w:val="24"/>
        </w:rPr>
        <w:footnoteReference w:id="281"/>
      </w:r>
    </w:p>
    <w:p w:rsidR="00973298" w:rsidRDefault="000E4436">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 xml:space="preserve">Staff’s </w:t>
      </w:r>
      <w:r w:rsidR="000F48B1">
        <w:rPr>
          <w:rFonts w:ascii="Times New Roman" w:hAnsi="Times New Roman"/>
          <w:szCs w:val="24"/>
        </w:rPr>
        <w:t xml:space="preserve">support of the Company’s proposal to normalize the </w:t>
      </w:r>
      <w:r w:rsidR="00B043C0" w:rsidRPr="005C76B4">
        <w:rPr>
          <w:rFonts w:ascii="Times New Roman" w:hAnsi="Times New Roman"/>
          <w:szCs w:val="24"/>
        </w:rPr>
        <w:t>repairs deduction also points to another important customer benefit provided by normalization—the selection of the test year does not determine the extent, if any, of customer benefit resulting from a “significant reduction in taxes payable.”</w:t>
      </w:r>
      <w:r w:rsidR="00B043C0">
        <w:rPr>
          <w:rStyle w:val="FootnoteReference"/>
          <w:rFonts w:ascii="Times New Roman" w:hAnsi="Times New Roman"/>
          <w:szCs w:val="24"/>
        </w:rPr>
        <w:footnoteReference w:id="282"/>
      </w:r>
      <w:r w:rsidR="00B043C0" w:rsidRPr="005C76B4">
        <w:rPr>
          <w:rFonts w:ascii="Times New Roman" w:hAnsi="Times New Roman"/>
          <w:szCs w:val="24"/>
        </w:rPr>
        <w:t xml:space="preserve">  Ms. Breda </w:t>
      </w:r>
      <w:r w:rsidR="000F48B1">
        <w:rPr>
          <w:rFonts w:ascii="Times New Roman" w:hAnsi="Times New Roman"/>
          <w:szCs w:val="24"/>
        </w:rPr>
        <w:t xml:space="preserve">correctly testified </w:t>
      </w:r>
      <w:r w:rsidR="00B043C0" w:rsidRPr="005C76B4">
        <w:rPr>
          <w:rFonts w:ascii="Times New Roman" w:hAnsi="Times New Roman"/>
          <w:szCs w:val="24"/>
        </w:rPr>
        <w:t>that under flow-through accounting “ratepayers could lose the rate impact of tax benefits” that occur outside the test period and that the flow-through method “may cause fluctuations in taxes reflected in cost of service for ratemaking purposes.”</w:t>
      </w:r>
      <w:r w:rsidR="00B043C0">
        <w:rPr>
          <w:rStyle w:val="FootnoteReference"/>
          <w:rFonts w:ascii="Times New Roman" w:hAnsi="Times New Roman"/>
          <w:szCs w:val="24"/>
        </w:rPr>
        <w:footnoteReference w:id="283"/>
      </w:r>
      <w:r w:rsidR="00B043C0" w:rsidRPr="005C76B4">
        <w:rPr>
          <w:rFonts w:ascii="Times New Roman" w:hAnsi="Times New Roman"/>
          <w:szCs w:val="24"/>
        </w:rPr>
        <w:t xml:space="preserve">  Under flow-through accounting, customers would have permanently lost </w:t>
      </w:r>
      <w:r>
        <w:rPr>
          <w:rFonts w:ascii="Times New Roman" w:hAnsi="Times New Roman"/>
          <w:szCs w:val="24"/>
        </w:rPr>
        <w:t xml:space="preserve">the repairs deduction’s </w:t>
      </w:r>
      <w:r w:rsidR="00B043C0" w:rsidRPr="005C76B4">
        <w:rPr>
          <w:rFonts w:ascii="Times New Roman" w:hAnsi="Times New Roman"/>
          <w:szCs w:val="24"/>
        </w:rPr>
        <w:t>Washington-allocated tax benefits of $25.3 million because these benefits would have been outside the test period.</w:t>
      </w:r>
      <w:r w:rsidR="00B043C0">
        <w:rPr>
          <w:rStyle w:val="FootnoteReference"/>
          <w:rFonts w:ascii="Times New Roman" w:hAnsi="Times New Roman"/>
          <w:szCs w:val="24"/>
        </w:rPr>
        <w:footnoteReference w:id="284"/>
      </w:r>
      <w:r w:rsidR="00B043C0" w:rsidRPr="005C76B4">
        <w:rPr>
          <w:rFonts w:ascii="Times New Roman" w:hAnsi="Times New Roman"/>
          <w:szCs w:val="24"/>
        </w:rPr>
        <w:t xml:space="preserve">  </w:t>
      </w:r>
      <w:r w:rsidR="00BD3AEB">
        <w:rPr>
          <w:rFonts w:ascii="Times New Roman" w:hAnsi="Times New Roman"/>
          <w:szCs w:val="24"/>
        </w:rPr>
        <w:t>In this case, the Company proposed to avoid the harsh outcome of flow</w:t>
      </w:r>
      <w:r w:rsidR="00AC3F5A">
        <w:rPr>
          <w:rFonts w:ascii="Times New Roman" w:hAnsi="Times New Roman"/>
          <w:szCs w:val="24"/>
        </w:rPr>
        <w:t>-</w:t>
      </w:r>
      <w:r w:rsidR="00BD3AEB">
        <w:rPr>
          <w:rFonts w:ascii="Times New Roman" w:hAnsi="Times New Roman"/>
          <w:szCs w:val="24"/>
        </w:rPr>
        <w:t xml:space="preserve">through accounting by volunteering to treat the repairs deduction as a </w:t>
      </w:r>
      <w:r w:rsidR="00BD3AEB">
        <w:rPr>
          <w:rFonts w:ascii="Times New Roman" w:hAnsi="Times New Roman"/>
          <w:szCs w:val="24"/>
        </w:rPr>
        <w:lastRenderedPageBreak/>
        <w:t>normalized item</w:t>
      </w:r>
      <w:r w:rsidR="00B043C0" w:rsidRPr="005C76B4">
        <w:rPr>
          <w:rFonts w:ascii="Times New Roman" w:hAnsi="Times New Roman"/>
          <w:szCs w:val="24"/>
        </w:rPr>
        <w:t>.</w:t>
      </w:r>
      <w:r w:rsidR="00B043C0">
        <w:rPr>
          <w:rStyle w:val="FootnoteReference"/>
          <w:rFonts w:ascii="Times New Roman" w:hAnsi="Times New Roman"/>
          <w:szCs w:val="24"/>
        </w:rPr>
        <w:footnoteReference w:id="285"/>
      </w:r>
      <w:r w:rsidR="00B043C0" w:rsidRPr="005C76B4">
        <w:rPr>
          <w:rFonts w:ascii="Times New Roman" w:hAnsi="Times New Roman"/>
          <w:szCs w:val="24"/>
        </w:rPr>
        <w:t xml:space="preserve">  </w:t>
      </w:r>
      <w:r w:rsidR="00BD3AEB">
        <w:rPr>
          <w:rFonts w:ascii="Times New Roman" w:hAnsi="Times New Roman"/>
          <w:szCs w:val="24"/>
        </w:rPr>
        <w:t xml:space="preserve"> There is little </w:t>
      </w:r>
      <w:r w:rsidR="00B043C0">
        <w:rPr>
          <w:rFonts w:ascii="Times New Roman" w:hAnsi="Times New Roman"/>
          <w:szCs w:val="24"/>
        </w:rPr>
        <w:t xml:space="preserve">policy </w:t>
      </w:r>
      <w:r w:rsidR="00BD3AEB">
        <w:rPr>
          <w:rFonts w:ascii="Times New Roman" w:hAnsi="Times New Roman"/>
          <w:szCs w:val="24"/>
        </w:rPr>
        <w:t xml:space="preserve">justification for accepting this approach for items with large revenue impacts such as the repairs deduction, while rejecting normalization for </w:t>
      </w:r>
      <w:r w:rsidR="00AC3F5A">
        <w:rPr>
          <w:rFonts w:ascii="Times New Roman" w:hAnsi="Times New Roman"/>
          <w:szCs w:val="24"/>
        </w:rPr>
        <w:t xml:space="preserve">other </w:t>
      </w:r>
      <w:r w:rsidR="00B043C0">
        <w:rPr>
          <w:rFonts w:ascii="Times New Roman" w:hAnsi="Times New Roman"/>
          <w:szCs w:val="24"/>
        </w:rPr>
        <w:t>book-tax differences.</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 xml:space="preserve">Authorizing full normalization </w:t>
      </w:r>
      <w:r w:rsidR="00B043C0">
        <w:rPr>
          <w:rFonts w:ascii="Times New Roman" w:hAnsi="Times New Roman"/>
          <w:szCs w:val="24"/>
        </w:rPr>
        <w:t xml:space="preserve">in this case would </w:t>
      </w:r>
      <w:r w:rsidR="00B043C0" w:rsidRPr="005C76B4">
        <w:rPr>
          <w:rFonts w:ascii="Times New Roman" w:hAnsi="Times New Roman"/>
          <w:szCs w:val="24"/>
        </w:rPr>
        <w:t>create</w:t>
      </w:r>
      <w:r w:rsidR="00B043C0">
        <w:rPr>
          <w:rFonts w:ascii="Times New Roman" w:hAnsi="Times New Roman"/>
          <w:szCs w:val="24"/>
        </w:rPr>
        <w:t xml:space="preserve"> a clear and unambiguous policy, which is important to PacifiCorp, its regulators, its auditors, and its customers</w:t>
      </w:r>
      <w:r w:rsidR="00B043C0" w:rsidRPr="005C76B4">
        <w:rPr>
          <w:rFonts w:ascii="Times New Roman" w:hAnsi="Times New Roman"/>
          <w:szCs w:val="24"/>
        </w:rPr>
        <w:t>.</w:t>
      </w:r>
      <w:r w:rsidR="00B043C0">
        <w:rPr>
          <w:rStyle w:val="FootnoteReference"/>
          <w:rFonts w:ascii="Times New Roman" w:hAnsi="Times New Roman"/>
          <w:szCs w:val="24"/>
        </w:rPr>
        <w:footnoteReference w:id="286"/>
      </w:r>
      <w:r w:rsidR="00B043C0" w:rsidRPr="005C76B4">
        <w:rPr>
          <w:rFonts w:ascii="Times New Roman" w:hAnsi="Times New Roman"/>
          <w:szCs w:val="24"/>
        </w:rPr>
        <w:t xml:space="preserve">  </w:t>
      </w:r>
      <w:r w:rsidR="00B043C0">
        <w:rPr>
          <w:rFonts w:ascii="Times New Roman" w:hAnsi="Times New Roman"/>
          <w:szCs w:val="24"/>
        </w:rPr>
        <w:t>A general policy of flow-through accounting with s</w:t>
      </w:r>
      <w:r w:rsidR="00B043C0" w:rsidRPr="005C76B4">
        <w:rPr>
          <w:rFonts w:ascii="Times New Roman" w:hAnsi="Times New Roman"/>
          <w:szCs w:val="24"/>
        </w:rPr>
        <w:t>elective</w:t>
      </w:r>
      <w:r w:rsidR="00B043C0">
        <w:rPr>
          <w:rFonts w:ascii="Times New Roman" w:hAnsi="Times New Roman"/>
          <w:szCs w:val="24"/>
        </w:rPr>
        <w:t xml:space="preserve"> or even implicit</w:t>
      </w:r>
      <w:r w:rsidR="00B043C0" w:rsidRPr="005C76B4">
        <w:rPr>
          <w:rFonts w:ascii="Times New Roman" w:hAnsi="Times New Roman"/>
          <w:szCs w:val="24"/>
        </w:rPr>
        <w:t xml:space="preserve"> authorization to use normalized accounting creates </w:t>
      </w:r>
      <w:r w:rsidR="00B043C0">
        <w:rPr>
          <w:rFonts w:ascii="Times New Roman" w:hAnsi="Times New Roman"/>
          <w:szCs w:val="24"/>
        </w:rPr>
        <w:t xml:space="preserve">huge </w:t>
      </w:r>
      <w:r w:rsidR="00B043C0" w:rsidRPr="005C76B4">
        <w:rPr>
          <w:rFonts w:ascii="Times New Roman" w:hAnsi="Times New Roman"/>
          <w:szCs w:val="24"/>
        </w:rPr>
        <w:t xml:space="preserve">regulatory </w:t>
      </w:r>
      <w:r w:rsidR="00B043C0">
        <w:rPr>
          <w:rFonts w:ascii="Times New Roman" w:hAnsi="Times New Roman"/>
          <w:szCs w:val="24"/>
        </w:rPr>
        <w:t xml:space="preserve">and accounting </w:t>
      </w:r>
      <w:r w:rsidR="00B043C0" w:rsidRPr="005C76B4">
        <w:rPr>
          <w:rFonts w:ascii="Times New Roman" w:hAnsi="Times New Roman"/>
          <w:szCs w:val="24"/>
        </w:rPr>
        <w:t xml:space="preserve">uncertainty, especially because the Company </w:t>
      </w:r>
      <w:r w:rsidR="00557B47">
        <w:rPr>
          <w:rFonts w:ascii="Times New Roman" w:hAnsi="Times New Roman"/>
          <w:szCs w:val="24"/>
        </w:rPr>
        <w:t>must account</w:t>
      </w:r>
      <w:r w:rsidR="00B043C0">
        <w:rPr>
          <w:rFonts w:ascii="Times New Roman" w:hAnsi="Times New Roman"/>
          <w:szCs w:val="24"/>
        </w:rPr>
        <w:t xml:space="preserve"> for its book-tax differences well prior to filing a general rate case</w:t>
      </w:r>
      <w:r w:rsidR="00B043C0" w:rsidRPr="005C76B4">
        <w:rPr>
          <w:rFonts w:ascii="Times New Roman" w:hAnsi="Times New Roman"/>
          <w:szCs w:val="24"/>
        </w:rPr>
        <w:t>.</w:t>
      </w:r>
      <w:r w:rsidR="00B043C0">
        <w:rPr>
          <w:rStyle w:val="FootnoteReference"/>
          <w:rFonts w:ascii="Times New Roman" w:hAnsi="Times New Roman"/>
          <w:szCs w:val="24"/>
        </w:rPr>
        <w:footnoteReference w:id="287"/>
      </w:r>
      <w:r w:rsidR="00B043C0" w:rsidRPr="005C76B4">
        <w:rPr>
          <w:rFonts w:ascii="Times New Roman" w:hAnsi="Times New Roman"/>
          <w:szCs w:val="24"/>
        </w:rPr>
        <w:t xml:space="preserve">  Even Staff appears unclear </w:t>
      </w:r>
      <w:r w:rsidR="00672AB1">
        <w:rPr>
          <w:rFonts w:ascii="Times New Roman" w:hAnsi="Times New Roman"/>
          <w:szCs w:val="24"/>
        </w:rPr>
        <w:t xml:space="preserve">as to </w:t>
      </w:r>
      <w:r w:rsidR="00B043C0" w:rsidRPr="005C76B4">
        <w:rPr>
          <w:rFonts w:ascii="Times New Roman" w:hAnsi="Times New Roman"/>
          <w:szCs w:val="24"/>
        </w:rPr>
        <w:t xml:space="preserve">when and to what extent Washington’s utilities </w:t>
      </w:r>
      <w:r w:rsidR="00B043C0">
        <w:rPr>
          <w:rFonts w:ascii="Times New Roman" w:hAnsi="Times New Roman"/>
          <w:szCs w:val="24"/>
        </w:rPr>
        <w:t xml:space="preserve">currently </w:t>
      </w:r>
      <w:r w:rsidR="00B043C0" w:rsidRPr="005C76B4">
        <w:rPr>
          <w:rFonts w:ascii="Times New Roman" w:hAnsi="Times New Roman"/>
          <w:szCs w:val="24"/>
        </w:rPr>
        <w:t>use normalized accounting.</w:t>
      </w:r>
      <w:r w:rsidR="00B043C0">
        <w:rPr>
          <w:rStyle w:val="FootnoteReference"/>
          <w:rFonts w:ascii="Times New Roman" w:hAnsi="Times New Roman"/>
          <w:szCs w:val="24"/>
        </w:rPr>
        <w:footnoteReference w:id="288"/>
      </w:r>
      <w:r w:rsidR="00B043C0" w:rsidRPr="005C76B4">
        <w:rPr>
          <w:rFonts w:ascii="Times New Roman" w:hAnsi="Times New Roman"/>
          <w:szCs w:val="24"/>
        </w:rPr>
        <w:t xml:space="preserve">  At hearing Ms. Breda testified that “it’s difficult to come up with a list [o</w:t>
      </w:r>
      <w:r w:rsidR="00B043C0">
        <w:rPr>
          <w:rFonts w:ascii="Times New Roman" w:hAnsi="Times New Roman"/>
          <w:szCs w:val="24"/>
        </w:rPr>
        <w:t>f</w:t>
      </w:r>
      <w:r w:rsidR="00B043C0" w:rsidRPr="005C76B4">
        <w:rPr>
          <w:rFonts w:ascii="Times New Roman" w:hAnsi="Times New Roman"/>
          <w:szCs w:val="24"/>
        </w:rPr>
        <w:t xml:space="preserve"> orders authorizing normalization] because it’s not always discussed.”</w:t>
      </w:r>
      <w:r w:rsidR="00B043C0">
        <w:rPr>
          <w:rStyle w:val="FootnoteReference"/>
          <w:rFonts w:ascii="Times New Roman" w:hAnsi="Times New Roman"/>
          <w:szCs w:val="24"/>
        </w:rPr>
        <w:footnoteReference w:id="289"/>
      </w:r>
      <w:r>
        <w:rPr>
          <w:rFonts w:ascii="Times New Roman" w:hAnsi="Times New Roman"/>
          <w:szCs w:val="24"/>
        </w:rPr>
        <w:t xml:space="preserve">  </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Pr>
          <w:rFonts w:ascii="Times New Roman" w:hAnsi="Times New Roman"/>
          <w:szCs w:val="24"/>
        </w:rPr>
        <w:t>T</w:t>
      </w:r>
      <w:r w:rsidR="00B043C0" w:rsidRPr="005C76B4">
        <w:rPr>
          <w:rFonts w:ascii="Times New Roman" w:hAnsi="Times New Roman"/>
          <w:szCs w:val="24"/>
        </w:rPr>
        <w:t>his case represents an excellent opportunity for the Commission to authorize a move to full normalization with minimal customer impact.</w:t>
      </w:r>
      <w:r w:rsidR="00B043C0">
        <w:rPr>
          <w:rStyle w:val="FootnoteReference"/>
          <w:rFonts w:ascii="Times New Roman" w:hAnsi="Times New Roman"/>
          <w:szCs w:val="24"/>
        </w:rPr>
        <w:footnoteReference w:id="290"/>
      </w:r>
      <w:r w:rsidR="00B043C0" w:rsidRPr="005C76B4">
        <w:rPr>
          <w:rFonts w:ascii="Times New Roman" w:hAnsi="Times New Roman"/>
          <w:szCs w:val="24"/>
        </w:rPr>
        <w:t xml:space="preserve">  </w:t>
      </w:r>
      <w:r w:rsidR="003A43AF">
        <w:rPr>
          <w:rFonts w:ascii="Times New Roman" w:hAnsi="Times New Roman"/>
          <w:szCs w:val="24"/>
        </w:rPr>
        <w:t>T</w:t>
      </w:r>
      <w:r w:rsidR="00B043C0" w:rsidRPr="005C76B4">
        <w:rPr>
          <w:rFonts w:ascii="Times New Roman" w:hAnsi="Times New Roman"/>
          <w:szCs w:val="24"/>
        </w:rPr>
        <w:t xml:space="preserve">he Company’s evidence demonstrated that a move to full normalization actually </w:t>
      </w:r>
      <w:r w:rsidR="00B043C0" w:rsidRPr="005C76B4">
        <w:rPr>
          <w:rFonts w:ascii="Times New Roman" w:hAnsi="Times New Roman"/>
          <w:i/>
          <w:szCs w:val="24"/>
        </w:rPr>
        <w:t>reduces</w:t>
      </w:r>
      <w:r w:rsidR="00B043C0" w:rsidRPr="005C76B4">
        <w:rPr>
          <w:rFonts w:ascii="Times New Roman" w:hAnsi="Times New Roman"/>
          <w:szCs w:val="24"/>
        </w:rPr>
        <w:t xml:space="preserve"> the test year revenue requirement and the flow-through effects from past periods will have no net effect on customers under the Company’s proposal.</w:t>
      </w:r>
      <w:r w:rsidR="00B043C0">
        <w:rPr>
          <w:rStyle w:val="FootnoteReference"/>
          <w:rFonts w:ascii="Times New Roman" w:hAnsi="Times New Roman"/>
          <w:szCs w:val="24"/>
        </w:rPr>
        <w:footnoteReference w:id="291"/>
      </w:r>
      <w:r w:rsidR="00B043C0" w:rsidRPr="005C76B4">
        <w:rPr>
          <w:rFonts w:ascii="Times New Roman" w:hAnsi="Times New Roman"/>
          <w:szCs w:val="24"/>
        </w:rPr>
        <w:t xml:space="preserve">  Thus, in this case and with this test period, the Commission can capture all of the benefits of normalization identified</w:t>
      </w:r>
      <w:r w:rsidR="00B043C0">
        <w:rPr>
          <w:rFonts w:ascii="Times New Roman" w:hAnsi="Times New Roman"/>
          <w:szCs w:val="24"/>
        </w:rPr>
        <w:t xml:space="preserve"> above</w:t>
      </w:r>
      <w:r w:rsidR="00B043C0" w:rsidRPr="005C76B4">
        <w:rPr>
          <w:rFonts w:ascii="Times New Roman" w:hAnsi="Times New Roman"/>
          <w:szCs w:val="24"/>
        </w:rPr>
        <w:t xml:space="preserve"> without negative consequences.</w:t>
      </w:r>
      <w:r w:rsidR="00B043C0">
        <w:rPr>
          <w:rStyle w:val="FootnoteReference"/>
          <w:rFonts w:ascii="Times New Roman" w:hAnsi="Times New Roman"/>
          <w:szCs w:val="24"/>
        </w:rPr>
        <w:footnoteReference w:id="292"/>
      </w:r>
      <w:r w:rsidR="00B043C0" w:rsidRPr="005C76B4">
        <w:rPr>
          <w:rFonts w:ascii="Times New Roman" w:hAnsi="Times New Roman"/>
          <w:szCs w:val="24"/>
        </w:rPr>
        <w:t xml:space="preserve">  </w:t>
      </w:r>
    </w:p>
    <w:p w:rsidR="00973298" w:rsidRDefault="00B043C0">
      <w:pPr>
        <w:pStyle w:val="ListParagraph"/>
        <w:widowControl w:val="0"/>
        <w:spacing w:line="480" w:lineRule="auto"/>
        <w:ind w:left="0"/>
        <w:rPr>
          <w:rFonts w:ascii="Times New Roman" w:hAnsi="Times New Roman"/>
          <w:szCs w:val="24"/>
        </w:rPr>
      </w:pPr>
      <w:r>
        <w:rPr>
          <w:rFonts w:ascii="Times New Roman" w:hAnsi="Times New Roman"/>
          <w:b/>
          <w:szCs w:val="24"/>
        </w:rPr>
        <w:t>B</w:t>
      </w:r>
      <w:r w:rsidRPr="005C76B4">
        <w:rPr>
          <w:rFonts w:ascii="Times New Roman" w:hAnsi="Times New Roman"/>
          <w:b/>
          <w:szCs w:val="24"/>
        </w:rPr>
        <w:t>.</w:t>
      </w:r>
      <w:r w:rsidRPr="005C76B4">
        <w:rPr>
          <w:rFonts w:ascii="Times New Roman" w:hAnsi="Times New Roman"/>
          <w:b/>
          <w:szCs w:val="24"/>
        </w:rPr>
        <w:tab/>
        <w:t xml:space="preserve">Staff’s Adjustment to Remove Full Normalization is </w:t>
      </w:r>
      <w:proofErr w:type="gramStart"/>
      <w:r w:rsidRPr="005C76B4">
        <w:rPr>
          <w:rFonts w:ascii="Times New Roman" w:hAnsi="Times New Roman"/>
          <w:b/>
          <w:szCs w:val="24"/>
        </w:rPr>
        <w:t>Flawed</w:t>
      </w:r>
      <w:proofErr w:type="gramEnd"/>
      <w:r>
        <w:rPr>
          <w:rFonts w:ascii="Times New Roman" w:hAnsi="Times New Roman"/>
          <w:b/>
          <w:szCs w:val="24"/>
        </w:rPr>
        <w:t>.</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lastRenderedPageBreak/>
        <w:tab/>
      </w:r>
      <w:r w:rsidR="00B043C0" w:rsidRPr="005C76B4">
        <w:rPr>
          <w:rFonts w:ascii="Times New Roman" w:hAnsi="Times New Roman"/>
          <w:szCs w:val="24"/>
        </w:rPr>
        <w:t>Staff’s proposed adjustment to remove full normalization resulted in a decrease to the overall revenue requirement of $1.9 million.</w:t>
      </w:r>
      <w:r w:rsidR="00B043C0">
        <w:rPr>
          <w:rStyle w:val="FootnoteReference"/>
          <w:rFonts w:ascii="Times New Roman" w:hAnsi="Times New Roman"/>
          <w:szCs w:val="24"/>
        </w:rPr>
        <w:footnoteReference w:id="293"/>
      </w:r>
      <w:r w:rsidR="00B043C0" w:rsidRPr="005C76B4">
        <w:rPr>
          <w:rFonts w:ascii="Times New Roman" w:hAnsi="Times New Roman"/>
          <w:szCs w:val="24"/>
        </w:rPr>
        <w:t xml:space="preserve">  The Company’s analysis, on the other hand</w:t>
      </w:r>
      <w:r w:rsidR="00736BD4">
        <w:rPr>
          <w:rFonts w:ascii="Times New Roman" w:hAnsi="Times New Roman"/>
          <w:szCs w:val="24"/>
        </w:rPr>
        <w:t>,</w:t>
      </w:r>
      <w:r w:rsidR="00B043C0" w:rsidRPr="005C76B4">
        <w:rPr>
          <w:rFonts w:ascii="Times New Roman" w:hAnsi="Times New Roman"/>
          <w:szCs w:val="24"/>
        </w:rPr>
        <w:t xml:space="preserve"> reflects that the removal of full normalization results in an </w:t>
      </w:r>
      <w:r w:rsidR="00B043C0" w:rsidRPr="005C76B4">
        <w:rPr>
          <w:rFonts w:ascii="Times New Roman" w:hAnsi="Times New Roman"/>
          <w:i/>
          <w:szCs w:val="24"/>
        </w:rPr>
        <w:t>increase</w:t>
      </w:r>
      <w:r w:rsidR="00B043C0" w:rsidRPr="005C76B4">
        <w:rPr>
          <w:rFonts w:ascii="Times New Roman" w:hAnsi="Times New Roman"/>
          <w:szCs w:val="24"/>
        </w:rPr>
        <w:t xml:space="preserve"> of $6,000.</w:t>
      </w:r>
      <w:r w:rsidR="00B043C0">
        <w:rPr>
          <w:rStyle w:val="FootnoteReference"/>
          <w:rFonts w:ascii="Times New Roman" w:hAnsi="Times New Roman"/>
          <w:szCs w:val="24"/>
        </w:rPr>
        <w:footnoteReference w:id="294"/>
      </w:r>
      <w:r w:rsidR="00B043C0" w:rsidRPr="005C76B4">
        <w:rPr>
          <w:rFonts w:ascii="Times New Roman" w:hAnsi="Times New Roman"/>
          <w:szCs w:val="24"/>
        </w:rPr>
        <w:t xml:space="preserve">  </w:t>
      </w:r>
      <w:r w:rsidR="00B043C0">
        <w:rPr>
          <w:rFonts w:ascii="Times New Roman" w:hAnsi="Times New Roman"/>
          <w:szCs w:val="24"/>
        </w:rPr>
        <w:t xml:space="preserve">The difference is due to </w:t>
      </w:r>
      <w:r w:rsidR="00B043C0" w:rsidRPr="005C76B4">
        <w:rPr>
          <w:rFonts w:ascii="Times New Roman" w:hAnsi="Times New Roman"/>
          <w:szCs w:val="24"/>
        </w:rPr>
        <w:t>Ms. Breda</w:t>
      </w:r>
      <w:r w:rsidR="00B043C0">
        <w:rPr>
          <w:rFonts w:ascii="Times New Roman" w:hAnsi="Times New Roman"/>
          <w:szCs w:val="24"/>
        </w:rPr>
        <w:t>’s</w:t>
      </w:r>
      <w:r w:rsidR="00B043C0" w:rsidRPr="005C76B4">
        <w:rPr>
          <w:rFonts w:ascii="Times New Roman" w:hAnsi="Times New Roman"/>
          <w:szCs w:val="24"/>
        </w:rPr>
        <w:t xml:space="preserve"> conclu</w:t>
      </w:r>
      <w:r w:rsidR="00B043C0">
        <w:rPr>
          <w:rFonts w:ascii="Times New Roman" w:hAnsi="Times New Roman"/>
          <w:szCs w:val="24"/>
        </w:rPr>
        <w:t>sion</w:t>
      </w:r>
      <w:r w:rsidR="00B043C0" w:rsidRPr="005C76B4">
        <w:rPr>
          <w:rFonts w:ascii="Times New Roman" w:hAnsi="Times New Roman"/>
          <w:szCs w:val="24"/>
        </w:rPr>
        <w:t xml:space="preserve"> that the Commission </w:t>
      </w:r>
      <w:r w:rsidR="00B043C0">
        <w:rPr>
          <w:rFonts w:ascii="Times New Roman" w:hAnsi="Times New Roman"/>
          <w:szCs w:val="24"/>
        </w:rPr>
        <w:t xml:space="preserve">implicitly </w:t>
      </w:r>
      <w:r w:rsidR="00B043C0" w:rsidRPr="005C76B4">
        <w:rPr>
          <w:rFonts w:ascii="Times New Roman" w:hAnsi="Times New Roman"/>
          <w:szCs w:val="24"/>
        </w:rPr>
        <w:t xml:space="preserve">authorized normalized treatment for five </w:t>
      </w:r>
      <w:r w:rsidR="003A43AF">
        <w:rPr>
          <w:rFonts w:ascii="Times New Roman" w:hAnsi="Times New Roman"/>
          <w:szCs w:val="24"/>
        </w:rPr>
        <w:t xml:space="preserve">particular book-tax differences </w:t>
      </w:r>
      <w:r w:rsidR="00B043C0" w:rsidRPr="005C76B4">
        <w:rPr>
          <w:rFonts w:ascii="Times New Roman" w:hAnsi="Times New Roman"/>
          <w:szCs w:val="24"/>
        </w:rPr>
        <w:t>and therefore the Company’s analysis that applied the flow-through method to these items is wrong.</w:t>
      </w:r>
      <w:r w:rsidR="00B043C0">
        <w:rPr>
          <w:rStyle w:val="FootnoteReference"/>
          <w:rFonts w:ascii="Times New Roman" w:hAnsi="Times New Roman"/>
          <w:szCs w:val="24"/>
        </w:rPr>
        <w:footnoteReference w:id="295"/>
      </w:r>
      <w:r w:rsidR="00B043C0" w:rsidRPr="005C76B4">
        <w:rPr>
          <w:rFonts w:ascii="Times New Roman" w:hAnsi="Times New Roman"/>
          <w:szCs w:val="24"/>
        </w:rPr>
        <w:t xml:space="preserve">  This analysis is flawed because (1) when the Commission authorizes normalization it does so explicitly</w:t>
      </w:r>
      <w:r w:rsidR="00B043C0">
        <w:rPr>
          <w:rFonts w:ascii="Times New Roman" w:hAnsi="Times New Roman"/>
          <w:szCs w:val="24"/>
        </w:rPr>
        <w:t xml:space="preserve"> and</w:t>
      </w:r>
      <w:r w:rsidR="00B043C0" w:rsidRPr="005C76B4">
        <w:rPr>
          <w:rFonts w:ascii="Times New Roman" w:hAnsi="Times New Roman"/>
          <w:szCs w:val="24"/>
        </w:rPr>
        <w:t xml:space="preserve"> (2) the Commission has not explicitly authorized normalization for any of these five items.  </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When asked to “provide a comprehensive list” of orders where the Commission authorized normalized treatment, Staff produced a list of fourteen different orders.</w:t>
      </w:r>
      <w:r w:rsidR="00B043C0">
        <w:rPr>
          <w:rStyle w:val="FootnoteReference"/>
          <w:rFonts w:ascii="Times New Roman" w:hAnsi="Times New Roman"/>
          <w:szCs w:val="24"/>
        </w:rPr>
        <w:footnoteReference w:id="296"/>
      </w:r>
      <w:r w:rsidR="00B043C0" w:rsidRPr="005C76B4">
        <w:rPr>
          <w:rFonts w:ascii="Times New Roman" w:hAnsi="Times New Roman"/>
          <w:szCs w:val="24"/>
        </w:rPr>
        <w:t xml:space="preserve">  Ms. Breda testified that these were orders where the Commission made</w:t>
      </w:r>
      <w:r w:rsidR="00B043C0">
        <w:rPr>
          <w:rFonts w:ascii="Times New Roman" w:hAnsi="Times New Roman"/>
          <w:szCs w:val="24"/>
        </w:rPr>
        <w:t xml:space="preserve"> </w:t>
      </w:r>
      <w:r w:rsidR="00B043C0" w:rsidRPr="005C76B4">
        <w:rPr>
          <w:rFonts w:ascii="Times New Roman" w:hAnsi="Times New Roman"/>
          <w:szCs w:val="24"/>
        </w:rPr>
        <w:t xml:space="preserve">“specific reference” </w:t>
      </w:r>
      <w:r w:rsidR="00B043C0">
        <w:rPr>
          <w:rFonts w:ascii="Times New Roman" w:hAnsi="Times New Roman"/>
          <w:szCs w:val="24"/>
        </w:rPr>
        <w:t xml:space="preserve">to </w:t>
      </w:r>
      <w:r w:rsidR="00B043C0" w:rsidRPr="005C76B4">
        <w:rPr>
          <w:rFonts w:ascii="Times New Roman" w:hAnsi="Times New Roman"/>
          <w:szCs w:val="24"/>
        </w:rPr>
        <w:t>normalization.</w:t>
      </w:r>
      <w:r w:rsidR="00B043C0">
        <w:rPr>
          <w:rStyle w:val="FootnoteReference"/>
          <w:rFonts w:ascii="Times New Roman" w:hAnsi="Times New Roman"/>
          <w:szCs w:val="24"/>
        </w:rPr>
        <w:footnoteReference w:id="297"/>
      </w:r>
      <w:r w:rsidR="00B043C0" w:rsidRPr="005C76B4">
        <w:rPr>
          <w:rFonts w:ascii="Times New Roman" w:hAnsi="Times New Roman"/>
          <w:szCs w:val="24"/>
        </w:rPr>
        <w:t xml:space="preserve">  Coupled with the orders identified in Ms. Breda’s testimony that explicitly authorized normalization,</w:t>
      </w:r>
      <w:r w:rsidR="00B043C0">
        <w:rPr>
          <w:rStyle w:val="FootnoteReference"/>
          <w:rFonts w:ascii="Times New Roman" w:hAnsi="Times New Roman"/>
          <w:szCs w:val="24"/>
        </w:rPr>
        <w:footnoteReference w:id="298"/>
      </w:r>
      <w:r w:rsidR="00B043C0" w:rsidRPr="005C76B4">
        <w:rPr>
          <w:rFonts w:ascii="Times New Roman" w:hAnsi="Times New Roman"/>
          <w:szCs w:val="24"/>
        </w:rPr>
        <w:t xml:space="preserve"> it is apparent that when approving normalization</w:t>
      </w:r>
      <w:r w:rsidR="00B043C0">
        <w:rPr>
          <w:rFonts w:ascii="Times New Roman" w:hAnsi="Times New Roman"/>
          <w:szCs w:val="24"/>
        </w:rPr>
        <w:t>,</w:t>
      </w:r>
      <w:r w:rsidR="00B043C0" w:rsidRPr="005C76B4">
        <w:rPr>
          <w:rFonts w:ascii="Times New Roman" w:hAnsi="Times New Roman"/>
          <w:szCs w:val="24"/>
        </w:rPr>
        <w:t xml:space="preserve"> the Commission</w:t>
      </w:r>
      <w:r w:rsidR="003A43AF">
        <w:rPr>
          <w:rFonts w:ascii="Times New Roman" w:hAnsi="Times New Roman"/>
          <w:szCs w:val="24"/>
        </w:rPr>
        <w:t>’s orders historically have been</w:t>
      </w:r>
      <w:r w:rsidR="00B043C0" w:rsidRPr="005C76B4">
        <w:rPr>
          <w:rFonts w:ascii="Times New Roman" w:hAnsi="Times New Roman"/>
          <w:szCs w:val="24"/>
        </w:rPr>
        <w:t xml:space="preserve"> clear and explicit</w:t>
      </w:r>
      <w:r w:rsidR="00B043C0">
        <w:rPr>
          <w:rFonts w:ascii="Times New Roman" w:hAnsi="Times New Roman"/>
          <w:szCs w:val="24"/>
        </w:rPr>
        <w:t xml:space="preserve">, which is crucial </w:t>
      </w:r>
      <w:r w:rsidR="003A43AF">
        <w:rPr>
          <w:rFonts w:ascii="Times New Roman" w:hAnsi="Times New Roman"/>
          <w:szCs w:val="24"/>
        </w:rPr>
        <w:t xml:space="preserve">under a policy </w:t>
      </w:r>
      <w:r w:rsidR="00B043C0">
        <w:rPr>
          <w:rFonts w:ascii="Times New Roman" w:hAnsi="Times New Roman"/>
          <w:szCs w:val="24"/>
        </w:rPr>
        <w:t>whe</w:t>
      </w:r>
      <w:r w:rsidR="003A43AF">
        <w:rPr>
          <w:rFonts w:ascii="Times New Roman" w:hAnsi="Times New Roman"/>
          <w:szCs w:val="24"/>
        </w:rPr>
        <w:t>re</w:t>
      </w:r>
      <w:r w:rsidR="00B043C0">
        <w:rPr>
          <w:rFonts w:ascii="Times New Roman" w:hAnsi="Times New Roman"/>
          <w:szCs w:val="24"/>
        </w:rPr>
        <w:t xml:space="preserve"> normalization is an exception to the general policy of flow-through accounting</w:t>
      </w:r>
      <w:r w:rsidR="00B043C0" w:rsidRPr="005C76B4">
        <w:rPr>
          <w:rFonts w:ascii="Times New Roman" w:hAnsi="Times New Roman"/>
          <w:szCs w:val="24"/>
        </w:rPr>
        <w:t xml:space="preserve">.  </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 xml:space="preserve">Importantly, none of the five items Staff now claims must be normalized were included in the either Mr. Breda’s testimony or Staff’s </w:t>
      </w:r>
      <w:r w:rsidR="003A43AF">
        <w:rPr>
          <w:rFonts w:ascii="Times New Roman" w:hAnsi="Times New Roman"/>
          <w:szCs w:val="24"/>
        </w:rPr>
        <w:t>data request response</w:t>
      </w:r>
      <w:r w:rsidR="00B043C0" w:rsidRPr="005C76B4">
        <w:rPr>
          <w:rFonts w:ascii="Times New Roman" w:hAnsi="Times New Roman"/>
          <w:szCs w:val="24"/>
        </w:rPr>
        <w:t xml:space="preserve"> identifying instances where </w:t>
      </w:r>
      <w:r w:rsidR="00B043C0" w:rsidRPr="005C76B4">
        <w:rPr>
          <w:rFonts w:ascii="Times New Roman" w:hAnsi="Times New Roman"/>
          <w:szCs w:val="24"/>
        </w:rPr>
        <w:lastRenderedPageBreak/>
        <w:t>the Commission authorized normalization.</w:t>
      </w:r>
      <w:r w:rsidR="00B043C0">
        <w:rPr>
          <w:rStyle w:val="FootnoteReference"/>
          <w:rFonts w:ascii="Times New Roman" w:hAnsi="Times New Roman"/>
          <w:szCs w:val="24"/>
        </w:rPr>
        <w:footnoteReference w:id="299"/>
      </w:r>
      <w:r w:rsidR="00B043C0" w:rsidRPr="005C76B4">
        <w:rPr>
          <w:rFonts w:ascii="Times New Roman" w:hAnsi="Times New Roman"/>
          <w:szCs w:val="24"/>
        </w:rPr>
        <w:t xml:space="preserve">  Staff’s adjustment is based on its conclusion that the Commission authorized normalization of these items even though Staff can point to no order that actually did so.  Indeed, one item, the Medicare Deferred Tax Expense</w:t>
      </w:r>
      <w:r>
        <w:rPr>
          <w:rFonts w:ascii="Times New Roman" w:hAnsi="Times New Roman"/>
          <w:szCs w:val="24"/>
        </w:rPr>
        <w:t>,</w:t>
      </w:r>
      <w:r w:rsidR="003A43AF">
        <w:rPr>
          <w:rFonts w:ascii="Times New Roman" w:hAnsi="Times New Roman"/>
          <w:szCs w:val="24"/>
        </w:rPr>
        <w:t xml:space="preserve"> is new in this case</w:t>
      </w:r>
      <w:r>
        <w:rPr>
          <w:rFonts w:ascii="Times New Roman" w:hAnsi="Times New Roman"/>
          <w:szCs w:val="24"/>
        </w:rPr>
        <w:t xml:space="preserve"> and</w:t>
      </w:r>
      <w:r w:rsidR="00B043C0" w:rsidRPr="005C76B4">
        <w:rPr>
          <w:rFonts w:ascii="Times New Roman" w:hAnsi="Times New Roman"/>
          <w:szCs w:val="24"/>
        </w:rPr>
        <w:t xml:space="preserve"> has never been the subject of a</w:t>
      </w:r>
      <w:r w:rsidR="003A43AF">
        <w:rPr>
          <w:rFonts w:ascii="Times New Roman" w:hAnsi="Times New Roman"/>
          <w:szCs w:val="24"/>
        </w:rPr>
        <w:t>ny</w:t>
      </w:r>
      <w:r w:rsidR="00B043C0" w:rsidRPr="005C76B4">
        <w:rPr>
          <w:rFonts w:ascii="Times New Roman" w:hAnsi="Times New Roman"/>
          <w:szCs w:val="24"/>
        </w:rPr>
        <w:t xml:space="preserve"> Commission order.  </w:t>
      </w:r>
      <w:r>
        <w:rPr>
          <w:rFonts w:ascii="Times New Roman" w:hAnsi="Times New Roman"/>
          <w:szCs w:val="24"/>
        </w:rPr>
        <w:t>I</w:t>
      </w:r>
      <w:r w:rsidR="00B043C0" w:rsidRPr="005C76B4">
        <w:rPr>
          <w:rFonts w:ascii="Times New Roman" w:hAnsi="Times New Roman"/>
          <w:szCs w:val="24"/>
        </w:rPr>
        <w:t xml:space="preserve">t is difficult to understand how the Commission </w:t>
      </w:r>
      <w:r w:rsidR="003A43AF">
        <w:rPr>
          <w:rFonts w:ascii="Times New Roman" w:hAnsi="Times New Roman"/>
          <w:szCs w:val="24"/>
        </w:rPr>
        <w:t xml:space="preserve">could have implicitly </w:t>
      </w:r>
      <w:r w:rsidR="00B043C0" w:rsidRPr="005C76B4">
        <w:rPr>
          <w:rFonts w:ascii="Times New Roman" w:hAnsi="Times New Roman"/>
          <w:szCs w:val="24"/>
        </w:rPr>
        <w:t xml:space="preserve">authorized normalized accounting for this item as Staff now claims.  At hearing Ms. Breda explained this inconsistency stating that this item was normalized </w:t>
      </w:r>
      <w:r w:rsidR="00B043C0" w:rsidRPr="005C76B4">
        <w:rPr>
          <w:rFonts w:ascii="Times New Roman" w:hAnsi="Times New Roman"/>
          <w:i/>
          <w:szCs w:val="24"/>
        </w:rPr>
        <w:t>in this case</w:t>
      </w:r>
      <w:r w:rsidR="00B043C0" w:rsidRPr="005C76B4">
        <w:rPr>
          <w:rFonts w:ascii="Times New Roman" w:hAnsi="Times New Roman"/>
          <w:szCs w:val="24"/>
        </w:rPr>
        <w:t xml:space="preserve"> and “it’s an uncontested item.”</w:t>
      </w:r>
      <w:r w:rsidR="00B043C0">
        <w:rPr>
          <w:rStyle w:val="FootnoteReference"/>
          <w:rFonts w:ascii="Times New Roman" w:hAnsi="Times New Roman"/>
          <w:szCs w:val="24"/>
        </w:rPr>
        <w:footnoteReference w:id="300"/>
      </w:r>
      <w:r w:rsidR="00B043C0" w:rsidRPr="005C76B4">
        <w:rPr>
          <w:rFonts w:ascii="Times New Roman" w:hAnsi="Times New Roman"/>
          <w:szCs w:val="24"/>
        </w:rPr>
        <w:t xml:space="preserve">  However, in discovery Staff indicated that it was not proposing normalization for anything except the repairs deduction.</w:t>
      </w:r>
      <w:r w:rsidR="00B043C0">
        <w:rPr>
          <w:rStyle w:val="FootnoteReference"/>
          <w:rFonts w:ascii="Times New Roman" w:hAnsi="Times New Roman"/>
          <w:szCs w:val="24"/>
        </w:rPr>
        <w:footnoteReference w:id="301"/>
      </w:r>
      <w:r w:rsidR="00B043C0" w:rsidRPr="005C76B4">
        <w:rPr>
          <w:rFonts w:ascii="Times New Roman" w:hAnsi="Times New Roman"/>
          <w:szCs w:val="24"/>
        </w:rPr>
        <w:t xml:space="preserve">  </w:t>
      </w:r>
      <w:r w:rsidR="00B043C0">
        <w:rPr>
          <w:rFonts w:ascii="Times New Roman" w:hAnsi="Times New Roman"/>
          <w:szCs w:val="24"/>
        </w:rPr>
        <w:t>Further, despite Ms. Breda’s assertion, this does represent a contested item.  The Company has proposed comprehensive normalization, not normalization on a case-by-case basis.</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 xml:space="preserve">The largest of the disputed items </w:t>
      </w:r>
      <w:r w:rsidR="003A43AF">
        <w:rPr>
          <w:rFonts w:ascii="Times New Roman" w:hAnsi="Times New Roman"/>
          <w:szCs w:val="24"/>
        </w:rPr>
        <w:t xml:space="preserve">relates to the </w:t>
      </w:r>
      <w:r w:rsidR="00B043C0" w:rsidRPr="005C76B4">
        <w:rPr>
          <w:rFonts w:ascii="Times New Roman" w:hAnsi="Times New Roman"/>
          <w:szCs w:val="24"/>
        </w:rPr>
        <w:t>Chehalis Generating Plant (Chehalis), which Ms. Breda concludes must be normalized because it is a regulatory asset.</w:t>
      </w:r>
      <w:r w:rsidR="00B043C0">
        <w:rPr>
          <w:rStyle w:val="FootnoteReference"/>
          <w:rFonts w:ascii="Times New Roman" w:hAnsi="Times New Roman"/>
          <w:szCs w:val="24"/>
        </w:rPr>
        <w:footnoteReference w:id="302"/>
      </w:r>
      <w:r w:rsidR="00B043C0" w:rsidRPr="005C76B4">
        <w:rPr>
          <w:rFonts w:ascii="Times New Roman" w:hAnsi="Times New Roman"/>
          <w:szCs w:val="24"/>
        </w:rPr>
        <w:t xml:space="preserve">  The Commission’s order amortizing that deferral does not explicitly state that the book-tax difference related to that asset should be normalized.</w:t>
      </w:r>
      <w:r w:rsidR="00B043C0">
        <w:rPr>
          <w:rStyle w:val="FootnoteReference"/>
          <w:rFonts w:ascii="Times New Roman" w:hAnsi="Times New Roman"/>
          <w:szCs w:val="24"/>
        </w:rPr>
        <w:footnoteReference w:id="303"/>
      </w:r>
      <w:r w:rsidR="00B043C0" w:rsidRPr="005C76B4">
        <w:rPr>
          <w:rFonts w:ascii="Times New Roman" w:hAnsi="Times New Roman"/>
          <w:szCs w:val="24"/>
        </w:rPr>
        <w:t xml:space="preserve">  While the Commission has on numerous occasions expressly authorized normalization related to deferrals,</w:t>
      </w:r>
      <w:r w:rsidR="00B043C0">
        <w:rPr>
          <w:rStyle w:val="FootnoteReference"/>
          <w:rFonts w:ascii="Times New Roman" w:hAnsi="Times New Roman"/>
          <w:szCs w:val="24"/>
        </w:rPr>
        <w:footnoteReference w:id="304"/>
      </w:r>
      <w:r w:rsidR="00B043C0" w:rsidRPr="005C76B4">
        <w:rPr>
          <w:rFonts w:ascii="Times New Roman" w:hAnsi="Times New Roman"/>
          <w:szCs w:val="24"/>
        </w:rPr>
        <w:t xml:space="preserve"> it did not do so with respect to Chehalis and therefore Staff’s current position that normalization was “implied” is without support.</w:t>
      </w:r>
      <w:r w:rsidR="00B043C0">
        <w:rPr>
          <w:rStyle w:val="FootnoteReference"/>
          <w:rFonts w:ascii="Times New Roman" w:hAnsi="Times New Roman"/>
          <w:szCs w:val="24"/>
        </w:rPr>
        <w:footnoteReference w:id="305"/>
      </w:r>
      <w:r w:rsidR="00B043C0" w:rsidRPr="005C76B4">
        <w:rPr>
          <w:rFonts w:ascii="Times New Roman" w:hAnsi="Times New Roman"/>
          <w:szCs w:val="24"/>
        </w:rPr>
        <w:t xml:space="preserve">  Ms. Breda testified at hearing that the Commission “usually” authorizes normalization for deferrals and that “most of the time” the Commission authorizes normalization if there are taxes included in a deferral.</w:t>
      </w:r>
      <w:r w:rsidR="00B043C0">
        <w:rPr>
          <w:rStyle w:val="FootnoteReference"/>
          <w:rFonts w:ascii="Times New Roman" w:hAnsi="Times New Roman"/>
          <w:szCs w:val="24"/>
        </w:rPr>
        <w:footnoteReference w:id="306"/>
      </w:r>
      <w:r w:rsidR="00B043C0" w:rsidRPr="005C76B4">
        <w:rPr>
          <w:rFonts w:ascii="Times New Roman" w:hAnsi="Times New Roman"/>
          <w:szCs w:val="24"/>
        </w:rPr>
        <w:t xml:space="preserve">  Ms. Breda could point to nothing other than these </w:t>
      </w:r>
      <w:r w:rsidR="00B043C0" w:rsidRPr="005C76B4">
        <w:rPr>
          <w:rFonts w:ascii="Times New Roman" w:hAnsi="Times New Roman"/>
          <w:szCs w:val="24"/>
        </w:rPr>
        <w:lastRenderedPageBreak/>
        <w:t xml:space="preserve">general statements to support her conclusion that the Commission authorized normalized accounting of </w:t>
      </w:r>
      <w:r w:rsidR="00B043C0">
        <w:rPr>
          <w:rFonts w:ascii="Times New Roman" w:hAnsi="Times New Roman"/>
          <w:szCs w:val="24"/>
        </w:rPr>
        <w:t xml:space="preserve">the </w:t>
      </w:r>
      <w:r w:rsidR="00B043C0" w:rsidRPr="005C76B4">
        <w:rPr>
          <w:rFonts w:ascii="Times New Roman" w:hAnsi="Times New Roman"/>
          <w:szCs w:val="24"/>
        </w:rPr>
        <w:t xml:space="preserve">Chehalis </w:t>
      </w:r>
      <w:r w:rsidR="00B043C0">
        <w:rPr>
          <w:rFonts w:ascii="Times New Roman" w:hAnsi="Times New Roman"/>
          <w:szCs w:val="24"/>
        </w:rPr>
        <w:t xml:space="preserve">deferral </w:t>
      </w:r>
      <w:r w:rsidR="00B043C0" w:rsidRPr="005C76B4">
        <w:rPr>
          <w:rFonts w:ascii="Times New Roman" w:hAnsi="Times New Roman"/>
          <w:szCs w:val="24"/>
        </w:rPr>
        <w:t>or any of the other four items.</w:t>
      </w:r>
      <w:r w:rsidR="00B043C0">
        <w:rPr>
          <w:rStyle w:val="FootnoteReference"/>
          <w:rFonts w:ascii="Times New Roman" w:hAnsi="Times New Roman"/>
          <w:szCs w:val="24"/>
        </w:rPr>
        <w:footnoteReference w:id="307"/>
      </w:r>
      <w:r w:rsidR="00B043C0" w:rsidRPr="005C76B4">
        <w:rPr>
          <w:rFonts w:ascii="Times New Roman" w:hAnsi="Times New Roman"/>
          <w:szCs w:val="24"/>
        </w:rPr>
        <w:t xml:space="preserve">  </w:t>
      </w:r>
    </w:p>
    <w:p w:rsidR="00973298" w:rsidRPr="00AC3F5A" w:rsidRDefault="00AC3F5A" w:rsidP="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sidRPr="00AC3F5A">
        <w:rPr>
          <w:rFonts w:ascii="Times New Roman" w:hAnsi="Times New Roman"/>
          <w:szCs w:val="24"/>
        </w:rPr>
        <w:tab/>
      </w:r>
      <w:r w:rsidR="00B043C0" w:rsidRPr="00AC3F5A">
        <w:rPr>
          <w:rFonts w:ascii="Times New Roman" w:hAnsi="Times New Roman"/>
          <w:szCs w:val="24"/>
        </w:rPr>
        <w:t>Because Staff acknowledges that no Commission order explicitly authorized normalization treatment for these five items, Ms. Breda explained at hearing how one must go about determining whether normalization was implied.  To do so, Ms. Breda explained, one must look at the record in the underlying docket and determine</w:t>
      </w:r>
      <w:r w:rsidR="003A43AF" w:rsidRPr="00AC3F5A">
        <w:rPr>
          <w:rFonts w:ascii="Times New Roman" w:hAnsi="Times New Roman"/>
          <w:szCs w:val="24"/>
        </w:rPr>
        <w:t xml:space="preserve"> </w:t>
      </w:r>
      <w:r w:rsidR="00B043C0" w:rsidRPr="00AC3F5A">
        <w:rPr>
          <w:rFonts w:ascii="Times New Roman" w:hAnsi="Times New Roman"/>
          <w:szCs w:val="24"/>
        </w:rPr>
        <w:t>if the company proposed normalization and if it was a contested item.</w:t>
      </w:r>
      <w:r w:rsidR="00B043C0">
        <w:rPr>
          <w:rStyle w:val="FootnoteReference"/>
          <w:rFonts w:ascii="Times New Roman" w:hAnsi="Times New Roman"/>
          <w:szCs w:val="24"/>
        </w:rPr>
        <w:footnoteReference w:id="308"/>
      </w:r>
      <w:r w:rsidR="00B043C0" w:rsidRPr="00AC3F5A">
        <w:rPr>
          <w:rFonts w:ascii="Times New Roman" w:hAnsi="Times New Roman"/>
          <w:szCs w:val="24"/>
        </w:rPr>
        <w:t xml:space="preserve">  With respect to all of the five items, and Chehalis in particular, the issue of income tax normalization was never raised, let alone contested, and the Company never understood the Commission to have authorized normalized accounting treatment for the asset because there are no instructions to that effect.</w:t>
      </w:r>
      <w:r w:rsidR="00B043C0">
        <w:rPr>
          <w:rStyle w:val="FootnoteReference"/>
          <w:rFonts w:ascii="Times New Roman" w:hAnsi="Times New Roman"/>
          <w:szCs w:val="24"/>
        </w:rPr>
        <w:footnoteReference w:id="309"/>
      </w:r>
      <w:r w:rsidR="00B043C0" w:rsidRPr="00AC3F5A">
        <w:rPr>
          <w:rFonts w:ascii="Times New Roman" w:hAnsi="Times New Roman"/>
          <w:szCs w:val="24"/>
        </w:rPr>
        <w:t xml:space="preserve">  If Staff’s analysis is correct, then this is further evidence that the current policy is unclear and creates substantial regulatory and accounting uncertainty.      </w:t>
      </w:r>
    </w:p>
    <w:p w:rsidR="00973298" w:rsidRDefault="00B043C0">
      <w:pPr>
        <w:pStyle w:val="ListParagraph"/>
        <w:widowControl w:val="0"/>
        <w:spacing w:line="480" w:lineRule="auto"/>
        <w:ind w:left="0"/>
        <w:rPr>
          <w:rFonts w:ascii="Times New Roman" w:hAnsi="Times New Roman"/>
          <w:szCs w:val="24"/>
        </w:rPr>
      </w:pPr>
      <w:r>
        <w:rPr>
          <w:rFonts w:ascii="Times New Roman" w:hAnsi="Times New Roman"/>
          <w:b/>
          <w:szCs w:val="24"/>
        </w:rPr>
        <w:t>C</w:t>
      </w:r>
      <w:r w:rsidRPr="005C76B4">
        <w:rPr>
          <w:rFonts w:ascii="Times New Roman" w:hAnsi="Times New Roman"/>
          <w:b/>
          <w:szCs w:val="24"/>
        </w:rPr>
        <w:t>.</w:t>
      </w:r>
      <w:r w:rsidRPr="005C76B4">
        <w:rPr>
          <w:rFonts w:ascii="Times New Roman" w:hAnsi="Times New Roman"/>
          <w:b/>
          <w:szCs w:val="24"/>
        </w:rPr>
        <w:tab/>
        <w:t>Staff’s Repair</w:t>
      </w:r>
      <w:r w:rsidR="00BE0487">
        <w:rPr>
          <w:rFonts w:ascii="Times New Roman" w:hAnsi="Times New Roman"/>
          <w:b/>
          <w:szCs w:val="24"/>
        </w:rPr>
        <w:t>s</w:t>
      </w:r>
      <w:r w:rsidRPr="005C76B4">
        <w:rPr>
          <w:rFonts w:ascii="Times New Roman" w:hAnsi="Times New Roman"/>
          <w:b/>
          <w:szCs w:val="24"/>
        </w:rPr>
        <w:t xml:space="preserve"> Deduction Adjustment Is Incorrect</w:t>
      </w:r>
      <w:r>
        <w:rPr>
          <w:rFonts w:ascii="Times New Roman" w:hAnsi="Times New Roman"/>
          <w:b/>
          <w:szCs w:val="24"/>
        </w:rPr>
        <w:t>.</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Staff</w:t>
      </w:r>
      <w:r w:rsidR="00B043C0">
        <w:rPr>
          <w:rFonts w:ascii="Times New Roman" w:hAnsi="Times New Roman"/>
          <w:szCs w:val="24"/>
        </w:rPr>
        <w:t xml:space="preserve">’s repairs deduction adjustment </w:t>
      </w:r>
      <w:r w:rsidR="00B043C0" w:rsidRPr="005C76B4">
        <w:rPr>
          <w:rFonts w:ascii="Times New Roman" w:hAnsi="Times New Roman"/>
          <w:szCs w:val="24"/>
        </w:rPr>
        <w:t xml:space="preserve">improperly proposed an additional $14.46 million rate base reduction by annualizing the impact of the repairs deduction over the entire test period even though it was not reflected until September, 2009.  </w:t>
      </w:r>
      <w:r>
        <w:rPr>
          <w:rFonts w:ascii="Times New Roman" w:hAnsi="Times New Roman"/>
          <w:szCs w:val="24"/>
        </w:rPr>
        <w:t>T</w:t>
      </w:r>
      <w:r w:rsidR="00B043C0">
        <w:rPr>
          <w:rFonts w:ascii="Times New Roman" w:hAnsi="Times New Roman"/>
          <w:szCs w:val="24"/>
        </w:rPr>
        <w:t>here is no basis for selectively annualizing this rate base item and none other in this case</w:t>
      </w:r>
      <w:r w:rsidR="00B043C0" w:rsidRPr="005C76B4">
        <w:rPr>
          <w:rFonts w:ascii="Times New Roman" w:hAnsi="Times New Roman"/>
          <w:szCs w:val="24"/>
        </w:rPr>
        <w:t xml:space="preserve">.  </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 xml:space="preserve">As Ms. Breda acknowledged, the Company’s actual accumulated deferred income tax balances did not reflect the repairs deduction until </w:t>
      </w:r>
      <w:r w:rsidR="00B043C0">
        <w:rPr>
          <w:rFonts w:ascii="Times New Roman" w:hAnsi="Times New Roman"/>
          <w:szCs w:val="24"/>
        </w:rPr>
        <w:t xml:space="preserve">the tax impact occurred in </w:t>
      </w:r>
      <w:r w:rsidR="00B043C0" w:rsidRPr="005C76B4">
        <w:rPr>
          <w:rFonts w:ascii="Times New Roman" w:hAnsi="Times New Roman"/>
          <w:szCs w:val="24"/>
        </w:rPr>
        <w:t>September of 2009.</w:t>
      </w:r>
      <w:r w:rsidR="00B043C0">
        <w:rPr>
          <w:rStyle w:val="FootnoteReference"/>
          <w:rFonts w:ascii="Times New Roman" w:hAnsi="Times New Roman"/>
          <w:szCs w:val="24"/>
        </w:rPr>
        <w:footnoteReference w:id="310"/>
      </w:r>
      <w:r w:rsidR="00B043C0" w:rsidRPr="005C76B4">
        <w:rPr>
          <w:rFonts w:ascii="Times New Roman" w:hAnsi="Times New Roman"/>
          <w:szCs w:val="24"/>
        </w:rPr>
        <w:t xml:space="preserve">  Despite this fact, Staff proposed to calculate rate base as if the repairs deduction was in place for the entire </w:t>
      </w:r>
      <w:r w:rsidR="00B043C0">
        <w:rPr>
          <w:rFonts w:ascii="Times New Roman" w:hAnsi="Times New Roman"/>
          <w:szCs w:val="24"/>
        </w:rPr>
        <w:t xml:space="preserve">2009 </w:t>
      </w:r>
      <w:r w:rsidR="00B043C0" w:rsidRPr="005C76B4">
        <w:rPr>
          <w:rFonts w:ascii="Times New Roman" w:hAnsi="Times New Roman"/>
          <w:szCs w:val="24"/>
        </w:rPr>
        <w:t xml:space="preserve">test period.  In essence, Staff proposed to measure rate base </w:t>
      </w:r>
      <w:r w:rsidR="00B043C0">
        <w:rPr>
          <w:rFonts w:ascii="Times New Roman" w:hAnsi="Times New Roman"/>
          <w:szCs w:val="24"/>
        </w:rPr>
        <w:t>at</w:t>
      </w:r>
      <w:r w:rsidR="00B043C0" w:rsidRPr="005C76B4">
        <w:rPr>
          <w:rFonts w:ascii="Times New Roman" w:hAnsi="Times New Roman"/>
          <w:szCs w:val="24"/>
        </w:rPr>
        <w:t xml:space="preserve"> the end </w:t>
      </w:r>
      <w:r w:rsidR="00B043C0" w:rsidRPr="005C76B4">
        <w:rPr>
          <w:rFonts w:ascii="Times New Roman" w:hAnsi="Times New Roman"/>
          <w:szCs w:val="24"/>
        </w:rPr>
        <w:lastRenderedPageBreak/>
        <w:t>of the test period.  The Commission noted that “except in rare circumstances rate base is measured as an average over the test year” because an end-of-period measurement “would disrupt test period matching of rate base with other costs, revenues and cost of service components.”</w:t>
      </w:r>
      <w:r w:rsidR="00B043C0">
        <w:rPr>
          <w:rStyle w:val="FootnoteReference"/>
          <w:rFonts w:ascii="Times New Roman" w:hAnsi="Times New Roman"/>
          <w:szCs w:val="24"/>
        </w:rPr>
        <w:footnoteReference w:id="311"/>
      </w:r>
      <w:r w:rsidR="00B043C0" w:rsidRPr="005C76B4">
        <w:rPr>
          <w:rFonts w:ascii="Times New Roman" w:hAnsi="Times New Roman"/>
          <w:szCs w:val="24"/>
        </w:rPr>
        <w:t xml:space="preserve">  Staff provided no justification for the Commission to depart from this policy and therefore annualizing the rate base deduction is improper.</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043C0" w:rsidRPr="005C76B4">
        <w:rPr>
          <w:rFonts w:ascii="Times New Roman" w:hAnsi="Times New Roman"/>
          <w:szCs w:val="24"/>
        </w:rPr>
        <w:t>At hearing, Ms. Breda argued that her adjustment is actually a prior year adjustment and therefore appropriate.</w:t>
      </w:r>
      <w:r w:rsidR="00B043C0">
        <w:rPr>
          <w:rStyle w:val="FootnoteReference"/>
          <w:rFonts w:ascii="Times New Roman" w:hAnsi="Times New Roman"/>
          <w:szCs w:val="24"/>
        </w:rPr>
        <w:footnoteReference w:id="312"/>
      </w:r>
      <w:r w:rsidR="00B043C0" w:rsidRPr="005C76B4">
        <w:rPr>
          <w:rFonts w:ascii="Times New Roman" w:hAnsi="Times New Roman"/>
          <w:szCs w:val="24"/>
        </w:rPr>
        <w:t xml:space="preserve">  In Puget’s 2009 rate case, a similar repairs deduction </w:t>
      </w:r>
      <w:r w:rsidR="005208C5">
        <w:rPr>
          <w:rFonts w:ascii="Times New Roman" w:hAnsi="Times New Roman"/>
          <w:szCs w:val="24"/>
        </w:rPr>
        <w:t xml:space="preserve">adjustment </w:t>
      </w:r>
      <w:r w:rsidR="00B043C0" w:rsidRPr="005C76B4">
        <w:rPr>
          <w:rFonts w:ascii="Times New Roman" w:hAnsi="Times New Roman"/>
          <w:szCs w:val="24"/>
        </w:rPr>
        <w:t>was rejected by the Commission.</w:t>
      </w:r>
      <w:r w:rsidR="00B043C0">
        <w:rPr>
          <w:rStyle w:val="FootnoteReference"/>
          <w:rFonts w:ascii="Times New Roman" w:hAnsi="Times New Roman"/>
          <w:szCs w:val="24"/>
        </w:rPr>
        <w:footnoteReference w:id="313"/>
      </w:r>
      <w:r w:rsidR="00B043C0" w:rsidRPr="005C76B4">
        <w:rPr>
          <w:rFonts w:ascii="Times New Roman" w:hAnsi="Times New Roman"/>
          <w:szCs w:val="24"/>
        </w:rPr>
        <w:t xml:space="preserve">  </w:t>
      </w:r>
      <w:r w:rsidR="00124969">
        <w:rPr>
          <w:rFonts w:ascii="Times New Roman" w:hAnsi="Times New Roman"/>
          <w:szCs w:val="24"/>
        </w:rPr>
        <w:t>There</w:t>
      </w:r>
      <w:r w:rsidR="00B043C0" w:rsidRPr="005C76B4">
        <w:rPr>
          <w:rFonts w:ascii="Times New Roman" w:hAnsi="Times New Roman"/>
          <w:szCs w:val="24"/>
        </w:rPr>
        <w:t>, the test period was 2008 and, like here, the “IRS granted permission for the accounting method in late 2009.”</w:t>
      </w:r>
      <w:r w:rsidR="00B043C0">
        <w:rPr>
          <w:rStyle w:val="FootnoteReference"/>
          <w:rFonts w:ascii="Times New Roman" w:hAnsi="Times New Roman"/>
          <w:szCs w:val="24"/>
        </w:rPr>
        <w:footnoteReference w:id="314"/>
      </w:r>
      <w:r w:rsidR="00B043C0" w:rsidRPr="005C76B4">
        <w:rPr>
          <w:rFonts w:ascii="Times New Roman" w:hAnsi="Times New Roman"/>
          <w:szCs w:val="24"/>
        </w:rPr>
        <w:t xml:space="preserve">  </w:t>
      </w:r>
      <w:r w:rsidR="00B043C0">
        <w:rPr>
          <w:rFonts w:ascii="Times New Roman" w:hAnsi="Times New Roman"/>
          <w:szCs w:val="24"/>
        </w:rPr>
        <w:t>Among other reasons, t</w:t>
      </w:r>
      <w:r w:rsidR="00B043C0" w:rsidRPr="005C76B4">
        <w:rPr>
          <w:rFonts w:ascii="Times New Roman" w:hAnsi="Times New Roman"/>
          <w:szCs w:val="24"/>
        </w:rPr>
        <w:t xml:space="preserve">he Commission rejected the proposed adjustment </w:t>
      </w:r>
      <w:r>
        <w:rPr>
          <w:rFonts w:ascii="Times New Roman" w:hAnsi="Times New Roman"/>
          <w:szCs w:val="24"/>
        </w:rPr>
        <w:t xml:space="preserve">in the Puget case </w:t>
      </w:r>
      <w:r w:rsidR="00B043C0" w:rsidRPr="005C76B4">
        <w:rPr>
          <w:rFonts w:ascii="Times New Roman" w:hAnsi="Times New Roman"/>
          <w:szCs w:val="24"/>
        </w:rPr>
        <w:t>because, “the tax impact is . . . subsequent to the test-year.”</w:t>
      </w:r>
      <w:r w:rsidR="00B043C0">
        <w:rPr>
          <w:rStyle w:val="FootnoteReference"/>
          <w:rFonts w:ascii="Times New Roman" w:hAnsi="Times New Roman"/>
          <w:szCs w:val="24"/>
        </w:rPr>
        <w:footnoteReference w:id="315"/>
      </w:r>
      <w:r w:rsidR="00B043C0" w:rsidRPr="005C76B4">
        <w:rPr>
          <w:rFonts w:ascii="Times New Roman" w:hAnsi="Times New Roman"/>
          <w:szCs w:val="24"/>
        </w:rPr>
        <w:t xml:space="preserve">  </w:t>
      </w:r>
      <w:r w:rsidR="005208C5">
        <w:rPr>
          <w:rFonts w:ascii="Times New Roman" w:hAnsi="Times New Roman"/>
          <w:szCs w:val="24"/>
        </w:rPr>
        <w:t>In this case, as in the Puget case</w:t>
      </w:r>
      <w:r w:rsidR="001E7E5C">
        <w:rPr>
          <w:rFonts w:ascii="Times New Roman" w:hAnsi="Times New Roman"/>
          <w:szCs w:val="24"/>
        </w:rPr>
        <w:t>,</w:t>
      </w:r>
      <w:r w:rsidR="005208C5">
        <w:rPr>
          <w:rFonts w:ascii="Times New Roman" w:hAnsi="Times New Roman"/>
          <w:szCs w:val="24"/>
        </w:rPr>
        <w:t xml:space="preserve"> which presented </w:t>
      </w:r>
      <w:r w:rsidR="00557B47">
        <w:rPr>
          <w:rFonts w:ascii="Times New Roman" w:hAnsi="Times New Roman"/>
          <w:szCs w:val="24"/>
        </w:rPr>
        <w:t>identical</w:t>
      </w:r>
      <w:r w:rsidR="005208C5">
        <w:rPr>
          <w:rFonts w:ascii="Times New Roman" w:hAnsi="Times New Roman"/>
          <w:szCs w:val="24"/>
        </w:rPr>
        <w:t xml:space="preserve"> </w:t>
      </w:r>
      <w:r w:rsidR="00557B47">
        <w:rPr>
          <w:rFonts w:ascii="Times New Roman" w:hAnsi="Times New Roman"/>
          <w:szCs w:val="24"/>
        </w:rPr>
        <w:t xml:space="preserve">facts, </w:t>
      </w:r>
      <w:r w:rsidR="00557B47" w:rsidRPr="005C76B4">
        <w:rPr>
          <w:rFonts w:ascii="Times New Roman" w:hAnsi="Times New Roman"/>
          <w:szCs w:val="24"/>
        </w:rPr>
        <w:t>the</w:t>
      </w:r>
      <w:r w:rsidR="00B043C0" w:rsidRPr="005C76B4">
        <w:rPr>
          <w:rFonts w:ascii="Times New Roman" w:hAnsi="Times New Roman"/>
          <w:szCs w:val="24"/>
        </w:rPr>
        <w:t xml:space="preserve"> tax impact </w:t>
      </w:r>
      <w:r w:rsidR="005208C5">
        <w:rPr>
          <w:rFonts w:ascii="Times New Roman" w:hAnsi="Times New Roman"/>
          <w:szCs w:val="24"/>
        </w:rPr>
        <w:t xml:space="preserve">of the repairs deduction </w:t>
      </w:r>
      <w:r w:rsidR="00B043C0" w:rsidRPr="005C76B4">
        <w:rPr>
          <w:rFonts w:ascii="Times New Roman" w:hAnsi="Times New Roman"/>
          <w:szCs w:val="24"/>
        </w:rPr>
        <w:t>occur</w:t>
      </w:r>
      <w:r w:rsidR="00B043C0">
        <w:rPr>
          <w:rFonts w:ascii="Times New Roman" w:hAnsi="Times New Roman"/>
          <w:szCs w:val="24"/>
        </w:rPr>
        <w:t>red</w:t>
      </w:r>
      <w:r w:rsidR="00B043C0" w:rsidRPr="005C76B4">
        <w:rPr>
          <w:rFonts w:ascii="Times New Roman" w:hAnsi="Times New Roman"/>
          <w:szCs w:val="24"/>
        </w:rPr>
        <w:t xml:space="preserve"> </w:t>
      </w:r>
      <w:r w:rsidR="00B043C0">
        <w:rPr>
          <w:rFonts w:ascii="Times New Roman" w:hAnsi="Times New Roman"/>
          <w:szCs w:val="24"/>
        </w:rPr>
        <w:t>with the change in</w:t>
      </w:r>
      <w:r w:rsidR="00B043C0" w:rsidRPr="005C76B4">
        <w:rPr>
          <w:rFonts w:ascii="Times New Roman" w:hAnsi="Times New Roman"/>
          <w:szCs w:val="24"/>
        </w:rPr>
        <w:t xml:space="preserve"> accounting method, which here Staff admits occurred in September, 2009.</w:t>
      </w:r>
      <w:r w:rsidR="00B043C0">
        <w:rPr>
          <w:rStyle w:val="FootnoteReference"/>
          <w:rFonts w:ascii="Times New Roman" w:hAnsi="Times New Roman"/>
          <w:szCs w:val="24"/>
        </w:rPr>
        <w:footnoteReference w:id="316"/>
      </w:r>
      <w:r w:rsidR="005208C5">
        <w:rPr>
          <w:rFonts w:ascii="Times New Roman" w:hAnsi="Times New Roman"/>
          <w:szCs w:val="24"/>
        </w:rPr>
        <w:t xml:space="preserve"> This is during the test year, not the year prior.  </w:t>
      </w:r>
      <w:r w:rsidR="00B043C0" w:rsidRPr="005C76B4">
        <w:rPr>
          <w:rFonts w:ascii="Times New Roman" w:hAnsi="Times New Roman"/>
          <w:szCs w:val="24"/>
        </w:rPr>
        <w:t xml:space="preserve">  </w:t>
      </w:r>
    </w:p>
    <w:p w:rsidR="00973298" w:rsidRDefault="00CE087A">
      <w:pPr>
        <w:pStyle w:val="ListParagraph"/>
        <w:widowControl w:val="0"/>
        <w:spacing w:line="480" w:lineRule="auto"/>
        <w:ind w:left="0"/>
        <w:rPr>
          <w:rFonts w:ascii="Times New Roman" w:hAnsi="Times New Roman"/>
          <w:szCs w:val="24"/>
        </w:rPr>
      </w:pPr>
      <w:r w:rsidRPr="00CE087A">
        <w:rPr>
          <w:b/>
        </w:rPr>
        <w:t>D.</w:t>
      </w:r>
      <w:r w:rsidRPr="00CE087A">
        <w:rPr>
          <w:b/>
        </w:rPr>
        <w:tab/>
      </w:r>
      <w:proofErr w:type="gramStart"/>
      <w:r w:rsidRPr="00CE087A">
        <w:rPr>
          <w:b/>
        </w:rPr>
        <w:t>The</w:t>
      </w:r>
      <w:proofErr w:type="gramEnd"/>
      <w:r w:rsidRPr="00CE087A">
        <w:rPr>
          <w:b/>
        </w:rPr>
        <w:t xml:space="preserve"> </w:t>
      </w:r>
      <w:r w:rsidR="00655827" w:rsidRPr="00655827">
        <w:rPr>
          <w:rFonts w:ascii="Times New Roman" w:hAnsi="Times New Roman"/>
          <w:b/>
          <w:szCs w:val="24"/>
        </w:rPr>
        <w:t>Company’s</w:t>
      </w:r>
      <w:r w:rsidRPr="00CE087A">
        <w:rPr>
          <w:b/>
        </w:rPr>
        <w:t xml:space="preserve"> </w:t>
      </w:r>
      <w:r w:rsidR="00655827" w:rsidRPr="00655827">
        <w:rPr>
          <w:rFonts w:ascii="Times New Roman" w:hAnsi="Times New Roman"/>
          <w:b/>
          <w:szCs w:val="24"/>
        </w:rPr>
        <w:t>Request</w:t>
      </w:r>
      <w:r w:rsidRPr="00CE087A">
        <w:rPr>
          <w:b/>
        </w:rPr>
        <w:t xml:space="preserve"> for a Regulatory Asset or Liability is Reasonable</w:t>
      </w:r>
    </w:p>
    <w:p w:rsidR="00973298" w:rsidRDefault="00AC3F5A">
      <w:pPr>
        <w:pStyle w:val="ListParagraph"/>
        <w:widowControl w:val="0"/>
        <w:numPr>
          <w:ilvl w:val="0"/>
          <w:numId w:val="12"/>
        </w:numPr>
        <w:tabs>
          <w:tab w:val="clear" w:pos="1440"/>
          <w:tab w:val="num" w:pos="720"/>
        </w:tabs>
        <w:spacing w:line="480" w:lineRule="auto"/>
        <w:ind w:left="0"/>
        <w:rPr>
          <w:rFonts w:ascii="Times New Roman" w:hAnsi="Times New Roman"/>
          <w:szCs w:val="24"/>
        </w:rPr>
      </w:pPr>
      <w:r>
        <w:tab/>
      </w:r>
      <w:r w:rsidR="00973298">
        <w:t>T</w:t>
      </w:r>
      <w:r w:rsidR="00CE087A" w:rsidRPr="0022687C">
        <w:t>he Company ma</w:t>
      </w:r>
      <w:r w:rsidR="00973298">
        <w:t>de</w:t>
      </w:r>
      <w:r w:rsidR="00CE087A" w:rsidRPr="0022687C">
        <w:t xml:space="preserve"> a limited and balanced proposal for the establishment of a regulatory asset or liability </w:t>
      </w:r>
      <w:r w:rsidR="00CE087A">
        <w:t xml:space="preserve">with respect to interest that may be paid to or received from the </w:t>
      </w:r>
      <w:r w:rsidR="00973298" w:rsidRPr="0022687C">
        <w:t xml:space="preserve">Internal Revenue Service </w:t>
      </w:r>
      <w:r w:rsidR="00973298">
        <w:t xml:space="preserve">(IRS) </w:t>
      </w:r>
      <w:r w:rsidR="00CE087A">
        <w:t>associated with the repairs deduction.</w:t>
      </w:r>
      <w:r w:rsidR="00CE087A">
        <w:rPr>
          <w:rStyle w:val="FootnoteReference"/>
        </w:rPr>
        <w:footnoteReference w:id="317"/>
      </w:r>
      <w:r w:rsidR="00CE087A" w:rsidRPr="0022687C">
        <w:t xml:space="preserve">  </w:t>
      </w:r>
      <w:r w:rsidR="00973298">
        <w:t>This proposal is reasonable because the</w:t>
      </w:r>
      <w:r w:rsidR="00973298" w:rsidRPr="0022687C">
        <w:t xml:space="preserve"> Commission has already determined that there is a demonstrated risk of recognizing </w:t>
      </w:r>
      <w:r w:rsidR="00973298" w:rsidRPr="00655827">
        <w:rPr>
          <w:rFonts w:ascii="Times New Roman" w:hAnsi="Times New Roman"/>
          <w:szCs w:val="24"/>
        </w:rPr>
        <w:lastRenderedPageBreak/>
        <w:t>allowed</w:t>
      </w:r>
      <w:r w:rsidR="00973298" w:rsidRPr="0022687C">
        <w:t xml:space="preserve"> accounting changes before they are audited</w:t>
      </w:r>
      <w:r w:rsidR="00973298">
        <w:t xml:space="preserve"> by the IRS.</w:t>
      </w:r>
      <w:r w:rsidR="00973298">
        <w:rPr>
          <w:rStyle w:val="FootnoteReference"/>
        </w:rPr>
        <w:footnoteReference w:id="318"/>
      </w:r>
      <w:r w:rsidR="00973298">
        <w:t xml:space="preserve">  </w:t>
      </w:r>
      <w:r w:rsidR="00CE087A" w:rsidRPr="0022687C">
        <w:t xml:space="preserve">In the alternative, the Company requests that the Commission </w:t>
      </w:r>
      <w:r w:rsidR="00CE087A">
        <w:t xml:space="preserve">apply the </w:t>
      </w:r>
      <w:r w:rsidR="00CE087A" w:rsidRPr="0022687C">
        <w:t xml:space="preserve">same regulatory treatment afforded </w:t>
      </w:r>
      <w:r>
        <w:t xml:space="preserve">to </w:t>
      </w:r>
      <w:r w:rsidR="00CE087A" w:rsidRPr="0022687C">
        <w:t>Puget in its most recent general rate case</w:t>
      </w:r>
      <w:r w:rsidR="00CE087A">
        <w:t>, and delay reflecting the tax benefits of the repairs deduction in rates until the IRS has made a final tax determination with respect to this deduction.</w:t>
      </w:r>
      <w:r w:rsidR="00CE087A">
        <w:rPr>
          <w:rStyle w:val="FootnoteReference"/>
        </w:rPr>
        <w:footnoteReference w:id="319"/>
      </w:r>
    </w:p>
    <w:p w:rsidR="00973298" w:rsidRDefault="005C76B4">
      <w:pPr>
        <w:widowControl w:val="0"/>
        <w:spacing w:line="480" w:lineRule="auto"/>
        <w:jc w:val="center"/>
        <w:rPr>
          <w:rFonts w:ascii="Times New Roman" w:hAnsi="Times New Roman"/>
          <w:b/>
        </w:rPr>
      </w:pPr>
      <w:r>
        <w:rPr>
          <w:rFonts w:ascii="Times New Roman" w:hAnsi="Times New Roman"/>
          <w:b/>
        </w:rPr>
        <w:t>VI</w:t>
      </w:r>
      <w:r w:rsidR="001E7DD3">
        <w:rPr>
          <w:rFonts w:ascii="Times New Roman" w:hAnsi="Times New Roman"/>
          <w:b/>
        </w:rPr>
        <w:t>I</w:t>
      </w:r>
      <w:r>
        <w:rPr>
          <w:rFonts w:ascii="Times New Roman" w:hAnsi="Times New Roman"/>
          <w:b/>
        </w:rPr>
        <w:t>.</w:t>
      </w:r>
      <w:r>
        <w:rPr>
          <w:rFonts w:ascii="Times New Roman" w:hAnsi="Times New Roman"/>
          <w:b/>
        </w:rPr>
        <w:tab/>
        <w:t>OTHER REVENUE REQUIREMENT ADJUSTMENTS</w:t>
      </w:r>
    </w:p>
    <w:p w:rsidR="00973298" w:rsidRPr="00AC3F5A" w:rsidRDefault="005C76B4" w:rsidP="00AC3F5A">
      <w:pPr>
        <w:widowControl w:val="0"/>
        <w:spacing w:line="480" w:lineRule="auto"/>
        <w:rPr>
          <w:rFonts w:ascii="Times New Roman" w:hAnsi="Times New Roman"/>
          <w:b/>
        </w:rPr>
      </w:pPr>
      <w:r>
        <w:rPr>
          <w:rFonts w:ascii="Times New Roman" w:hAnsi="Times New Roman"/>
          <w:b/>
        </w:rPr>
        <w:t>A.</w:t>
      </w:r>
      <w:r>
        <w:rPr>
          <w:rFonts w:ascii="Times New Roman" w:hAnsi="Times New Roman"/>
          <w:b/>
        </w:rPr>
        <w:tab/>
        <w:t>Cash Working Capital</w:t>
      </w:r>
      <w:r w:rsidR="00F96B3C" w:rsidRPr="00F96B3C">
        <w:rPr>
          <w:rFonts w:ascii="Times New Roman" w:hAnsi="Times New Roman"/>
          <w:szCs w:val="24"/>
        </w:rPr>
        <w:t xml:space="preserve"> </w:t>
      </w:r>
      <w:r w:rsidR="00A81379" w:rsidRPr="00A81379">
        <w:rPr>
          <w:rFonts w:ascii="Times New Roman" w:hAnsi="Times New Roman"/>
          <w:b/>
          <w:szCs w:val="24"/>
        </w:rPr>
        <w:t>(CWC)</w:t>
      </w:r>
    </w:p>
    <w:p w:rsidR="00973298" w:rsidRDefault="00F96B3C">
      <w:pPr>
        <w:keepNext/>
        <w:widowControl w:val="0"/>
        <w:spacing w:line="480" w:lineRule="auto"/>
        <w:ind w:left="-720"/>
        <w:rPr>
          <w:rFonts w:ascii="Times New Roman" w:hAnsi="Times New Roman"/>
          <w:b/>
          <w:szCs w:val="24"/>
        </w:rPr>
      </w:pPr>
      <w:r w:rsidRPr="0098280A">
        <w:rPr>
          <w:rFonts w:ascii="Times New Roman" w:hAnsi="Times New Roman"/>
          <w:szCs w:val="24"/>
        </w:rPr>
        <w:tab/>
      </w:r>
      <w:r w:rsidR="00220CD9">
        <w:rPr>
          <w:rFonts w:ascii="Times New Roman" w:hAnsi="Times New Roman"/>
          <w:szCs w:val="24"/>
        </w:rPr>
        <w:tab/>
      </w:r>
      <w:r w:rsidR="00220CD9" w:rsidRPr="00220CD9">
        <w:rPr>
          <w:rFonts w:ascii="Times New Roman" w:hAnsi="Times New Roman"/>
          <w:b/>
          <w:szCs w:val="24"/>
        </w:rPr>
        <w:t>1</w:t>
      </w:r>
      <w:r w:rsidR="0098280A">
        <w:rPr>
          <w:rFonts w:ascii="Times New Roman" w:hAnsi="Times New Roman"/>
          <w:b/>
          <w:szCs w:val="24"/>
        </w:rPr>
        <w:t>.</w:t>
      </w:r>
      <w:r w:rsidR="0098280A">
        <w:rPr>
          <w:rFonts w:ascii="Times New Roman" w:hAnsi="Times New Roman"/>
          <w:b/>
          <w:szCs w:val="24"/>
        </w:rPr>
        <w:tab/>
        <w:t>ICNU</w:t>
      </w:r>
      <w:r w:rsidR="00CE087A">
        <w:rPr>
          <w:rFonts w:ascii="Times New Roman" w:hAnsi="Times New Roman"/>
          <w:b/>
          <w:szCs w:val="24"/>
        </w:rPr>
        <w:t>/</w:t>
      </w:r>
      <w:r w:rsidRPr="0098280A">
        <w:rPr>
          <w:rFonts w:ascii="Times New Roman" w:hAnsi="Times New Roman"/>
          <w:b/>
          <w:szCs w:val="24"/>
        </w:rPr>
        <w:t>Public Counsel’s Adjustment</w:t>
      </w:r>
      <w:r w:rsidR="00A320A9">
        <w:rPr>
          <w:rFonts w:ascii="Times New Roman" w:hAnsi="Times New Roman"/>
          <w:b/>
          <w:szCs w:val="24"/>
        </w:rPr>
        <w:t>s Have</w:t>
      </w:r>
      <w:r w:rsidRPr="0098280A">
        <w:rPr>
          <w:rFonts w:ascii="Times New Roman" w:hAnsi="Times New Roman"/>
          <w:b/>
          <w:szCs w:val="24"/>
        </w:rPr>
        <w:t xml:space="preserve"> No Merit.</w:t>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C30EC5">
        <w:rPr>
          <w:rFonts w:ascii="Times New Roman" w:hAnsi="Times New Roman"/>
          <w:szCs w:val="24"/>
        </w:rPr>
        <w:t>Mr. </w:t>
      </w:r>
      <w:r w:rsidR="00F96B3C" w:rsidRPr="00F96B3C">
        <w:rPr>
          <w:rFonts w:ascii="Times New Roman" w:hAnsi="Times New Roman"/>
          <w:szCs w:val="24"/>
        </w:rPr>
        <w:t>M</w:t>
      </w:r>
      <w:r w:rsidR="0098280A">
        <w:rPr>
          <w:rFonts w:ascii="Times New Roman" w:hAnsi="Times New Roman"/>
          <w:szCs w:val="24"/>
        </w:rPr>
        <w:t>e</w:t>
      </w:r>
      <w:r w:rsidR="00F96B3C" w:rsidRPr="00F96B3C">
        <w:rPr>
          <w:rFonts w:ascii="Times New Roman" w:hAnsi="Times New Roman"/>
          <w:szCs w:val="24"/>
        </w:rPr>
        <w:t xml:space="preserve">yer’s adjustment removed all CWC from the Company’s rate base because he concluded that had the Company performed a </w:t>
      </w:r>
      <w:r w:rsidR="00A320A9">
        <w:rPr>
          <w:rFonts w:ascii="Times New Roman" w:hAnsi="Times New Roman"/>
          <w:szCs w:val="24"/>
        </w:rPr>
        <w:t>lead-lag</w:t>
      </w:r>
      <w:r w:rsidR="00F96B3C" w:rsidRPr="00F96B3C">
        <w:rPr>
          <w:rFonts w:ascii="Times New Roman" w:hAnsi="Times New Roman"/>
          <w:szCs w:val="24"/>
        </w:rPr>
        <w:t xml:space="preserve"> study</w:t>
      </w:r>
      <w:r w:rsidR="00A320A9">
        <w:rPr>
          <w:rFonts w:ascii="Times New Roman" w:hAnsi="Times New Roman"/>
          <w:szCs w:val="24"/>
        </w:rPr>
        <w:t>,</w:t>
      </w:r>
      <w:r w:rsidR="00F96B3C" w:rsidRPr="00F96B3C">
        <w:rPr>
          <w:rFonts w:ascii="Times New Roman" w:hAnsi="Times New Roman"/>
          <w:szCs w:val="24"/>
        </w:rPr>
        <w:t xml:space="preserve"> the outcome of that study would have resulted in a negative CWC.</w:t>
      </w:r>
      <w:r w:rsidR="00F96B3C" w:rsidRPr="00432605">
        <w:rPr>
          <w:rStyle w:val="FootnoteReference"/>
          <w:rFonts w:ascii="Times New Roman" w:hAnsi="Times New Roman"/>
          <w:szCs w:val="24"/>
        </w:rPr>
        <w:footnoteReference w:id="320"/>
      </w:r>
      <w:r w:rsidR="00F96B3C" w:rsidRPr="00F96B3C">
        <w:rPr>
          <w:rFonts w:ascii="Times New Roman" w:hAnsi="Times New Roman"/>
          <w:szCs w:val="24"/>
        </w:rPr>
        <w:t xml:space="preserve">  </w:t>
      </w:r>
      <w:r w:rsidR="00C30EC5">
        <w:rPr>
          <w:rFonts w:ascii="Times New Roman" w:hAnsi="Times New Roman"/>
          <w:szCs w:val="24"/>
        </w:rPr>
        <w:t>Mr. </w:t>
      </w:r>
      <w:r w:rsidR="00F96B3C" w:rsidRPr="00F96B3C">
        <w:rPr>
          <w:rFonts w:ascii="Times New Roman" w:hAnsi="Times New Roman"/>
          <w:szCs w:val="24"/>
        </w:rPr>
        <w:t xml:space="preserve">Meyer did not perform such a study and relied instead on anecdotal </w:t>
      </w:r>
      <w:r w:rsidR="00A320A9">
        <w:rPr>
          <w:rFonts w:ascii="Times New Roman" w:hAnsi="Times New Roman"/>
          <w:szCs w:val="24"/>
        </w:rPr>
        <w:t>accounts</w:t>
      </w:r>
      <w:r w:rsidR="00F96B3C" w:rsidRPr="00F96B3C">
        <w:rPr>
          <w:rFonts w:ascii="Times New Roman" w:hAnsi="Times New Roman"/>
          <w:szCs w:val="24"/>
        </w:rPr>
        <w:t xml:space="preserve"> </w:t>
      </w:r>
      <w:r w:rsidR="00C5497B">
        <w:rPr>
          <w:rFonts w:ascii="Times New Roman" w:hAnsi="Times New Roman"/>
          <w:szCs w:val="24"/>
        </w:rPr>
        <w:t xml:space="preserve">from his </w:t>
      </w:r>
      <w:r w:rsidR="00A320A9">
        <w:rPr>
          <w:rFonts w:ascii="Times New Roman" w:hAnsi="Times New Roman"/>
          <w:szCs w:val="24"/>
        </w:rPr>
        <w:t>experience</w:t>
      </w:r>
      <w:r w:rsidR="00F96B3C" w:rsidRPr="00F96B3C">
        <w:rPr>
          <w:rFonts w:ascii="Times New Roman" w:hAnsi="Times New Roman"/>
          <w:szCs w:val="24"/>
        </w:rPr>
        <w:t xml:space="preserve"> with the Missouri Public Service Commission.</w:t>
      </w:r>
      <w:r w:rsidR="00F96B3C" w:rsidRPr="00432605">
        <w:rPr>
          <w:rStyle w:val="FootnoteReference"/>
          <w:rFonts w:ascii="Times New Roman" w:hAnsi="Times New Roman"/>
          <w:szCs w:val="24"/>
        </w:rPr>
        <w:footnoteReference w:id="321"/>
      </w:r>
      <w:r w:rsidR="00F96B3C" w:rsidRPr="00F96B3C">
        <w:rPr>
          <w:rFonts w:ascii="Times New Roman" w:hAnsi="Times New Roman"/>
          <w:szCs w:val="24"/>
        </w:rPr>
        <w:t xml:space="preserve">  The Commission has made clear that parties proposing changes to the Company’s CWC </w:t>
      </w:r>
      <w:r w:rsidR="00F96B3C" w:rsidRPr="00043309">
        <w:t>methodology</w:t>
      </w:r>
      <w:r w:rsidR="00F96B3C" w:rsidRPr="00F96B3C">
        <w:rPr>
          <w:rFonts w:ascii="Times New Roman" w:hAnsi="Times New Roman"/>
          <w:szCs w:val="24"/>
        </w:rPr>
        <w:t xml:space="preserve"> must “provide full evidentiary support of any proposals and methods they may submit to substantiate adjustments to a company’s figures.”</w:t>
      </w:r>
      <w:r w:rsidR="00F96B3C" w:rsidRPr="00432605">
        <w:rPr>
          <w:rStyle w:val="FootnoteReference"/>
          <w:rFonts w:ascii="Times New Roman" w:hAnsi="Times New Roman"/>
          <w:szCs w:val="24"/>
        </w:rPr>
        <w:footnoteReference w:id="322"/>
      </w:r>
      <w:r w:rsidR="00F96B3C" w:rsidRPr="00F96B3C">
        <w:rPr>
          <w:rFonts w:ascii="Times New Roman" w:hAnsi="Times New Roman"/>
          <w:szCs w:val="24"/>
        </w:rPr>
        <w:t xml:space="preserve">  </w:t>
      </w:r>
      <w:r w:rsidR="00457572">
        <w:rPr>
          <w:rFonts w:ascii="Times New Roman" w:hAnsi="Times New Roman"/>
          <w:szCs w:val="24"/>
        </w:rPr>
        <w:t>Mr. Meyer’s proposal</w:t>
      </w:r>
      <w:r w:rsidR="00F96B3C" w:rsidRPr="00F96B3C">
        <w:rPr>
          <w:rFonts w:ascii="Times New Roman" w:hAnsi="Times New Roman"/>
          <w:szCs w:val="24"/>
        </w:rPr>
        <w:t xml:space="preserve"> falls well short of the Commission’s standards and should be rejected.  </w:t>
      </w:r>
    </w:p>
    <w:p w:rsidR="00973298" w:rsidRDefault="005857A4" w:rsidP="005857A4">
      <w:pPr>
        <w:keepNext/>
        <w:widowControl w:val="0"/>
        <w:spacing w:line="480" w:lineRule="auto"/>
        <w:rPr>
          <w:rFonts w:ascii="Times New Roman" w:hAnsi="Times New Roman"/>
          <w:szCs w:val="24"/>
        </w:rPr>
      </w:pPr>
      <w:r>
        <w:rPr>
          <w:rFonts w:ascii="Times New Roman" w:hAnsi="Times New Roman"/>
          <w:b/>
          <w:szCs w:val="24"/>
        </w:rPr>
        <w:t>2</w:t>
      </w:r>
      <w:r w:rsidR="00F96B3C" w:rsidRPr="0098280A">
        <w:rPr>
          <w:rFonts w:ascii="Times New Roman" w:hAnsi="Times New Roman"/>
          <w:b/>
          <w:szCs w:val="24"/>
        </w:rPr>
        <w:t>.</w:t>
      </w:r>
      <w:r w:rsidR="00F96B3C" w:rsidRPr="0098280A">
        <w:rPr>
          <w:rFonts w:ascii="Times New Roman" w:hAnsi="Times New Roman"/>
          <w:b/>
          <w:szCs w:val="24"/>
        </w:rPr>
        <w:tab/>
        <w:t>Staff’s Adjustment is Inconsistent with Commission Precedent.</w:t>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F96B3C" w:rsidRPr="00F96B3C">
        <w:rPr>
          <w:rFonts w:ascii="Times New Roman" w:hAnsi="Times New Roman"/>
          <w:szCs w:val="24"/>
        </w:rPr>
        <w:t>Staff’s CWC adjustment removes all CWC, fuel stock, and materials and supplies balances on the basis of the Investor Supplied Working Capital (ISWC) method.</w:t>
      </w:r>
      <w:r w:rsidR="00F96B3C" w:rsidRPr="00432605">
        <w:rPr>
          <w:rStyle w:val="FootnoteReference"/>
          <w:rFonts w:ascii="Times New Roman" w:hAnsi="Times New Roman"/>
          <w:szCs w:val="24"/>
        </w:rPr>
        <w:footnoteReference w:id="323"/>
      </w:r>
      <w:r w:rsidR="00F96B3C" w:rsidRPr="00F96B3C">
        <w:rPr>
          <w:rFonts w:ascii="Times New Roman" w:hAnsi="Times New Roman"/>
          <w:szCs w:val="24"/>
        </w:rPr>
        <w:t xml:space="preserve">  The </w:t>
      </w:r>
      <w:r w:rsidR="00F96B3C" w:rsidRPr="00F96B3C">
        <w:rPr>
          <w:rFonts w:ascii="Times New Roman" w:hAnsi="Times New Roman"/>
          <w:szCs w:val="24"/>
        </w:rPr>
        <w:lastRenderedPageBreak/>
        <w:t xml:space="preserve">Commission should reject this adjustment because the ISWC method used here has the same flaws that lead to its rejection by the Commission in the Company’s 2006 rate case.  In that case, the Commission rejected Staff’s ISWC method </w:t>
      </w:r>
      <w:r w:rsidR="00F96B3C" w:rsidRPr="00F96B3C">
        <w:t>because</w:t>
      </w:r>
      <w:r w:rsidR="00F96B3C" w:rsidRPr="00F96B3C">
        <w:rPr>
          <w:rFonts w:ascii="Times New Roman" w:hAnsi="Times New Roman"/>
          <w:szCs w:val="24"/>
        </w:rPr>
        <w:t xml:space="preserve"> it was not performed “in a manner consistent with the WCA allocation methodology.”</w:t>
      </w:r>
      <w:r w:rsidR="00F96B3C" w:rsidRPr="00432605">
        <w:rPr>
          <w:rStyle w:val="FootnoteReference"/>
          <w:rFonts w:ascii="Times New Roman" w:hAnsi="Times New Roman"/>
          <w:szCs w:val="24"/>
        </w:rPr>
        <w:footnoteReference w:id="324"/>
      </w:r>
      <w:r w:rsidR="00F96B3C" w:rsidRPr="00F96B3C">
        <w:rPr>
          <w:rFonts w:ascii="Times New Roman" w:hAnsi="Times New Roman"/>
          <w:szCs w:val="24"/>
        </w:rPr>
        <w:t xml:space="preserve">  During the hearing in the 2006 case, Commissioner </w:t>
      </w:r>
      <w:proofErr w:type="spellStart"/>
      <w:r w:rsidR="00F96B3C" w:rsidRPr="00F96B3C">
        <w:rPr>
          <w:rFonts w:ascii="Times New Roman" w:hAnsi="Times New Roman"/>
          <w:szCs w:val="24"/>
        </w:rPr>
        <w:t>Oshie</w:t>
      </w:r>
      <w:proofErr w:type="spellEnd"/>
      <w:r w:rsidR="00F96B3C" w:rsidRPr="00F96B3C">
        <w:rPr>
          <w:rFonts w:ascii="Times New Roman" w:hAnsi="Times New Roman"/>
          <w:szCs w:val="24"/>
        </w:rPr>
        <w:t xml:space="preserve"> asked </w:t>
      </w:r>
      <w:r w:rsidR="00C30EC5">
        <w:rPr>
          <w:rFonts w:ascii="Times New Roman" w:hAnsi="Times New Roman"/>
          <w:szCs w:val="24"/>
        </w:rPr>
        <w:t>Mr. </w:t>
      </w:r>
      <w:proofErr w:type="spellStart"/>
      <w:r w:rsidR="00F96B3C" w:rsidRPr="00F96B3C">
        <w:rPr>
          <w:rFonts w:ascii="Times New Roman" w:hAnsi="Times New Roman"/>
          <w:szCs w:val="24"/>
        </w:rPr>
        <w:t>Schooley</w:t>
      </w:r>
      <w:proofErr w:type="spellEnd"/>
      <w:r w:rsidR="00F96B3C" w:rsidRPr="00F96B3C">
        <w:rPr>
          <w:rFonts w:ascii="Times New Roman" w:hAnsi="Times New Roman"/>
          <w:szCs w:val="24"/>
        </w:rPr>
        <w:t>:</w:t>
      </w:r>
    </w:p>
    <w:p w:rsidR="00973298" w:rsidRDefault="00F96B3C">
      <w:pPr>
        <w:widowControl w:val="0"/>
        <w:spacing w:after="240"/>
        <w:ind w:left="720" w:right="720"/>
        <w:jc w:val="both"/>
        <w:rPr>
          <w:rFonts w:ascii="Times New Roman" w:hAnsi="Times New Roman"/>
          <w:szCs w:val="24"/>
        </w:rPr>
      </w:pPr>
      <w:r w:rsidRPr="0098280A">
        <w:rPr>
          <w:rFonts w:ascii="Times New Roman" w:hAnsi="Times New Roman"/>
          <w:szCs w:val="24"/>
        </w:rPr>
        <w:t xml:space="preserve">Q:. . . when you did your analysis of the </w:t>
      </w:r>
      <w:r w:rsidR="000135CC">
        <w:rPr>
          <w:rFonts w:ascii="Times New Roman" w:hAnsi="Times New Roman"/>
          <w:szCs w:val="24"/>
        </w:rPr>
        <w:t>[ISWC]</w:t>
      </w:r>
      <w:r w:rsidRPr="0098280A">
        <w:rPr>
          <w:rFonts w:ascii="Times New Roman" w:hAnsi="Times New Roman"/>
          <w:szCs w:val="24"/>
        </w:rPr>
        <w:t xml:space="preserve"> that formed the basis of your recommendation in this case . . . did you do the analysis based upon a Western Control Area and Eastern Control Area scenario or did you do a total company analysis and then allocate </w:t>
      </w:r>
      <w:r w:rsidR="00557B47" w:rsidRPr="0098280A">
        <w:rPr>
          <w:rFonts w:ascii="Times New Roman" w:hAnsi="Times New Roman"/>
          <w:szCs w:val="24"/>
        </w:rPr>
        <w:t>a percentage</w:t>
      </w:r>
      <w:r w:rsidRPr="0098280A">
        <w:rPr>
          <w:rFonts w:ascii="Times New Roman" w:hAnsi="Times New Roman"/>
          <w:szCs w:val="24"/>
        </w:rPr>
        <w:t xml:space="preserve"> of the total company to Washington? </w:t>
      </w:r>
    </w:p>
    <w:p w:rsidR="00973298" w:rsidRDefault="00F96B3C">
      <w:pPr>
        <w:widowControl w:val="0"/>
        <w:spacing w:after="240"/>
        <w:ind w:left="720" w:right="720"/>
        <w:jc w:val="both"/>
        <w:rPr>
          <w:rFonts w:ascii="Times New Roman" w:hAnsi="Times New Roman"/>
          <w:szCs w:val="24"/>
        </w:rPr>
      </w:pPr>
      <w:r w:rsidRPr="0098280A">
        <w:rPr>
          <w:rFonts w:ascii="Times New Roman" w:hAnsi="Times New Roman"/>
          <w:szCs w:val="24"/>
        </w:rPr>
        <w:t>A: I did not look at divvying up of the resources or the rate base between control areas.  I did do it on a total company basis and, in the end applied the system operations factor . . .</w:t>
      </w:r>
      <w:r w:rsidRPr="00432605">
        <w:rPr>
          <w:rStyle w:val="FootnoteReference"/>
          <w:rFonts w:ascii="Times New Roman" w:hAnsi="Times New Roman"/>
          <w:szCs w:val="24"/>
        </w:rPr>
        <w:footnoteReference w:id="325"/>
      </w:r>
      <w:r w:rsidRPr="0098280A">
        <w:rPr>
          <w:rFonts w:ascii="Times New Roman" w:hAnsi="Times New Roman"/>
          <w:szCs w:val="24"/>
        </w:rPr>
        <w:t xml:space="preserve"> </w:t>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F96B3C" w:rsidRPr="00F96B3C">
        <w:rPr>
          <w:rFonts w:ascii="Times New Roman" w:hAnsi="Times New Roman"/>
          <w:szCs w:val="24"/>
        </w:rPr>
        <w:t>The Commission rejected Staff’s method because it was performed “on a total company basis, not a WCA basis,” and then allocated to Washington “based on Washington plant relative to total system plant.”</w:t>
      </w:r>
      <w:r w:rsidR="00F96B3C" w:rsidRPr="00432605">
        <w:rPr>
          <w:rStyle w:val="FootnoteReference"/>
          <w:rFonts w:ascii="Times New Roman" w:hAnsi="Times New Roman"/>
          <w:szCs w:val="24"/>
        </w:rPr>
        <w:footnoteReference w:id="326"/>
      </w:r>
      <w:r w:rsidR="00F96B3C" w:rsidRPr="00F96B3C">
        <w:rPr>
          <w:rFonts w:ascii="Times New Roman" w:hAnsi="Times New Roman"/>
          <w:szCs w:val="24"/>
        </w:rPr>
        <w:t xml:space="preserve">  Here, </w:t>
      </w:r>
      <w:r w:rsidR="00C30EC5">
        <w:rPr>
          <w:rFonts w:ascii="Times New Roman" w:hAnsi="Times New Roman"/>
          <w:szCs w:val="24"/>
        </w:rPr>
        <w:t>Mr. </w:t>
      </w:r>
      <w:proofErr w:type="spellStart"/>
      <w:r w:rsidR="00F96B3C" w:rsidRPr="00F96B3C">
        <w:t>Schooley’s</w:t>
      </w:r>
      <w:proofErr w:type="spellEnd"/>
      <w:r w:rsidR="00F96B3C" w:rsidRPr="00F96B3C">
        <w:rPr>
          <w:rFonts w:ascii="Times New Roman" w:hAnsi="Times New Roman"/>
          <w:szCs w:val="24"/>
        </w:rPr>
        <w:t xml:space="preserve"> analysis is fundamentally identical to his analysis in the 2006 rate case because he once a</w:t>
      </w:r>
      <w:r w:rsidR="00C5497B">
        <w:rPr>
          <w:rFonts w:ascii="Times New Roman" w:hAnsi="Times New Roman"/>
          <w:szCs w:val="24"/>
        </w:rPr>
        <w:t>gain calculated CWC on a total C</w:t>
      </w:r>
      <w:r w:rsidR="00F96B3C" w:rsidRPr="00F96B3C">
        <w:rPr>
          <w:rFonts w:ascii="Times New Roman" w:hAnsi="Times New Roman"/>
          <w:szCs w:val="24"/>
        </w:rPr>
        <w:t>ompany basis.</w:t>
      </w:r>
      <w:r w:rsidR="00F96B3C" w:rsidRPr="00432605">
        <w:rPr>
          <w:rStyle w:val="FootnoteReference"/>
          <w:rFonts w:ascii="Times New Roman" w:hAnsi="Times New Roman"/>
          <w:szCs w:val="24"/>
        </w:rPr>
        <w:footnoteReference w:id="327"/>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F96B3C" w:rsidRPr="00F96B3C">
        <w:rPr>
          <w:rFonts w:ascii="Times New Roman" w:hAnsi="Times New Roman"/>
          <w:szCs w:val="24"/>
        </w:rPr>
        <w:t xml:space="preserve">When </w:t>
      </w:r>
      <w:r w:rsidR="00C30EC5">
        <w:rPr>
          <w:rFonts w:ascii="Times New Roman" w:hAnsi="Times New Roman"/>
          <w:szCs w:val="24"/>
        </w:rPr>
        <w:t>Mr. </w:t>
      </w:r>
      <w:r w:rsidR="00F96B3C" w:rsidRPr="00F96B3C">
        <w:rPr>
          <w:rFonts w:ascii="Times New Roman" w:hAnsi="Times New Roman"/>
          <w:szCs w:val="24"/>
        </w:rPr>
        <w:t xml:space="preserve">Schooley described his </w:t>
      </w:r>
      <w:r w:rsidR="00F96B3C" w:rsidRPr="00043309">
        <w:t>method</w:t>
      </w:r>
      <w:r w:rsidR="00F96B3C" w:rsidRPr="00F96B3C">
        <w:rPr>
          <w:rFonts w:ascii="Times New Roman" w:hAnsi="Times New Roman"/>
          <w:szCs w:val="24"/>
        </w:rPr>
        <w:t xml:space="preserve"> in this case, he stated that his analysis “is based on PacifiCorp’s </w:t>
      </w:r>
      <w:r w:rsidR="00F96B3C" w:rsidRPr="00F96B3C">
        <w:rPr>
          <w:rFonts w:ascii="Times New Roman" w:hAnsi="Times New Roman"/>
          <w:i/>
          <w:szCs w:val="24"/>
        </w:rPr>
        <w:t>total company</w:t>
      </w:r>
      <w:r w:rsidR="00F96B3C" w:rsidRPr="00F96B3C">
        <w:rPr>
          <w:rFonts w:ascii="Times New Roman" w:hAnsi="Times New Roman"/>
          <w:szCs w:val="24"/>
        </w:rPr>
        <w:t xml:space="preserve"> balance sheet for the year ending December 31, 2009.”</w:t>
      </w:r>
      <w:r w:rsidR="00F96B3C" w:rsidRPr="00432605">
        <w:rPr>
          <w:rStyle w:val="FootnoteReference"/>
          <w:rFonts w:ascii="Times New Roman" w:hAnsi="Times New Roman"/>
          <w:szCs w:val="24"/>
        </w:rPr>
        <w:footnoteReference w:id="328"/>
      </w:r>
      <w:r w:rsidR="00F96B3C" w:rsidRPr="00F96B3C">
        <w:rPr>
          <w:rFonts w:ascii="Times New Roman" w:hAnsi="Times New Roman"/>
          <w:szCs w:val="24"/>
        </w:rPr>
        <w:t xml:space="preserve">  In his 2006 testimony, his analysis was based upon “PacifiCorp’s </w:t>
      </w:r>
      <w:r w:rsidR="00F96B3C" w:rsidRPr="00F96B3C">
        <w:rPr>
          <w:rFonts w:ascii="Times New Roman" w:hAnsi="Times New Roman"/>
          <w:i/>
          <w:szCs w:val="24"/>
        </w:rPr>
        <w:t>total company</w:t>
      </w:r>
      <w:r w:rsidR="00F96B3C" w:rsidRPr="00F96B3C">
        <w:rPr>
          <w:rFonts w:ascii="Times New Roman" w:hAnsi="Times New Roman"/>
          <w:szCs w:val="24"/>
        </w:rPr>
        <w:t xml:space="preserve"> balance sheet as of March 31, 2006.”</w:t>
      </w:r>
      <w:r w:rsidR="00F96B3C" w:rsidRPr="00432605">
        <w:rPr>
          <w:rStyle w:val="FootnoteReference"/>
          <w:rFonts w:ascii="Times New Roman" w:hAnsi="Times New Roman"/>
          <w:szCs w:val="24"/>
        </w:rPr>
        <w:footnoteReference w:id="329"/>
      </w:r>
      <w:r w:rsidR="00F96B3C" w:rsidRPr="00F96B3C">
        <w:rPr>
          <w:rFonts w:ascii="Times New Roman" w:hAnsi="Times New Roman"/>
          <w:szCs w:val="24"/>
        </w:rPr>
        <w:t xml:space="preserve">  Here, using the total company balance sheet, </w:t>
      </w:r>
      <w:r w:rsidR="00C30EC5">
        <w:rPr>
          <w:rFonts w:ascii="Times New Roman" w:hAnsi="Times New Roman"/>
          <w:szCs w:val="24"/>
        </w:rPr>
        <w:t>Mr. </w:t>
      </w:r>
      <w:r w:rsidR="00F96B3C" w:rsidRPr="00F96B3C">
        <w:rPr>
          <w:rFonts w:ascii="Times New Roman" w:hAnsi="Times New Roman"/>
          <w:szCs w:val="24"/>
        </w:rPr>
        <w:t xml:space="preserve">Schooley concluded that investors supplied no working capital because the </w:t>
      </w:r>
      <w:r w:rsidR="00F96B3C" w:rsidRPr="00F96B3C">
        <w:rPr>
          <w:rFonts w:ascii="Times New Roman" w:hAnsi="Times New Roman"/>
          <w:i/>
          <w:szCs w:val="24"/>
        </w:rPr>
        <w:t>total company</w:t>
      </w:r>
      <w:r w:rsidR="00F96B3C" w:rsidRPr="00F96B3C">
        <w:rPr>
          <w:rFonts w:ascii="Times New Roman" w:hAnsi="Times New Roman"/>
          <w:szCs w:val="24"/>
        </w:rPr>
        <w:t xml:space="preserve"> </w:t>
      </w:r>
      <w:r w:rsidR="00F96B3C" w:rsidRPr="00F96B3C">
        <w:rPr>
          <w:rFonts w:ascii="Times New Roman" w:hAnsi="Times New Roman"/>
          <w:i/>
          <w:szCs w:val="24"/>
        </w:rPr>
        <w:t>investments</w:t>
      </w:r>
      <w:r w:rsidR="00F96B3C" w:rsidRPr="00F96B3C">
        <w:rPr>
          <w:rFonts w:ascii="Times New Roman" w:hAnsi="Times New Roman"/>
          <w:szCs w:val="24"/>
        </w:rPr>
        <w:t xml:space="preserve"> exceeded the </w:t>
      </w:r>
      <w:r w:rsidR="00F96B3C" w:rsidRPr="00F96B3C">
        <w:rPr>
          <w:rFonts w:ascii="Times New Roman" w:hAnsi="Times New Roman"/>
          <w:i/>
          <w:szCs w:val="24"/>
        </w:rPr>
        <w:lastRenderedPageBreak/>
        <w:t>total company</w:t>
      </w:r>
      <w:r w:rsidR="00F96B3C" w:rsidRPr="00F96B3C">
        <w:rPr>
          <w:rFonts w:ascii="Times New Roman" w:hAnsi="Times New Roman"/>
          <w:szCs w:val="24"/>
        </w:rPr>
        <w:t xml:space="preserve"> </w:t>
      </w:r>
      <w:r w:rsidR="00F96B3C" w:rsidRPr="00F96B3C">
        <w:rPr>
          <w:rFonts w:ascii="Times New Roman" w:hAnsi="Times New Roman"/>
          <w:i/>
          <w:szCs w:val="24"/>
        </w:rPr>
        <w:t>invested capital</w:t>
      </w:r>
      <w:r w:rsidR="00F96B3C" w:rsidRPr="00F96B3C">
        <w:rPr>
          <w:rFonts w:ascii="Times New Roman" w:hAnsi="Times New Roman"/>
          <w:szCs w:val="24"/>
        </w:rPr>
        <w:t>.</w:t>
      </w:r>
      <w:r w:rsidR="00F96B3C" w:rsidRPr="00432605">
        <w:rPr>
          <w:rStyle w:val="FootnoteReference"/>
          <w:rFonts w:ascii="Times New Roman" w:hAnsi="Times New Roman"/>
          <w:szCs w:val="24"/>
        </w:rPr>
        <w:footnoteReference w:id="330"/>
      </w:r>
      <w:r w:rsidR="00F96B3C" w:rsidRPr="00F96B3C">
        <w:rPr>
          <w:rFonts w:ascii="Times New Roman" w:hAnsi="Times New Roman"/>
          <w:szCs w:val="24"/>
        </w:rPr>
        <w:t xml:space="preserve">  In 2006, </w:t>
      </w:r>
      <w:r w:rsidR="00C30EC5">
        <w:rPr>
          <w:rFonts w:ascii="Times New Roman" w:hAnsi="Times New Roman"/>
          <w:szCs w:val="24"/>
        </w:rPr>
        <w:t>Mr. </w:t>
      </w:r>
      <w:r w:rsidR="00F96B3C" w:rsidRPr="00F96B3C">
        <w:rPr>
          <w:rFonts w:ascii="Times New Roman" w:hAnsi="Times New Roman"/>
          <w:szCs w:val="24"/>
        </w:rPr>
        <w:t xml:space="preserve">Schooley calculated his CWC by “subtracting the </w:t>
      </w:r>
      <w:r w:rsidR="00F96B3C" w:rsidRPr="00F96B3C">
        <w:rPr>
          <w:rFonts w:ascii="Times New Roman" w:hAnsi="Times New Roman"/>
          <w:i/>
          <w:szCs w:val="24"/>
        </w:rPr>
        <w:t>total investments</w:t>
      </w:r>
      <w:r w:rsidR="00F96B3C" w:rsidRPr="00F96B3C">
        <w:rPr>
          <w:rFonts w:ascii="Times New Roman" w:hAnsi="Times New Roman"/>
          <w:szCs w:val="24"/>
        </w:rPr>
        <w:t xml:space="preserve"> from the </w:t>
      </w:r>
      <w:r w:rsidR="00F96B3C" w:rsidRPr="00F96B3C">
        <w:rPr>
          <w:rFonts w:ascii="Times New Roman" w:hAnsi="Times New Roman"/>
          <w:i/>
          <w:szCs w:val="24"/>
        </w:rPr>
        <w:t>total invested capital</w:t>
      </w:r>
      <w:r w:rsidR="00F96B3C" w:rsidRPr="00F96B3C">
        <w:rPr>
          <w:rFonts w:ascii="Times New Roman" w:hAnsi="Times New Roman"/>
          <w:szCs w:val="24"/>
        </w:rPr>
        <w:t>.”</w:t>
      </w:r>
      <w:r w:rsidR="00F96B3C" w:rsidRPr="00432605">
        <w:rPr>
          <w:rStyle w:val="FootnoteReference"/>
          <w:rFonts w:ascii="Times New Roman" w:hAnsi="Times New Roman"/>
          <w:szCs w:val="24"/>
        </w:rPr>
        <w:footnoteReference w:id="331"/>
      </w:r>
      <w:r w:rsidR="00F96B3C" w:rsidRPr="00F96B3C">
        <w:rPr>
          <w:rFonts w:ascii="Times New Roman" w:hAnsi="Times New Roman"/>
          <w:szCs w:val="24"/>
        </w:rPr>
        <w:t xml:space="preserve">  Indeed, the only substantive difference between the method used here and the method the Commission rejected in 2006 involved the calculation of the factor used to allocate CWC to Washington.</w:t>
      </w:r>
      <w:r w:rsidR="00F96B3C" w:rsidRPr="00432605">
        <w:rPr>
          <w:rStyle w:val="FootnoteReference"/>
          <w:rFonts w:ascii="Times New Roman" w:hAnsi="Times New Roman"/>
          <w:szCs w:val="24"/>
        </w:rPr>
        <w:footnoteReference w:id="332"/>
      </w:r>
      <w:r w:rsidR="00F96B3C" w:rsidRPr="00F96B3C">
        <w:rPr>
          <w:rFonts w:ascii="Times New Roman" w:hAnsi="Times New Roman"/>
          <w:szCs w:val="24"/>
        </w:rPr>
        <w:t xml:space="preserve">  </w:t>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F96B3C" w:rsidRPr="003F3D2A">
        <w:rPr>
          <w:rFonts w:ascii="Times New Roman" w:hAnsi="Times New Roman"/>
          <w:szCs w:val="24"/>
        </w:rPr>
        <w:t xml:space="preserve">Staff’s proposed adjustment to fuel stock and </w:t>
      </w:r>
      <w:r w:rsidR="00655827" w:rsidRPr="00655827">
        <w:rPr>
          <w:rFonts w:ascii="Times New Roman" w:hAnsi="Times New Roman"/>
          <w:szCs w:val="24"/>
        </w:rPr>
        <w:t>m</w:t>
      </w:r>
      <w:r w:rsidR="00F96B3C" w:rsidRPr="00F96B3C">
        <w:t>aterials</w:t>
      </w:r>
      <w:r w:rsidR="00F96B3C" w:rsidRPr="00F96B3C">
        <w:rPr>
          <w:rFonts w:ascii="Times New Roman" w:hAnsi="Times New Roman"/>
          <w:szCs w:val="24"/>
        </w:rPr>
        <w:t xml:space="preserve"> </w:t>
      </w:r>
      <w:r w:rsidR="00F96B3C" w:rsidRPr="003F3D2A">
        <w:rPr>
          <w:rFonts w:ascii="Times New Roman" w:hAnsi="Times New Roman"/>
          <w:szCs w:val="24"/>
        </w:rPr>
        <w:t>and supplies should likewise be rejected.  These materials are essential to Company operations, ensure it can provide reliable service to customers, and are recoverable in all other jurisdictions.</w:t>
      </w:r>
      <w:r w:rsidR="00F96B3C" w:rsidRPr="003F3D2A">
        <w:rPr>
          <w:rStyle w:val="FootnoteReference"/>
          <w:rFonts w:ascii="Times New Roman" w:hAnsi="Times New Roman"/>
          <w:szCs w:val="24"/>
        </w:rPr>
        <w:footnoteReference w:id="333"/>
      </w:r>
      <w:r w:rsidR="00F96B3C" w:rsidRPr="00F96B3C">
        <w:rPr>
          <w:rFonts w:ascii="Times New Roman" w:hAnsi="Times New Roman"/>
          <w:szCs w:val="24"/>
        </w:rPr>
        <w:t xml:space="preserve"> </w:t>
      </w:r>
      <w:r w:rsidR="00F96B3C" w:rsidRPr="003F3D2A">
        <w:rPr>
          <w:rFonts w:ascii="Times New Roman" w:hAnsi="Times New Roman"/>
          <w:szCs w:val="24"/>
        </w:rPr>
        <w:t xml:space="preserve"> Moreover, Staff’s analysis lacks </w:t>
      </w:r>
      <w:r w:rsidR="00655827" w:rsidRPr="00655827">
        <w:rPr>
          <w:rFonts w:ascii="Times New Roman" w:hAnsi="Times New Roman"/>
          <w:szCs w:val="24"/>
        </w:rPr>
        <w:t>e</w:t>
      </w:r>
      <w:r w:rsidR="00F96B3C" w:rsidRPr="00043309">
        <w:t>videntiary</w:t>
      </w:r>
      <w:r w:rsidR="00F96B3C" w:rsidRPr="00F96B3C">
        <w:rPr>
          <w:rFonts w:ascii="Times New Roman" w:hAnsi="Times New Roman"/>
          <w:szCs w:val="24"/>
        </w:rPr>
        <w:t xml:space="preserve"> </w:t>
      </w:r>
      <w:r w:rsidR="00F96B3C" w:rsidRPr="003F3D2A">
        <w:rPr>
          <w:rFonts w:ascii="Times New Roman" w:hAnsi="Times New Roman"/>
          <w:szCs w:val="24"/>
        </w:rPr>
        <w:t>support and was calculated in the same</w:t>
      </w:r>
      <w:r w:rsidR="00457572" w:rsidRPr="003F3D2A">
        <w:rPr>
          <w:rFonts w:ascii="Times New Roman" w:hAnsi="Times New Roman"/>
          <w:szCs w:val="24"/>
        </w:rPr>
        <w:t xml:space="preserve"> improper</w:t>
      </w:r>
      <w:r w:rsidR="00F96B3C" w:rsidRPr="003F3D2A">
        <w:rPr>
          <w:rFonts w:ascii="Times New Roman" w:hAnsi="Times New Roman"/>
          <w:szCs w:val="24"/>
        </w:rPr>
        <w:t xml:space="preserve"> manner as the CWC.</w:t>
      </w:r>
      <w:r w:rsidR="00F96B3C" w:rsidRPr="003F3D2A">
        <w:rPr>
          <w:rStyle w:val="FootnoteReference"/>
          <w:rFonts w:ascii="Times New Roman" w:hAnsi="Times New Roman"/>
          <w:szCs w:val="24"/>
        </w:rPr>
        <w:footnoteReference w:id="334"/>
      </w:r>
      <w:r w:rsidR="00F96B3C" w:rsidRPr="00F96B3C">
        <w:rPr>
          <w:rFonts w:ascii="Times New Roman" w:hAnsi="Times New Roman"/>
          <w:szCs w:val="24"/>
        </w:rPr>
        <w:t xml:space="preserve"> </w:t>
      </w:r>
      <w:r w:rsidR="00F96B3C" w:rsidRPr="003F3D2A">
        <w:rPr>
          <w:rFonts w:ascii="Times New Roman" w:hAnsi="Times New Roman"/>
          <w:szCs w:val="24"/>
        </w:rPr>
        <w:t xml:space="preserve"> </w:t>
      </w:r>
    </w:p>
    <w:p w:rsidR="00973298" w:rsidRDefault="00337B53" w:rsidP="00337B53">
      <w:pPr>
        <w:keepNext/>
        <w:widowControl w:val="0"/>
        <w:spacing w:after="240"/>
        <w:ind w:left="1440" w:hanging="720"/>
        <w:rPr>
          <w:rFonts w:ascii="Times New Roman" w:hAnsi="Times New Roman"/>
          <w:szCs w:val="24"/>
        </w:rPr>
      </w:pPr>
      <w:r>
        <w:rPr>
          <w:rFonts w:ascii="Times New Roman" w:hAnsi="Times New Roman"/>
          <w:b/>
          <w:szCs w:val="24"/>
        </w:rPr>
        <w:t>3</w:t>
      </w:r>
      <w:r w:rsidR="00F96B3C" w:rsidRPr="0098280A">
        <w:rPr>
          <w:rFonts w:ascii="Times New Roman" w:hAnsi="Times New Roman"/>
          <w:b/>
          <w:szCs w:val="24"/>
        </w:rPr>
        <w:t>.</w:t>
      </w:r>
      <w:r w:rsidR="00F96B3C" w:rsidRPr="0098280A">
        <w:rPr>
          <w:rFonts w:ascii="Times New Roman" w:hAnsi="Times New Roman"/>
          <w:b/>
          <w:szCs w:val="24"/>
        </w:rPr>
        <w:tab/>
        <w:t xml:space="preserve">The Company’s CWC Method Is Consistent </w:t>
      </w:r>
      <w:proofErr w:type="gramStart"/>
      <w:r w:rsidR="00F96B3C" w:rsidRPr="0098280A">
        <w:rPr>
          <w:rFonts w:ascii="Times New Roman" w:hAnsi="Times New Roman"/>
          <w:b/>
          <w:szCs w:val="24"/>
        </w:rPr>
        <w:t>With</w:t>
      </w:r>
      <w:proofErr w:type="gramEnd"/>
      <w:r w:rsidR="00F96B3C" w:rsidRPr="0098280A">
        <w:rPr>
          <w:rFonts w:ascii="Times New Roman" w:hAnsi="Times New Roman"/>
          <w:b/>
          <w:szCs w:val="24"/>
        </w:rPr>
        <w:t xml:space="preserve"> WCA Methodology</w:t>
      </w:r>
      <w:r w:rsidR="00E10858">
        <w:rPr>
          <w:rFonts w:ascii="Times New Roman" w:hAnsi="Times New Roman"/>
          <w:b/>
          <w:szCs w:val="24"/>
        </w:rPr>
        <w:t xml:space="preserve"> and a Generally Accepted Method for Calculating CWC</w:t>
      </w:r>
      <w:r w:rsidR="00F96B3C" w:rsidRPr="0098280A">
        <w:rPr>
          <w:rFonts w:ascii="Times New Roman" w:hAnsi="Times New Roman"/>
          <w:b/>
          <w:szCs w:val="24"/>
        </w:rPr>
        <w:t>.</w:t>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F96B3C" w:rsidRPr="00F96B3C">
        <w:rPr>
          <w:rFonts w:ascii="Times New Roman" w:hAnsi="Times New Roman"/>
          <w:szCs w:val="24"/>
        </w:rPr>
        <w:t>The Company’s 45-day method is consistent with Commission precedent because it is well supported in the record and conforms to the Commission-approved WCA allocation method.</w:t>
      </w:r>
      <w:r w:rsidR="00F96B3C" w:rsidRPr="00432605">
        <w:rPr>
          <w:rStyle w:val="FootnoteReference"/>
          <w:rFonts w:ascii="Times New Roman" w:hAnsi="Times New Roman"/>
          <w:szCs w:val="24"/>
        </w:rPr>
        <w:footnoteReference w:id="335"/>
      </w:r>
      <w:r w:rsidR="00F96B3C" w:rsidRPr="00F96B3C">
        <w:rPr>
          <w:rFonts w:ascii="Times New Roman" w:hAnsi="Times New Roman"/>
          <w:szCs w:val="24"/>
        </w:rPr>
        <w:t xml:space="preserve">  Although the lead-lag method is the Company’s preferred method, the Company was concerned about designing such a study consistent with the Commission’s order in the 2006 rate case and the WCA allocation methodology.</w:t>
      </w:r>
      <w:r w:rsidR="00F96B3C" w:rsidRPr="00432605">
        <w:rPr>
          <w:rStyle w:val="FootnoteReference"/>
          <w:rFonts w:ascii="Times New Roman" w:hAnsi="Times New Roman"/>
          <w:szCs w:val="24"/>
        </w:rPr>
        <w:footnoteReference w:id="336"/>
      </w:r>
      <w:r w:rsidR="00F96B3C" w:rsidRPr="00F96B3C">
        <w:rPr>
          <w:rFonts w:ascii="Times New Roman" w:hAnsi="Times New Roman"/>
          <w:szCs w:val="24"/>
        </w:rPr>
        <w:t xml:space="preserve">  Therefore, instead, the Company adopted the 45-day methodology because it is a generally accepted method to calculate CWC,</w:t>
      </w:r>
      <w:r w:rsidR="00F96B3C" w:rsidRPr="00432605">
        <w:rPr>
          <w:rStyle w:val="FootnoteReference"/>
          <w:rFonts w:ascii="Times New Roman" w:hAnsi="Times New Roman"/>
          <w:szCs w:val="24"/>
        </w:rPr>
        <w:footnoteReference w:id="337"/>
      </w:r>
      <w:r w:rsidR="00F96B3C" w:rsidRPr="00F96B3C">
        <w:rPr>
          <w:rFonts w:ascii="Times New Roman" w:hAnsi="Times New Roman"/>
          <w:szCs w:val="24"/>
        </w:rPr>
        <w:t xml:space="preserve"> it is fully supported in the record,</w:t>
      </w:r>
      <w:r w:rsidR="00F96B3C" w:rsidRPr="00432605">
        <w:rPr>
          <w:rStyle w:val="FootnoteReference"/>
          <w:rFonts w:ascii="Times New Roman" w:hAnsi="Times New Roman"/>
          <w:szCs w:val="24"/>
        </w:rPr>
        <w:footnoteReference w:id="338"/>
      </w:r>
      <w:r w:rsidR="00F96B3C" w:rsidRPr="00F96B3C">
        <w:rPr>
          <w:rFonts w:ascii="Times New Roman" w:hAnsi="Times New Roman"/>
          <w:szCs w:val="24"/>
        </w:rPr>
        <w:t xml:space="preserve"> and it can be performed in a manner </w:t>
      </w:r>
      <w:r w:rsidR="00F96B3C" w:rsidRPr="00043309">
        <w:t>consistent</w:t>
      </w:r>
      <w:r w:rsidR="00F96B3C" w:rsidRPr="00F96B3C">
        <w:rPr>
          <w:rFonts w:ascii="Times New Roman" w:hAnsi="Times New Roman"/>
          <w:szCs w:val="24"/>
        </w:rPr>
        <w:t xml:space="preserve"> with the WCA allocation method.</w:t>
      </w:r>
      <w:r w:rsidR="00F96B3C" w:rsidRPr="00432605">
        <w:rPr>
          <w:rStyle w:val="FootnoteReference"/>
          <w:rFonts w:ascii="Times New Roman" w:hAnsi="Times New Roman"/>
          <w:szCs w:val="24"/>
        </w:rPr>
        <w:footnoteReference w:id="339"/>
      </w:r>
      <w:r w:rsidR="00F96B3C" w:rsidRPr="00F96B3C">
        <w:rPr>
          <w:rFonts w:ascii="Times New Roman" w:hAnsi="Times New Roman"/>
          <w:szCs w:val="24"/>
        </w:rPr>
        <w:t xml:space="preserve">  This </w:t>
      </w:r>
      <w:r w:rsidR="00F96B3C" w:rsidRPr="00F96B3C">
        <w:t>method</w:t>
      </w:r>
      <w:r w:rsidR="00F96B3C" w:rsidRPr="00F96B3C">
        <w:rPr>
          <w:rFonts w:ascii="Times New Roman" w:hAnsi="Times New Roman"/>
          <w:szCs w:val="24"/>
        </w:rPr>
        <w:t xml:space="preserve"> uses Washington-specific normalized results of operations </w:t>
      </w:r>
      <w:r w:rsidR="00F96B3C" w:rsidRPr="00F96B3C">
        <w:rPr>
          <w:rFonts w:ascii="Times New Roman" w:hAnsi="Times New Roman"/>
          <w:szCs w:val="24"/>
        </w:rPr>
        <w:lastRenderedPageBreak/>
        <w:t>and is therefore in full compliance with the WCA method.</w:t>
      </w:r>
      <w:r w:rsidR="00F96B3C" w:rsidRPr="00432605">
        <w:rPr>
          <w:rStyle w:val="FootnoteReference"/>
          <w:rFonts w:ascii="Times New Roman" w:hAnsi="Times New Roman"/>
          <w:szCs w:val="24"/>
        </w:rPr>
        <w:footnoteReference w:id="340"/>
      </w:r>
      <w:r w:rsidR="00F96B3C" w:rsidRPr="00F96B3C">
        <w:rPr>
          <w:rFonts w:ascii="Times New Roman" w:hAnsi="Times New Roman"/>
          <w:szCs w:val="24"/>
        </w:rPr>
        <w:t xml:space="preserve">  </w:t>
      </w:r>
    </w:p>
    <w:p w:rsidR="00973298" w:rsidRDefault="00AC3F5A">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F96B3C" w:rsidRPr="00F96B3C">
        <w:rPr>
          <w:rFonts w:ascii="Times New Roman" w:hAnsi="Times New Roman"/>
          <w:szCs w:val="24"/>
        </w:rPr>
        <w:t>Although Staff’s testimony did not challenge whether the Company’s method conformed to the WCA method,</w:t>
      </w:r>
      <w:r w:rsidR="00F96B3C" w:rsidRPr="00432605">
        <w:rPr>
          <w:rStyle w:val="FootnoteReference"/>
          <w:rFonts w:ascii="Times New Roman" w:hAnsi="Times New Roman"/>
          <w:szCs w:val="24"/>
        </w:rPr>
        <w:footnoteReference w:id="341"/>
      </w:r>
      <w:r w:rsidR="00F96B3C" w:rsidRPr="00F96B3C">
        <w:rPr>
          <w:rFonts w:ascii="Times New Roman" w:hAnsi="Times New Roman"/>
          <w:szCs w:val="24"/>
        </w:rPr>
        <w:t xml:space="preserve"> at hearing Staff raised this issue by suggesting that the Company’s allocation method used </w:t>
      </w:r>
      <w:r w:rsidR="006D0D94">
        <w:rPr>
          <w:rFonts w:ascii="Times New Roman" w:hAnsi="Times New Roman"/>
          <w:szCs w:val="24"/>
        </w:rPr>
        <w:t>system-wide</w:t>
      </w:r>
      <w:r w:rsidR="00F96B3C" w:rsidRPr="00F96B3C">
        <w:rPr>
          <w:rFonts w:ascii="Times New Roman" w:hAnsi="Times New Roman"/>
          <w:szCs w:val="24"/>
        </w:rPr>
        <w:t xml:space="preserve"> allocation factors.</w:t>
      </w:r>
      <w:r w:rsidR="00F96B3C" w:rsidRPr="00432605">
        <w:rPr>
          <w:rStyle w:val="FootnoteReference"/>
          <w:rFonts w:ascii="Times New Roman" w:hAnsi="Times New Roman"/>
          <w:szCs w:val="24"/>
        </w:rPr>
        <w:footnoteReference w:id="342"/>
      </w:r>
      <w:r w:rsidR="00F96B3C" w:rsidRPr="00F96B3C">
        <w:rPr>
          <w:rFonts w:ascii="Times New Roman" w:hAnsi="Times New Roman"/>
          <w:szCs w:val="24"/>
        </w:rPr>
        <w:t xml:space="preserve">  As described by </w:t>
      </w:r>
      <w:r w:rsidR="00C30EC5">
        <w:rPr>
          <w:rFonts w:ascii="Times New Roman" w:hAnsi="Times New Roman"/>
          <w:szCs w:val="24"/>
        </w:rPr>
        <w:t>Mr. </w:t>
      </w:r>
      <w:proofErr w:type="spellStart"/>
      <w:r w:rsidR="00F96B3C" w:rsidRPr="00F96B3C">
        <w:rPr>
          <w:rFonts w:ascii="Times New Roman" w:hAnsi="Times New Roman"/>
          <w:szCs w:val="24"/>
        </w:rPr>
        <w:t>Dalley</w:t>
      </w:r>
      <w:proofErr w:type="spellEnd"/>
      <w:r w:rsidR="00F96B3C" w:rsidRPr="00F96B3C">
        <w:rPr>
          <w:rFonts w:ascii="Times New Roman" w:hAnsi="Times New Roman"/>
          <w:szCs w:val="24"/>
        </w:rPr>
        <w:t xml:space="preserve"> at hearing, the Company’s method is </w:t>
      </w:r>
      <w:r w:rsidR="00C370CE">
        <w:rPr>
          <w:rFonts w:ascii="Times New Roman" w:hAnsi="Times New Roman"/>
          <w:szCs w:val="24"/>
        </w:rPr>
        <w:t xml:space="preserve">entirely </w:t>
      </w:r>
      <w:r w:rsidR="00F96B3C" w:rsidRPr="00F96B3C">
        <w:rPr>
          <w:rFonts w:ascii="Times New Roman" w:hAnsi="Times New Roman"/>
          <w:szCs w:val="24"/>
        </w:rPr>
        <w:t xml:space="preserve">consistent with the WCA allocation method because even the WCA method relies upon </w:t>
      </w:r>
      <w:r w:rsidR="00684787">
        <w:rPr>
          <w:rFonts w:ascii="Times New Roman" w:hAnsi="Times New Roman"/>
          <w:szCs w:val="24"/>
        </w:rPr>
        <w:t>system-wide</w:t>
      </w:r>
      <w:r w:rsidR="00F96B3C" w:rsidRPr="00F96B3C">
        <w:rPr>
          <w:rFonts w:ascii="Times New Roman" w:hAnsi="Times New Roman"/>
          <w:szCs w:val="24"/>
        </w:rPr>
        <w:t xml:space="preserve"> </w:t>
      </w:r>
      <w:r w:rsidR="00BE0487">
        <w:rPr>
          <w:rFonts w:ascii="Times New Roman" w:hAnsi="Times New Roman"/>
          <w:szCs w:val="24"/>
        </w:rPr>
        <w:t>factors</w:t>
      </w:r>
      <w:r w:rsidR="00F96B3C" w:rsidRPr="00F96B3C">
        <w:rPr>
          <w:rFonts w:ascii="Times New Roman" w:hAnsi="Times New Roman"/>
          <w:szCs w:val="24"/>
        </w:rPr>
        <w:t xml:space="preserve"> for certain pieces.</w:t>
      </w:r>
      <w:r w:rsidR="00F96B3C" w:rsidRPr="00432605">
        <w:rPr>
          <w:rStyle w:val="FootnoteReference"/>
          <w:rFonts w:ascii="Times New Roman" w:hAnsi="Times New Roman"/>
          <w:szCs w:val="24"/>
        </w:rPr>
        <w:footnoteReference w:id="343"/>
      </w:r>
      <w:r w:rsidR="00F96B3C" w:rsidRPr="00F96B3C">
        <w:rPr>
          <w:rFonts w:ascii="Times New Roman" w:hAnsi="Times New Roman"/>
          <w:szCs w:val="24"/>
        </w:rPr>
        <w:t xml:space="preserve">  Therefore, simply pointi</w:t>
      </w:r>
      <w:r w:rsidR="00C370CE">
        <w:rPr>
          <w:rFonts w:ascii="Times New Roman" w:hAnsi="Times New Roman"/>
          <w:szCs w:val="24"/>
        </w:rPr>
        <w:t xml:space="preserve">ng to the use of </w:t>
      </w:r>
      <w:r w:rsidR="00684787">
        <w:rPr>
          <w:rFonts w:ascii="Times New Roman" w:hAnsi="Times New Roman"/>
          <w:szCs w:val="24"/>
        </w:rPr>
        <w:t xml:space="preserve">system-wide allocation </w:t>
      </w:r>
      <w:r w:rsidR="00BE0487">
        <w:rPr>
          <w:rFonts w:ascii="Times New Roman" w:hAnsi="Times New Roman"/>
          <w:szCs w:val="24"/>
        </w:rPr>
        <w:t>factors</w:t>
      </w:r>
      <w:r w:rsidR="00F96B3C" w:rsidRPr="00F96B3C">
        <w:rPr>
          <w:rFonts w:ascii="Times New Roman" w:hAnsi="Times New Roman"/>
          <w:szCs w:val="24"/>
        </w:rPr>
        <w:t xml:space="preserve"> does not </w:t>
      </w:r>
      <w:r w:rsidR="00F96B3C" w:rsidRPr="00043309">
        <w:t>demonstrate</w:t>
      </w:r>
      <w:r w:rsidR="00F96B3C" w:rsidRPr="00F96B3C">
        <w:rPr>
          <w:rFonts w:ascii="Times New Roman" w:hAnsi="Times New Roman"/>
          <w:szCs w:val="24"/>
        </w:rPr>
        <w:t xml:space="preserve"> the allocation </w:t>
      </w:r>
      <w:r w:rsidR="00F96B3C" w:rsidRPr="00F96B3C">
        <w:t>conflicts</w:t>
      </w:r>
      <w:r w:rsidR="00F96B3C" w:rsidRPr="00F96B3C">
        <w:rPr>
          <w:rFonts w:ascii="Times New Roman" w:hAnsi="Times New Roman"/>
          <w:szCs w:val="24"/>
        </w:rPr>
        <w:t xml:space="preserve"> with the WCA method</w:t>
      </w:r>
      <w:r w:rsidR="00684787">
        <w:rPr>
          <w:rFonts w:ascii="Times New Roman" w:hAnsi="Times New Roman"/>
          <w:szCs w:val="24"/>
        </w:rPr>
        <w:t>.</w:t>
      </w:r>
      <w:r w:rsidR="00F96B3C" w:rsidRPr="00F96B3C">
        <w:rPr>
          <w:rFonts w:ascii="Times New Roman" w:hAnsi="Times New Roman"/>
          <w:szCs w:val="24"/>
        </w:rPr>
        <w:t xml:space="preserve">  </w:t>
      </w:r>
    </w:p>
    <w:p w:rsidR="00973298" w:rsidRDefault="00A26E08">
      <w:pPr>
        <w:keepNext/>
        <w:widowControl w:val="0"/>
        <w:spacing w:line="480" w:lineRule="auto"/>
        <w:rPr>
          <w:rFonts w:ascii="Times New Roman" w:hAnsi="Times New Roman"/>
          <w:b/>
        </w:rPr>
      </w:pPr>
      <w:r>
        <w:rPr>
          <w:rFonts w:ascii="Times New Roman" w:hAnsi="Times New Roman"/>
          <w:b/>
        </w:rPr>
        <w:t>B</w:t>
      </w:r>
      <w:r w:rsidR="00DA4DF1">
        <w:rPr>
          <w:rFonts w:ascii="Times New Roman" w:hAnsi="Times New Roman"/>
          <w:b/>
        </w:rPr>
        <w:t>.</w:t>
      </w:r>
      <w:r w:rsidR="00DA4DF1">
        <w:rPr>
          <w:rFonts w:ascii="Times New Roman" w:hAnsi="Times New Roman"/>
          <w:b/>
        </w:rPr>
        <w:tab/>
      </w:r>
      <w:r w:rsidR="00CF2769">
        <w:rPr>
          <w:rFonts w:ascii="Times New Roman" w:hAnsi="Times New Roman"/>
          <w:b/>
        </w:rPr>
        <w:t>Wage and Salary Adjustments</w:t>
      </w:r>
    </w:p>
    <w:p w:rsidR="00973298" w:rsidRDefault="00FE5B6A">
      <w:pPr>
        <w:keepNext/>
        <w:widowControl w:val="0"/>
        <w:spacing w:after="240"/>
        <w:ind w:left="1440" w:hanging="720"/>
        <w:rPr>
          <w:rFonts w:ascii="Times New Roman" w:hAnsi="Times New Roman"/>
          <w:b/>
        </w:rPr>
      </w:pPr>
      <w:r>
        <w:rPr>
          <w:rFonts w:ascii="Times New Roman" w:hAnsi="Times New Roman"/>
          <w:b/>
        </w:rPr>
        <w:t>1</w:t>
      </w:r>
      <w:r w:rsidR="00235F14" w:rsidRPr="00FC6627">
        <w:rPr>
          <w:rFonts w:ascii="Times New Roman" w:hAnsi="Times New Roman"/>
          <w:b/>
        </w:rPr>
        <w:t>.</w:t>
      </w:r>
      <w:r w:rsidR="00235F14" w:rsidRPr="00FC6627">
        <w:rPr>
          <w:rFonts w:ascii="Times New Roman" w:hAnsi="Times New Roman"/>
          <w:b/>
        </w:rPr>
        <w:tab/>
      </w:r>
      <w:r w:rsidR="00076C55">
        <w:rPr>
          <w:rFonts w:ascii="Times New Roman" w:hAnsi="Times New Roman"/>
          <w:b/>
        </w:rPr>
        <w:t xml:space="preserve">The Company’s </w:t>
      </w:r>
      <w:r w:rsidR="00235F14" w:rsidRPr="00FC6627">
        <w:rPr>
          <w:rFonts w:ascii="Times New Roman" w:hAnsi="Times New Roman"/>
          <w:b/>
        </w:rPr>
        <w:t xml:space="preserve">Incentive </w:t>
      </w:r>
      <w:r w:rsidR="00235F14" w:rsidRPr="006C431D">
        <w:rPr>
          <w:rFonts w:ascii="Times New Roman" w:hAnsi="Times New Roman"/>
          <w:b/>
        </w:rPr>
        <w:t>Compensation</w:t>
      </w:r>
      <w:r w:rsidR="00076C55">
        <w:rPr>
          <w:rFonts w:ascii="Times New Roman" w:hAnsi="Times New Roman"/>
          <w:b/>
        </w:rPr>
        <w:t xml:space="preserve"> Program is Consistent with Commission Precedent and Results i</w:t>
      </w:r>
      <w:r w:rsidR="00537B28">
        <w:rPr>
          <w:rFonts w:ascii="Times New Roman" w:hAnsi="Times New Roman"/>
          <w:b/>
        </w:rPr>
        <w:t xml:space="preserve">n </w:t>
      </w:r>
      <w:r w:rsidR="00076C55">
        <w:rPr>
          <w:rFonts w:ascii="Times New Roman" w:hAnsi="Times New Roman"/>
          <w:b/>
        </w:rPr>
        <w:t xml:space="preserve">Market </w:t>
      </w:r>
      <w:r w:rsidR="00537B28">
        <w:rPr>
          <w:rFonts w:ascii="Times New Roman" w:hAnsi="Times New Roman"/>
          <w:b/>
        </w:rPr>
        <w:t xml:space="preserve">Average </w:t>
      </w:r>
      <w:r w:rsidR="00076C55">
        <w:rPr>
          <w:rFonts w:ascii="Times New Roman" w:hAnsi="Times New Roman"/>
          <w:b/>
        </w:rPr>
        <w:t>Compensation.</w:t>
      </w:r>
    </w:p>
    <w:p w:rsidR="00973298" w:rsidRDefault="00AC3F5A">
      <w:pPr>
        <w:pStyle w:val="ListParagraph"/>
        <w:widowControl w:val="0"/>
        <w:numPr>
          <w:ilvl w:val="0"/>
          <w:numId w:val="12"/>
        </w:numPr>
        <w:tabs>
          <w:tab w:val="left" w:pos="720"/>
        </w:tabs>
        <w:spacing w:line="480" w:lineRule="auto"/>
        <w:ind w:left="0"/>
      </w:pPr>
      <w:r>
        <w:tab/>
      </w:r>
      <w:r w:rsidR="00EF4E5A">
        <w:t>ICNU</w:t>
      </w:r>
      <w:r w:rsidR="003825DF">
        <w:t>/</w:t>
      </w:r>
      <w:r w:rsidR="00EF4E5A">
        <w:t>Public Counsel</w:t>
      </w:r>
      <w:r w:rsidR="0026517A">
        <w:t xml:space="preserve"> recommend that the portion of compensation designated as incentive compensation be reduced by half.</w:t>
      </w:r>
      <w:r w:rsidR="0026517A">
        <w:rPr>
          <w:rStyle w:val="FootnoteReference"/>
        </w:rPr>
        <w:footnoteReference w:id="344"/>
      </w:r>
      <w:r w:rsidR="0026517A">
        <w:t xml:space="preserve">  </w:t>
      </w:r>
      <w:r w:rsidR="004B066C">
        <w:t>The Company has developed its method of determining compensation based on two fundamental principles.  First, market level compensation is necessary to attract and retain qualified employees.</w:t>
      </w:r>
      <w:r w:rsidR="004B066C">
        <w:rPr>
          <w:rStyle w:val="FootnoteReference"/>
        </w:rPr>
        <w:footnoteReference w:id="345"/>
      </w:r>
      <w:r w:rsidR="004B066C">
        <w:t xml:space="preserve">  </w:t>
      </w:r>
      <w:r w:rsidR="002D7E83">
        <w:t>Second, in order to encourage superior performance, compensation is structured such that some portion is “at risk.”</w:t>
      </w:r>
      <w:r w:rsidR="004B066C">
        <w:rPr>
          <w:rStyle w:val="FootnoteReference"/>
        </w:rPr>
        <w:footnoteReference w:id="346"/>
      </w:r>
      <w:r w:rsidR="002D7E83">
        <w:t xml:space="preserve">  Combined, base pay and the “target” level incentive element equal the market average for the employee’s position.  When performance is below expected levels, the employee will receive incentive below target level or no incentive pay and therefore below-average pay.   </w:t>
      </w:r>
    </w:p>
    <w:p w:rsidR="00973298" w:rsidRDefault="00DB2360">
      <w:pPr>
        <w:pStyle w:val="ListParagraph"/>
        <w:widowControl w:val="0"/>
        <w:numPr>
          <w:ilvl w:val="0"/>
          <w:numId w:val="12"/>
        </w:numPr>
        <w:tabs>
          <w:tab w:val="left" w:pos="720"/>
        </w:tabs>
        <w:spacing w:line="480" w:lineRule="auto"/>
        <w:ind w:left="0"/>
      </w:pPr>
      <w:r>
        <w:t xml:space="preserve">            </w:t>
      </w:r>
      <w:r w:rsidR="004B066C">
        <w:t xml:space="preserve">To determine the total cash compensation package for each position, at least annually the Company collects market data for comparable jobs using a variety of compensation studies and </w:t>
      </w:r>
      <w:r w:rsidR="004B066C">
        <w:lastRenderedPageBreak/>
        <w:t>calculates the average total cash compensation.</w:t>
      </w:r>
      <w:r w:rsidR="004B066C">
        <w:rPr>
          <w:rStyle w:val="FootnoteReference"/>
        </w:rPr>
        <w:footnoteReference w:id="347"/>
      </w:r>
      <w:r w:rsidR="004B066C">
        <w:t xml:space="preserve">  The Company then determines the portion of that compensation that will constitute the “at-risk” portion, which is the “target” incentive pay</w:t>
      </w:r>
      <w:r w:rsidR="00FE5B6A">
        <w:t xml:space="preserve"> based on a review of market compensation using compensation studies</w:t>
      </w:r>
      <w:r w:rsidR="004B066C">
        <w:t>.</w:t>
      </w:r>
      <w:r w:rsidR="004B066C">
        <w:rPr>
          <w:rStyle w:val="FootnoteReference"/>
        </w:rPr>
        <w:footnoteReference w:id="348"/>
      </w:r>
      <w:r w:rsidR="004B066C">
        <w:t xml:space="preserve">  </w:t>
      </w:r>
    </w:p>
    <w:p w:rsidR="00973298" w:rsidRDefault="00AC3F5A" w:rsidP="00840B5D">
      <w:pPr>
        <w:pStyle w:val="ListParagraph"/>
        <w:widowControl w:val="0"/>
        <w:numPr>
          <w:ilvl w:val="0"/>
          <w:numId w:val="12"/>
        </w:numPr>
        <w:tabs>
          <w:tab w:val="left" w:pos="720"/>
        </w:tabs>
        <w:spacing w:line="480" w:lineRule="auto"/>
        <w:ind w:left="0"/>
      </w:pPr>
      <w:r>
        <w:tab/>
      </w:r>
      <w:r w:rsidR="002D7E83">
        <w:t xml:space="preserve">To determine </w:t>
      </w:r>
      <w:r w:rsidR="00431B89">
        <w:t>an employee’s incentive pay</w:t>
      </w:r>
      <w:r w:rsidR="002D7E83">
        <w:t xml:space="preserve">, the employee’s performance is compared against </w:t>
      </w:r>
      <w:r w:rsidR="00431B89">
        <w:t xml:space="preserve">the </w:t>
      </w:r>
      <w:r w:rsidR="002D7E83">
        <w:t>individual and group goals set for each employee at the beginning of the year.</w:t>
      </w:r>
      <w:r w:rsidR="004B066C">
        <w:rPr>
          <w:rStyle w:val="FootnoteReference"/>
        </w:rPr>
        <w:footnoteReference w:id="349"/>
      </w:r>
      <w:r w:rsidR="002D7E83">
        <w:t xml:space="preserve">  </w:t>
      </w:r>
      <w:r w:rsidR="004B066C">
        <w:t>Individual goals account for approximately 70</w:t>
      </w:r>
      <w:r w:rsidR="00136D8E">
        <w:t>%</w:t>
      </w:r>
      <w:r w:rsidR="004B066C">
        <w:t xml:space="preserve"> of an employee’s evaluation, while group goals account for approximately 30</w:t>
      </w:r>
      <w:r w:rsidR="00136D8E">
        <w:t>%</w:t>
      </w:r>
      <w:r w:rsidR="004B066C">
        <w:t>.</w:t>
      </w:r>
      <w:r w:rsidR="004B066C">
        <w:rPr>
          <w:rStyle w:val="FootnoteReference"/>
        </w:rPr>
        <w:footnoteReference w:id="350"/>
      </w:r>
      <w:r w:rsidR="004B066C">
        <w:t xml:space="preserve">  </w:t>
      </w:r>
      <w:r w:rsidR="002D7E83">
        <w:t>All goals promote the efficient operations of the Company, and focus on safety, reliability, and customer service, there</w:t>
      </w:r>
      <w:r w:rsidR="00431B89">
        <w:t>by</w:t>
      </w:r>
      <w:r w:rsidR="002D7E83">
        <w:t xml:space="preserve"> providing direct benefi</w:t>
      </w:r>
      <w:r w:rsidR="00810ADB">
        <w:t>ts to the Company’s customers.</w:t>
      </w:r>
      <w:r w:rsidR="00810ADB">
        <w:rPr>
          <w:rStyle w:val="FootnoteReference"/>
        </w:rPr>
        <w:footnoteReference w:id="351"/>
      </w:r>
      <w:r w:rsidR="002D7E83">
        <w:t xml:space="preserve">  No goals relate to financial results, except for those </w:t>
      </w:r>
      <w:r w:rsidR="00431B89">
        <w:t>for</w:t>
      </w:r>
      <w:r w:rsidR="002D7E83">
        <w:t xml:space="preserve"> the executive incentive plan for which the Company has not requested recovery.</w:t>
      </w:r>
      <w:r w:rsidR="00810ADB">
        <w:rPr>
          <w:rStyle w:val="FootnoteReference"/>
        </w:rPr>
        <w:footnoteReference w:id="352"/>
      </w:r>
      <w:r w:rsidR="002D7E83">
        <w:t xml:space="preserve">  </w:t>
      </w:r>
    </w:p>
    <w:p w:rsidR="00AC3F5A" w:rsidRDefault="00AC3F5A">
      <w:pPr>
        <w:pStyle w:val="ListParagraph"/>
        <w:widowControl w:val="0"/>
        <w:numPr>
          <w:ilvl w:val="0"/>
          <w:numId w:val="12"/>
        </w:numPr>
        <w:tabs>
          <w:tab w:val="left" w:pos="720"/>
        </w:tabs>
        <w:spacing w:line="480" w:lineRule="auto"/>
        <w:ind w:left="0"/>
      </w:pPr>
      <w:r>
        <w:tab/>
      </w:r>
      <w:r w:rsidR="0026517A">
        <w:t xml:space="preserve">ICNU/Public Counsel witness </w:t>
      </w:r>
      <w:r w:rsidR="00C30EC5">
        <w:t>Mr. </w:t>
      </w:r>
      <w:r w:rsidR="003C3241">
        <w:t>Meyer argues that the goals relate to normal job performance, are not quantitative, and provide shareholder value.</w:t>
      </w:r>
      <w:r w:rsidR="003C3241">
        <w:rPr>
          <w:rStyle w:val="FootnoteReference"/>
        </w:rPr>
        <w:footnoteReference w:id="353"/>
      </w:r>
      <w:r w:rsidR="00E00141">
        <w:t xml:space="preserve">  </w:t>
      </w:r>
      <w:r w:rsidR="005906F6">
        <w:t xml:space="preserve">This argument </w:t>
      </w:r>
      <w:r w:rsidR="00E00141">
        <w:t xml:space="preserve">actually supports the Company’s position—because incentive compensation is an integral part of the market compensation set by the Company, goals </w:t>
      </w:r>
      <w:r w:rsidR="003057A2" w:rsidRPr="003F3D2A">
        <w:rPr>
          <w:i/>
        </w:rPr>
        <w:t>should</w:t>
      </w:r>
      <w:r w:rsidR="003057A2">
        <w:t xml:space="preserve"> relate to normal job performance.</w:t>
      </w:r>
      <w:r w:rsidR="003057A2">
        <w:rPr>
          <w:rStyle w:val="FootnoteReference"/>
        </w:rPr>
        <w:footnoteReference w:id="354"/>
      </w:r>
      <w:r w:rsidR="003057A2">
        <w:t xml:space="preserve">  </w:t>
      </w:r>
      <w:r w:rsidR="00973298">
        <w:t xml:space="preserve">As for </w:t>
      </w:r>
      <w:r w:rsidR="00C30EC5">
        <w:t>Mr. </w:t>
      </w:r>
      <w:r w:rsidR="003057A2">
        <w:t>Meyer’s criticism that the goals are not quantitative</w:t>
      </w:r>
      <w:r w:rsidR="00973298">
        <w:t xml:space="preserve">, </w:t>
      </w:r>
      <w:r w:rsidR="00C30EC5">
        <w:t>Mr. </w:t>
      </w:r>
      <w:r w:rsidR="003057A2">
        <w:t>Wilson explained</w:t>
      </w:r>
      <w:r w:rsidR="00973298">
        <w:t xml:space="preserve"> that</w:t>
      </w:r>
      <w:r w:rsidR="003057A2">
        <w:t xml:space="preserve"> not all goals that motivate employee behavior that will provide benefits to customers are quantifiable.</w:t>
      </w:r>
      <w:r w:rsidR="003057A2">
        <w:rPr>
          <w:rStyle w:val="FootnoteReference"/>
        </w:rPr>
        <w:footnoteReference w:id="355"/>
      </w:r>
      <w:r w:rsidR="003057A2">
        <w:t xml:space="preserve">  </w:t>
      </w:r>
      <w:r w:rsidR="00C30EC5">
        <w:t>Mr. </w:t>
      </w:r>
      <w:r w:rsidR="009D355E">
        <w:t xml:space="preserve">Meyer’s </w:t>
      </w:r>
      <w:r w:rsidR="006A2498">
        <w:t xml:space="preserve">criticism that the Company’s goals provide shareholder value is incorrect and does not reflect the Commission’s precedent on incentive compensation.  The </w:t>
      </w:r>
      <w:r w:rsidR="009071EC">
        <w:t>only</w:t>
      </w:r>
      <w:r w:rsidR="006A2498">
        <w:t xml:space="preserve"> goals that </w:t>
      </w:r>
      <w:r w:rsidR="00C30EC5">
        <w:t>Mr. </w:t>
      </w:r>
      <w:r w:rsidR="006A2498">
        <w:t xml:space="preserve">Meyer cites as examples of goals that </w:t>
      </w:r>
      <w:r w:rsidR="009071EC">
        <w:t xml:space="preserve">provide shareholder value are “Customer Focus” and </w:t>
      </w:r>
      <w:r w:rsidR="009071EC">
        <w:lastRenderedPageBreak/>
        <w:t>“Productivity.”</w:t>
      </w:r>
      <w:r w:rsidR="009071EC">
        <w:rPr>
          <w:rStyle w:val="FootnoteReference"/>
        </w:rPr>
        <w:footnoteReference w:id="356"/>
      </w:r>
      <w:r w:rsidR="009071EC">
        <w:t xml:space="preserve">  </w:t>
      </w:r>
      <w:r w:rsidR="00FA77BA">
        <w:t>These goals both explicitly cite benefits to customers.</w:t>
      </w:r>
      <w:r w:rsidR="00FA77BA">
        <w:rPr>
          <w:rStyle w:val="FootnoteReference"/>
        </w:rPr>
        <w:footnoteReference w:id="357"/>
      </w:r>
      <w:r w:rsidR="00FA77BA">
        <w:t xml:space="preserve">  </w:t>
      </w:r>
      <w:r w:rsidR="003F3D2A">
        <w:t>Finally, Mr. Meyer’s testimony relates only to group goals, which constitute 30% of an employee’s overall evaluation.</w:t>
      </w:r>
      <w:r w:rsidR="003F3D2A">
        <w:rPr>
          <w:rStyle w:val="FootnoteReference"/>
        </w:rPr>
        <w:footnoteReference w:id="358"/>
      </w:r>
      <w:r w:rsidR="003F3D2A">
        <w:t xml:space="preserve">  Even if Mr. Meyer’s criticisms were accurate, they do not provide sufficient basis for a 50% disallowance.</w:t>
      </w:r>
      <w:r w:rsidR="003F3D2A">
        <w:rPr>
          <w:rStyle w:val="FootnoteReference"/>
        </w:rPr>
        <w:footnoteReference w:id="359"/>
      </w:r>
    </w:p>
    <w:p w:rsidR="00973298" w:rsidRDefault="00AC3F5A">
      <w:pPr>
        <w:pStyle w:val="ListParagraph"/>
        <w:widowControl w:val="0"/>
        <w:numPr>
          <w:ilvl w:val="0"/>
          <w:numId w:val="12"/>
        </w:numPr>
        <w:tabs>
          <w:tab w:val="left" w:pos="720"/>
        </w:tabs>
        <w:spacing w:line="480" w:lineRule="auto"/>
        <w:ind w:left="0"/>
      </w:pPr>
      <w:r>
        <w:tab/>
      </w:r>
      <w:r w:rsidR="003F3D2A">
        <w:t xml:space="preserve">Undermining all of his testimony is </w:t>
      </w:r>
      <w:r w:rsidR="00C30EC5">
        <w:t>Mr. </w:t>
      </w:r>
      <w:r w:rsidR="00E00141">
        <w:t>Meyer</w:t>
      </w:r>
      <w:r w:rsidR="003F3D2A">
        <w:t>’s admission</w:t>
      </w:r>
      <w:r w:rsidR="00E00141">
        <w:t xml:space="preserve"> that he does not know how the Company structures its incentive compensation.</w:t>
      </w:r>
      <w:r w:rsidR="00E00141">
        <w:rPr>
          <w:rStyle w:val="FootnoteReference"/>
        </w:rPr>
        <w:footnoteReference w:id="360"/>
      </w:r>
      <w:r w:rsidR="00E00141">
        <w:t xml:space="preserve">  The Commission should discount </w:t>
      </w:r>
      <w:r w:rsidR="00C30EC5">
        <w:t>Mr. </w:t>
      </w:r>
      <w:r w:rsidR="00BF4BC4">
        <w:t xml:space="preserve"> </w:t>
      </w:r>
      <w:r w:rsidR="00E00141">
        <w:t>Meyer’s testimony, as he is admittedly not knowledgeable about the Company’s compensation structure.</w:t>
      </w:r>
    </w:p>
    <w:p w:rsidR="00973298" w:rsidRDefault="00AC3F5A">
      <w:pPr>
        <w:pStyle w:val="ListParagraph"/>
        <w:widowControl w:val="0"/>
        <w:numPr>
          <w:ilvl w:val="0"/>
          <w:numId w:val="12"/>
        </w:numPr>
        <w:tabs>
          <w:tab w:val="left" w:pos="720"/>
        </w:tabs>
        <w:spacing w:line="480" w:lineRule="auto"/>
        <w:ind w:left="0"/>
      </w:pPr>
      <w:r>
        <w:tab/>
      </w:r>
      <w:r w:rsidR="003F2FE6">
        <w:t>In the Company’s most recent fully litigated rate case, the Commission rejected ICNU’s proposed disallowance of incentive compensation, finding that the objectives of the incentive program were related primarily to operational effectiveness, customer satisfaction, and safety.</w:t>
      </w:r>
      <w:r w:rsidR="003F2FE6">
        <w:rPr>
          <w:rStyle w:val="FootnoteReference"/>
        </w:rPr>
        <w:footnoteReference w:id="361"/>
      </w:r>
      <w:r w:rsidR="003F2FE6">
        <w:t xml:space="preserve">  </w:t>
      </w:r>
      <w:r w:rsidR="00CB11E4">
        <w:t>The Company requests that the Commission again find that the Company’s incentive compensation plan is reasonable</w:t>
      </w:r>
      <w:r w:rsidR="005D67DD">
        <w:t xml:space="preserve"> as it is consistent with the plan approved in the </w:t>
      </w:r>
      <w:r w:rsidR="00BF4BC4">
        <w:t>2006 case</w:t>
      </w:r>
      <w:r w:rsidR="00CB11E4">
        <w:t>.</w:t>
      </w:r>
    </w:p>
    <w:p w:rsidR="00973298" w:rsidRDefault="00C370CE">
      <w:pPr>
        <w:widowControl w:val="0"/>
        <w:spacing w:after="240"/>
        <w:ind w:left="1440" w:hanging="720"/>
        <w:rPr>
          <w:rFonts w:ascii="Times New Roman" w:hAnsi="Times New Roman"/>
          <w:b/>
        </w:rPr>
      </w:pPr>
      <w:r>
        <w:rPr>
          <w:rFonts w:ascii="Times New Roman" w:hAnsi="Times New Roman"/>
          <w:b/>
        </w:rPr>
        <w:t>2</w:t>
      </w:r>
      <w:r w:rsidR="00235F14" w:rsidRPr="00FC6627">
        <w:rPr>
          <w:rFonts w:ascii="Times New Roman" w:hAnsi="Times New Roman"/>
          <w:b/>
        </w:rPr>
        <w:t>.</w:t>
      </w:r>
      <w:r w:rsidR="00235F14" w:rsidRPr="00FC6627">
        <w:rPr>
          <w:rFonts w:ascii="Times New Roman" w:hAnsi="Times New Roman"/>
          <w:b/>
        </w:rPr>
        <w:tab/>
      </w:r>
      <w:r w:rsidR="00076C55">
        <w:rPr>
          <w:rFonts w:ascii="Times New Roman" w:hAnsi="Times New Roman"/>
          <w:b/>
        </w:rPr>
        <w:t xml:space="preserve">The ICNU/Public Counsel Adjustment to the </w:t>
      </w:r>
      <w:r w:rsidR="00235F14" w:rsidRPr="00FC6627">
        <w:rPr>
          <w:rFonts w:ascii="Times New Roman" w:hAnsi="Times New Roman"/>
          <w:b/>
        </w:rPr>
        <w:t>2009 Wage Increase</w:t>
      </w:r>
      <w:r w:rsidR="00076C55">
        <w:rPr>
          <w:rFonts w:ascii="Times New Roman" w:hAnsi="Times New Roman"/>
          <w:b/>
        </w:rPr>
        <w:t xml:space="preserve"> is Unreasonable and Inconsistent with Commission Precedent.</w:t>
      </w:r>
    </w:p>
    <w:p w:rsidR="00973298" w:rsidRDefault="00AC3F5A">
      <w:pPr>
        <w:pStyle w:val="ListParagraph"/>
        <w:widowControl w:val="0"/>
        <w:numPr>
          <w:ilvl w:val="0"/>
          <w:numId w:val="12"/>
        </w:numPr>
        <w:tabs>
          <w:tab w:val="left" w:pos="720"/>
        </w:tabs>
        <w:spacing w:line="480" w:lineRule="auto"/>
        <w:ind w:left="0"/>
      </w:pPr>
      <w:r>
        <w:tab/>
      </w:r>
      <w:r w:rsidR="00CB11E4">
        <w:t>ICNU</w:t>
      </w:r>
      <w:r w:rsidR="003825DF">
        <w:t>/</w:t>
      </w:r>
      <w:r w:rsidR="00CB11E4">
        <w:t>Public Counsel proposes to decrease the wage increase actually experienced by the Officer/Exempt labor group from 3.5</w:t>
      </w:r>
      <w:r w:rsidR="00136D8E">
        <w:t>%</w:t>
      </w:r>
      <w:r w:rsidR="00CB11E4">
        <w:t xml:space="preserve"> to the average increase granted to other labor groups, </w:t>
      </w:r>
      <w:r w:rsidR="00CB11E4">
        <w:lastRenderedPageBreak/>
        <w:t>including union groups.</w:t>
      </w:r>
      <w:r w:rsidR="00CB11E4">
        <w:rPr>
          <w:rStyle w:val="FootnoteReference"/>
        </w:rPr>
        <w:footnoteReference w:id="362"/>
      </w:r>
      <w:r w:rsidR="002C6926">
        <w:t xml:space="preserve">  </w:t>
      </w:r>
      <w:r w:rsidR="00C30EC5">
        <w:t>Mr. </w:t>
      </w:r>
      <w:r w:rsidR="002C6926">
        <w:t>Meyer’s proposal is based on his belief that PacifiCorp did not provide adequate justification that “this labor group should receive one of the highest wage increases for 2009.”</w:t>
      </w:r>
      <w:r w:rsidR="002C6926">
        <w:rPr>
          <w:rStyle w:val="FootnoteReference"/>
        </w:rPr>
        <w:footnoteReference w:id="363"/>
      </w:r>
      <w:r w:rsidR="002C6926">
        <w:t xml:space="preserve">  He also cites other utilities that did not grant wage increases to their executives in 2009 and 2010.</w:t>
      </w:r>
      <w:r w:rsidR="002C6926">
        <w:rPr>
          <w:rStyle w:val="FootnoteReference"/>
        </w:rPr>
        <w:footnoteReference w:id="364"/>
      </w:r>
    </w:p>
    <w:p w:rsidR="00973298" w:rsidRDefault="00AC3F5A" w:rsidP="00AC3F5A">
      <w:pPr>
        <w:pStyle w:val="ListParagraph"/>
        <w:widowControl w:val="0"/>
        <w:numPr>
          <w:ilvl w:val="0"/>
          <w:numId w:val="12"/>
        </w:numPr>
        <w:tabs>
          <w:tab w:val="left" w:pos="720"/>
        </w:tabs>
        <w:spacing w:line="480" w:lineRule="auto"/>
        <w:ind w:left="0"/>
      </w:pPr>
      <w:r>
        <w:tab/>
      </w:r>
      <w:r w:rsidR="00C30EC5">
        <w:t>Mr. </w:t>
      </w:r>
      <w:r w:rsidR="002C6926">
        <w:t xml:space="preserve">Meyer’s proposal to remove the known and measurable wage increases that occurred in 2009 is </w:t>
      </w:r>
      <w:r w:rsidR="003F3D2A">
        <w:t>without merit.</w:t>
      </w:r>
      <w:r w:rsidR="002C6926">
        <w:t xml:space="preserve">  As shown in </w:t>
      </w:r>
      <w:r w:rsidR="00C30EC5">
        <w:t>Mr. </w:t>
      </w:r>
      <w:r w:rsidR="002C6926">
        <w:t>Meyer’s testimony, both Officer/Exempt and Non-Exempt employees received a 3.5</w:t>
      </w:r>
      <w:r w:rsidR="00136D8E">
        <w:t>%</w:t>
      </w:r>
      <w:r w:rsidR="002C6926">
        <w:t xml:space="preserve"> wage increase in 2009; only the union groups received a lower incre</w:t>
      </w:r>
      <w:r w:rsidR="00B26B7F">
        <w:t>a</w:t>
      </w:r>
      <w:r w:rsidR="002C6926">
        <w:t>se.</w:t>
      </w:r>
      <w:r w:rsidR="002C6926">
        <w:rPr>
          <w:rStyle w:val="FootnoteReference"/>
        </w:rPr>
        <w:footnoteReference w:id="365"/>
      </w:r>
      <w:r w:rsidR="002C6926">
        <w:t xml:space="preserve">  </w:t>
      </w:r>
      <w:r w:rsidR="0049430F">
        <w:t>I</w:t>
      </w:r>
      <w:r w:rsidR="00B26B7F">
        <w:t xml:space="preserve">t is unreasonable to rely on union wage increases to calculate non-union wage increases, because </w:t>
      </w:r>
      <w:r w:rsidR="008C4D5D">
        <w:t>the negotiated agreements with union employees may offset more expensive benefits with lower wage increases.</w:t>
      </w:r>
      <w:r w:rsidR="008C4D5D">
        <w:rPr>
          <w:rStyle w:val="FootnoteReference"/>
        </w:rPr>
        <w:footnoteReference w:id="366"/>
      </w:r>
      <w:r w:rsidR="003E5E6F">
        <w:t xml:space="preserve">  T</w:t>
      </w:r>
      <w:r w:rsidR="008C4D5D">
        <w:t>he 3.5</w:t>
      </w:r>
      <w:r w:rsidR="00136D8E">
        <w:t>%</w:t>
      </w:r>
      <w:r w:rsidR="008C4D5D">
        <w:t xml:space="preserve"> increase for non-union employees was less than the average increase </w:t>
      </w:r>
      <w:r w:rsidR="0040067B">
        <w:t>in the market assessment conducted by the Company in evaluating its compensation</w:t>
      </w:r>
      <w:r w:rsidR="003E5E6F">
        <w:t xml:space="preserve"> and does not result in above-market compensation</w:t>
      </w:r>
      <w:r w:rsidR="0040067B">
        <w:t>.</w:t>
      </w:r>
      <w:r w:rsidR="0040067B">
        <w:rPr>
          <w:rStyle w:val="FootnoteReference"/>
        </w:rPr>
        <w:footnoteReference w:id="367"/>
      </w:r>
      <w:r w:rsidR="0040067B">
        <w:t xml:space="preserve">  </w:t>
      </w:r>
      <w:r w:rsidR="005906F6">
        <w:t>The Commission previously rejected a similar adjustment proposed by Public Counsel in Avista’s 2009 rate case and there is no basis in this case to depart from that precedent.</w:t>
      </w:r>
      <w:r w:rsidR="005906F6">
        <w:rPr>
          <w:rStyle w:val="FootnoteReference"/>
        </w:rPr>
        <w:footnoteReference w:id="368"/>
      </w:r>
      <w:r w:rsidR="005906F6">
        <w:t xml:space="preserve">  </w:t>
      </w:r>
    </w:p>
    <w:p w:rsidR="00AC3F5A" w:rsidRDefault="00C370CE" w:rsidP="001B5EBD">
      <w:pPr>
        <w:keepNext/>
        <w:widowControl w:val="0"/>
        <w:tabs>
          <w:tab w:val="left" w:pos="720"/>
        </w:tabs>
        <w:spacing w:line="480" w:lineRule="auto"/>
        <w:rPr>
          <w:rFonts w:ascii="Times New Roman" w:hAnsi="Times New Roman"/>
          <w:b/>
        </w:rPr>
      </w:pPr>
      <w:r w:rsidRPr="005906F6">
        <w:rPr>
          <w:rFonts w:ascii="Times New Roman" w:hAnsi="Times New Roman"/>
          <w:b/>
        </w:rPr>
        <w:t>3</w:t>
      </w:r>
      <w:r w:rsidR="00235F14" w:rsidRPr="005906F6">
        <w:rPr>
          <w:rFonts w:ascii="Times New Roman" w:hAnsi="Times New Roman"/>
          <w:b/>
        </w:rPr>
        <w:t>.</w:t>
      </w:r>
      <w:r w:rsidR="00235F14" w:rsidRPr="005906F6">
        <w:rPr>
          <w:rFonts w:ascii="Times New Roman" w:hAnsi="Times New Roman"/>
          <w:b/>
        </w:rPr>
        <w:tab/>
      </w:r>
      <w:r w:rsidR="00076C55" w:rsidRPr="005906F6">
        <w:rPr>
          <w:rFonts w:ascii="Times New Roman" w:hAnsi="Times New Roman"/>
          <w:b/>
        </w:rPr>
        <w:t xml:space="preserve">The </w:t>
      </w:r>
      <w:r w:rsidR="00235F14" w:rsidRPr="005906F6">
        <w:rPr>
          <w:rFonts w:ascii="Times New Roman" w:hAnsi="Times New Roman"/>
          <w:b/>
        </w:rPr>
        <w:t>2010 Wage Increase</w:t>
      </w:r>
      <w:r w:rsidR="00076C55" w:rsidRPr="005906F6">
        <w:rPr>
          <w:rFonts w:ascii="Times New Roman" w:hAnsi="Times New Roman"/>
          <w:b/>
        </w:rPr>
        <w:t xml:space="preserve"> Is a Limited Known and Measurable Adjustment.</w:t>
      </w:r>
    </w:p>
    <w:p w:rsidR="00973298" w:rsidRDefault="00AC3F5A" w:rsidP="00AC3F5A">
      <w:pPr>
        <w:pStyle w:val="ListParagraph"/>
        <w:widowControl w:val="0"/>
        <w:numPr>
          <w:ilvl w:val="0"/>
          <w:numId w:val="12"/>
        </w:numPr>
        <w:tabs>
          <w:tab w:val="left" w:pos="720"/>
        </w:tabs>
        <w:spacing w:line="480" w:lineRule="auto"/>
        <w:ind w:left="0"/>
      </w:pPr>
      <w:r>
        <w:rPr>
          <w:rFonts w:ascii="Times New Roman" w:hAnsi="Times New Roman"/>
          <w:b/>
        </w:rPr>
        <w:tab/>
      </w:r>
      <w:r w:rsidR="00477253">
        <w:t xml:space="preserve">ICNU and Public </w:t>
      </w:r>
      <w:r w:rsidR="00477253" w:rsidRPr="005906F6">
        <w:t>Cou</w:t>
      </w:r>
      <w:r w:rsidR="00477253" w:rsidRPr="005906F6">
        <w:rPr>
          <w:rFonts w:ascii="Times New Roman" w:hAnsi="Times New Roman"/>
        </w:rPr>
        <w:t>nsel also propose to eliminate the entire 2010 wage increase included in</w:t>
      </w:r>
      <w:r w:rsidR="00477253">
        <w:t xml:space="preserve"> the case.</w:t>
      </w:r>
      <w:r w:rsidR="00477253">
        <w:rPr>
          <w:rStyle w:val="FootnoteReference"/>
        </w:rPr>
        <w:footnoteReference w:id="369"/>
      </w:r>
      <w:r w:rsidR="00477253">
        <w:t xml:space="preserve">  </w:t>
      </w:r>
      <w:r w:rsidR="001E3829">
        <w:t xml:space="preserve">The Company included only known and measurable wage increases that occurred in 2010—contract agreements to escalate union labor group wages and the increase to </w:t>
      </w:r>
      <w:r w:rsidR="001E3829">
        <w:lastRenderedPageBreak/>
        <w:t>non-union and exempt wages that occurred in January, 2010.</w:t>
      </w:r>
      <w:r w:rsidR="001E3829">
        <w:rPr>
          <w:rStyle w:val="FootnoteReference"/>
        </w:rPr>
        <w:footnoteReference w:id="370"/>
      </w:r>
      <w:r w:rsidR="001E3829">
        <w:t xml:space="preserve">  </w:t>
      </w:r>
      <w:r w:rsidR="0025631A">
        <w:t xml:space="preserve">Without proposing offsetting adjustments, </w:t>
      </w:r>
      <w:r w:rsidR="00C30EC5">
        <w:t>Mr. </w:t>
      </w:r>
      <w:r w:rsidR="001E3829">
        <w:t>Meyer argues that these known and measurable increases should not be included because decreases in other cost elements could offset the 2010 wage increases.</w:t>
      </w:r>
      <w:r w:rsidR="001E3829">
        <w:rPr>
          <w:rStyle w:val="FootnoteReference"/>
        </w:rPr>
        <w:footnoteReference w:id="371"/>
      </w:r>
      <w:r w:rsidR="001E3829">
        <w:t xml:space="preserve">  </w:t>
      </w:r>
    </w:p>
    <w:p w:rsidR="00973298" w:rsidRDefault="00C30EC5" w:rsidP="00AC3F5A">
      <w:pPr>
        <w:pStyle w:val="ListParagraph"/>
        <w:widowControl w:val="0"/>
        <w:numPr>
          <w:ilvl w:val="0"/>
          <w:numId w:val="12"/>
        </w:numPr>
        <w:tabs>
          <w:tab w:val="left" w:pos="720"/>
        </w:tabs>
        <w:spacing w:line="480" w:lineRule="auto"/>
        <w:ind w:left="0"/>
      </w:pPr>
      <w:r>
        <w:t>Mr. </w:t>
      </w:r>
      <w:r w:rsidR="001E3829">
        <w:t xml:space="preserve">Meyer’s argument </w:t>
      </w:r>
      <w:r w:rsidR="00EE5E5E">
        <w:t xml:space="preserve">is inconsistent with Commission precedent </w:t>
      </w:r>
      <w:r w:rsidR="00AA423D">
        <w:t>on known and measurable adjustments.  In Avista’s 2009 rate case, Staff and Public Counsel generally agreed “that known and measurable company obligations, such as union wage increases resulting from collective bargaining agreements or non-union wage increases approved by the board of directors, are proper adjustments.”</w:t>
      </w:r>
      <w:r w:rsidR="00AA423D">
        <w:rPr>
          <w:rStyle w:val="FootnoteReference"/>
        </w:rPr>
        <w:footnoteReference w:id="372"/>
      </w:r>
      <w:r w:rsidR="001D4421">
        <w:t xml:space="preserve">  The Commission approved such known and measurable increases.</w:t>
      </w:r>
      <w:r w:rsidR="001D4421">
        <w:rPr>
          <w:rStyle w:val="FootnoteReference"/>
        </w:rPr>
        <w:footnoteReference w:id="373"/>
      </w:r>
      <w:r w:rsidR="001D4421">
        <w:t xml:space="preserve">  </w:t>
      </w:r>
      <w:r w:rsidR="009E6DD9">
        <w:t>The 2010 increases proposed by PacifiCorp in this case are no different—they have either already occurred or are fixed by collective bargaining agreement.</w:t>
      </w:r>
      <w:r w:rsidR="009E6DD9">
        <w:rPr>
          <w:rStyle w:val="FootnoteReference"/>
        </w:rPr>
        <w:footnoteReference w:id="374"/>
      </w:r>
    </w:p>
    <w:p w:rsidR="00973298" w:rsidRDefault="00C370CE">
      <w:pPr>
        <w:widowControl w:val="0"/>
        <w:spacing w:line="480" w:lineRule="auto"/>
        <w:ind w:firstLine="720"/>
      </w:pPr>
      <w:r>
        <w:rPr>
          <w:rFonts w:ascii="Times New Roman" w:hAnsi="Times New Roman"/>
          <w:b/>
        </w:rPr>
        <w:t>4</w:t>
      </w:r>
      <w:r w:rsidR="006C431D">
        <w:rPr>
          <w:rFonts w:ascii="Times New Roman" w:hAnsi="Times New Roman"/>
          <w:b/>
        </w:rPr>
        <w:t>.</w:t>
      </w:r>
      <w:r w:rsidR="006C431D">
        <w:rPr>
          <w:rFonts w:ascii="Times New Roman" w:hAnsi="Times New Roman"/>
          <w:b/>
        </w:rPr>
        <w:tab/>
      </w:r>
      <w:r w:rsidR="00076C55">
        <w:rPr>
          <w:rFonts w:ascii="Times New Roman" w:hAnsi="Times New Roman"/>
          <w:b/>
        </w:rPr>
        <w:t xml:space="preserve">There is No Basis to Disallow </w:t>
      </w:r>
      <w:r w:rsidR="00BF34A0">
        <w:rPr>
          <w:rFonts w:ascii="Times New Roman" w:hAnsi="Times New Roman"/>
          <w:b/>
        </w:rPr>
        <w:t xml:space="preserve">Employee Costs at the </w:t>
      </w:r>
      <w:r w:rsidR="00CF2769">
        <w:rPr>
          <w:rFonts w:ascii="Times New Roman" w:hAnsi="Times New Roman"/>
          <w:b/>
        </w:rPr>
        <w:t xml:space="preserve">Bridger </w:t>
      </w:r>
      <w:r w:rsidR="00BF34A0">
        <w:rPr>
          <w:rFonts w:ascii="Times New Roman" w:hAnsi="Times New Roman"/>
          <w:b/>
        </w:rPr>
        <w:t>Plant</w:t>
      </w:r>
      <w:r w:rsidR="00076C55">
        <w:rPr>
          <w:rFonts w:ascii="Times New Roman" w:hAnsi="Times New Roman"/>
          <w:b/>
        </w:rPr>
        <w:t>.</w:t>
      </w:r>
    </w:p>
    <w:p w:rsidR="00973298" w:rsidRDefault="00AC3F5A">
      <w:pPr>
        <w:pStyle w:val="ListParagraph"/>
        <w:widowControl w:val="0"/>
        <w:numPr>
          <w:ilvl w:val="0"/>
          <w:numId w:val="12"/>
        </w:numPr>
        <w:tabs>
          <w:tab w:val="left" w:pos="720"/>
        </w:tabs>
        <w:spacing w:line="480" w:lineRule="auto"/>
        <w:ind w:left="0"/>
      </w:pPr>
      <w:r>
        <w:tab/>
      </w:r>
      <w:r w:rsidR="00BF34A0">
        <w:t xml:space="preserve">In addition to </w:t>
      </w:r>
      <w:r w:rsidR="00C30EC5">
        <w:t>Mr. </w:t>
      </w:r>
      <w:r w:rsidR="00BF34A0">
        <w:t xml:space="preserve">Falkenberg’s proposed adjustment to NPC based on </w:t>
      </w:r>
      <w:r w:rsidR="00E1485E">
        <w:t xml:space="preserve">fuel quality </w:t>
      </w:r>
      <w:proofErr w:type="spellStart"/>
      <w:r w:rsidR="00BF34A0">
        <w:t>deratio</w:t>
      </w:r>
      <w:r w:rsidR="00E1485E">
        <w:t>ns</w:t>
      </w:r>
      <w:proofErr w:type="spellEnd"/>
      <w:r w:rsidR="00E1485E">
        <w:t xml:space="preserve"> at the Bridger Plant, </w:t>
      </w:r>
      <w:r w:rsidR="00C30EC5">
        <w:t>Mr. </w:t>
      </w:r>
      <w:r w:rsidR="00E1485E">
        <w:t>Falkenberg also propose</w:t>
      </w:r>
      <w:r w:rsidR="00835C19">
        <w:t>s</w:t>
      </w:r>
      <w:r w:rsidR="00E1485E">
        <w:t xml:space="preserve"> to remove management bonuses, employee meals and gifts, and donations associated with the Bridger Plant</w:t>
      </w:r>
      <w:r w:rsidR="00835C19">
        <w:t xml:space="preserve"> for the same reason</w:t>
      </w:r>
      <w:r w:rsidR="00E1485E">
        <w:t>.</w:t>
      </w:r>
      <w:r w:rsidR="00E1485E">
        <w:rPr>
          <w:rStyle w:val="FootnoteReference"/>
        </w:rPr>
        <w:footnoteReference w:id="375"/>
      </w:r>
      <w:r w:rsidR="00835C19">
        <w:t xml:space="preserve">  As discussed above, </w:t>
      </w:r>
      <w:r w:rsidR="00C30EC5">
        <w:t>Mr. </w:t>
      </w:r>
      <w:r w:rsidR="00835C19">
        <w:t>Duvall testified that overall costs at the Bridger Mine have decreased by $3.3 million due to increased production and efficiency in the underground operation</w:t>
      </w:r>
      <w:r w:rsidR="00B0668A">
        <w:t>, so ICNU’s proposed adjustment lacks support</w:t>
      </w:r>
      <w:r w:rsidR="00835C19">
        <w:t>.</w:t>
      </w:r>
      <w:r w:rsidR="00835C19">
        <w:rPr>
          <w:rStyle w:val="FootnoteReference"/>
        </w:rPr>
        <w:footnoteReference w:id="376"/>
      </w:r>
      <w:r w:rsidR="00835C19">
        <w:t xml:space="preserve">  </w:t>
      </w:r>
    </w:p>
    <w:p w:rsidR="00973298" w:rsidRDefault="003825DF">
      <w:pPr>
        <w:widowControl w:val="0"/>
        <w:spacing w:after="240"/>
        <w:ind w:left="720" w:hanging="720"/>
        <w:rPr>
          <w:rFonts w:ascii="Times New Roman" w:hAnsi="Times New Roman"/>
          <w:b/>
        </w:rPr>
      </w:pPr>
      <w:r>
        <w:rPr>
          <w:rFonts w:ascii="Times New Roman" w:hAnsi="Times New Roman"/>
          <w:b/>
        </w:rPr>
        <w:t>C</w:t>
      </w:r>
      <w:r w:rsidR="00235F14" w:rsidRPr="00FC6627">
        <w:rPr>
          <w:rFonts w:ascii="Times New Roman" w:hAnsi="Times New Roman"/>
          <w:b/>
        </w:rPr>
        <w:t>.</w:t>
      </w:r>
      <w:r w:rsidR="00235F14" w:rsidRPr="00FC6627">
        <w:rPr>
          <w:rFonts w:ascii="Times New Roman" w:hAnsi="Times New Roman"/>
          <w:b/>
        </w:rPr>
        <w:tab/>
      </w:r>
      <w:r w:rsidR="00082749">
        <w:rPr>
          <w:rFonts w:ascii="Times New Roman" w:hAnsi="Times New Roman"/>
          <w:b/>
        </w:rPr>
        <w:t xml:space="preserve">The </w:t>
      </w:r>
      <w:r w:rsidR="00235F14" w:rsidRPr="00FC6627">
        <w:rPr>
          <w:rFonts w:ascii="Times New Roman" w:hAnsi="Times New Roman"/>
          <w:b/>
        </w:rPr>
        <w:t>MEHC Management Fee</w:t>
      </w:r>
      <w:r w:rsidR="00082749">
        <w:rPr>
          <w:rFonts w:ascii="Times New Roman" w:hAnsi="Times New Roman"/>
          <w:b/>
        </w:rPr>
        <w:t xml:space="preserve"> </w:t>
      </w:r>
      <w:r w:rsidR="00C370CE">
        <w:rPr>
          <w:rFonts w:ascii="Times New Roman" w:hAnsi="Times New Roman"/>
          <w:b/>
        </w:rPr>
        <w:t xml:space="preserve">Reflects Benefits Provided to Washington Customers and </w:t>
      </w:r>
      <w:r w:rsidR="00B3184D">
        <w:rPr>
          <w:rFonts w:ascii="Times New Roman" w:hAnsi="Times New Roman"/>
          <w:b/>
        </w:rPr>
        <w:t>i</w:t>
      </w:r>
      <w:r w:rsidR="00082749">
        <w:rPr>
          <w:rFonts w:ascii="Times New Roman" w:hAnsi="Times New Roman"/>
          <w:b/>
        </w:rPr>
        <w:t>s Consistent with MEHC’s Commitments</w:t>
      </w:r>
      <w:r w:rsidR="00C370CE">
        <w:rPr>
          <w:rFonts w:ascii="Times New Roman" w:hAnsi="Times New Roman"/>
          <w:b/>
        </w:rPr>
        <w:t xml:space="preserve"> to Washington</w:t>
      </w:r>
      <w:r w:rsidR="00082749">
        <w:rPr>
          <w:rFonts w:ascii="Times New Roman" w:hAnsi="Times New Roman"/>
          <w:b/>
        </w:rPr>
        <w:t>.</w:t>
      </w:r>
    </w:p>
    <w:p w:rsidR="00973298" w:rsidRDefault="00AC3F5A">
      <w:pPr>
        <w:pStyle w:val="ListParagraph"/>
        <w:widowControl w:val="0"/>
        <w:numPr>
          <w:ilvl w:val="0"/>
          <w:numId w:val="12"/>
        </w:numPr>
        <w:tabs>
          <w:tab w:val="left" w:pos="720"/>
        </w:tabs>
        <w:spacing w:line="480" w:lineRule="auto"/>
        <w:ind w:left="0"/>
      </w:pPr>
      <w:r>
        <w:tab/>
      </w:r>
      <w:r w:rsidR="0060128D">
        <w:t>ICNU</w:t>
      </w:r>
      <w:r>
        <w:t>/</w:t>
      </w:r>
      <w:r w:rsidR="0060128D">
        <w:t xml:space="preserve">Public Counsel </w:t>
      </w:r>
      <w:proofErr w:type="gramStart"/>
      <w:r w:rsidR="0060128D">
        <w:t>propose</w:t>
      </w:r>
      <w:proofErr w:type="gramEnd"/>
      <w:r w:rsidR="0060128D">
        <w:t xml:space="preserve"> disallowing expenses in the MidAmerican Energy </w:t>
      </w:r>
      <w:r w:rsidR="0060128D">
        <w:lastRenderedPageBreak/>
        <w:t xml:space="preserve">Holdings Company (MEHC) fee related to MEHC and MidAmerican Energy Company (MEC) bonuses.  Company witness </w:t>
      </w:r>
      <w:r w:rsidR="00C30EC5">
        <w:t>Mr. </w:t>
      </w:r>
      <w:proofErr w:type="spellStart"/>
      <w:r w:rsidR="0060128D">
        <w:t>Stuver</w:t>
      </w:r>
      <w:proofErr w:type="spellEnd"/>
      <w:r w:rsidR="0060128D">
        <w:t xml:space="preserve"> testified, the Company’s participation in the MEHC inter-company affiliated services agreement (IASA) provides benefits to the Company’s customers </w:t>
      </w:r>
      <w:r w:rsidR="00794907">
        <w:t xml:space="preserve">by allowing the Company to receive </w:t>
      </w:r>
      <w:r w:rsidR="0060128D">
        <w:t xml:space="preserve">services </w:t>
      </w:r>
      <w:r w:rsidR="00794907">
        <w:t>that lower the Company’s costs overall</w:t>
      </w:r>
      <w:r w:rsidR="008E5E5E">
        <w:t>.</w:t>
      </w:r>
      <w:r w:rsidR="008E5E5E">
        <w:rPr>
          <w:rStyle w:val="FootnoteReference"/>
        </w:rPr>
        <w:footnoteReference w:id="377"/>
      </w:r>
      <w:r w:rsidR="00794907">
        <w:t xml:space="preserve">  For example, the cost of CEO Greg Abel </w:t>
      </w:r>
      <w:r w:rsidR="00126616">
        <w:t xml:space="preserve">to Washington customers </w:t>
      </w:r>
      <w:r w:rsidR="00794907">
        <w:t>is $102,000</w:t>
      </w:r>
      <w:r w:rsidR="00CE6BD8">
        <w:t xml:space="preserve">, a relatively low amount </w:t>
      </w:r>
      <w:r w:rsidR="008C0BAD">
        <w:t>for a CEO with</w:t>
      </w:r>
      <w:r w:rsidR="00CE6BD8">
        <w:t xml:space="preserve"> Mr. Abel’s expertise in the energy industry</w:t>
      </w:r>
      <w:r w:rsidR="00794907">
        <w:t>.</w:t>
      </w:r>
      <w:r w:rsidR="00794907">
        <w:rPr>
          <w:rStyle w:val="FootnoteReference"/>
        </w:rPr>
        <w:footnoteReference w:id="378"/>
      </w:r>
      <w:r w:rsidR="00794907">
        <w:t xml:space="preserve">  </w:t>
      </w:r>
    </w:p>
    <w:p w:rsidR="00973298" w:rsidRDefault="00AC3F5A">
      <w:pPr>
        <w:pStyle w:val="ListParagraph"/>
        <w:widowControl w:val="0"/>
        <w:numPr>
          <w:ilvl w:val="0"/>
          <w:numId w:val="12"/>
        </w:numPr>
        <w:tabs>
          <w:tab w:val="left" w:pos="720"/>
        </w:tabs>
        <w:spacing w:line="480" w:lineRule="auto"/>
        <w:ind w:left="0"/>
      </w:pPr>
      <w:r>
        <w:tab/>
      </w:r>
      <w:r w:rsidR="00794907">
        <w:t>ICNU</w:t>
      </w:r>
      <w:r w:rsidR="00C00BA5">
        <w:t>/</w:t>
      </w:r>
      <w:r w:rsidR="00794907">
        <w:t>Public Counsel’s proposal to remove MEHC and MEC incentive compensation is based on a page from PacifiCorp’s Form 10-k and two pages from MEHC’s 10-k.</w:t>
      </w:r>
      <w:r w:rsidR="00794907">
        <w:rPr>
          <w:rStyle w:val="FootnoteReference"/>
        </w:rPr>
        <w:footnoteReference w:id="379"/>
      </w:r>
      <w:r w:rsidR="000814D9">
        <w:t xml:space="preserve">  </w:t>
      </w:r>
      <w:proofErr w:type="gramStart"/>
      <w:r w:rsidR="00195BDE">
        <w:t>Neither</w:t>
      </w:r>
      <w:proofErr w:type="gramEnd"/>
      <w:r w:rsidR="00195BDE">
        <w:t xml:space="preserve"> of these documents supports </w:t>
      </w:r>
      <w:r w:rsidR="00C30EC5">
        <w:t>Mr. </w:t>
      </w:r>
      <w:r w:rsidR="00195BDE">
        <w:t xml:space="preserve">Meyer’s adjustment.  Not only is the PacifiCorp 10-k applicable only to PacifiCorp incentive compensation, not MEHC incentive compensation, but the page cited by </w:t>
      </w:r>
      <w:r w:rsidR="00C30EC5">
        <w:t>Mr. </w:t>
      </w:r>
      <w:r w:rsidR="00195BDE">
        <w:t>Meyer relates to the Long Term Incentive Program (LTIP), which is not included in rates.</w:t>
      </w:r>
      <w:r w:rsidR="00195BDE">
        <w:rPr>
          <w:rStyle w:val="FootnoteReference"/>
        </w:rPr>
        <w:footnoteReference w:id="380"/>
      </w:r>
      <w:r w:rsidR="00CF5910">
        <w:t xml:space="preserve">  The MEHC 10-k shows that MEHC incentive compensation is based on “customer service, operational excellence, financial strength, employee commitment and safety, environmental respect and regulatory integrity.”</w:t>
      </w:r>
      <w:r w:rsidR="00CF5910">
        <w:rPr>
          <w:rStyle w:val="FootnoteReference"/>
        </w:rPr>
        <w:footnoteReference w:id="381"/>
      </w:r>
      <w:r w:rsidR="00100885">
        <w:t xml:space="preserve">  Such measures provide customer benefits and are consistent with the Commission’s standards for approving incentive compensation.</w:t>
      </w:r>
      <w:r w:rsidR="00100885">
        <w:rPr>
          <w:rStyle w:val="FootnoteReference"/>
        </w:rPr>
        <w:footnoteReference w:id="382"/>
      </w:r>
    </w:p>
    <w:p w:rsidR="00AC3F5A" w:rsidRDefault="00A652AE" w:rsidP="00A652AE">
      <w:pPr>
        <w:pStyle w:val="ListParagraph"/>
        <w:widowControl w:val="0"/>
        <w:numPr>
          <w:ilvl w:val="0"/>
          <w:numId w:val="12"/>
        </w:numPr>
        <w:tabs>
          <w:tab w:val="left" w:pos="720"/>
        </w:tabs>
        <w:spacing w:line="480" w:lineRule="auto"/>
        <w:ind w:left="0"/>
      </w:pPr>
      <w:r>
        <w:tab/>
      </w:r>
      <w:r w:rsidR="00C30EC5">
        <w:t>Mr. </w:t>
      </w:r>
      <w:r w:rsidR="00FE28CB">
        <w:t xml:space="preserve">Meyer </w:t>
      </w:r>
      <w:r w:rsidR="00A80758">
        <w:t>questions</w:t>
      </w:r>
      <w:r w:rsidR="00FE28CB">
        <w:t xml:space="preserve"> how adjustments to the management fee are calculated in light of the MEHC commitment 4(b</w:t>
      </w:r>
      <w:proofErr w:type="gramStart"/>
      <w:r w:rsidR="00FE28CB">
        <w:t>)(</w:t>
      </w:r>
      <w:proofErr w:type="spellStart"/>
      <w:proofErr w:type="gramEnd"/>
      <w:r w:rsidR="00FE28CB">
        <w:t>i</w:t>
      </w:r>
      <w:proofErr w:type="spellEnd"/>
      <w:r w:rsidR="00FE28CB">
        <w:t>) established in Docket UE-051090</w:t>
      </w:r>
      <w:r w:rsidR="00A80758">
        <w:t xml:space="preserve"> that functions to limit the management fee to $7.3 million on a total-Company basis</w:t>
      </w:r>
      <w:r w:rsidR="00FE28CB">
        <w:t>.</w:t>
      </w:r>
      <w:r w:rsidR="00FE28CB">
        <w:rPr>
          <w:rStyle w:val="FootnoteReference"/>
        </w:rPr>
        <w:footnoteReference w:id="383"/>
      </w:r>
      <w:r w:rsidR="00DE2D75">
        <w:t xml:space="preserve">  As </w:t>
      </w:r>
      <w:r w:rsidR="00C30EC5">
        <w:t>Mr. </w:t>
      </w:r>
      <w:proofErr w:type="spellStart"/>
      <w:r w:rsidR="00DE2D75">
        <w:t>Dalley</w:t>
      </w:r>
      <w:proofErr w:type="spellEnd"/>
      <w:r w:rsidR="00DE2D75">
        <w:t xml:space="preserve"> explained at the </w:t>
      </w:r>
      <w:r w:rsidR="00DE2D75">
        <w:lastRenderedPageBreak/>
        <w:t>hearing, while MEHC invoiced PacifiCorp approximately $11.5 million for the management fee,</w:t>
      </w:r>
      <w:r w:rsidR="005B3041">
        <w:rPr>
          <w:rStyle w:val="FootnoteReference"/>
        </w:rPr>
        <w:footnoteReference w:id="384"/>
      </w:r>
      <w:r w:rsidR="00DE2D75">
        <w:t xml:space="preserve"> only $8.3 million was booked by the Company due to MEHC commitments in another state.</w:t>
      </w:r>
      <w:r w:rsidR="00DE2D75">
        <w:rPr>
          <w:rStyle w:val="FootnoteReference"/>
        </w:rPr>
        <w:footnoteReference w:id="385"/>
      </w:r>
      <w:r w:rsidR="00DE2D75">
        <w:t xml:space="preserve">  To comply with the MEHC commitment in Washington, the Company then reduced that amount to $7.3 million.</w:t>
      </w:r>
      <w:r w:rsidR="00DE2D75">
        <w:rPr>
          <w:rStyle w:val="FootnoteReference"/>
        </w:rPr>
        <w:footnoteReference w:id="386"/>
      </w:r>
      <w:r w:rsidR="00DE2D75">
        <w:t xml:space="preserve">  However, because the Company’s rebuttal position resulted in $7.1 million of MEHC management fees included in rates—less than the $7.3 million cap—no further adjustment was required to comply with the MEHC commitment.</w:t>
      </w:r>
      <w:r w:rsidR="00DE2D75">
        <w:rPr>
          <w:rStyle w:val="FootnoteReference"/>
        </w:rPr>
        <w:footnoteReference w:id="387"/>
      </w:r>
      <w:r w:rsidR="00DE2D75">
        <w:t xml:space="preserve">  </w:t>
      </w:r>
    </w:p>
    <w:p w:rsidR="00973298" w:rsidRPr="005906F6" w:rsidRDefault="003825DF" w:rsidP="00A652AE">
      <w:pPr>
        <w:widowControl w:val="0"/>
        <w:spacing w:after="240"/>
        <w:ind w:left="720" w:hanging="720"/>
        <w:rPr>
          <w:rFonts w:ascii="Times New Roman" w:hAnsi="Times New Roman"/>
          <w:b/>
        </w:rPr>
      </w:pPr>
      <w:r w:rsidRPr="005906F6">
        <w:rPr>
          <w:rFonts w:ascii="Times New Roman" w:hAnsi="Times New Roman"/>
          <w:b/>
        </w:rPr>
        <w:t>D</w:t>
      </w:r>
      <w:r w:rsidR="00AC5136" w:rsidRPr="005906F6">
        <w:rPr>
          <w:rFonts w:ascii="Times New Roman" w:hAnsi="Times New Roman"/>
          <w:b/>
        </w:rPr>
        <w:t>.</w:t>
      </w:r>
      <w:r w:rsidR="00AC5136" w:rsidRPr="005906F6">
        <w:rPr>
          <w:rFonts w:ascii="Times New Roman" w:hAnsi="Times New Roman"/>
          <w:b/>
        </w:rPr>
        <w:tab/>
      </w:r>
      <w:r w:rsidR="00082749" w:rsidRPr="005906F6">
        <w:rPr>
          <w:rFonts w:ascii="Times New Roman" w:hAnsi="Times New Roman"/>
          <w:b/>
        </w:rPr>
        <w:t xml:space="preserve">The Existing Allocation of </w:t>
      </w:r>
      <w:r w:rsidR="00AC5136" w:rsidRPr="00A652AE">
        <w:rPr>
          <w:b/>
        </w:rPr>
        <w:t>Outside</w:t>
      </w:r>
      <w:r w:rsidR="00AC5136" w:rsidRPr="005906F6">
        <w:rPr>
          <w:rFonts w:ascii="Times New Roman" w:hAnsi="Times New Roman"/>
          <w:b/>
        </w:rPr>
        <w:t xml:space="preserve"> Legal Expenses</w:t>
      </w:r>
      <w:r w:rsidR="00082749" w:rsidRPr="005906F6">
        <w:rPr>
          <w:rFonts w:ascii="Times New Roman" w:hAnsi="Times New Roman"/>
          <w:b/>
        </w:rPr>
        <w:t xml:space="preserve"> </w:t>
      </w:r>
      <w:proofErr w:type="gramStart"/>
      <w:r w:rsidR="00082749" w:rsidRPr="005906F6">
        <w:rPr>
          <w:rFonts w:ascii="Times New Roman" w:hAnsi="Times New Roman"/>
          <w:b/>
        </w:rPr>
        <w:t>Should</w:t>
      </w:r>
      <w:proofErr w:type="gramEnd"/>
      <w:r w:rsidR="00082749" w:rsidRPr="005906F6">
        <w:rPr>
          <w:rFonts w:ascii="Times New Roman" w:hAnsi="Times New Roman"/>
          <w:b/>
        </w:rPr>
        <w:t xml:space="preserve"> be Changed </w:t>
      </w:r>
      <w:r w:rsidR="00B3184D" w:rsidRPr="005906F6">
        <w:rPr>
          <w:rFonts w:ascii="Times New Roman" w:hAnsi="Times New Roman"/>
          <w:b/>
        </w:rPr>
        <w:t xml:space="preserve">Only </w:t>
      </w:r>
      <w:r w:rsidR="00082749" w:rsidRPr="005906F6">
        <w:rPr>
          <w:rFonts w:ascii="Times New Roman" w:hAnsi="Times New Roman"/>
          <w:b/>
        </w:rPr>
        <w:t>in a Wider Review of WCA Allocation Fac</w:t>
      </w:r>
      <w:r w:rsidR="00220CD9" w:rsidRPr="005906F6">
        <w:rPr>
          <w:rFonts w:ascii="Times New Roman" w:hAnsi="Times New Roman"/>
          <w:b/>
        </w:rPr>
        <w:t>tors</w:t>
      </w:r>
      <w:r w:rsidR="00082749" w:rsidRPr="005906F6">
        <w:rPr>
          <w:rFonts w:ascii="Times New Roman" w:hAnsi="Times New Roman"/>
          <w:b/>
        </w:rPr>
        <w:t>.</w:t>
      </w:r>
    </w:p>
    <w:p w:rsidR="00973298" w:rsidRDefault="00A652AE">
      <w:pPr>
        <w:pStyle w:val="ListParagraph"/>
        <w:widowControl w:val="0"/>
        <w:numPr>
          <w:ilvl w:val="0"/>
          <w:numId w:val="12"/>
        </w:numPr>
        <w:tabs>
          <w:tab w:val="left" w:pos="720"/>
        </w:tabs>
        <w:spacing w:line="480" w:lineRule="auto"/>
        <w:ind w:left="0"/>
      </w:pPr>
      <w:r>
        <w:tab/>
      </w:r>
      <w:r w:rsidR="00D6346C">
        <w:t>ICNU</w:t>
      </w:r>
      <w:r w:rsidR="00C00BA5">
        <w:t>/</w:t>
      </w:r>
      <w:r w:rsidR="00D6346C">
        <w:t xml:space="preserve">Public Counsel propose </w:t>
      </w:r>
      <w:r w:rsidR="00911900">
        <w:t xml:space="preserve">an adjustment to legal expenses on the basis of </w:t>
      </w:r>
      <w:r w:rsidR="00D6346C">
        <w:t xml:space="preserve">changing the allocation of legal expenses from the methodology set forth in the Company’s WCA allocation handbook to a methodology in which legal expenses that can be allocated on a </w:t>
      </w:r>
      <w:proofErr w:type="spellStart"/>
      <w:r w:rsidR="00D6346C">
        <w:t>situs</w:t>
      </w:r>
      <w:proofErr w:type="spellEnd"/>
      <w:r w:rsidR="00D6346C">
        <w:t xml:space="preserve"> basis are allocated in that manner.</w:t>
      </w:r>
      <w:r w:rsidR="00D6346C">
        <w:rPr>
          <w:rStyle w:val="FootnoteReference"/>
        </w:rPr>
        <w:footnoteReference w:id="388"/>
      </w:r>
      <w:r w:rsidR="00D6346C">
        <w:t xml:space="preserve">  </w:t>
      </w:r>
      <w:r w:rsidR="00911900">
        <w:t xml:space="preserve">Staff witness </w:t>
      </w:r>
      <w:r w:rsidR="00C30EC5">
        <w:t>Mr. </w:t>
      </w:r>
      <w:proofErr w:type="spellStart"/>
      <w:r w:rsidR="00911900">
        <w:t>Foisy</w:t>
      </w:r>
      <w:proofErr w:type="spellEnd"/>
      <w:r w:rsidR="00911900">
        <w:t xml:space="preserve"> also identifies cost categories in the Company’s administrative and general expense accounts that are being allocated to Washington customers on a system basis rather than being directly assigned to specific states.</w:t>
      </w:r>
      <w:r w:rsidR="00911900">
        <w:rPr>
          <w:rStyle w:val="FootnoteReference"/>
        </w:rPr>
        <w:footnoteReference w:id="389"/>
      </w:r>
    </w:p>
    <w:p w:rsidR="00973298" w:rsidRDefault="00A652AE">
      <w:pPr>
        <w:pStyle w:val="ListParagraph"/>
        <w:widowControl w:val="0"/>
        <w:numPr>
          <w:ilvl w:val="0"/>
          <w:numId w:val="12"/>
        </w:numPr>
        <w:tabs>
          <w:tab w:val="left" w:pos="720"/>
        </w:tabs>
        <w:spacing w:line="480" w:lineRule="auto"/>
        <w:ind w:left="0"/>
      </w:pPr>
      <w:r>
        <w:tab/>
      </w:r>
      <w:r w:rsidR="0045342F">
        <w:t>The Company requests that the Commission reject ICNU</w:t>
      </w:r>
      <w:r w:rsidR="00C00BA5">
        <w:t>/</w:t>
      </w:r>
      <w:r w:rsidR="0045342F">
        <w:t xml:space="preserve">Public Counsel’s selective proposal to </w:t>
      </w:r>
      <w:proofErr w:type="spellStart"/>
      <w:r w:rsidR="0045342F" w:rsidRPr="005906F6">
        <w:rPr>
          <w:rFonts w:ascii="Times New Roman" w:hAnsi="Times New Roman"/>
        </w:rPr>
        <w:t>situs</w:t>
      </w:r>
      <w:proofErr w:type="spellEnd"/>
      <w:r w:rsidR="0045342F" w:rsidRPr="005906F6">
        <w:rPr>
          <w:rFonts w:ascii="Times New Roman" w:hAnsi="Times New Roman"/>
        </w:rPr>
        <w:t xml:space="preserve">-assign certain legal expenses.  As </w:t>
      </w:r>
      <w:r w:rsidR="00C30EC5" w:rsidRPr="005906F6">
        <w:rPr>
          <w:rFonts w:ascii="Times New Roman" w:hAnsi="Times New Roman"/>
        </w:rPr>
        <w:t>Mr. </w:t>
      </w:r>
      <w:proofErr w:type="spellStart"/>
      <w:r w:rsidR="0045342F" w:rsidRPr="005906F6">
        <w:rPr>
          <w:rFonts w:ascii="Times New Roman" w:hAnsi="Times New Roman"/>
        </w:rPr>
        <w:t>Foisy</w:t>
      </w:r>
      <w:proofErr w:type="spellEnd"/>
      <w:r w:rsidR="0045342F" w:rsidRPr="005906F6">
        <w:rPr>
          <w:rFonts w:ascii="Times New Roman" w:hAnsi="Times New Roman"/>
        </w:rPr>
        <w:t xml:space="preserve"> testified, </w:t>
      </w:r>
      <w:proofErr w:type="spellStart"/>
      <w:r w:rsidR="00AF3DFB" w:rsidRPr="005906F6">
        <w:rPr>
          <w:rFonts w:ascii="Times New Roman" w:hAnsi="Times New Roman"/>
        </w:rPr>
        <w:t>situs</w:t>
      </w:r>
      <w:proofErr w:type="spellEnd"/>
      <w:r w:rsidR="00AF3DFB" w:rsidRPr="005906F6">
        <w:rPr>
          <w:rFonts w:ascii="Times New Roman" w:hAnsi="Times New Roman"/>
        </w:rPr>
        <w:t xml:space="preserve"> assigning some cost categories could increase revenue </w:t>
      </w:r>
      <w:r w:rsidR="00AF3DFB" w:rsidRPr="005906F6">
        <w:t>requireme</w:t>
      </w:r>
      <w:r w:rsidR="00AF3DFB">
        <w:t>nt.</w:t>
      </w:r>
      <w:r w:rsidR="00AF3DFB">
        <w:rPr>
          <w:rStyle w:val="FootnoteReference"/>
        </w:rPr>
        <w:footnoteReference w:id="390"/>
      </w:r>
      <w:r w:rsidR="00AF3DFB">
        <w:t xml:space="preserve">  The Company supports </w:t>
      </w:r>
      <w:r w:rsidR="00C30EC5">
        <w:t>Mr. </w:t>
      </w:r>
      <w:proofErr w:type="spellStart"/>
      <w:r w:rsidR="00AF3DFB">
        <w:t>Foisy’s</w:t>
      </w:r>
      <w:proofErr w:type="spellEnd"/>
      <w:r w:rsidR="00AF3DFB">
        <w:t xml:space="preserve"> proposal that the parties discuss ways to refine the allocation assignment of accounts </w:t>
      </w:r>
      <w:r w:rsidR="005906F6">
        <w:t xml:space="preserve">on an overall basis </w:t>
      </w:r>
      <w:r w:rsidR="00AF3DFB">
        <w:t>in accordance with the WCA methodology.</w:t>
      </w:r>
    </w:p>
    <w:p w:rsidR="00973298" w:rsidRDefault="005C365F">
      <w:pPr>
        <w:keepNext/>
        <w:widowControl w:val="0"/>
        <w:spacing w:line="480" w:lineRule="auto"/>
        <w:jc w:val="center"/>
        <w:rPr>
          <w:rFonts w:ascii="Times New Roman" w:hAnsi="Times New Roman"/>
          <w:b/>
        </w:rPr>
      </w:pPr>
      <w:r>
        <w:rPr>
          <w:rFonts w:ascii="Times New Roman" w:hAnsi="Times New Roman"/>
          <w:b/>
        </w:rPr>
        <w:lastRenderedPageBreak/>
        <w:t>VIII</w:t>
      </w:r>
      <w:r w:rsidR="00235F14" w:rsidRPr="00FC6627">
        <w:rPr>
          <w:rFonts w:ascii="Times New Roman" w:hAnsi="Times New Roman"/>
          <w:b/>
        </w:rPr>
        <w:t>.</w:t>
      </w:r>
      <w:r w:rsidR="00235F14" w:rsidRPr="00FC6627">
        <w:rPr>
          <w:rFonts w:ascii="Times New Roman" w:hAnsi="Times New Roman"/>
          <w:b/>
        </w:rPr>
        <w:tab/>
        <w:t>RATE SPREAD AND RATE DESIGN</w:t>
      </w:r>
    </w:p>
    <w:p w:rsidR="00973298" w:rsidRDefault="00AA2B20">
      <w:pPr>
        <w:keepNext/>
        <w:widowControl w:val="0"/>
        <w:spacing w:line="480" w:lineRule="auto"/>
        <w:rPr>
          <w:b/>
        </w:rPr>
      </w:pPr>
      <w:r w:rsidRPr="00AA2B20">
        <w:rPr>
          <w:b/>
        </w:rPr>
        <w:t>A.</w:t>
      </w:r>
      <w:r>
        <w:rPr>
          <w:b/>
        </w:rPr>
        <w:tab/>
      </w:r>
      <w:r w:rsidR="00082749">
        <w:rPr>
          <w:b/>
        </w:rPr>
        <w:t>Staff’s</w:t>
      </w:r>
      <w:r>
        <w:rPr>
          <w:b/>
        </w:rPr>
        <w:t xml:space="preserve"> Rate Spread Proposal is Reasonable and Should Be Adopted.</w:t>
      </w:r>
    </w:p>
    <w:p w:rsidR="00973298" w:rsidRDefault="00A652AE">
      <w:pPr>
        <w:pStyle w:val="ListParagraph"/>
        <w:widowControl w:val="0"/>
        <w:numPr>
          <w:ilvl w:val="0"/>
          <w:numId w:val="12"/>
        </w:numPr>
        <w:tabs>
          <w:tab w:val="left" w:pos="720"/>
        </w:tabs>
        <w:spacing w:line="480" w:lineRule="auto"/>
        <w:ind w:left="0"/>
      </w:pPr>
      <w:r>
        <w:tab/>
      </w:r>
      <w:r w:rsidR="006269CD">
        <w:t xml:space="preserve">In his rebuttal testimony, Company witness </w:t>
      </w:r>
      <w:r w:rsidR="00C30EC5">
        <w:t>Mr. </w:t>
      </w:r>
      <w:r w:rsidR="006269CD">
        <w:t xml:space="preserve">Griffith explained that, based on the revised revenue increase, the Company proposes to apply the increase consistent with the rate spread methodology </w:t>
      </w:r>
      <w:r w:rsidR="000024E1">
        <w:t xml:space="preserve">recommended by Staff witness </w:t>
      </w:r>
      <w:r w:rsidR="00C30EC5">
        <w:t>Mr. </w:t>
      </w:r>
      <w:r w:rsidR="000024E1">
        <w:t>Schooley.</w:t>
      </w:r>
      <w:r w:rsidR="000024E1">
        <w:rPr>
          <w:rStyle w:val="FootnoteReference"/>
        </w:rPr>
        <w:footnoteReference w:id="391"/>
      </w:r>
      <w:r w:rsidR="000024E1">
        <w:t xml:space="preserve">  </w:t>
      </w:r>
      <w:r w:rsidR="002C7E07">
        <w:t>The revised rate spread proposal better reflects cost of service results and applies smaller increases to rate schedule classes that are currently paying more than the cost to serve them.</w:t>
      </w:r>
      <w:r w:rsidR="002C7E07">
        <w:rPr>
          <w:rStyle w:val="FootnoteReference"/>
        </w:rPr>
        <w:footnoteReference w:id="392"/>
      </w:r>
      <w:r w:rsidR="002C7E07">
        <w:t xml:space="preserve">  </w:t>
      </w:r>
      <w:r w:rsidR="00C25243">
        <w:t>The other major rate schedules would receive a uniform</w:t>
      </w:r>
      <w:r w:rsidR="006E1B6E">
        <w:t xml:space="preserve"> </w:t>
      </w:r>
      <w:r w:rsidR="00136D8E">
        <w:t>percentage</w:t>
      </w:r>
      <w:r w:rsidR="00C25243">
        <w:t xml:space="preserve"> increase.</w:t>
      </w:r>
      <w:r w:rsidR="00C25243">
        <w:rPr>
          <w:rStyle w:val="FootnoteReference"/>
        </w:rPr>
        <w:footnoteReference w:id="393"/>
      </w:r>
      <w:r w:rsidR="00C25243">
        <w:t xml:space="preserve">  </w:t>
      </w:r>
      <w:r w:rsidR="00306435">
        <w:t>The proposed rate spread will result in all major rate schedule classes receiving increases that are less than those originally proposed by the Company, while making progress toward reflecting the cost of service results.</w:t>
      </w:r>
      <w:r w:rsidR="00306435">
        <w:rPr>
          <w:rStyle w:val="FootnoteReference"/>
        </w:rPr>
        <w:footnoteReference w:id="394"/>
      </w:r>
    </w:p>
    <w:p w:rsidR="00973298" w:rsidRDefault="00306435">
      <w:pPr>
        <w:pStyle w:val="ListParagraph"/>
        <w:keepNext/>
        <w:widowControl w:val="0"/>
        <w:spacing w:line="480" w:lineRule="auto"/>
        <w:ind w:left="0"/>
        <w:rPr>
          <w:b/>
        </w:rPr>
      </w:pPr>
      <w:r w:rsidRPr="00306435">
        <w:rPr>
          <w:b/>
        </w:rPr>
        <w:t>B.</w:t>
      </w:r>
      <w:r w:rsidRPr="00306435">
        <w:rPr>
          <w:b/>
        </w:rPr>
        <w:tab/>
      </w:r>
      <w:r>
        <w:rPr>
          <w:b/>
        </w:rPr>
        <w:t>The Company’s Proposed Residential Basic Charge Increase is Appropriate.</w:t>
      </w:r>
    </w:p>
    <w:p w:rsidR="00973298" w:rsidRDefault="00A652AE">
      <w:pPr>
        <w:pStyle w:val="ListParagraph"/>
        <w:widowControl w:val="0"/>
        <w:numPr>
          <w:ilvl w:val="0"/>
          <w:numId w:val="12"/>
        </w:numPr>
        <w:tabs>
          <w:tab w:val="left" w:pos="720"/>
        </w:tabs>
        <w:spacing w:line="480" w:lineRule="auto"/>
        <w:ind w:left="0"/>
      </w:pPr>
      <w:r>
        <w:tab/>
      </w:r>
      <w:r w:rsidR="00306435">
        <w:t xml:space="preserve">The Company proposes an increase </w:t>
      </w:r>
      <w:r w:rsidR="00684787">
        <w:t>in</w:t>
      </w:r>
      <w:r w:rsidR="00306435">
        <w:t xml:space="preserve"> the monthly residential basic charge from $6.00 to $8.50 per month, a reduction from the $9.00 level originally proposed by the Company.</w:t>
      </w:r>
      <w:r w:rsidR="00306435">
        <w:rPr>
          <w:rStyle w:val="FootnoteReference"/>
        </w:rPr>
        <w:footnoteReference w:id="395"/>
      </w:r>
      <w:r w:rsidR="00306435">
        <w:t xml:space="preserve">  </w:t>
      </w:r>
      <w:r w:rsidR="001F14CD">
        <w:t xml:space="preserve">The Company proposes to retain the existing inverted </w:t>
      </w:r>
      <w:r w:rsidR="003825DF">
        <w:t xml:space="preserve">residential </w:t>
      </w:r>
      <w:r w:rsidR="001F14CD">
        <w:t>rate structure for energy charges and apply an approximately uniform</w:t>
      </w:r>
      <w:r w:rsidR="00236476">
        <w:t xml:space="preserve"> </w:t>
      </w:r>
      <w:r w:rsidR="00136D8E">
        <w:t>percentage</w:t>
      </w:r>
      <w:r w:rsidR="001F14CD">
        <w:t xml:space="preserve"> increase to the two kilowatt-hour blocks.</w:t>
      </w:r>
      <w:r w:rsidR="001F14CD">
        <w:rPr>
          <w:rStyle w:val="FootnoteReference"/>
        </w:rPr>
        <w:footnoteReference w:id="396"/>
      </w:r>
    </w:p>
    <w:p w:rsidR="00973298" w:rsidRDefault="00A652AE">
      <w:pPr>
        <w:pStyle w:val="ListParagraph"/>
        <w:widowControl w:val="0"/>
        <w:numPr>
          <w:ilvl w:val="0"/>
          <w:numId w:val="12"/>
        </w:numPr>
        <w:tabs>
          <w:tab w:val="left" w:pos="720"/>
        </w:tabs>
        <w:spacing w:line="480" w:lineRule="auto"/>
        <w:ind w:left="0"/>
      </w:pPr>
      <w:r>
        <w:tab/>
      </w:r>
      <w:r w:rsidR="001F14CD">
        <w:t>The Company’s proposed increase to the residential basic charge makes progress toward a more cost compensatory residential basic charge</w:t>
      </w:r>
      <w:r w:rsidR="00A01150">
        <w:t>.</w:t>
      </w:r>
      <w:r w:rsidR="001F14CD">
        <w:rPr>
          <w:rStyle w:val="FootnoteReference"/>
        </w:rPr>
        <w:footnoteReference w:id="397"/>
      </w:r>
      <w:r w:rsidR="001F14CD">
        <w:t xml:space="preserve">  The current basic charge fails to cover the related costs of residential service, including the cost of meters, service drops, meter reading, and billing.</w:t>
      </w:r>
      <w:r w:rsidR="001F14CD">
        <w:rPr>
          <w:rStyle w:val="FootnoteReference"/>
        </w:rPr>
        <w:footnoteReference w:id="398"/>
      </w:r>
      <w:r w:rsidR="001F14CD">
        <w:t xml:space="preserve">  Based on the cost of service results submitted by Company witness </w:t>
      </w:r>
      <w:r w:rsidR="00C30EC5">
        <w:t>Mr. </w:t>
      </w:r>
      <w:proofErr w:type="spellStart"/>
      <w:r w:rsidR="001F14CD">
        <w:t>Paice</w:t>
      </w:r>
      <w:proofErr w:type="spellEnd"/>
      <w:r w:rsidR="001F14CD">
        <w:t xml:space="preserve">, a basic </w:t>
      </w:r>
      <w:r w:rsidR="001F14CD">
        <w:lastRenderedPageBreak/>
        <w:t>charge of $10.27 is appropriate.</w:t>
      </w:r>
      <w:r w:rsidR="001F14CD">
        <w:rPr>
          <w:rStyle w:val="FootnoteReference"/>
        </w:rPr>
        <w:footnoteReference w:id="399"/>
      </w:r>
      <w:r w:rsidR="001F14CD">
        <w:t xml:space="preserve">  The Company’s proposed $8.50 </w:t>
      </w:r>
      <w:r w:rsidR="005D1ADE">
        <w:t>b</w:t>
      </w:r>
      <w:r w:rsidR="001F14CD">
        <w:t xml:space="preserve">asic </w:t>
      </w:r>
      <w:r w:rsidR="005D1ADE">
        <w:t>c</w:t>
      </w:r>
      <w:r w:rsidR="00C5771F">
        <w:t>h</w:t>
      </w:r>
      <w:r w:rsidR="001F14CD">
        <w:t>arge is a reasonable compromise.</w:t>
      </w:r>
    </w:p>
    <w:p w:rsidR="00973298" w:rsidRDefault="00A652AE">
      <w:pPr>
        <w:pStyle w:val="ListParagraph"/>
        <w:widowControl w:val="0"/>
        <w:numPr>
          <w:ilvl w:val="0"/>
          <w:numId w:val="12"/>
        </w:numPr>
        <w:tabs>
          <w:tab w:val="left" w:pos="720"/>
        </w:tabs>
        <w:spacing w:line="480" w:lineRule="auto"/>
        <w:ind w:left="0"/>
      </w:pPr>
      <w:r>
        <w:tab/>
      </w:r>
      <w:r w:rsidR="00C5771F">
        <w:t xml:space="preserve">The Energy Project witness </w:t>
      </w:r>
      <w:r w:rsidR="00C30EC5">
        <w:t>Mr. </w:t>
      </w:r>
      <w:proofErr w:type="spellStart"/>
      <w:r w:rsidR="00C5771F">
        <w:t>Eberdt</w:t>
      </w:r>
      <w:proofErr w:type="spellEnd"/>
      <w:r w:rsidR="00C5771F">
        <w:t xml:space="preserve"> argued that raising the Basic Charge sends an anti-conservation message and unfairly impacts low-use customers, many of whom </w:t>
      </w:r>
      <w:r w:rsidR="00C30EC5">
        <w:t>Mr. </w:t>
      </w:r>
      <w:proofErr w:type="spellStart"/>
      <w:r w:rsidR="00C5771F">
        <w:t>Eberdt</w:t>
      </w:r>
      <w:proofErr w:type="spellEnd"/>
      <w:r w:rsidR="00C5771F">
        <w:t xml:space="preserve"> argues are low-income customers.</w:t>
      </w:r>
      <w:r w:rsidR="00C5771F">
        <w:rPr>
          <w:rStyle w:val="FootnoteReference"/>
        </w:rPr>
        <w:footnoteReference w:id="400"/>
      </w:r>
      <w:r w:rsidR="00C5771F">
        <w:t xml:space="preserve">  </w:t>
      </w:r>
      <w:r w:rsidR="0068013C">
        <w:t>The Company’s proposal includes an increase to energy charges in an inverted rate structure by more than 18</w:t>
      </w:r>
      <w:r w:rsidR="00136D8E">
        <w:t>%</w:t>
      </w:r>
      <w:r w:rsidR="0068013C">
        <w:t>, sending an appropriate conservation signal to customers.</w:t>
      </w:r>
      <w:r w:rsidR="0068013C">
        <w:rPr>
          <w:rStyle w:val="FootnoteReference"/>
        </w:rPr>
        <w:footnoteReference w:id="401"/>
      </w:r>
      <w:r w:rsidR="0068013C">
        <w:t xml:space="preserve"> </w:t>
      </w:r>
      <w:r w:rsidR="006458FE">
        <w:t xml:space="preserve"> The Company’s proposal also improves equity for all customers by reflecting more of the fair share of fixed costs in the Basic Charge.</w:t>
      </w:r>
      <w:r w:rsidR="006458FE">
        <w:rPr>
          <w:rStyle w:val="FootnoteReference"/>
        </w:rPr>
        <w:footnoteReference w:id="402"/>
      </w:r>
      <w:r w:rsidR="006458FE">
        <w:t xml:space="preserve">  </w:t>
      </w:r>
      <w:r w:rsidR="0068013C">
        <w:t>Moreover, low-income customers do not have lower</w:t>
      </w:r>
      <w:r w:rsidR="0014686F">
        <w:t xml:space="preserve"> co</w:t>
      </w:r>
      <w:r w:rsidR="00A01150">
        <w:t>nsumption</w:t>
      </w:r>
      <w:r w:rsidR="0014686F">
        <w:t xml:space="preserve"> than non-</w:t>
      </w:r>
      <w:r w:rsidR="006458FE">
        <w:t xml:space="preserve">low-income customers, so </w:t>
      </w:r>
      <w:r w:rsidR="00C30EC5">
        <w:t>Mr. </w:t>
      </w:r>
      <w:proofErr w:type="spellStart"/>
      <w:r w:rsidR="006458FE">
        <w:t>Eber</w:t>
      </w:r>
      <w:r w:rsidR="003825DF">
        <w:t>d</w:t>
      </w:r>
      <w:r w:rsidR="006458FE">
        <w:t>t’s</w:t>
      </w:r>
      <w:proofErr w:type="spellEnd"/>
      <w:r w:rsidR="006458FE">
        <w:t xml:space="preserve"> argument conflating these groups of customers should be disregarded.</w:t>
      </w:r>
      <w:r w:rsidR="006458FE">
        <w:rPr>
          <w:rStyle w:val="FootnoteReference"/>
        </w:rPr>
        <w:footnoteReference w:id="403"/>
      </w:r>
    </w:p>
    <w:p w:rsidR="00973298" w:rsidRDefault="00BB0698">
      <w:pPr>
        <w:pStyle w:val="ListParagraph"/>
        <w:keepNext/>
        <w:widowControl w:val="0"/>
        <w:spacing w:after="240"/>
        <w:ind w:hanging="720"/>
        <w:contextualSpacing w:val="0"/>
        <w:rPr>
          <w:b/>
        </w:rPr>
      </w:pPr>
      <w:r>
        <w:rPr>
          <w:b/>
        </w:rPr>
        <w:t>C.</w:t>
      </w:r>
      <w:r>
        <w:rPr>
          <w:b/>
        </w:rPr>
        <w:tab/>
      </w:r>
      <w:r w:rsidR="00746542">
        <w:rPr>
          <w:b/>
        </w:rPr>
        <w:t xml:space="preserve">The Company’s Cost of Service </w:t>
      </w:r>
      <w:r w:rsidR="0030309D">
        <w:rPr>
          <w:b/>
        </w:rPr>
        <w:t>w</w:t>
      </w:r>
      <w:r w:rsidR="00746542">
        <w:rPr>
          <w:b/>
        </w:rPr>
        <w:t>as Developed Consistent with Commission Precedent.</w:t>
      </w:r>
    </w:p>
    <w:p w:rsidR="00973298" w:rsidRDefault="00A652AE">
      <w:pPr>
        <w:pStyle w:val="ListParagraph"/>
        <w:widowControl w:val="0"/>
        <w:numPr>
          <w:ilvl w:val="0"/>
          <w:numId w:val="12"/>
        </w:numPr>
        <w:tabs>
          <w:tab w:val="left" w:pos="720"/>
        </w:tabs>
        <w:spacing w:line="480" w:lineRule="auto"/>
        <w:ind w:left="0"/>
        <w:rPr>
          <w:b/>
        </w:rPr>
      </w:pPr>
      <w:r>
        <w:tab/>
      </w:r>
      <w:r w:rsidR="00746542">
        <w:t xml:space="preserve">ICNU witness </w:t>
      </w:r>
      <w:r w:rsidR="00C30EC5">
        <w:t>Mr. </w:t>
      </w:r>
      <w:proofErr w:type="spellStart"/>
      <w:r w:rsidR="00746542">
        <w:t>Schoenbeck</w:t>
      </w:r>
      <w:proofErr w:type="spellEnd"/>
      <w:r w:rsidR="00746542">
        <w:t xml:space="preserve"> objects to the Company’s cost of service study on the basis that it uses 100 winter hours and 100 summer hours for allocating system demand related costs.</w:t>
      </w:r>
      <w:r w:rsidR="00746542">
        <w:rPr>
          <w:rStyle w:val="FootnoteReference"/>
        </w:rPr>
        <w:footnoteReference w:id="404"/>
      </w:r>
      <w:r w:rsidR="00746542">
        <w:t xml:space="preserve">  </w:t>
      </w:r>
      <w:r w:rsidR="00C30EC5">
        <w:t>Mr. </w:t>
      </w:r>
      <w:proofErr w:type="spellStart"/>
      <w:r w:rsidR="003C1514">
        <w:t>Schoenbeck</w:t>
      </w:r>
      <w:proofErr w:type="spellEnd"/>
      <w:r w:rsidR="003C1514">
        <w:t xml:space="preserve"> argues that the factor encompasses too many hours for accurately assigning system demand costs and because giving equal weight to each hour ignores the fundamental driver of generation and transmission investment.</w:t>
      </w:r>
      <w:r w:rsidR="003C1514">
        <w:rPr>
          <w:rStyle w:val="FootnoteReference"/>
        </w:rPr>
        <w:footnoteReference w:id="405"/>
      </w:r>
      <w:r w:rsidR="00451544">
        <w:t xml:space="preserve">  </w:t>
      </w:r>
      <w:r w:rsidR="00C30EC5">
        <w:t>Mr. </w:t>
      </w:r>
      <w:proofErr w:type="spellStart"/>
      <w:r w:rsidR="00451544">
        <w:t>Schoenbeck</w:t>
      </w:r>
      <w:proofErr w:type="spellEnd"/>
      <w:r w:rsidR="00451544">
        <w:t xml:space="preserve"> argues that the peak demand allocation factor should be determined considering only those hours that are within 95</w:t>
      </w:r>
      <w:r w:rsidR="00136D8E">
        <w:t>%</w:t>
      </w:r>
      <w:r w:rsidR="00451544">
        <w:t xml:space="preserve"> of the system peak hour.</w:t>
      </w:r>
      <w:r w:rsidR="00451544">
        <w:rPr>
          <w:rStyle w:val="FootnoteReference"/>
        </w:rPr>
        <w:footnoteReference w:id="406"/>
      </w:r>
    </w:p>
    <w:p w:rsidR="00973298" w:rsidRDefault="00A652AE">
      <w:pPr>
        <w:pStyle w:val="ListParagraph"/>
        <w:widowControl w:val="0"/>
        <w:numPr>
          <w:ilvl w:val="0"/>
          <w:numId w:val="12"/>
        </w:numPr>
        <w:tabs>
          <w:tab w:val="left" w:pos="720"/>
        </w:tabs>
        <w:spacing w:line="480" w:lineRule="auto"/>
        <w:ind w:left="0"/>
        <w:rPr>
          <w:b/>
        </w:rPr>
      </w:pPr>
      <w:r>
        <w:tab/>
      </w:r>
      <w:r w:rsidR="00451544">
        <w:t xml:space="preserve">The Commission previously rejected </w:t>
      </w:r>
      <w:r w:rsidR="00C30EC5">
        <w:t>Mr. </w:t>
      </w:r>
      <w:proofErr w:type="spellStart"/>
      <w:r w:rsidR="00CA62FA">
        <w:t>Schoenbeck</w:t>
      </w:r>
      <w:r w:rsidR="00A01150">
        <w:t>’s</w:t>
      </w:r>
      <w:proofErr w:type="spellEnd"/>
      <w:r w:rsidR="00A01150">
        <w:t xml:space="preserve"> proposal</w:t>
      </w:r>
      <w:r w:rsidR="00CA62FA">
        <w:t xml:space="preserve"> </w:t>
      </w:r>
      <w:r w:rsidR="00A01150">
        <w:t>i</w:t>
      </w:r>
      <w:r w:rsidR="00CA62FA">
        <w:t>n Docket UE-</w:t>
      </w:r>
      <w:r w:rsidR="00CA62FA">
        <w:lastRenderedPageBreak/>
        <w:t>920499</w:t>
      </w:r>
      <w:r w:rsidR="00A01150">
        <w:t>.</w:t>
      </w:r>
      <w:r w:rsidR="00CA62FA">
        <w:rPr>
          <w:rStyle w:val="FootnoteReference"/>
        </w:rPr>
        <w:footnoteReference w:id="407"/>
      </w:r>
      <w:r w:rsidR="009D19D8">
        <w:t xml:space="preserve">  The Company also used th</w:t>
      </w:r>
      <w:r w:rsidR="0014686F">
        <w:t>e</w:t>
      </w:r>
      <w:r w:rsidR="009D19D8">
        <w:t xml:space="preserve"> methodology </w:t>
      </w:r>
      <w:r w:rsidR="0014686F">
        <w:t xml:space="preserve">used in this case </w:t>
      </w:r>
      <w:r w:rsidR="009D19D8">
        <w:t>in its previous three rate cases in Washington.</w:t>
      </w:r>
      <w:r w:rsidR="009D19D8">
        <w:rPr>
          <w:rStyle w:val="FootnoteReference"/>
        </w:rPr>
        <w:footnoteReference w:id="408"/>
      </w:r>
      <w:r w:rsidR="009D19D8">
        <w:t xml:space="preserve">  For these reasons, and those discussed in the testimony of Company witness </w:t>
      </w:r>
      <w:r w:rsidR="00C30EC5">
        <w:t>Mr. </w:t>
      </w:r>
      <w:proofErr w:type="spellStart"/>
      <w:r w:rsidR="009D19D8">
        <w:t>Paice</w:t>
      </w:r>
      <w:proofErr w:type="spellEnd"/>
      <w:r w:rsidR="009D19D8">
        <w:t>,</w:t>
      </w:r>
      <w:r w:rsidR="009D19D8">
        <w:rPr>
          <w:rStyle w:val="FootnoteReference"/>
        </w:rPr>
        <w:footnoteReference w:id="409"/>
      </w:r>
      <w:r w:rsidR="009D19D8">
        <w:t xml:space="preserve"> ICNU’s proposal should be rejected.</w:t>
      </w:r>
    </w:p>
    <w:p w:rsidR="00973298" w:rsidRDefault="005C365F">
      <w:pPr>
        <w:keepNext/>
        <w:widowControl w:val="0"/>
        <w:spacing w:line="480" w:lineRule="auto"/>
        <w:jc w:val="center"/>
        <w:rPr>
          <w:rFonts w:ascii="Times New Roman" w:hAnsi="Times New Roman"/>
          <w:b/>
        </w:rPr>
      </w:pPr>
      <w:r>
        <w:rPr>
          <w:rFonts w:ascii="Times New Roman" w:hAnsi="Times New Roman"/>
          <w:b/>
        </w:rPr>
        <w:t>I</w:t>
      </w:r>
      <w:r w:rsidR="00964473">
        <w:rPr>
          <w:rFonts w:ascii="Times New Roman" w:hAnsi="Times New Roman"/>
          <w:b/>
        </w:rPr>
        <w:t>X</w:t>
      </w:r>
      <w:r w:rsidR="00235F14" w:rsidRPr="00FC6627">
        <w:rPr>
          <w:rFonts w:ascii="Times New Roman" w:hAnsi="Times New Roman"/>
          <w:b/>
        </w:rPr>
        <w:t>.</w:t>
      </w:r>
      <w:r w:rsidR="00235F14" w:rsidRPr="00FC6627">
        <w:rPr>
          <w:rFonts w:ascii="Times New Roman" w:hAnsi="Times New Roman"/>
          <w:b/>
        </w:rPr>
        <w:tab/>
        <w:t>LOW INCOME FUNDING</w:t>
      </w:r>
    </w:p>
    <w:p w:rsidR="00973298" w:rsidRDefault="00082749">
      <w:pPr>
        <w:pStyle w:val="ListParagraph"/>
        <w:keepNext/>
        <w:widowControl w:val="0"/>
        <w:numPr>
          <w:ilvl w:val="1"/>
          <w:numId w:val="2"/>
        </w:numPr>
        <w:spacing w:line="480" w:lineRule="auto"/>
        <w:ind w:left="720"/>
        <w:rPr>
          <w:rFonts w:ascii="Times New Roman" w:hAnsi="Times New Roman"/>
          <w:b/>
        </w:rPr>
      </w:pPr>
      <w:r w:rsidRPr="00082749">
        <w:rPr>
          <w:rFonts w:ascii="Times New Roman" w:hAnsi="Times New Roman"/>
          <w:b/>
        </w:rPr>
        <w:t xml:space="preserve">The Company’s </w:t>
      </w:r>
      <w:r w:rsidR="00235F14" w:rsidRPr="00082749">
        <w:rPr>
          <w:rFonts w:ascii="Times New Roman" w:hAnsi="Times New Roman"/>
          <w:b/>
        </w:rPr>
        <w:t>Low Income Bill Assistance</w:t>
      </w:r>
      <w:r w:rsidRPr="00082749">
        <w:rPr>
          <w:rFonts w:ascii="Times New Roman" w:hAnsi="Times New Roman"/>
          <w:b/>
        </w:rPr>
        <w:t xml:space="preserve"> Proposals are Reasonable.</w:t>
      </w:r>
    </w:p>
    <w:p w:rsidR="00973298" w:rsidRDefault="00A652AE">
      <w:pPr>
        <w:pStyle w:val="ListParagraph"/>
        <w:widowControl w:val="0"/>
        <w:numPr>
          <w:ilvl w:val="0"/>
          <w:numId w:val="12"/>
        </w:numPr>
        <w:tabs>
          <w:tab w:val="left" w:pos="720"/>
        </w:tabs>
        <w:spacing w:line="480" w:lineRule="auto"/>
        <w:ind w:left="0"/>
      </w:pPr>
      <w:r>
        <w:tab/>
      </w:r>
      <w:r w:rsidR="006458FE">
        <w:t>The Company</w:t>
      </w:r>
      <w:r w:rsidR="00CE6015">
        <w:t xml:space="preserve"> recommends that the Commission adopt the changes to the Low Income Bill Assistance program outlined in Company witness </w:t>
      </w:r>
      <w:r w:rsidR="00C30EC5">
        <w:t>Mr. </w:t>
      </w:r>
      <w:r w:rsidR="00CE6015">
        <w:t>Griffith’s testimony,</w:t>
      </w:r>
      <w:r w:rsidR="00CE6015">
        <w:rPr>
          <w:rStyle w:val="FootnoteReference"/>
        </w:rPr>
        <w:footnoteReference w:id="410"/>
      </w:r>
      <w:r w:rsidR="00CE6015">
        <w:t xml:space="preserve"> along with </w:t>
      </w:r>
      <w:r w:rsidR="006458FE">
        <w:t xml:space="preserve">Staff witness </w:t>
      </w:r>
      <w:r w:rsidR="00C30EC5">
        <w:t>Mr. </w:t>
      </w:r>
      <w:proofErr w:type="spellStart"/>
      <w:r w:rsidR="006458FE">
        <w:t>Schooley</w:t>
      </w:r>
      <w:r w:rsidR="00CE6015">
        <w:t>’s</w:t>
      </w:r>
      <w:proofErr w:type="spellEnd"/>
      <w:r w:rsidR="00CE6015">
        <w:t xml:space="preserve"> proposal</w:t>
      </w:r>
      <w:r w:rsidR="006458FE">
        <w:t xml:space="preserve"> to increase the low income Schedule 91 surcharge collection by the increase originally proposed by the Company and not adjust it for the final rate change.</w:t>
      </w:r>
      <w:r w:rsidR="006458FE">
        <w:rPr>
          <w:rStyle w:val="FootnoteReference"/>
        </w:rPr>
        <w:footnoteReference w:id="411"/>
      </w:r>
      <w:r w:rsidR="006458FE">
        <w:t xml:space="preserve">  </w:t>
      </w:r>
      <w:r w:rsidR="00CE6015">
        <w:t>The Company’s proposal would increase the number of participating customers</w:t>
      </w:r>
      <w:r w:rsidR="00192230">
        <w:t xml:space="preserve"> with 30% of the additional funds collected</w:t>
      </w:r>
      <w:r w:rsidR="00CE6015">
        <w:t>, increase the rate credit</w:t>
      </w:r>
      <w:r w:rsidR="00192230">
        <w:t xml:space="preserve"> with 70% of the additional funds collected</w:t>
      </w:r>
      <w:r w:rsidR="00CE6015">
        <w:t>, and revise the recertification process to every other year.</w:t>
      </w:r>
      <w:r w:rsidR="00CE6015">
        <w:rPr>
          <w:rStyle w:val="FootnoteReference"/>
        </w:rPr>
        <w:footnoteReference w:id="412"/>
      </w:r>
      <w:r w:rsidR="00B24D94">
        <w:t xml:space="preserve">  With respect to The Energy Project witness </w:t>
      </w:r>
      <w:r w:rsidR="00C30EC5">
        <w:t>Mr. </w:t>
      </w:r>
      <w:proofErr w:type="spellStart"/>
      <w:r w:rsidR="00B24D94">
        <w:t>Eber</w:t>
      </w:r>
      <w:r w:rsidR="00C00BA5">
        <w:t>d</w:t>
      </w:r>
      <w:r w:rsidR="00B24D94">
        <w:t>t’s</w:t>
      </w:r>
      <w:proofErr w:type="spellEnd"/>
      <w:r w:rsidR="00B24D94">
        <w:t xml:space="preserve"> proposal to increase the agency administrative fee by 35</w:t>
      </w:r>
      <w:r w:rsidR="00136D8E">
        <w:t>%</w:t>
      </w:r>
      <w:r w:rsidR="00B24D94">
        <w:t>, the Company recommends that the Commission reject this proposal, but proposes that Commission Staff convene a meeting of interested parties to evaluate how the certification process can be modified to lower agency costs and thereby increase benefits to low-income customers.</w:t>
      </w:r>
      <w:r w:rsidR="00B24D94">
        <w:rPr>
          <w:rStyle w:val="FootnoteReference"/>
        </w:rPr>
        <w:footnoteReference w:id="413"/>
      </w:r>
    </w:p>
    <w:p w:rsidR="00973298" w:rsidRDefault="00235F14">
      <w:pPr>
        <w:keepNext/>
        <w:widowControl w:val="0"/>
        <w:spacing w:line="480" w:lineRule="auto"/>
        <w:rPr>
          <w:rFonts w:ascii="Times New Roman" w:hAnsi="Times New Roman"/>
          <w:b/>
        </w:rPr>
      </w:pPr>
      <w:r w:rsidRPr="00FC6627">
        <w:rPr>
          <w:rFonts w:ascii="Times New Roman" w:hAnsi="Times New Roman"/>
          <w:b/>
        </w:rPr>
        <w:t>B.</w:t>
      </w:r>
      <w:r w:rsidRPr="00FC6627">
        <w:rPr>
          <w:rFonts w:ascii="Times New Roman" w:hAnsi="Times New Roman"/>
          <w:b/>
        </w:rPr>
        <w:tab/>
      </w:r>
      <w:r w:rsidR="00082749">
        <w:rPr>
          <w:rFonts w:ascii="Times New Roman" w:hAnsi="Times New Roman"/>
          <w:b/>
        </w:rPr>
        <w:t xml:space="preserve">There is Currently No Reason to </w:t>
      </w:r>
      <w:r w:rsidR="00457572">
        <w:rPr>
          <w:rFonts w:ascii="Times New Roman" w:hAnsi="Times New Roman"/>
          <w:b/>
        </w:rPr>
        <w:t xml:space="preserve">Increase </w:t>
      </w:r>
      <w:r w:rsidRPr="00FC6627">
        <w:rPr>
          <w:rFonts w:ascii="Times New Roman" w:hAnsi="Times New Roman"/>
          <w:b/>
        </w:rPr>
        <w:t>Low Income Weatherization</w:t>
      </w:r>
      <w:r w:rsidR="00082749">
        <w:rPr>
          <w:rFonts w:ascii="Times New Roman" w:hAnsi="Times New Roman"/>
          <w:b/>
        </w:rPr>
        <w:t xml:space="preserve"> Funding.</w:t>
      </w:r>
    </w:p>
    <w:p w:rsidR="00973298" w:rsidRDefault="00A652AE">
      <w:pPr>
        <w:pStyle w:val="ListParagraph"/>
        <w:widowControl w:val="0"/>
        <w:numPr>
          <w:ilvl w:val="0"/>
          <w:numId w:val="12"/>
        </w:numPr>
        <w:tabs>
          <w:tab w:val="left" w:pos="720"/>
        </w:tabs>
        <w:spacing w:line="480" w:lineRule="auto"/>
        <w:ind w:left="0"/>
      </w:pPr>
      <w:r>
        <w:tab/>
      </w:r>
      <w:r w:rsidR="00B24D94">
        <w:t xml:space="preserve">The Energy Project proposes to increase funding through the Company’s low income </w:t>
      </w:r>
      <w:r w:rsidR="00B24D94">
        <w:lastRenderedPageBreak/>
        <w:t xml:space="preserve">weatherization </w:t>
      </w:r>
      <w:r w:rsidR="00684787">
        <w:t xml:space="preserve">program </w:t>
      </w:r>
      <w:r w:rsidR="00C93FDA">
        <w:t>by 50</w:t>
      </w:r>
      <w:r w:rsidR="00136D8E">
        <w:t>%</w:t>
      </w:r>
      <w:r w:rsidR="00C93FDA">
        <w:t>, or approximately $500,000.</w:t>
      </w:r>
      <w:r w:rsidR="00C93FDA">
        <w:rPr>
          <w:rStyle w:val="FootnoteReference"/>
        </w:rPr>
        <w:footnoteReference w:id="414"/>
      </w:r>
      <w:r w:rsidR="00C93FDA">
        <w:t xml:space="preserve">  </w:t>
      </w:r>
      <w:r w:rsidR="00B55843">
        <w:t>The Company objects to this proposal on the basis that the current budgeted amount of $1 million is not being fully used.</w:t>
      </w:r>
      <w:r w:rsidR="00B55843">
        <w:rPr>
          <w:rStyle w:val="FootnoteReference"/>
        </w:rPr>
        <w:footnoteReference w:id="415"/>
      </w:r>
      <w:r w:rsidR="00B55843">
        <w:t xml:space="preserve">  Using the existing budget in full would result in a realized increase in funding of about 45</w:t>
      </w:r>
      <w:r w:rsidR="00136D8E">
        <w:t>%</w:t>
      </w:r>
      <w:r w:rsidR="00B55843">
        <w:t>.</w:t>
      </w:r>
      <w:r w:rsidR="00B55843">
        <w:rPr>
          <w:rStyle w:val="FootnoteReference"/>
        </w:rPr>
        <w:footnoteReference w:id="416"/>
      </w:r>
      <w:r w:rsidR="00B55843">
        <w:t xml:space="preserve">  The Energy Project’s proposal is therefore unnecessary.</w:t>
      </w:r>
    </w:p>
    <w:p w:rsidR="00973298" w:rsidRDefault="00235F14">
      <w:pPr>
        <w:keepNext/>
        <w:widowControl w:val="0"/>
        <w:spacing w:line="480" w:lineRule="auto"/>
        <w:jc w:val="center"/>
        <w:rPr>
          <w:rFonts w:ascii="Times New Roman" w:hAnsi="Times New Roman"/>
          <w:b/>
        </w:rPr>
      </w:pPr>
      <w:r w:rsidRPr="00FC6627">
        <w:rPr>
          <w:rFonts w:ascii="Times New Roman" w:hAnsi="Times New Roman"/>
          <w:b/>
        </w:rPr>
        <w:t>X.</w:t>
      </w:r>
      <w:r w:rsidRPr="00FC6627">
        <w:rPr>
          <w:rFonts w:ascii="Times New Roman" w:hAnsi="Times New Roman"/>
          <w:b/>
        </w:rPr>
        <w:tab/>
        <w:t>CONCLUSION</w:t>
      </w:r>
    </w:p>
    <w:p w:rsidR="00973298" w:rsidRDefault="0070014D">
      <w:pPr>
        <w:pStyle w:val="ListParagraph"/>
        <w:widowControl w:val="0"/>
        <w:numPr>
          <w:ilvl w:val="0"/>
          <w:numId w:val="12"/>
        </w:numPr>
        <w:tabs>
          <w:tab w:val="left" w:pos="720"/>
        </w:tabs>
        <w:spacing w:line="480" w:lineRule="auto"/>
        <w:ind w:left="0"/>
      </w:pPr>
      <w:r>
        <w:t xml:space="preserve">            </w:t>
      </w:r>
      <w:r w:rsidR="0007035F">
        <w:t>For the reasons discussed above, the Company respectfully requests that the Commission issue an order approving the Company’s revenue requirement increase of $</w:t>
      </w:r>
      <w:r w:rsidR="00FA4A04">
        <w:t>47.7</w:t>
      </w:r>
      <w:r w:rsidR="0007035F">
        <w:t> million to be effective April 3, 2011, together with the Company’s proposed rate spread and recommendations related to low income programs</w:t>
      </w:r>
      <w:r w:rsidR="000B68FF">
        <w:t>.</w:t>
      </w:r>
    </w:p>
    <w:p w:rsidR="00156702" w:rsidRPr="00156702" w:rsidRDefault="00156702" w:rsidP="0019609D">
      <w:pPr>
        <w:tabs>
          <w:tab w:val="left" w:pos="720"/>
          <w:tab w:val="left" w:pos="1800"/>
          <w:tab w:val="left" w:pos="4320"/>
        </w:tabs>
        <w:spacing w:line="480" w:lineRule="auto"/>
        <w:jc w:val="both"/>
        <w:rPr>
          <w:rFonts w:ascii="Times New Roman" w:hAnsi="Times New Roman"/>
        </w:rPr>
      </w:pPr>
      <w:r w:rsidRPr="00156702">
        <w:rPr>
          <w:rFonts w:ascii="Times New Roman" w:hAnsi="Times New Roman"/>
        </w:rPr>
        <w:tab/>
      </w:r>
      <w:proofErr w:type="gramStart"/>
      <w:r w:rsidRPr="00156702">
        <w:rPr>
          <w:rFonts w:ascii="Times New Roman" w:hAnsi="Times New Roman"/>
        </w:rPr>
        <w:t>DATED:</w:t>
      </w:r>
      <w:r w:rsidRPr="00156702">
        <w:rPr>
          <w:rFonts w:ascii="Times New Roman" w:hAnsi="Times New Roman"/>
        </w:rPr>
        <w:tab/>
      </w:r>
      <w:r w:rsidR="0019609D">
        <w:rPr>
          <w:rFonts w:ascii="Times New Roman" w:hAnsi="Times New Roman"/>
        </w:rPr>
        <w:t>February 11, 2011</w:t>
      </w:r>
      <w:r w:rsidRPr="00156702">
        <w:rPr>
          <w:rFonts w:ascii="Times New Roman" w:hAnsi="Times New Roman"/>
        </w:rPr>
        <w:t>.</w:t>
      </w:r>
      <w:proofErr w:type="gramEnd"/>
      <w:r w:rsidR="00647A27">
        <w:rPr>
          <w:rFonts w:ascii="Times New Roman" w:hAnsi="Times New Roman"/>
        </w:rPr>
        <w:tab/>
      </w:r>
      <w:r w:rsidR="00647A27" w:rsidRPr="00156702">
        <w:rPr>
          <w:rFonts w:ascii="Times New Roman" w:hAnsi="Times New Roman"/>
        </w:rPr>
        <w:t>Respectfully Submitted,</w:t>
      </w:r>
    </w:p>
    <w:p w:rsidR="00156702" w:rsidRPr="00156702" w:rsidRDefault="00156702" w:rsidP="00156702">
      <w:pPr>
        <w:ind w:left="4320"/>
        <w:jc w:val="right"/>
        <w:rPr>
          <w:rFonts w:ascii="Times New Roman" w:hAnsi="Times New Roman"/>
        </w:rPr>
      </w:pPr>
    </w:p>
    <w:p w:rsidR="00156702" w:rsidRPr="00156702" w:rsidRDefault="00156702" w:rsidP="00156702">
      <w:pPr>
        <w:ind w:left="4320"/>
        <w:rPr>
          <w:rFonts w:ascii="Times New Roman" w:hAnsi="Times New Roman"/>
        </w:rPr>
      </w:pPr>
      <w:r w:rsidRPr="00156702">
        <w:rPr>
          <w:rFonts w:ascii="Times New Roman" w:hAnsi="Times New Roman"/>
        </w:rPr>
        <w:t>___________________________</w:t>
      </w:r>
    </w:p>
    <w:p w:rsidR="00156702" w:rsidRPr="00156702" w:rsidRDefault="00156702" w:rsidP="00156702">
      <w:pPr>
        <w:ind w:left="4320"/>
        <w:rPr>
          <w:rFonts w:ascii="Times New Roman" w:hAnsi="Times New Roman"/>
        </w:rPr>
      </w:pPr>
      <w:r w:rsidRPr="00156702">
        <w:rPr>
          <w:rFonts w:ascii="Times New Roman" w:hAnsi="Times New Roman"/>
        </w:rPr>
        <w:t>Katherine A. McDowell</w:t>
      </w:r>
      <w:r w:rsidRPr="00156702">
        <w:rPr>
          <w:rFonts w:ascii="Times New Roman" w:hAnsi="Times New Roman"/>
        </w:rPr>
        <w:tab/>
      </w:r>
    </w:p>
    <w:p w:rsidR="00156702" w:rsidRPr="00156702" w:rsidRDefault="00156702" w:rsidP="00156702">
      <w:pPr>
        <w:ind w:left="4320"/>
        <w:jc w:val="both"/>
        <w:rPr>
          <w:rFonts w:ascii="Times New Roman" w:hAnsi="Times New Roman"/>
        </w:rPr>
      </w:pPr>
      <w:r w:rsidRPr="00156702">
        <w:rPr>
          <w:rFonts w:ascii="Times New Roman" w:hAnsi="Times New Roman"/>
        </w:rPr>
        <w:t>McDowell Rackner &amp; Gibson PC</w:t>
      </w:r>
    </w:p>
    <w:p w:rsidR="00156702" w:rsidRPr="00156702" w:rsidRDefault="005B06D3" w:rsidP="00156702">
      <w:pPr>
        <w:ind w:left="4320"/>
        <w:jc w:val="both"/>
        <w:rPr>
          <w:rFonts w:ascii="Times New Roman" w:hAnsi="Times New Roman"/>
        </w:rPr>
      </w:pPr>
      <w:r>
        <w:rPr>
          <w:rFonts w:ascii="Times New Roman" w:hAnsi="Times New Roman"/>
        </w:rPr>
        <w:t>419 SW 11</w:t>
      </w:r>
      <w:r w:rsidRPr="005B06D3">
        <w:rPr>
          <w:rFonts w:ascii="Times New Roman" w:hAnsi="Times New Roman"/>
          <w:vertAlign w:val="superscript"/>
        </w:rPr>
        <w:t>th</w:t>
      </w:r>
      <w:r>
        <w:rPr>
          <w:rFonts w:ascii="Times New Roman" w:hAnsi="Times New Roman"/>
        </w:rPr>
        <w:t xml:space="preserve"> Avenue, Suite 400</w:t>
      </w:r>
    </w:p>
    <w:p w:rsidR="00156702" w:rsidRPr="00156702" w:rsidRDefault="00156702" w:rsidP="00156702">
      <w:pPr>
        <w:ind w:left="4320"/>
        <w:jc w:val="both"/>
        <w:rPr>
          <w:rFonts w:ascii="Times New Roman" w:hAnsi="Times New Roman"/>
        </w:rPr>
      </w:pPr>
      <w:r w:rsidRPr="00156702">
        <w:rPr>
          <w:rFonts w:ascii="Times New Roman" w:hAnsi="Times New Roman"/>
        </w:rPr>
        <w:t>Port</w:t>
      </w:r>
      <w:r w:rsidR="005B06D3">
        <w:rPr>
          <w:rFonts w:ascii="Times New Roman" w:hAnsi="Times New Roman"/>
        </w:rPr>
        <w:t>land, OR 97205</w:t>
      </w:r>
    </w:p>
    <w:p w:rsidR="00156702" w:rsidRPr="00156702" w:rsidRDefault="00156702" w:rsidP="00156702">
      <w:pPr>
        <w:ind w:left="4320"/>
        <w:jc w:val="both"/>
        <w:rPr>
          <w:rFonts w:ascii="Times New Roman" w:hAnsi="Times New Roman"/>
        </w:rPr>
      </w:pPr>
      <w:r w:rsidRPr="00156702">
        <w:rPr>
          <w:rFonts w:ascii="Times New Roman" w:hAnsi="Times New Roman"/>
        </w:rPr>
        <w:t>Telephone:  (503) 595-3924</w:t>
      </w:r>
    </w:p>
    <w:p w:rsidR="00156702" w:rsidRPr="00156702" w:rsidRDefault="00156702" w:rsidP="00156702">
      <w:pPr>
        <w:ind w:left="4320"/>
        <w:jc w:val="both"/>
        <w:rPr>
          <w:rFonts w:ascii="Times New Roman" w:hAnsi="Times New Roman"/>
        </w:rPr>
      </w:pPr>
      <w:r w:rsidRPr="00156702">
        <w:rPr>
          <w:rFonts w:ascii="Times New Roman" w:hAnsi="Times New Roman"/>
        </w:rPr>
        <w:t>Facsimile: (503)595-3928</w:t>
      </w:r>
    </w:p>
    <w:p w:rsidR="00156702" w:rsidRPr="00156702" w:rsidRDefault="00156702" w:rsidP="00156702">
      <w:pPr>
        <w:ind w:left="4320"/>
        <w:jc w:val="both"/>
        <w:rPr>
          <w:rFonts w:ascii="Times New Roman" w:hAnsi="Times New Roman"/>
        </w:rPr>
      </w:pPr>
      <w:r w:rsidRPr="00156702">
        <w:rPr>
          <w:rFonts w:ascii="Times New Roman" w:hAnsi="Times New Roman"/>
        </w:rPr>
        <w:t>Email: katherine@mcd-law.com</w:t>
      </w:r>
    </w:p>
    <w:p w:rsidR="00156702" w:rsidRPr="00156702" w:rsidRDefault="00156702" w:rsidP="00156702">
      <w:pPr>
        <w:ind w:left="4320"/>
        <w:jc w:val="right"/>
        <w:rPr>
          <w:rFonts w:ascii="Times New Roman" w:hAnsi="Times New Roman"/>
        </w:rPr>
      </w:pPr>
    </w:p>
    <w:p w:rsidR="00156702" w:rsidRPr="00156702" w:rsidRDefault="00156702" w:rsidP="00156702">
      <w:pPr>
        <w:ind w:left="4320"/>
        <w:rPr>
          <w:rFonts w:ascii="Times New Roman" w:hAnsi="Times New Roman"/>
        </w:rPr>
      </w:pPr>
      <w:r w:rsidRPr="00156702">
        <w:rPr>
          <w:rFonts w:ascii="Times New Roman" w:hAnsi="Times New Roman"/>
        </w:rPr>
        <w:t>Attorneys for PacifiCorp</w:t>
      </w:r>
      <w:r w:rsidRPr="00156702">
        <w:rPr>
          <w:rFonts w:ascii="Times New Roman" w:hAnsi="Times New Roman"/>
        </w:rPr>
        <w:tab/>
      </w:r>
    </w:p>
    <w:p w:rsidR="00156702" w:rsidRDefault="00156702" w:rsidP="00156702">
      <w:pPr>
        <w:ind w:left="4320"/>
      </w:pPr>
    </w:p>
    <w:p w:rsidR="00156702" w:rsidRDefault="00156702" w:rsidP="00156702">
      <w:pPr>
        <w:ind w:left="4320"/>
      </w:pPr>
    </w:p>
    <w:p w:rsidR="00156702" w:rsidRPr="00156702" w:rsidRDefault="00156702" w:rsidP="00156702">
      <w:pPr>
        <w:ind w:left="4320"/>
        <w:jc w:val="both"/>
        <w:rPr>
          <w:rFonts w:ascii="Times New Roman" w:hAnsi="Times New Roman"/>
        </w:rPr>
      </w:pPr>
      <w:r>
        <w:rPr>
          <w:rFonts w:ascii="Times New Roman" w:hAnsi="Times New Roman"/>
        </w:rPr>
        <w:t>Jordan White</w:t>
      </w:r>
    </w:p>
    <w:p w:rsidR="00156702" w:rsidRPr="00156702" w:rsidRDefault="00156702" w:rsidP="00156702">
      <w:pPr>
        <w:ind w:left="4320"/>
        <w:jc w:val="both"/>
        <w:rPr>
          <w:rFonts w:ascii="Times New Roman" w:hAnsi="Times New Roman"/>
        </w:rPr>
      </w:pPr>
      <w:r>
        <w:rPr>
          <w:rFonts w:ascii="Times New Roman" w:hAnsi="Times New Roman"/>
        </w:rPr>
        <w:t>Senior</w:t>
      </w:r>
      <w:r w:rsidRPr="00156702">
        <w:rPr>
          <w:rFonts w:ascii="Times New Roman" w:hAnsi="Times New Roman"/>
        </w:rPr>
        <w:t xml:space="preserve"> Counsel</w:t>
      </w:r>
    </w:p>
    <w:p w:rsidR="00156702" w:rsidRPr="00156702" w:rsidRDefault="00156702" w:rsidP="00156702">
      <w:pPr>
        <w:ind w:left="4320"/>
        <w:jc w:val="both"/>
        <w:rPr>
          <w:rFonts w:ascii="Times New Roman" w:hAnsi="Times New Roman"/>
        </w:rPr>
      </w:pPr>
      <w:r w:rsidRPr="00156702">
        <w:rPr>
          <w:rFonts w:ascii="Times New Roman" w:hAnsi="Times New Roman"/>
        </w:rPr>
        <w:t>PacifiCorp</w:t>
      </w:r>
    </w:p>
    <w:p w:rsidR="00156702" w:rsidRPr="00156702" w:rsidRDefault="00156702" w:rsidP="00156702">
      <w:pPr>
        <w:ind w:left="4320"/>
        <w:jc w:val="both"/>
        <w:rPr>
          <w:rFonts w:ascii="Times New Roman" w:hAnsi="Times New Roman"/>
        </w:rPr>
      </w:pPr>
      <w:r>
        <w:rPr>
          <w:rFonts w:ascii="Times New Roman" w:hAnsi="Times New Roman"/>
        </w:rPr>
        <w:t>1407 W. North Temple, Suite 320</w:t>
      </w:r>
    </w:p>
    <w:p w:rsidR="00156702" w:rsidRPr="00156702" w:rsidRDefault="00156702" w:rsidP="00156702">
      <w:pPr>
        <w:ind w:left="4320"/>
        <w:jc w:val="both"/>
        <w:rPr>
          <w:rFonts w:ascii="Times New Roman" w:hAnsi="Times New Roman"/>
        </w:rPr>
      </w:pPr>
      <w:r>
        <w:rPr>
          <w:rFonts w:ascii="Times New Roman" w:hAnsi="Times New Roman"/>
        </w:rPr>
        <w:t>Salt Lake City, UT  84116</w:t>
      </w:r>
    </w:p>
    <w:p w:rsidR="00156702" w:rsidRPr="00156702" w:rsidRDefault="00156702" w:rsidP="00156702">
      <w:pPr>
        <w:ind w:left="4320"/>
        <w:jc w:val="both"/>
        <w:rPr>
          <w:rFonts w:ascii="Times New Roman" w:hAnsi="Times New Roman"/>
        </w:rPr>
      </w:pPr>
      <w:r w:rsidRPr="00156702">
        <w:rPr>
          <w:rFonts w:ascii="Times New Roman" w:hAnsi="Times New Roman"/>
        </w:rPr>
        <w:t>Telephone: (801) 220-2279</w:t>
      </w:r>
    </w:p>
    <w:p w:rsidR="00156702" w:rsidRPr="00156702" w:rsidRDefault="00156702" w:rsidP="00156702">
      <w:pPr>
        <w:ind w:left="4320"/>
        <w:jc w:val="both"/>
        <w:rPr>
          <w:rFonts w:ascii="Times New Roman" w:hAnsi="Times New Roman"/>
        </w:rPr>
      </w:pPr>
      <w:r w:rsidRPr="00156702">
        <w:rPr>
          <w:rFonts w:ascii="Times New Roman" w:hAnsi="Times New Roman"/>
        </w:rPr>
        <w:t xml:space="preserve">Facsimile: </w:t>
      </w:r>
      <w:r w:rsidR="005B7E42" w:rsidRPr="005B7E42">
        <w:rPr>
          <w:rFonts w:ascii="Times New Roman" w:hAnsi="Times New Roman"/>
        </w:rPr>
        <w:t>(503) 813-7252</w:t>
      </w:r>
    </w:p>
    <w:p w:rsidR="00156702" w:rsidRPr="00156702" w:rsidRDefault="00156702" w:rsidP="00156702">
      <w:pPr>
        <w:ind w:left="4320"/>
        <w:jc w:val="both"/>
        <w:rPr>
          <w:rFonts w:ascii="Times New Roman" w:hAnsi="Times New Roman"/>
        </w:rPr>
      </w:pPr>
      <w:r w:rsidRPr="00156702">
        <w:rPr>
          <w:rFonts w:ascii="Times New Roman" w:hAnsi="Times New Roman"/>
        </w:rPr>
        <w:t xml:space="preserve">Email: </w:t>
      </w:r>
      <w:hyperlink r:id="rId10" w:history="1">
        <w:r w:rsidRPr="006D3EC6">
          <w:rPr>
            <w:rStyle w:val="Hyperlink"/>
            <w:rFonts w:ascii="Times New Roman" w:hAnsi="Times New Roman"/>
          </w:rPr>
          <w:t>jordan.white@pacificorp.com</w:t>
        </w:r>
      </w:hyperlink>
    </w:p>
    <w:p w:rsidR="00156702" w:rsidRDefault="00156702" w:rsidP="00156702">
      <w:pPr>
        <w:pStyle w:val="ListParagraph"/>
        <w:widowControl w:val="0"/>
        <w:tabs>
          <w:tab w:val="left" w:pos="720"/>
        </w:tabs>
        <w:spacing w:line="480" w:lineRule="auto"/>
        <w:ind w:left="4320"/>
      </w:pPr>
    </w:p>
    <w:sectPr w:rsidR="00156702" w:rsidSect="00235F1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E08" w:rsidRDefault="00A26E08" w:rsidP="00235F14">
      <w:r>
        <w:separator/>
      </w:r>
    </w:p>
  </w:endnote>
  <w:endnote w:type="continuationSeparator" w:id="0">
    <w:p w:rsidR="00A26E08" w:rsidRDefault="00A26E08" w:rsidP="0023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08" w:rsidRDefault="00A26E08">
    <w:pPr>
      <w:pStyle w:val="Footer"/>
      <w:jc w:val="center"/>
    </w:pPr>
  </w:p>
  <w:p w:rsidR="00A26E08" w:rsidRDefault="00A26E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365"/>
      <w:docPartObj>
        <w:docPartGallery w:val="Page Numbers (Bottom of Page)"/>
        <w:docPartUnique/>
      </w:docPartObj>
    </w:sdtPr>
    <w:sdtContent>
      <w:p w:rsidR="00A26E08" w:rsidRDefault="00FC60A1">
        <w:pPr>
          <w:pStyle w:val="Footer"/>
          <w:jc w:val="center"/>
        </w:pPr>
        <w:fldSimple w:instr=" PAGE   \* MERGEFORMAT ">
          <w:r w:rsidR="005B06D3">
            <w:rPr>
              <w:noProof/>
            </w:rPr>
            <w:t>vii</w:t>
          </w:r>
        </w:fldSimple>
      </w:p>
    </w:sdtContent>
  </w:sdt>
  <w:p w:rsidR="00A26E08" w:rsidRDefault="00A26E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072"/>
      <w:docPartObj>
        <w:docPartGallery w:val="Page Numbers (Bottom of Page)"/>
        <w:docPartUnique/>
      </w:docPartObj>
    </w:sdtPr>
    <w:sdtContent>
      <w:p w:rsidR="00A26E08" w:rsidRDefault="00FC60A1">
        <w:pPr>
          <w:pStyle w:val="Footer"/>
          <w:jc w:val="center"/>
        </w:pPr>
        <w:fldSimple w:instr=" PAGE   \* MERGEFORMAT ">
          <w:r w:rsidR="005B06D3">
            <w:rPr>
              <w:noProof/>
            </w:rPr>
            <w:t>61</w:t>
          </w:r>
        </w:fldSimple>
      </w:p>
    </w:sdtContent>
  </w:sdt>
  <w:p w:rsidR="00A26E08" w:rsidRDefault="00A26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E08" w:rsidRDefault="00A26E08" w:rsidP="00235F14">
      <w:r>
        <w:separator/>
      </w:r>
    </w:p>
  </w:footnote>
  <w:footnote w:type="continuationSeparator" w:id="0">
    <w:p w:rsidR="00A26E08" w:rsidRDefault="00A26E08" w:rsidP="00235F14">
      <w:r>
        <w:continuationSeparator/>
      </w:r>
    </w:p>
  </w:footnote>
  <w:footnote w:id="1">
    <w:p w:rsidR="00A26E08" w:rsidRDefault="00A26E08">
      <w:pPr>
        <w:pStyle w:val="FootnoteText"/>
      </w:pPr>
      <w:r>
        <w:rPr>
          <w:rStyle w:val="FootnoteReference"/>
        </w:rPr>
        <w:footnoteRef/>
      </w:r>
      <w:r>
        <w:t xml:space="preserve"> This increase is net of the approximate impact of the net power cost reductions reflected in Bench Request 3.</w:t>
      </w:r>
    </w:p>
  </w:footnote>
  <w:footnote w:id="2">
    <w:p w:rsidR="00A26E08" w:rsidRDefault="00A26E08" w:rsidP="002E098B">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RBD-4T 1:12-13; </w:t>
      </w:r>
      <w:r w:rsidRPr="00C722E4">
        <w:rPr>
          <w:i/>
        </w:rPr>
        <w:t xml:space="preserve">Wash. </w:t>
      </w:r>
      <w:proofErr w:type="spellStart"/>
      <w:r w:rsidRPr="00C722E4">
        <w:rPr>
          <w:i/>
        </w:rPr>
        <w:t>Utils</w:t>
      </w:r>
      <w:proofErr w:type="spellEnd"/>
      <w:r w:rsidRPr="00C722E4">
        <w:rPr>
          <w:i/>
        </w:rPr>
        <w:t xml:space="preserve">. &amp; Transp. </w:t>
      </w:r>
      <w:proofErr w:type="spellStart"/>
      <w:r w:rsidRPr="00C722E4">
        <w:rPr>
          <w:i/>
        </w:rPr>
        <w:t>Comm’n</w:t>
      </w:r>
      <w:proofErr w:type="spellEnd"/>
      <w:r w:rsidRPr="00C722E4">
        <w:rPr>
          <w:i/>
        </w:rPr>
        <w:t xml:space="preserve"> v. PacifiCorp</w:t>
      </w:r>
      <w:r>
        <w:t>,</w:t>
      </w:r>
      <w:r w:rsidRPr="00C722E4">
        <w:rPr>
          <w:i/>
        </w:rPr>
        <w:t xml:space="preserve"> </w:t>
      </w:r>
      <w:r>
        <w:t xml:space="preserve">Order 1 </w:t>
      </w:r>
      <w:r w:rsidRPr="00C722E4">
        <w:rPr>
          <w:rFonts w:cs="Times"/>
        </w:rPr>
        <w:t>¶</w:t>
      </w:r>
      <w:r>
        <w:t xml:space="preserve"> 11, Docket UE 100749 (May 12, 2010)</w:t>
      </w:r>
      <w:r w:rsidR="00FC60A1">
        <w:fldChar w:fldCharType="begin"/>
      </w:r>
      <w:r>
        <w:instrText xml:space="preserve"> TA \l "</w:instrText>
      </w:r>
      <w:r w:rsidRPr="00F16611">
        <w:rPr>
          <w:i/>
        </w:rPr>
        <w:instrText>Wash. Utils. &amp; Transp. Comm’n v. PacifiCorp</w:instrText>
      </w:r>
      <w:r w:rsidRPr="00F16611">
        <w:instrText>,</w:instrText>
      </w:r>
      <w:r w:rsidRPr="00F16611">
        <w:rPr>
          <w:i/>
        </w:rPr>
        <w:instrText xml:space="preserve"> </w:instrText>
      </w:r>
      <w:r w:rsidRPr="00F16611">
        <w:instrText>Order 1, Docket UE 100749 (May 12, 2010)</w:instrText>
      </w:r>
      <w:r>
        <w:instrText xml:space="preserve">" \s "Order 1, Docket UE 100749" \c 8 </w:instrText>
      </w:r>
      <w:r w:rsidR="00FC60A1">
        <w:fldChar w:fldCharType="end"/>
      </w:r>
      <w:r>
        <w:t xml:space="preserve">.  </w:t>
      </w:r>
    </w:p>
  </w:footnote>
  <w:footnote w:id="3">
    <w:p w:rsidR="00A26E08" w:rsidRDefault="00A26E08" w:rsidP="002E098B">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RBD-4T 1:13-14.  </w:t>
      </w:r>
    </w:p>
  </w:footnote>
  <w:footnote w:id="4">
    <w:p w:rsidR="00A26E08" w:rsidRDefault="00A26E08">
      <w:pPr>
        <w:pStyle w:val="FootnoteText"/>
      </w:pPr>
      <w:r>
        <w:rPr>
          <w:rStyle w:val="FootnoteReference"/>
        </w:rPr>
        <w:footnoteRef/>
      </w:r>
      <w:r>
        <w:t xml:space="preserve"> Bench Request, </w:t>
      </w:r>
      <w:proofErr w:type="spellStart"/>
      <w:r>
        <w:t>Exh</w:t>
      </w:r>
      <w:proofErr w:type="spellEnd"/>
      <w:r>
        <w:t xml:space="preserve">. </w:t>
      </w:r>
      <w:proofErr w:type="gramStart"/>
      <w:r>
        <w:t>No. 16C.</w:t>
      </w:r>
      <w:proofErr w:type="gramEnd"/>
    </w:p>
  </w:footnote>
  <w:footnote w:id="5">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No. RPR-1T 3:11-14.</w:t>
      </w:r>
    </w:p>
  </w:footnote>
  <w:footnote w:id="6">
    <w:p w:rsidR="00A26E08" w:rsidRPr="00C90245"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No. RPR-1T 3:17-20.</w:t>
      </w:r>
    </w:p>
  </w:footnote>
  <w:footnote w:id="7">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No. RPR-1T 4:3-5.</w:t>
      </w:r>
    </w:p>
  </w:footnote>
  <w:footnote w:id="8">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No. RPR-1T 4:14.</w:t>
      </w:r>
    </w:p>
  </w:footnote>
  <w:footnote w:id="9">
    <w:p w:rsidR="00A26E08" w:rsidRDefault="00A26E08">
      <w:pPr>
        <w:pStyle w:val="FootnoteText"/>
      </w:pPr>
      <w:r>
        <w:rPr>
          <w:rStyle w:val="FootnoteReference"/>
        </w:rPr>
        <w:footnoteRef/>
      </w:r>
      <w:r>
        <w:t xml:space="preserve"> As such, no pro forma adjustment to the costs in this case has been made.  </w:t>
      </w:r>
      <w:proofErr w:type="spellStart"/>
      <w:r>
        <w:t>Dalley</w:t>
      </w:r>
      <w:proofErr w:type="spellEnd"/>
      <w:r>
        <w:t>, TR. 374:9-375:16.</w:t>
      </w:r>
    </w:p>
  </w:footnote>
  <w:footnote w:id="10">
    <w:p w:rsidR="00A26E08" w:rsidRDefault="00A26E08" w:rsidP="002E098B">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No. RBD-6 2.2:68.</w:t>
      </w:r>
    </w:p>
  </w:footnote>
  <w:footnote w:id="11">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xml:space="preserve">. No. </w:t>
      </w:r>
      <w:proofErr w:type="gramStart"/>
      <w:r>
        <w:t>RPR-1T 9-11 (as adjusted for rebuttal filing and Bench Request 3).</w:t>
      </w:r>
      <w:proofErr w:type="gramEnd"/>
    </w:p>
  </w:footnote>
  <w:footnote w:id="12">
    <w:p w:rsidR="00A26E08" w:rsidRDefault="00A26E08" w:rsidP="002E098B">
      <w:pPr>
        <w:pStyle w:val="FootnoteText"/>
      </w:pPr>
      <w:r>
        <w:rPr>
          <w:rStyle w:val="FootnoteReference"/>
        </w:rPr>
        <w:footnoteRef/>
      </w:r>
      <w:r>
        <w:t xml:space="preserve"> Griffith, </w:t>
      </w:r>
      <w:proofErr w:type="spellStart"/>
      <w:r>
        <w:t>Exh</w:t>
      </w:r>
      <w:proofErr w:type="spellEnd"/>
      <w:r>
        <w:t xml:space="preserve">. No. </w:t>
      </w:r>
      <w:proofErr w:type="gramStart"/>
      <w:r>
        <w:t>WRG-18 1.</w:t>
      </w:r>
      <w:proofErr w:type="gramEnd"/>
    </w:p>
  </w:footnote>
  <w:footnote w:id="13">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No. RPR-1T 5:3-12.</w:t>
      </w:r>
    </w:p>
  </w:footnote>
  <w:footnote w:id="14">
    <w:p w:rsidR="00A26E08" w:rsidRDefault="00A26E08" w:rsidP="002E098B">
      <w:pPr>
        <w:pStyle w:val="FootnoteText"/>
      </w:pPr>
      <w:r>
        <w:rPr>
          <w:rStyle w:val="FootnoteReference"/>
        </w:rPr>
        <w:footnoteRef/>
      </w:r>
      <w:r>
        <w:t xml:space="preserve"> Wilson, </w:t>
      </w:r>
      <w:proofErr w:type="spellStart"/>
      <w:r>
        <w:t>Exh</w:t>
      </w:r>
      <w:proofErr w:type="spellEnd"/>
      <w:r>
        <w:t>. No. EDW-3T 15:16-22.</w:t>
      </w:r>
    </w:p>
  </w:footnote>
  <w:footnote w:id="15">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xml:space="preserve">. No. RPR-1T 5:13-17; </w:t>
      </w:r>
      <w:proofErr w:type="spellStart"/>
      <w:r>
        <w:t>Dalley</w:t>
      </w:r>
      <w:proofErr w:type="spellEnd"/>
      <w:r>
        <w:t xml:space="preserve">, </w:t>
      </w:r>
      <w:proofErr w:type="spellStart"/>
      <w:r>
        <w:t>Exh</w:t>
      </w:r>
      <w:proofErr w:type="spellEnd"/>
      <w:r>
        <w:t>. No. RBD-1T 3:21-23.</w:t>
      </w:r>
    </w:p>
  </w:footnote>
  <w:footnote w:id="16">
    <w:p w:rsidR="00A26E08" w:rsidRDefault="00A26E08">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xml:space="preserve">. No. RPR-1T 6:4-5; </w:t>
      </w:r>
      <w:proofErr w:type="spellStart"/>
      <w:r>
        <w:t>Dalley</w:t>
      </w:r>
      <w:proofErr w:type="spellEnd"/>
      <w:r>
        <w:t xml:space="preserve">, </w:t>
      </w:r>
      <w:proofErr w:type="spellStart"/>
      <w:r>
        <w:t>Exh</w:t>
      </w:r>
      <w:proofErr w:type="spellEnd"/>
      <w:r>
        <w:t>. No. RBD-1T 4:20-21.</w:t>
      </w:r>
    </w:p>
  </w:footnote>
  <w:footnote w:id="17">
    <w:p w:rsidR="00A26E08" w:rsidRDefault="00A26E08">
      <w:pPr>
        <w:pStyle w:val="FootnoteText"/>
      </w:pPr>
      <w:r>
        <w:rPr>
          <w:rStyle w:val="FootnoteReference"/>
        </w:rPr>
        <w:footnoteRef/>
      </w:r>
      <w:r>
        <w:t xml:space="preserve"> No party has challenged the capital investments included in this filing.  </w:t>
      </w:r>
    </w:p>
  </w:footnote>
  <w:footnote w:id="18">
    <w:p w:rsidR="00A26E08" w:rsidRDefault="00A26E08" w:rsidP="002E098B">
      <w:pPr>
        <w:pStyle w:val="FootnoteText"/>
      </w:pPr>
      <w:r>
        <w:rPr>
          <w:rStyle w:val="FootnoteReference"/>
        </w:rPr>
        <w:footnoteRef/>
      </w:r>
      <w:r>
        <w:t xml:space="preserve"> </w:t>
      </w:r>
      <w:proofErr w:type="spellStart"/>
      <w:r>
        <w:t>Reiten</w:t>
      </w:r>
      <w:proofErr w:type="spellEnd"/>
      <w:r>
        <w:t xml:space="preserve">, </w:t>
      </w:r>
      <w:proofErr w:type="spellStart"/>
      <w:r>
        <w:t>Exh</w:t>
      </w:r>
      <w:proofErr w:type="spellEnd"/>
      <w:r>
        <w:t>. No. RPR-1T 6:5-8.</w:t>
      </w:r>
    </w:p>
  </w:footnote>
  <w:footnote w:id="19">
    <w:p w:rsidR="00A26E08" w:rsidRDefault="00A26E08" w:rsidP="002E098B">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w:t>
      </w:r>
      <w:proofErr w:type="gramStart"/>
      <w:r>
        <w:t xml:space="preserve">RBD-6T 1.0; </w:t>
      </w:r>
      <w:proofErr w:type="spellStart"/>
      <w:r>
        <w:t>Reiten</w:t>
      </w:r>
      <w:proofErr w:type="spellEnd"/>
      <w:r>
        <w:t xml:space="preserve">, </w:t>
      </w:r>
      <w:proofErr w:type="spellStart"/>
      <w:r>
        <w:t>Exh</w:t>
      </w:r>
      <w:proofErr w:type="spellEnd"/>
      <w:r>
        <w:t>.</w:t>
      </w:r>
      <w:proofErr w:type="gramEnd"/>
      <w:r>
        <w:t xml:space="preserve"> No. RPR-2T 2:7-9.</w:t>
      </w:r>
    </w:p>
  </w:footnote>
  <w:footnote w:id="20">
    <w:p w:rsidR="00A26E08" w:rsidRDefault="00A26E08" w:rsidP="002E098B">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xml:space="preserve">. </w:t>
      </w:r>
      <w:proofErr w:type="gramStart"/>
      <w:r>
        <w:t xml:space="preserve">MDF-8 (implied ROE of 4.22%); </w:t>
      </w:r>
      <w:proofErr w:type="spellStart"/>
      <w:r>
        <w:t>Foisy</w:t>
      </w:r>
      <w:proofErr w:type="spellEnd"/>
      <w:r>
        <w:t xml:space="preserve">, </w:t>
      </w:r>
      <w:proofErr w:type="spellStart"/>
      <w:r>
        <w:t>Exh</w:t>
      </w:r>
      <w:proofErr w:type="spellEnd"/>
      <w:r>
        <w:t>.</w:t>
      </w:r>
      <w:proofErr w:type="gramEnd"/>
      <w:r>
        <w:t xml:space="preserve"> MDF-2 1 (rate of return of 5.04%)</w:t>
      </w:r>
      <w:proofErr w:type="gramStart"/>
      <w:r>
        <w:t>..</w:t>
      </w:r>
      <w:proofErr w:type="gramEnd"/>
    </w:p>
  </w:footnote>
  <w:footnote w:id="21">
    <w:p w:rsidR="00A26E08" w:rsidRDefault="00A26E08" w:rsidP="002E098B">
      <w:pPr>
        <w:pStyle w:val="FootnoteText"/>
      </w:pPr>
      <w:r>
        <w:rPr>
          <w:rStyle w:val="FootnoteReference"/>
        </w:rPr>
        <w:footnoteRef/>
      </w:r>
      <w:r>
        <w:t xml:space="preserve"> </w:t>
      </w:r>
      <w:proofErr w:type="gramStart"/>
      <w:r>
        <w:t>RCW 80.28.020</w:t>
      </w:r>
      <w:r w:rsidR="00FC60A1">
        <w:fldChar w:fldCharType="begin"/>
      </w:r>
      <w:r>
        <w:instrText xml:space="preserve"> TA \l "</w:instrText>
      </w:r>
      <w:r w:rsidRPr="00F16611">
        <w:instrText>RCW 80.28.020</w:instrText>
      </w:r>
      <w:r>
        <w:instrText xml:space="preserve">" \s "RCW 80.28.020" \c 2 </w:instrText>
      </w:r>
      <w:r w:rsidR="00FC60A1">
        <w:fldChar w:fldCharType="end"/>
      </w:r>
      <w:r>
        <w:t>.</w:t>
      </w:r>
      <w:proofErr w:type="gramEnd"/>
    </w:p>
  </w:footnote>
  <w:footnote w:id="22">
    <w:p w:rsidR="00A26E08" w:rsidRDefault="00A26E08" w:rsidP="002E098B">
      <w:pPr>
        <w:pStyle w:val="FootnoteText"/>
      </w:pPr>
      <w:r>
        <w:rPr>
          <w:rStyle w:val="FootnoteReference"/>
        </w:rPr>
        <w:footnoteRef/>
      </w:r>
      <w:r>
        <w:t xml:space="preserve"> </w:t>
      </w:r>
      <w:proofErr w:type="gramStart"/>
      <w:r>
        <w:t>RCW 80.28.010</w:t>
      </w:r>
      <w:r w:rsidR="00FC60A1">
        <w:fldChar w:fldCharType="begin"/>
      </w:r>
      <w:r>
        <w:instrText xml:space="preserve"> TA \l "</w:instrText>
      </w:r>
      <w:r w:rsidRPr="00F16611">
        <w:instrText>RCW 80.28.010</w:instrText>
      </w:r>
      <w:r>
        <w:instrText xml:space="preserve">" \s "RCW 80.28.010" \c 2 </w:instrText>
      </w:r>
      <w:r w:rsidR="00FC60A1">
        <w:fldChar w:fldCharType="end"/>
      </w:r>
      <w:r>
        <w:t>.</w:t>
      </w:r>
      <w:proofErr w:type="gramEnd"/>
    </w:p>
  </w:footnote>
  <w:footnote w:id="2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v. </w:t>
      </w:r>
      <w:proofErr w:type="spellStart"/>
      <w:r w:rsidRPr="00C9408D">
        <w:rPr>
          <w:rFonts w:ascii="Times New Roman" w:hAnsi="Times New Roman"/>
          <w:i/>
        </w:rPr>
        <w:t>Avista</w:t>
      </w:r>
      <w:proofErr w:type="spellEnd"/>
      <w:r w:rsidRPr="00C9408D">
        <w:rPr>
          <w:rFonts w:ascii="Times New Roman" w:hAnsi="Times New Roman"/>
          <w:i/>
        </w:rPr>
        <w:t xml:space="preserve"> Corp.</w:t>
      </w:r>
      <w:r w:rsidRPr="00C9408D">
        <w:rPr>
          <w:rFonts w:ascii="Times New Roman" w:hAnsi="Times New Roman"/>
        </w:rPr>
        <w:t>, Docket Nos.</w:t>
      </w:r>
      <w:proofErr w:type="gramEnd"/>
      <w:r w:rsidRPr="00C9408D">
        <w:rPr>
          <w:rFonts w:ascii="Times New Roman" w:hAnsi="Times New Roman"/>
        </w:rPr>
        <w:t> </w:t>
      </w:r>
      <w:proofErr w:type="gramStart"/>
      <w:r w:rsidRPr="00C9408D">
        <w:rPr>
          <w:rFonts w:ascii="Times New Roman" w:hAnsi="Times New Roman"/>
        </w:rPr>
        <w:t xml:space="preserve">UE-991606, </w:t>
      </w:r>
      <w:r w:rsidRPr="00C9408D">
        <w:rPr>
          <w:rFonts w:ascii="Times New Roman" w:hAnsi="Times New Roman"/>
          <w:i/>
        </w:rPr>
        <w:t>et al.</w:t>
      </w:r>
      <w:r w:rsidRPr="00C9408D">
        <w:rPr>
          <w:rFonts w:ascii="Times New Roman" w:hAnsi="Times New Roman"/>
        </w:rPr>
        <w:t>, Third Supp. Order at ¶ 324 (2000)</w:t>
      </w:r>
      <w:r w:rsidR="00FC60A1">
        <w:rPr>
          <w:rFonts w:ascii="Times New Roman" w:hAnsi="Times New Roman"/>
        </w:rPr>
        <w:fldChar w:fldCharType="begin"/>
      </w:r>
      <w:r>
        <w:instrText xml:space="preserve"> TA \l "</w:instrText>
      </w:r>
      <w:r w:rsidRPr="00F16611">
        <w:rPr>
          <w:rFonts w:ascii="Times New Roman" w:hAnsi="Times New Roman"/>
          <w:i/>
          <w:iCs/>
        </w:rPr>
        <w:instrText>Wash. Utils. &amp; Transp. Comm'n</w:instrText>
      </w:r>
      <w:r w:rsidRPr="00F16611">
        <w:rPr>
          <w:rFonts w:ascii="Times New Roman" w:hAnsi="Times New Roman"/>
          <w:i/>
        </w:rPr>
        <w:instrText xml:space="preserve"> v. Avista Corp.</w:instrText>
      </w:r>
      <w:r w:rsidRPr="00F16611">
        <w:rPr>
          <w:rFonts w:ascii="Times New Roman" w:hAnsi="Times New Roman"/>
        </w:rPr>
        <w:instrText xml:space="preserve">, Docket Nos. UE-991606, </w:instrText>
      </w:r>
      <w:r w:rsidRPr="00F16611">
        <w:rPr>
          <w:rFonts w:ascii="Times New Roman" w:hAnsi="Times New Roman"/>
          <w:i/>
        </w:rPr>
        <w:instrText>et al.</w:instrText>
      </w:r>
      <w:r w:rsidRPr="00F16611">
        <w:rPr>
          <w:rFonts w:ascii="Times New Roman" w:hAnsi="Times New Roman"/>
        </w:rPr>
        <w:instrText>, Third Supp. Order (2000)</w:instrText>
      </w:r>
      <w:r>
        <w:instrText xml:space="preserve">" \s "Docket Nos. UE-991606, et al., Third Supp. Order" \c 8 </w:instrText>
      </w:r>
      <w:r w:rsidR="00FC60A1">
        <w:rPr>
          <w:rFonts w:ascii="Times New Roman" w:hAnsi="Times New Roman"/>
        </w:rPr>
        <w:fldChar w:fldCharType="end"/>
      </w:r>
      <w:r w:rsidRPr="00C9408D">
        <w:rPr>
          <w:rFonts w:ascii="Times New Roman" w:hAnsi="Times New Roman"/>
        </w:rPr>
        <w:t xml:space="preserv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 Docket UE-050684, Order 04 at ¶ 235 (Apr. 17, 2006)</w:t>
      </w:r>
      <w:r w:rsidR="00FC60A1">
        <w:rPr>
          <w:rFonts w:ascii="Times New Roman" w:hAnsi="Times New Roman"/>
        </w:rPr>
        <w:fldChar w:fldCharType="begin"/>
      </w:r>
      <w:r>
        <w:instrText xml:space="preserve"> TA \l "</w:instrText>
      </w:r>
      <w:r w:rsidRPr="00F16611">
        <w:rPr>
          <w:rFonts w:ascii="Times New Roman" w:hAnsi="Times New Roman"/>
          <w:i/>
          <w:iCs/>
        </w:rPr>
        <w:instrText>Wash. Utils. &amp; Transp. Comm'n</w:instrText>
      </w:r>
      <w:r w:rsidRPr="00F16611">
        <w:rPr>
          <w:rFonts w:ascii="Times New Roman" w:hAnsi="Times New Roman"/>
          <w:i/>
        </w:rPr>
        <w:instrText xml:space="preserve"> v. PacifiCorp</w:instrText>
      </w:r>
      <w:r w:rsidRPr="00F16611">
        <w:rPr>
          <w:rFonts w:ascii="Times New Roman" w:hAnsi="Times New Roman"/>
        </w:rPr>
        <w:instrText>, Docket UE-050684, Order 04 (Apr. 17, 2006)</w:instrText>
      </w:r>
      <w:r>
        <w:instrText xml:space="preserve">" \s "Docket UE-050684, Order 04" \c 8 </w:instrText>
      </w:r>
      <w:r w:rsidR="00FC60A1">
        <w:rPr>
          <w:rFonts w:ascii="Times New Roman" w:hAnsi="Times New Roman"/>
        </w:rPr>
        <w:fldChar w:fldCharType="end"/>
      </w:r>
      <w:r w:rsidRPr="00C9408D">
        <w:rPr>
          <w:rFonts w:ascii="Times New Roman" w:hAnsi="Times New Roman"/>
        </w:rPr>
        <w:t>.</w:t>
      </w:r>
    </w:p>
  </w:footnote>
  <w:footnote w:id="2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 xml:space="preserve">See </w:t>
      </w:r>
      <w:r w:rsidR="00FC60A1">
        <w:rPr>
          <w:rFonts w:ascii="Times New Roman" w:hAnsi="Times New Roman"/>
          <w:i/>
        </w:rPr>
        <w:fldChar w:fldCharType="begin"/>
      </w:r>
      <w:r>
        <w:instrText xml:space="preserve"> TA \l "</w:instrText>
      </w:r>
      <w:r w:rsidRPr="004F304E">
        <w:rPr>
          <w:rFonts w:ascii="Times New Roman" w:hAnsi="Times New Roman"/>
          <w:i/>
        </w:rPr>
        <w:instrText>Fed. Power Comm'n v. Hope Natural Gas Co.</w:instrText>
      </w:r>
      <w:r w:rsidRPr="004F304E">
        <w:rPr>
          <w:rFonts w:ascii="Times New Roman" w:hAnsi="Times New Roman"/>
        </w:rPr>
        <w:instrText>, 320 U.S. 591 (1944)</w:instrText>
      </w:r>
      <w:r>
        <w:instrText xml:space="preserve">" \s "Hope" \c 1 </w:instrText>
      </w:r>
      <w:r w:rsidR="00FC60A1">
        <w:rPr>
          <w:rFonts w:ascii="Times New Roman" w:hAnsi="Times New Roman"/>
          <w:i/>
        </w:rPr>
        <w:fldChar w:fldCharType="end"/>
      </w:r>
      <w:r w:rsidRPr="00C9408D">
        <w:rPr>
          <w:rFonts w:ascii="Times New Roman" w:hAnsi="Times New Roman"/>
          <w:i/>
        </w:rPr>
        <w:t xml:space="preserve">Fed. </w:t>
      </w:r>
      <w:proofErr w:type="gramStart"/>
      <w:r w:rsidRPr="00C9408D">
        <w:rPr>
          <w:rFonts w:ascii="Times New Roman" w:hAnsi="Times New Roman"/>
          <w:i/>
        </w:rPr>
        <w:t xml:space="preserve">Power </w:t>
      </w:r>
      <w:proofErr w:type="spellStart"/>
      <w:r w:rsidRPr="00C9408D">
        <w:rPr>
          <w:rFonts w:ascii="Times New Roman" w:hAnsi="Times New Roman"/>
          <w:i/>
        </w:rPr>
        <w:t>Comm'n</w:t>
      </w:r>
      <w:proofErr w:type="spellEnd"/>
      <w:r w:rsidRPr="00C9408D">
        <w:rPr>
          <w:rFonts w:ascii="Times New Roman" w:hAnsi="Times New Roman"/>
          <w:i/>
        </w:rPr>
        <w:t> v. Hope Natural Gas Co.</w:t>
      </w:r>
      <w:r w:rsidRPr="00C9408D">
        <w:rPr>
          <w:rFonts w:ascii="Times New Roman" w:hAnsi="Times New Roman"/>
        </w:rPr>
        <w:t>, 320 U.S. 591, 603 (1944</w:t>
      </w:r>
      <w:r>
        <w:rPr>
          <w:rFonts w:ascii="Times New Roman" w:hAnsi="Times New Roman"/>
        </w:rPr>
        <w:t>)</w:t>
      </w:r>
      <w:r w:rsidRPr="00C9408D">
        <w:rPr>
          <w:rFonts w:ascii="Times New Roman" w:hAnsi="Times New Roman"/>
        </w:rPr>
        <w:t>.</w:t>
      </w:r>
      <w:proofErr w:type="gramEnd"/>
      <w:r w:rsidRPr="00C9408D">
        <w:rPr>
          <w:rFonts w:ascii="Times New Roman" w:hAnsi="Times New Roman"/>
        </w:rPr>
        <w:t xml:space="preserve">   </w:t>
      </w:r>
    </w:p>
  </w:footnote>
  <w:footnote w:id="25">
    <w:p w:rsidR="00A26E08" w:rsidRPr="00507099" w:rsidRDefault="00A26E08" w:rsidP="002E098B">
      <w:pPr>
        <w:pStyle w:val="FootnoteText"/>
      </w:pPr>
      <w:r>
        <w:rPr>
          <w:rStyle w:val="FootnoteReference"/>
        </w:rPr>
        <w:footnoteRef/>
      </w:r>
      <w:r>
        <w:t xml:space="preserve"> </w:t>
      </w:r>
      <w:proofErr w:type="gramStart"/>
      <w:r w:rsidRPr="00507099">
        <w:rPr>
          <w:i/>
        </w:rPr>
        <w:t>Wash. ex rel. Puget Sound Power &amp; Light Co. v. Dept. of Pub.</w:t>
      </w:r>
      <w:proofErr w:type="gramEnd"/>
      <w:r w:rsidRPr="00507099">
        <w:rPr>
          <w:i/>
        </w:rPr>
        <w:t xml:space="preserve"> Works </w:t>
      </w:r>
      <w:proofErr w:type="gramStart"/>
      <w:r w:rsidRPr="00507099">
        <w:rPr>
          <w:i/>
        </w:rPr>
        <w:t>of  Wash</w:t>
      </w:r>
      <w:proofErr w:type="gramEnd"/>
      <w:r>
        <w:t>., 179 Wash. 461, 466 (1934)</w:t>
      </w:r>
      <w:r w:rsidR="00FC60A1">
        <w:fldChar w:fldCharType="begin"/>
      </w:r>
      <w:r>
        <w:instrText xml:space="preserve"> TA \l "</w:instrText>
      </w:r>
      <w:r w:rsidRPr="00F16611">
        <w:rPr>
          <w:i/>
        </w:rPr>
        <w:instrText>Wash. ex rel. Puget Sound Power &amp; Light Co. v. Dept. of Pub. Works of  Wash</w:instrText>
      </w:r>
      <w:r w:rsidRPr="00F16611">
        <w:instrText>., 179 Wash. 461 (1934)</w:instrText>
      </w:r>
      <w:r>
        <w:instrText xml:space="preserve">" \s "Puget Sound Power &amp; Light Co" \c 1 </w:instrText>
      </w:r>
      <w:r w:rsidR="00FC60A1">
        <w:fldChar w:fldCharType="end"/>
      </w:r>
      <w:r>
        <w:t>.</w:t>
      </w:r>
    </w:p>
  </w:footnote>
  <w:footnote w:id="26">
    <w:p w:rsidR="00A26E08" w:rsidRDefault="00A26E08" w:rsidP="002E098B">
      <w:pPr>
        <w:pStyle w:val="FootnoteText"/>
      </w:pPr>
      <w:r>
        <w:rPr>
          <w:rStyle w:val="FootnoteReference"/>
        </w:rPr>
        <w:footnoteRef/>
      </w:r>
      <w:r>
        <w:t xml:space="preserve"> </w:t>
      </w:r>
      <w:r>
        <w:rPr>
          <w:i/>
        </w:rPr>
        <w:t xml:space="preserve">People’s Org. for Wash. Energy Res. v. Wash. </w:t>
      </w:r>
      <w:proofErr w:type="spellStart"/>
      <w:r>
        <w:rPr>
          <w:i/>
        </w:rPr>
        <w:t>Utils</w:t>
      </w:r>
      <w:proofErr w:type="spellEnd"/>
      <w:r>
        <w:rPr>
          <w:i/>
        </w:rPr>
        <w:t xml:space="preserve">. </w:t>
      </w:r>
      <w:proofErr w:type="gramStart"/>
      <w:r>
        <w:rPr>
          <w:i/>
        </w:rPr>
        <w:t xml:space="preserve">&amp; Transp. </w:t>
      </w:r>
      <w:proofErr w:type="spellStart"/>
      <w:r>
        <w:rPr>
          <w:i/>
        </w:rPr>
        <w:t>Comm’n</w:t>
      </w:r>
      <w:proofErr w:type="spellEnd"/>
      <w:r>
        <w:t>, 104 Wn</w:t>
      </w:r>
      <w:r w:rsidRPr="00D30F83">
        <w:t>.2d 798</w:t>
      </w:r>
      <w:r>
        <w:t>, 810-11 (1985) (en banc)</w:t>
      </w:r>
      <w:r w:rsidR="00FC60A1">
        <w:fldChar w:fldCharType="begin"/>
      </w:r>
      <w:r>
        <w:instrText xml:space="preserve"> TA \l "</w:instrText>
      </w:r>
      <w:r w:rsidRPr="00F16611">
        <w:rPr>
          <w:i/>
        </w:rPr>
        <w:instrText>People’s Org. for Wash. Energy Res. v. Wash. Utils. &amp; Transp. Comm’n</w:instrText>
      </w:r>
      <w:r w:rsidRPr="00F16611">
        <w:instrText>, 104 Wn.2d 798, (1985) (en banc)</w:instrText>
      </w:r>
      <w:r>
        <w:instrText xml:space="preserve">" \s "People’s Org. for Wash. Energy Res" \c 1 </w:instrText>
      </w:r>
      <w:r w:rsidR="00FC60A1">
        <w:fldChar w:fldCharType="end"/>
      </w:r>
      <w:r>
        <w:t>.</w:t>
      </w:r>
      <w:proofErr w:type="gramEnd"/>
    </w:p>
  </w:footnote>
  <w:footnote w:id="27">
    <w:p w:rsidR="00A26E08" w:rsidRPr="00D30F83" w:rsidRDefault="00A26E08" w:rsidP="002E098B">
      <w:pPr>
        <w:pStyle w:val="FootnoteText"/>
      </w:pPr>
      <w:r>
        <w:rPr>
          <w:rStyle w:val="FootnoteReference"/>
        </w:rPr>
        <w:footnoteRef/>
      </w:r>
      <w:r>
        <w:t xml:space="preserve"> </w:t>
      </w:r>
      <w:proofErr w:type="gramStart"/>
      <w:r>
        <w:rPr>
          <w:i/>
        </w:rPr>
        <w:t xml:space="preserve">Id. </w:t>
      </w:r>
      <w:r>
        <w:t>at 11.</w:t>
      </w:r>
      <w:proofErr w:type="gramEnd"/>
    </w:p>
  </w:footnote>
  <w:footnote w:id="28">
    <w:p w:rsidR="00A26E08" w:rsidRDefault="00A26E08" w:rsidP="002E098B">
      <w:pPr>
        <w:pStyle w:val="FootnoteText"/>
      </w:pPr>
      <w:r>
        <w:rPr>
          <w:rStyle w:val="FootnoteReference"/>
        </w:rPr>
        <w:footnoteRef/>
      </w:r>
      <w:r>
        <w:t xml:space="preserve"> </w:t>
      </w:r>
      <w:proofErr w:type="gramStart"/>
      <w:r w:rsidRPr="00C9408D">
        <w:rPr>
          <w:rFonts w:ascii="Times New Roman" w:hAnsi="Times New Roman"/>
          <w:i/>
        </w:rPr>
        <w:t>Fed.</w:t>
      </w:r>
      <w:proofErr w:type="gramEnd"/>
      <w:r w:rsidRPr="00C9408D">
        <w:rPr>
          <w:rFonts w:ascii="Times New Roman" w:hAnsi="Times New Roman"/>
          <w:i/>
        </w:rPr>
        <w:t xml:space="preserve"> </w:t>
      </w:r>
      <w:proofErr w:type="gramStart"/>
      <w:r w:rsidRPr="00C9408D">
        <w:rPr>
          <w:rFonts w:ascii="Times New Roman" w:hAnsi="Times New Roman"/>
          <w:i/>
        </w:rPr>
        <w:t xml:space="preserve">Power </w:t>
      </w:r>
      <w:proofErr w:type="spellStart"/>
      <w:r w:rsidRPr="00C9408D">
        <w:rPr>
          <w:rFonts w:ascii="Times New Roman" w:hAnsi="Times New Roman"/>
          <w:i/>
        </w:rPr>
        <w:t>Comm'n</w:t>
      </w:r>
      <w:proofErr w:type="spellEnd"/>
      <w:r w:rsidRPr="00C9408D">
        <w:rPr>
          <w:rFonts w:ascii="Times New Roman" w:hAnsi="Times New Roman"/>
          <w:i/>
        </w:rPr>
        <w:t> v. Hope</w:t>
      </w:r>
      <w:r w:rsidR="00FC60A1">
        <w:rPr>
          <w:rFonts w:ascii="Times New Roman" w:hAnsi="Times New Roman"/>
          <w:i/>
        </w:rPr>
        <w:fldChar w:fldCharType="begin"/>
      </w:r>
      <w:r>
        <w:rPr>
          <w:rFonts w:ascii="Times New Roman" w:hAnsi="Times New Roman"/>
          <w:i/>
        </w:rPr>
        <w:instrText xml:space="preserve"> TA \s "Hope" </w:instrText>
      </w:r>
      <w:r w:rsidR="00FC60A1">
        <w:rPr>
          <w:rFonts w:ascii="Times New Roman" w:hAnsi="Times New Roman"/>
          <w:i/>
        </w:rPr>
        <w:fldChar w:fldCharType="end"/>
      </w:r>
      <w:r w:rsidRPr="00C9408D">
        <w:rPr>
          <w:rFonts w:ascii="Times New Roman" w:hAnsi="Times New Roman"/>
          <w:i/>
        </w:rPr>
        <w:t xml:space="preserve"> Natural Gas Co.</w:t>
      </w:r>
      <w:r w:rsidRPr="00C9408D">
        <w:rPr>
          <w:rFonts w:ascii="Times New Roman" w:hAnsi="Times New Roman"/>
        </w:rPr>
        <w:t>, 320 U.S. 591, 603 (1944</w:t>
      </w:r>
      <w:r>
        <w:rPr>
          <w:rFonts w:ascii="Times New Roman" w:hAnsi="Times New Roman"/>
        </w:rPr>
        <w:t xml:space="preserve">); </w:t>
      </w:r>
      <w:r w:rsidRPr="00C9408D">
        <w:rPr>
          <w:rFonts w:ascii="Times New Roman" w:hAnsi="Times New Roman"/>
          <w:i/>
        </w:rPr>
        <w:t>Bluefield Water Works &amp; Improvement Co. v. Pub.</w:t>
      </w:r>
      <w:proofErr w:type="gramEnd"/>
      <w:r w:rsidRPr="00C9408D">
        <w:rPr>
          <w:rFonts w:ascii="Times New Roman" w:hAnsi="Times New Roman"/>
          <w:i/>
        </w:rPr>
        <w:t xml:space="preserve"> </w:t>
      </w:r>
      <w:proofErr w:type="gramStart"/>
      <w:r w:rsidRPr="00C9408D">
        <w:rPr>
          <w:rFonts w:ascii="Times New Roman" w:hAnsi="Times New Roman"/>
          <w:i/>
        </w:rPr>
        <w:t xml:space="preserve">Serv. </w:t>
      </w:r>
      <w:proofErr w:type="spellStart"/>
      <w:r w:rsidRPr="00C9408D">
        <w:rPr>
          <w:rFonts w:ascii="Times New Roman" w:hAnsi="Times New Roman"/>
          <w:i/>
        </w:rPr>
        <w:t>Comm'n</w:t>
      </w:r>
      <w:proofErr w:type="spellEnd"/>
      <w:r w:rsidRPr="00C9408D">
        <w:rPr>
          <w:rFonts w:ascii="Times New Roman" w:hAnsi="Times New Roman"/>
          <w:i/>
        </w:rPr>
        <w:t xml:space="preserve"> of W. Va</w:t>
      </w:r>
      <w:r w:rsidRPr="00C9408D">
        <w:rPr>
          <w:rFonts w:ascii="Times New Roman" w:hAnsi="Times New Roman"/>
        </w:rPr>
        <w:t>., 262 U.S. 679, 692 (1923)</w:t>
      </w:r>
      <w:r w:rsidR="00FC60A1">
        <w:rPr>
          <w:rFonts w:ascii="Times New Roman" w:hAnsi="Times New Roman"/>
        </w:rPr>
        <w:fldChar w:fldCharType="begin"/>
      </w:r>
      <w:r>
        <w:instrText xml:space="preserve"> TA \l "</w:instrText>
      </w:r>
      <w:r w:rsidRPr="00F16611">
        <w:rPr>
          <w:rFonts w:ascii="Times New Roman" w:hAnsi="Times New Roman"/>
          <w:i/>
        </w:rPr>
        <w:instrText>Bluefield Water Works &amp; Improvement Co. v. Pub. Serv. Comm'n of W. Va</w:instrText>
      </w:r>
      <w:r w:rsidRPr="00F16611">
        <w:rPr>
          <w:rFonts w:ascii="Times New Roman" w:hAnsi="Times New Roman"/>
        </w:rPr>
        <w:instrText>., 262 U.S. 679 (1923)</w:instrText>
      </w:r>
      <w:r>
        <w:instrText xml:space="preserve">" \s "Bluefield Water Works" \c 1 </w:instrText>
      </w:r>
      <w:r w:rsidR="00FC60A1">
        <w:rPr>
          <w:rFonts w:ascii="Times New Roman" w:hAnsi="Times New Roman"/>
        </w:rPr>
        <w:fldChar w:fldCharType="end"/>
      </w:r>
      <w:r>
        <w:rPr>
          <w:rFonts w:ascii="Times New Roman" w:hAnsi="Times New Roman"/>
        </w:rPr>
        <w:t>.</w:t>
      </w:r>
      <w:proofErr w:type="gramEnd"/>
    </w:p>
  </w:footnote>
  <w:footnote w:id="2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See</w:t>
      </w:r>
      <w:r w:rsidRPr="00C9408D">
        <w:rPr>
          <w:rFonts w:ascii="Times New Roman" w:hAnsi="Times New Roman"/>
          <w:i/>
          <w:iCs/>
        </w:rPr>
        <w:t xml:space="preserve"> 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 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3 (Apr. 17, 2006).  </w:t>
      </w:r>
    </w:p>
  </w:footnote>
  <w:footnote w:id="3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UE-060266, Order 08 at ¶¶ 84-86 (Jan. 5, 2007)</w:t>
      </w:r>
      <w:r w:rsidR="00FC60A1">
        <w:rPr>
          <w:rFonts w:ascii="Times New Roman" w:hAnsi="Times New Roman"/>
        </w:rPr>
        <w:fldChar w:fldCharType="begin"/>
      </w:r>
      <w:r>
        <w:instrText xml:space="preserve"> TA \l "</w:instrText>
      </w:r>
      <w:r w:rsidRPr="00F16611">
        <w:rPr>
          <w:rFonts w:ascii="Times New Roman" w:hAnsi="Times New Roman"/>
          <w:i/>
          <w:iCs/>
        </w:rPr>
        <w:instrText>Wash. Utils. &amp; Transp. Comm'n</w:instrText>
      </w:r>
      <w:r w:rsidRPr="00F16611">
        <w:rPr>
          <w:rFonts w:ascii="Times New Roman" w:hAnsi="Times New Roman"/>
          <w:i/>
        </w:rPr>
        <w:instrText xml:space="preserve"> v. Puget Sound Energy</w:instrText>
      </w:r>
      <w:r w:rsidRPr="00F16611">
        <w:rPr>
          <w:rFonts w:ascii="Times New Roman" w:hAnsi="Times New Roman"/>
        </w:rPr>
        <w:instrText>, Docket UE-060266, Order 08 (Jan. 5, 2007)</w:instrText>
      </w:r>
      <w:r>
        <w:instrText xml:space="preserve">" \s "Docket UE-060266, Order 08" \c 8 </w:instrText>
      </w:r>
      <w:r w:rsidR="00FC60A1">
        <w:rPr>
          <w:rFonts w:ascii="Times New Roman" w:hAnsi="Times New Roman"/>
        </w:rPr>
        <w:fldChar w:fldCharType="end"/>
      </w:r>
      <w:r w:rsidRPr="00C9408D">
        <w:rPr>
          <w:rFonts w:ascii="Times New Roman" w:hAnsi="Times New Roman"/>
        </w:rPr>
        <w:t xml:space="preserve">.  </w:t>
      </w:r>
    </w:p>
  </w:footnote>
  <w:footnote w:id="31">
    <w:p w:rsidR="00A26E08" w:rsidRDefault="00A26E08" w:rsidP="008D07B7">
      <w:pPr>
        <w:pStyle w:val="FootnoteText"/>
        <w:tabs>
          <w:tab w:val="left" w:pos="2475"/>
        </w:tabs>
      </w:pPr>
      <w:r>
        <w:rPr>
          <w:rStyle w:val="FootnoteReference"/>
        </w:rPr>
        <w:footnoteRef/>
      </w:r>
      <w:r>
        <w:t xml:space="preserve"> Gorman, TR. 440:7-13.</w:t>
      </w:r>
      <w:r>
        <w:tab/>
      </w:r>
    </w:p>
  </w:footnote>
  <w:footnote w:id="3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Elgin,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KLE-3 1.</w:t>
      </w:r>
      <w:proofErr w:type="gramEnd"/>
      <w:r w:rsidRPr="00C9408D">
        <w:rPr>
          <w:rFonts w:ascii="Times New Roman" w:hAnsi="Times New Roman"/>
        </w:rPr>
        <w:t xml:space="preserve">  </w:t>
      </w:r>
    </w:p>
  </w:footnote>
  <w:footnote w:id="3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Gorman, TR. 446:12-20; </w:t>
      </w:r>
      <w:r w:rsidRPr="00C9408D">
        <w:rPr>
          <w:rFonts w:ascii="Times New Roman" w:hAnsi="Times New Roman"/>
        </w:rPr>
        <w:t xml:space="preserve">Gorman,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MPG-24 15</w:t>
      </w:r>
      <w:r>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KLE-1T 7:16-17</w:t>
      </w:r>
      <w:r w:rsidRPr="00C9408D">
        <w:rPr>
          <w:rFonts w:ascii="Times New Roman" w:hAnsi="Times New Roman"/>
        </w:rPr>
        <w:t>.</w:t>
      </w:r>
    </w:p>
  </w:footnote>
  <w:footnote w:id="3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Gorman, TR. 448:11-17; Elgin,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KLE-</w:t>
      </w:r>
      <w:r>
        <w:rPr>
          <w:rFonts w:ascii="Times New Roman" w:hAnsi="Times New Roman"/>
        </w:rPr>
        <w:t>7</w:t>
      </w:r>
      <w:r w:rsidRPr="00C9408D">
        <w:rPr>
          <w:rFonts w:ascii="Times New Roman" w:hAnsi="Times New Roman"/>
        </w:rPr>
        <w:t xml:space="preserve"> 2; </w:t>
      </w:r>
      <w:r>
        <w:rPr>
          <w:rFonts w:ascii="Times New Roman" w:hAnsi="Times New Roman"/>
        </w:rPr>
        <w:t xml:space="preserve">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proofErr w:type="gramStart"/>
      <w:r w:rsidRPr="00C9408D">
        <w:rPr>
          <w:rFonts w:ascii="Times New Roman" w:hAnsi="Times New Roman"/>
        </w:rPr>
        <w:t>MPG-24 13.</w:t>
      </w:r>
      <w:proofErr w:type="gramEnd"/>
      <w:r w:rsidRPr="00C9408D">
        <w:rPr>
          <w:rFonts w:ascii="Times New Roman" w:hAnsi="Times New Roman"/>
        </w:rPr>
        <w:t xml:space="preserve">  </w:t>
      </w:r>
    </w:p>
  </w:footnote>
  <w:footnote w:id="3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 xml:space="preserve">See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 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263 (Apr. 17, 2006) (“such comparative data serve as a useful reference on the reasonableness of results from financial analyses applied to a particular company”).</w:t>
      </w:r>
    </w:p>
  </w:footnote>
  <w:footnote w:id="3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MPG-1T </w:t>
      </w:r>
      <w:r>
        <w:rPr>
          <w:rFonts w:ascii="Times New Roman" w:hAnsi="Times New Roman"/>
        </w:rPr>
        <w:t>7:</w:t>
      </w:r>
      <w:r w:rsidRPr="00C9408D">
        <w:rPr>
          <w:rFonts w:ascii="Times New Roman" w:hAnsi="Times New Roman"/>
        </w:rPr>
        <w:t xml:space="preserve">Fig. 1.  </w:t>
      </w:r>
    </w:p>
  </w:footnote>
  <w:footnote w:id="3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MPG-1T </w:t>
      </w:r>
      <w:r>
        <w:rPr>
          <w:rFonts w:ascii="Times New Roman" w:hAnsi="Times New Roman"/>
        </w:rPr>
        <w:t>7:</w:t>
      </w:r>
      <w:r w:rsidRPr="00C9408D">
        <w:rPr>
          <w:rFonts w:ascii="Times New Roman" w:hAnsi="Times New Roman"/>
        </w:rPr>
        <w:t>Fig. 1.</w:t>
      </w:r>
    </w:p>
  </w:footnote>
  <w:footnote w:id="3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6:22-24</w:t>
      </w:r>
      <w:r>
        <w:rPr>
          <w:rFonts w:ascii="Times New Roman" w:hAnsi="Times New Roman"/>
        </w:rPr>
        <w:t>; 7:Fig. 1</w:t>
      </w:r>
      <w:r w:rsidRPr="00C9408D">
        <w:rPr>
          <w:rFonts w:ascii="Times New Roman" w:hAnsi="Times New Roman"/>
        </w:rPr>
        <w:t xml:space="preserve">.  </w:t>
      </w:r>
    </w:p>
  </w:footnote>
  <w:footnote w:id="3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SCH-1T 29: 1-33.</w:t>
      </w:r>
    </w:p>
  </w:footnote>
  <w:footnote w:id="4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261 (Apr. 17, 2006).  </w:t>
      </w:r>
    </w:p>
  </w:footnote>
  <w:footnote w:id="41">
    <w:p w:rsidR="00A26E08" w:rsidRDefault="00A26E08" w:rsidP="002E098B">
      <w:pPr>
        <w:pStyle w:val="FootnoteText"/>
      </w:pPr>
      <w:r>
        <w:rPr>
          <w:rStyle w:val="FootnoteReference"/>
        </w:rPr>
        <w:footnoteRef/>
      </w:r>
      <w:r>
        <w:t xml:space="preserve"> Gorman, </w:t>
      </w:r>
      <w:proofErr w:type="spellStart"/>
      <w:r>
        <w:t>Exh</w:t>
      </w:r>
      <w:proofErr w:type="spellEnd"/>
      <w:r>
        <w:t>. No. MPG-1T 20:20-23.</w:t>
      </w:r>
    </w:p>
  </w:footnote>
  <w:footnote w:id="4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Pr>
          <w:rFonts w:ascii="Times New Roman" w:hAnsi="Times New Roman"/>
        </w:rPr>
        <w:t xml:space="preserve">Gorman, TR. 448:24-449:12; </w:t>
      </w:r>
      <w:r w:rsidRPr="00C9408D">
        <w:rPr>
          <w:rFonts w:ascii="Times New Roman" w:hAnsi="Times New Roman"/>
        </w:rPr>
        <w:t xml:space="preserve">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MPG-24 7:15-20.  .</w:t>
      </w:r>
    </w:p>
  </w:footnote>
  <w:footnote w:id="4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Gorman, TR. 448:24-449:12.</w:t>
      </w:r>
      <w:r w:rsidRPr="00C9408D">
        <w:rPr>
          <w:rFonts w:ascii="Times New Roman" w:hAnsi="Times New Roman"/>
        </w:rPr>
        <w:t xml:space="preserve">  </w:t>
      </w:r>
    </w:p>
  </w:footnote>
  <w:footnote w:id="4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MPG-1T 19:20-22;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MPG-24</w:t>
      </w:r>
      <w:r>
        <w:rPr>
          <w:rFonts w:ascii="Times New Roman" w:hAnsi="Times New Roman"/>
        </w:rPr>
        <w:t xml:space="preserve"> 6:15-19; Gorman, TR. 472:9-473:4.</w:t>
      </w:r>
      <w:r w:rsidRPr="00C9408D">
        <w:rPr>
          <w:rFonts w:ascii="Times New Roman" w:hAnsi="Times New Roman"/>
        </w:rPr>
        <w:t xml:space="preserve"> </w:t>
      </w:r>
    </w:p>
  </w:footnote>
  <w:footnote w:id="4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MPG-24 6:18-19.  </w:t>
      </w:r>
    </w:p>
  </w:footnote>
  <w:footnote w:id="4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SCH-1T 35:4-7; </w:t>
      </w:r>
      <w:r w:rsidRPr="00C9408D">
        <w:rPr>
          <w:rFonts w:ascii="Times New Roman" w:hAnsi="Times New Roman"/>
          <w:i/>
        </w:rPr>
        <w:t>see also</w:t>
      </w:r>
      <w:r w:rsidRPr="00C9408D">
        <w:rPr>
          <w:rFonts w:ascii="Times New Roman" w:hAnsi="Times New Roman"/>
        </w:rPr>
        <w:t xml:space="preserv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UE-090704, Order 11 at ¶ 299 (Apr. 2, 2010)</w:t>
      </w:r>
      <w:r w:rsidR="00FC60A1">
        <w:rPr>
          <w:rFonts w:ascii="Times New Roman" w:hAnsi="Times New Roman"/>
        </w:rPr>
        <w:fldChar w:fldCharType="begin"/>
      </w:r>
      <w:r>
        <w:instrText xml:space="preserve"> TA \l "</w:instrText>
      </w:r>
      <w:r w:rsidRPr="00F16611">
        <w:rPr>
          <w:rFonts w:ascii="Times New Roman" w:hAnsi="Times New Roman"/>
          <w:i/>
          <w:iCs/>
        </w:rPr>
        <w:instrText>Wash. Utils. &amp; Transp. Comm'n</w:instrText>
      </w:r>
      <w:r w:rsidRPr="00F16611">
        <w:rPr>
          <w:rFonts w:ascii="Times New Roman" w:hAnsi="Times New Roman"/>
          <w:i/>
        </w:rPr>
        <w:instrText xml:space="preserve"> v. Puget Sound Energy</w:instrText>
      </w:r>
      <w:r w:rsidRPr="00F16611">
        <w:rPr>
          <w:rFonts w:ascii="Times New Roman" w:hAnsi="Times New Roman"/>
        </w:rPr>
        <w:instrText>, Docket UE-090704, Order 11 (Apr. 2, 2010)</w:instrText>
      </w:r>
      <w:r>
        <w:instrText xml:space="preserve">" \s "Docket UE-090704, Order 11" \c 8 </w:instrText>
      </w:r>
      <w:r w:rsidR="00FC60A1">
        <w:rPr>
          <w:rFonts w:ascii="Times New Roman" w:hAnsi="Times New Roman"/>
        </w:rPr>
        <w:fldChar w:fldCharType="end"/>
      </w:r>
      <w:r w:rsidRPr="00C9408D">
        <w:rPr>
          <w:rFonts w:ascii="Times New Roman" w:hAnsi="Times New Roman"/>
        </w:rPr>
        <w:t xml:space="preserve"> (growth estimates are unreliable if “obscure and not subject to replication”).  </w:t>
      </w:r>
    </w:p>
  </w:footnote>
  <w:footnote w:id="4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MPG-1T 37 Table 4.</w:t>
      </w:r>
      <w:proofErr w:type="gramEnd"/>
      <w:r w:rsidRPr="00C9408D">
        <w:rPr>
          <w:rFonts w:ascii="Times New Roman" w:hAnsi="Times New Roman"/>
        </w:rPr>
        <w:t xml:space="preserve">  </w:t>
      </w:r>
    </w:p>
  </w:footnote>
  <w:footnote w:id="4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SCH-8T 25:19-21.  </w:t>
      </w:r>
    </w:p>
  </w:footnote>
  <w:footnote w:id="4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SCH-1T 40:1-13;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SCH-7.</w:t>
      </w:r>
      <w:proofErr w:type="gramEnd"/>
      <w:r w:rsidRPr="00C9408D">
        <w:rPr>
          <w:rFonts w:ascii="Times New Roman" w:hAnsi="Times New Roman"/>
        </w:rPr>
        <w:t xml:space="preserve">  </w:t>
      </w:r>
    </w:p>
  </w:footnote>
  <w:footnote w:id="5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C9408D">
        <w:rPr>
          <w:rFonts w:ascii="Times New Roman" w:hAnsi="Times New Roman"/>
        </w:rPr>
        <w:t xml:space="preserve"> at 301 (Apr. 2, 2010).</w:t>
      </w:r>
    </w:p>
  </w:footnote>
  <w:footnote w:id="51">
    <w:p w:rsidR="00A26E08" w:rsidRDefault="00A26E08">
      <w:pPr>
        <w:pStyle w:val="FootnoteText"/>
      </w:pPr>
      <w:r>
        <w:rPr>
          <w:rStyle w:val="FootnoteReference"/>
        </w:rPr>
        <w:footnoteRef/>
      </w:r>
      <w:r>
        <w:t xml:space="preserve"> Elgin, </w:t>
      </w:r>
      <w:proofErr w:type="spellStart"/>
      <w:r>
        <w:t>Exh</w:t>
      </w:r>
      <w:proofErr w:type="spellEnd"/>
      <w:r>
        <w:t>. No. KLE-5 2:18.</w:t>
      </w:r>
    </w:p>
  </w:footnote>
  <w:footnote w:id="5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Elgin, TR. 700:11-21;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SCH-1T </w:t>
      </w:r>
      <w:r>
        <w:rPr>
          <w:rFonts w:ascii="Times New Roman" w:hAnsi="Times New Roman"/>
        </w:rPr>
        <w:t>21</w:t>
      </w:r>
      <w:proofErr w:type="gramStart"/>
      <w:r>
        <w:rPr>
          <w:rFonts w:ascii="Times New Roman" w:hAnsi="Times New Roman"/>
        </w:rPr>
        <w:t>:</w:t>
      </w:r>
      <w:r w:rsidRPr="00C9408D">
        <w:rPr>
          <w:rFonts w:ascii="Times New Roman" w:hAnsi="Times New Roman"/>
        </w:rPr>
        <w:t>Table</w:t>
      </w:r>
      <w:proofErr w:type="gramEnd"/>
      <w:r w:rsidRPr="00C9408D">
        <w:rPr>
          <w:rFonts w:ascii="Times New Roman" w:hAnsi="Times New Roman"/>
        </w:rPr>
        <w:t xml:space="preserve"> 1;</w:t>
      </w:r>
      <w:r>
        <w:rPr>
          <w:rFonts w:ascii="Times New Roman" w:hAnsi="Times New Roman"/>
        </w:rPr>
        <w:t xml:space="preserve"> Elgin,</w:t>
      </w:r>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KLE-3 1.</w:t>
      </w:r>
      <w:proofErr w:type="gramEnd"/>
      <w:r w:rsidRPr="00C9408D">
        <w:rPr>
          <w:rFonts w:ascii="Times New Roman" w:hAnsi="Times New Roman"/>
        </w:rPr>
        <w:t xml:space="preserve">  </w:t>
      </w:r>
    </w:p>
  </w:footnote>
  <w:footnote w:id="5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Elgin, TR. 702:20-23; </w:t>
      </w:r>
      <w:r w:rsidRPr="00C9408D">
        <w:rPr>
          <w:rFonts w:ascii="Times New Roman" w:hAnsi="Times New Roman"/>
        </w:rPr>
        <w:t xml:space="preserve">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KLE-5 13-15.  </w:t>
      </w:r>
    </w:p>
  </w:footnote>
  <w:footnote w:id="5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22:5-7</w:t>
      </w:r>
      <w:r>
        <w:rPr>
          <w:rFonts w:ascii="Times New Roman" w:hAnsi="Times New Roman"/>
        </w:rPr>
        <w:t xml:space="preserve">; </w:t>
      </w:r>
      <w:r w:rsidRPr="00C9408D">
        <w:rPr>
          <w:rFonts w:ascii="Times New Roman" w:hAnsi="Times New Roman"/>
        </w:rPr>
        <w:t xml:space="preserve">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22:18-20.   </w:t>
      </w:r>
    </w:p>
  </w:footnote>
  <w:footnote w:id="5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 xml:space="preserve">SCH-6; 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 xml:space="preserve">MPG-1T 17:4-5.  </w:t>
      </w:r>
    </w:p>
  </w:footnote>
  <w:footnote w:id="5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KLE-6 3:</w:t>
      </w:r>
      <w:r>
        <w:rPr>
          <w:rFonts w:ascii="Times New Roman" w:hAnsi="Times New Roman"/>
        </w:rPr>
        <w:t>6</w:t>
      </w:r>
      <w:r w:rsidRPr="00C9408D">
        <w:rPr>
          <w:rFonts w:ascii="Times New Roman" w:hAnsi="Times New Roman"/>
        </w:rPr>
        <w:t xml:space="preserve">-16.  </w:t>
      </w:r>
    </w:p>
  </w:footnote>
  <w:footnote w:id="5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Elgin, TR. 704:3-7</w:t>
      </w:r>
      <w:proofErr w:type="gramStart"/>
      <w:r>
        <w:rPr>
          <w:rFonts w:ascii="Times New Roman" w:hAnsi="Times New Roman"/>
        </w:rPr>
        <w:t>;s</w:t>
      </w:r>
      <w:r w:rsidRPr="00C9408D">
        <w:rPr>
          <w:rFonts w:ascii="Times New Roman" w:hAnsi="Times New Roman"/>
          <w:i/>
        </w:rPr>
        <w:t>ee</w:t>
      </w:r>
      <w:proofErr w:type="gramEnd"/>
      <w:r w:rsidRPr="00C9408D">
        <w:rPr>
          <w:rFonts w:ascii="Times New Roman" w:hAnsi="Times New Roman"/>
          <w:i/>
        </w:rPr>
        <w:t xml:space="preserve"> e.g.</w:t>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30:15-31:4 (adjusting average dividend growth results down from 6.6% to 4.75%); </w:t>
      </w:r>
      <w:r w:rsidRPr="00C9408D">
        <w:rPr>
          <w:rFonts w:ascii="Times New Roman" w:hAnsi="Times New Roman"/>
          <w:i/>
        </w:rPr>
        <w:t>Id.</w:t>
      </w:r>
      <w:r w:rsidRPr="00C9408D">
        <w:rPr>
          <w:rFonts w:ascii="Times New Roman" w:hAnsi="Times New Roman"/>
        </w:rPr>
        <w:t xml:space="preserve"> 31:17-23 (adjustment average book value growth rate up from 4.41% to 4.50%); </w:t>
      </w:r>
      <w:r w:rsidRPr="00C9408D">
        <w:rPr>
          <w:rFonts w:ascii="Times New Roman" w:hAnsi="Times New Roman"/>
          <w:i/>
        </w:rPr>
        <w:t xml:space="preserve">Id. </w:t>
      </w:r>
      <w:r w:rsidRPr="00C9408D">
        <w:rPr>
          <w:rFonts w:ascii="Times New Roman" w:hAnsi="Times New Roman"/>
        </w:rPr>
        <w:t xml:space="preserve">32-43 (adjusting three of seven companies’ results in “b times r” analysis to obtain 5.00%); </w:t>
      </w:r>
      <w:r w:rsidRPr="00C9408D">
        <w:rPr>
          <w:rFonts w:ascii="Times New Roman" w:hAnsi="Times New Roman"/>
          <w:i/>
        </w:rPr>
        <w:t>Id.</w:t>
      </w:r>
      <w:r w:rsidRPr="00C9408D">
        <w:rPr>
          <w:rFonts w:ascii="Times New Roman" w:hAnsi="Times New Roman"/>
        </w:rPr>
        <w:t xml:space="preserve"> 36:8-12 (rejecting out of hand Value Line’s earnings growth estimates of 7.00% and 8.00% as “too high”); </w:t>
      </w:r>
      <w:r w:rsidRPr="00C9408D">
        <w:rPr>
          <w:rFonts w:ascii="Times New Roman" w:hAnsi="Times New Roman"/>
          <w:i/>
        </w:rPr>
        <w:t>Id.</w:t>
      </w:r>
      <w:r w:rsidRPr="00C9408D">
        <w:rPr>
          <w:rFonts w:ascii="Times New Roman" w:hAnsi="Times New Roman"/>
        </w:rPr>
        <w:t xml:space="preserve"> 37: 9-19 (adjusting </w:t>
      </w:r>
      <w:proofErr w:type="spellStart"/>
      <w:r w:rsidRPr="00C9408D">
        <w:rPr>
          <w:rFonts w:ascii="Times New Roman" w:hAnsi="Times New Roman"/>
        </w:rPr>
        <w:t>Zacks</w:t>
      </w:r>
      <w:proofErr w:type="spellEnd"/>
      <w:r w:rsidRPr="00C9408D">
        <w:rPr>
          <w:rFonts w:ascii="Times New Roman" w:hAnsi="Times New Roman"/>
        </w:rPr>
        <w:t xml:space="preserve"> and Thompson earnings estimates in the 5.6% to 6.0% to 5.50%); </w:t>
      </w:r>
      <w:r w:rsidRPr="00C9408D">
        <w:rPr>
          <w:rFonts w:ascii="Times New Roman" w:hAnsi="Times New Roman"/>
          <w:i/>
        </w:rPr>
        <w:t>Id.</w:t>
      </w:r>
      <w:r w:rsidRPr="00C9408D">
        <w:rPr>
          <w:rFonts w:ascii="Times New Roman" w:hAnsi="Times New Roman"/>
        </w:rPr>
        <w:t xml:space="preserve"> 38:1-10 (without explanation removes 5.50% earnings per share growth rate</w:t>
      </w:r>
      <w:r>
        <w:rPr>
          <w:rFonts w:ascii="Times New Roman" w:hAnsi="Times New Roman"/>
        </w:rPr>
        <w:t xml:space="preserve"> </w:t>
      </w:r>
      <w:r w:rsidRPr="00C9408D">
        <w:rPr>
          <w:rFonts w:ascii="Times New Roman" w:hAnsi="Times New Roman"/>
        </w:rPr>
        <w:t xml:space="preserve">from his analysis).  </w:t>
      </w:r>
    </w:p>
  </w:footnote>
  <w:footnote w:id="5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 xml:space="preserve">See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SCH-8T 13:2-9.  </w:t>
      </w:r>
    </w:p>
  </w:footnote>
  <w:footnote w:id="59">
    <w:p w:rsidR="00A26E08" w:rsidRDefault="00A26E08" w:rsidP="002E098B">
      <w:pPr>
        <w:pStyle w:val="FootnoteText"/>
      </w:pPr>
      <w:r>
        <w:rPr>
          <w:rStyle w:val="FootnoteReference"/>
        </w:rPr>
        <w:footnoteRef/>
      </w:r>
      <w: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UE-090704, Or</w:t>
      </w:r>
      <w:r>
        <w:rPr>
          <w:rFonts w:ascii="Times New Roman" w:hAnsi="Times New Roman"/>
        </w:rPr>
        <w:t>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Pr>
          <w:rFonts w:ascii="Times New Roman" w:hAnsi="Times New Roman"/>
        </w:rPr>
        <w:t xml:space="preserve"> at ¶ 299 (Apr. 2, 2010)</w:t>
      </w:r>
      <w:r w:rsidRPr="00C9408D">
        <w:rPr>
          <w:rFonts w:ascii="Times New Roman" w:hAnsi="Times New Roman"/>
        </w:rPr>
        <w:t>.</w:t>
      </w:r>
    </w:p>
  </w:footnote>
  <w:footnote w:id="60">
    <w:p w:rsidR="00A26E08" w:rsidRDefault="00A26E08" w:rsidP="002E098B">
      <w:pPr>
        <w:pStyle w:val="FootnoteText"/>
      </w:pPr>
      <w:r>
        <w:rPr>
          <w:rStyle w:val="FootnoteReference"/>
        </w:rPr>
        <w:footnoteRef/>
      </w:r>
      <w:r>
        <w:t xml:space="preserve"> Elgin, TR. 734:16-23. </w:t>
      </w:r>
    </w:p>
  </w:footnote>
  <w:footnote w:id="61">
    <w:p w:rsidR="00A26E08" w:rsidRDefault="00A26E08" w:rsidP="002E098B">
      <w:pPr>
        <w:pStyle w:val="FootnoteText"/>
      </w:pPr>
      <w:r>
        <w:rPr>
          <w:rStyle w:val="FootnoteReference"/>
        </w:rPr>
        <w:footnoteRef/>
      </w:r>
      <w:r>
        <w:t xml:space="preserve"> Elgin, TR. 735:8-736:5. </w:t>
      </w:r>
    </w:p>
  </w:footnote>
  <w:footnote w:id="6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w:t>
      </w:r>
      <w:r>
        <w:rPr>
          <w:rFonts w:ascii="Times New Roman" w:hAnsi="Times New Roman"/>
        </w:rPr>
        <w:t>,</w:t>
      </w:r>
      <w:r w:rsidRPr="00C9408D">
        <w:rPr>
          <w:rFonts w:ascii="Times New Roman" w:hAnsi="Times New Roman"/>
        </w:rPr>
        <w:t xml:space="preserve"> Order 04 at ¶ 263 (Apr. 17, 2006)</w:t>
      </w:r>
      <w:r w:rsidR="00FC60A1">
        <w:rPr>
          <w:rFonts w:ascii="Times New Roman" w:hAnsi="Times New Roman"/>
        </w:rPr>
        <w:fldChar w:fldCharType="begin"/>
      </w:r>
      <w: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w:t>
      </w:r>
      <w:proofErr w:type="spellStart"/>
      <w:r w:rsidRPr="00C9408D">
        <w:rPr>
          <w:rFonts w:ascii="Times New Roman" w:hAnsi="Times New Roman"/>
          <w:i/>
        </w:rPr>
        <w:t>Avista</w:t>
      </w:r>
      <w:proofErr w:type="spellEnd"/>
      <w:r w:rsidRPr="00C9408D">
        <w:rPr>
          <w:rFonts w:ascii="Times New Roman" w:hAnsi="Times New Roman"/>
          <w:i/>
        </w:rPr>
        <w:t xml:space="preserve"> 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UE-050482, Order 05 at n. 45 (Dec. 21, 2005)</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Avista Corp.</w:instrText>
      </w:r>
      <w:r w:rsidRPr="00E41C81">
        <w:rPr>
          <w:rFonts w:ascii="Times New Roman" w:hAnsi="Times New Roman"/>
        </w:rPr>
        <w:instrText>,</w:instrText>
      </w:r>
      <w:r w:rsidRPr="00E41C81">
        <w:rPr>
          <w:rFonts w:ascii="Times New Roman" w:hAnsi="Times New Roman"/>
          <w:i/>
        </w:rPr>
        <w:instrText xml:space="preserve"> </w:instrText>
      </w:r>
      <w:r w:rsidRPr="00E41C81">
        <w:rPr>
          <w:rFonts w:ascii="Times New Roman" w:hAnsi="Times New Roman"/>
        </w:rPr>
        <w:instrText>Docket UE-050482, Order 05 (Dec. 21, 2005)</w:instrText>
      </w:r>
      <w:r>
        <w:instrText xml:space="preserve">" \s "Docket UE-050482, Order 05" \c 8 </w:instrText>
      </w:r>
      <w:r w:rsidR="00FC60A1">
        <w:rPr>
          <w:rFonts w:ascii="Times New Roman" w:hAnsi="Times New Roman"/>
        </w:rPr>
        <w:fldChar w:fldCharType="end"/>
      </w:r>
      <w:r w:rsidRPr="00C9408D">
        <w:rPr>
          <w:rFonts w:ascii="Times New Roman" w:hAnsi="Times New Roman"/>
        </w:rPr>
        <w:t xml:space="preserve"> (average of authorized returns in other jurisdictions serves as a “useful check on the reasonableness of any range of cost of equity estimates derived for </w:t>
      </w:r>
      <w:proofErr w:type="spellStart"/>
      <w:r w:rsidRPr="00C9408D">
        <w:rPr>
          <w:rFonts w:ascii="Times New Roman" w:hAnsi="Times New Roman"/>
        </w:rPr>
        <w:t>Avista</w:t>
      </w:r>
      <w:proofErr w:type="spellEnd"/>
      <w:r w:rsidRPr="00C9408D">
        <w:rPr>
          <w:rFonts w:ascii="Times New Roman" w:hAnsi="Times New Roman"/>
        </w:rPr>
        <w:t xml:space="preserve">”).  </w:t>
      </w:r>
    </w:p>
  </w:footnote>
  <w:footnote w:id="6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rPr>
        <w:t>Bluefield Water Works</w:t>
      </w:r>
      <w:r w:rsidR="00FC60A1">
        <w:rPr>
          <w:rFonts w:ascii="Times New Roman" w:hAnsi="Times New Roman"/>
          <w:i/>
        </w:rPr>
        <w:fldChar w:fldCharType="begin"/>
      </w:r>
      <w:r>
        <w:rPr>
          <w:rFonts w:ascii="Times New Roman" w:hAnsi="Times New Roman"/>
          <w:i/>
        </w:rPr>
        <w:instrText xml:space="preserve"> TA \s "Bluefield Water Works" </w:instrText>
      </w:r>
      <w:r w:rsidR="00FC60A1">
        <w:rPr>
          <w:rFonts w:ascii="Times New Roman" w:hAnsi="Times New Roman"/>
          <w:i/>
        </w:rPr>
        <w:fldChar w:fldCharType="end"/>
      </w:r>
      <w:r w:rsidRPr="00C9408D">
        <w:rPr>
          <w:rFonts w:ascii="Times New Roman" w:hAnsi="Times New Roman"/>
          <w:i/>
        </w:rPr>
        <w:t> &amp; Improvement Co. v. Pub.</w:t>
      </w:r>
      <w:proofErr w:type="gramEnd"/>
      <w:r w:rsidRPr="00C9408D">
        <w:rPr>
          <w:rFonts w:ascii="Times New Roman" w:hAnsi="Times New Roman"/>
          <w:i/>
        </w:rPr>
        <w:t xml:space="preserve"> Serv. </w:t>
      </w:r>
      <w:proofErr w:type="spellStart"/>
      <w:r w:rsidRPr="00C9408D">
        <w:rPr>
          <w:rFonts w:ascii="Times New Roman" w:hAnsi="Times New Roman"/>
          <w:i/>
        </w:rPr>
        <w:t>Comm'n</w:t>
      </w:r>
      <w:proofErr w:type="spellEnd"/>
      <w:r w:rsidRPr="00C9408D">
        <w:rPr>
          <w:rFonts w:ascii="Times New Roman" w:hAnsi="Times New Roman"/>
          <w:i/>
        </w:rPr>
        <w:t xml:space="preserve"> of W. Va</w:t>
      </w:r>
      <w:r w:rsidRPr="00C9408D">
        <w:rPr>
          <w:rFonts w:ascii="Times New Roman" w:hAnsi="Times New Roman"/>
        </w:rPr>
        <w:t>., 262 U.S. 679, 692 (1923) (“</w:t>
      </w:r>
      <w:r w:rsidRPr="00C9408D">
        <w:rPr>
          <w:rFonts w:ascii="Times New Roman" w:hAnsi="Times New Roman"/>
          <w:color w:val="000000"/>
        </w:rPr>
        <w:t>A public utility is entitled to . . . earn a return . . . equal to that generally being made at the same time and in the same general part of the country on investments in other business undertakings which are attended by corresponding risks and uncertainties”)</w:t>
      </w:r>
    </w:p>
  </w:footnote>
  <w:footnote w:id="6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w:t>
      </w:r>
      <w:proofErr w:type="spellStart"/>
      <w:r w:rsidRPr="00C9408D">
        <w:rPr>
          <w:rFonts w:ascii="Times New Roman" w:hAnsi="Times New Roman"/>
          <w:i/>
        </w:rPr>
        <w:t>Avista</w:t>
      </w:r>
      <w:proofErr w:type="spellEnd"/>
      <w:r w:rsidRPr="00C9408D">
        <w:rPr>
          <w:rFonts w:ascii="Times New Roman" w:hAnsi="Times New Roman"/>
          <w:i/>
        </w:rPr>
        <w:t xml:space="preserve"> Corp.</w:t>
      </w:r>
      <w:proofErr w:type="gramStart"/>
      <w:r w:rsidRPr="00C9408D">
        <w:rPr>
          <w:rFonts w:ascii="Times New Roman" w:hAnsi="Times New Roman"/>
        </w:rPr>
        <w:t xml:space="preserve">, </w:t>
      </w:r>
      <w:r w:rsidRPr="00C9408D">
        <w:rPr>
          <w:rFonts w:ascii="Times New Roman" w:hAnsi="Times New Roman"/>
          <w:i/>
        </w:rPr>
        <w:t xml:space="preserve"> </w:t>
      </w:r>
      <w:r w:rsidRPr="00C9408D">
        <w:rPr>
          <w:rFonts w:ascii="Times New Roman" w:hAnsi="Times New Roman"/>
        </w:rPr>
        <w:t>Docket</w:t>
      </w:r>
      <w:proofErr w:type="gramEnd"/>
      <w:r w:rsidRPr="00C9408D">
        <w:rPr>
          <w:rFonts w:ascii="Times New Roman" w:hAnsi="Times New Roman"/>
        </w:rPr>
        <w:t xml:space="preserve"> UE-100467, Order 07 at ¶8 (Nov. 19, 2010)</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Avista Corp.</w:instrText>
      </w:r>
      <w:r w:rsidRPr="00E41C81">
        <w:rPr>
          <w:rFonts w:ascii="Times New Roman" w:hAnsi="Times New Roman"/>
        </w:rPr>
        <w:instrText xml:space="preserve">, </w:instrText>
      </w:r>
      <w:r w:rsidRPr="00E41C81">
        <w:rPr>
          <w:rFonts w:ascii="Times New Roman" w:hAnsi="Times New Roman"/>
          <w:i/>
        </w:rPr>
        <w:instrText xml:space="preserve"> </w:instrText>
      </w:r>
      <w:r w:rsidRPr="00E41C81">
        <w:rPr>
          <w:rFonts w:ascii="Times New Roman" w:hAnsi="Times New Roman"/>
        </w:rPr>
        <w:instrText>Docket UE-100467, Order 07 (Nov. 19, 2010)</w:instrText>
      </w:r>
      <w:r>
        <w:instrText xml:space="preserve">" \s "Docket UE-100467, Order 07" \c 8 </w:instrText>
      </w:r>
      <w:r w:rsidR="00FC60A1">
        <w:rPr>
          <w:rFonts w:ascii="Times New Roman" w:hAnsi="Times New Roman"/>
        </w:rPr>
        <w:fldChar w:fldCharType="end"/>
      </w:r>
      <w:r w:rsidRPr="00C9408D">
        <w:rPr>
          <w:rFonts w:ascii="Times New Roman" w:hAnsi="Times New Roman"/>
        </w:rPr>
        <w:t xml:space="preserve">.  </w:t>
      </w:r>
    </w:p>
  </w:footnote>
  <w:footnote w:id="65">
    <w:p w:rsidR="00A26E08" w:rsidRPr="00C9408D" w:rsidRDefault="00A26E08" w:rsidP="00D43B6C">
      <w:pPr>
        <w:pStyle w:val="FootnoteText"/>
        <w:tabs>
          <w:tab w:val="left" w:pos="3570"/>
        </w:tabs>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24</w:t>
      </w:r>
      <w:r>
        <w:rPr>
          <w:rFonts w:ascii="Times New Roman" w:hAnsi="Times New Roman"/>
        </w:rPr>
        <w:t>:</w:t>
      </w:r>
      <w:r w:rsidRPr="00C9408D">
        <w:rPr>
          <w:rFonts w:ascii="Times New Roman" w:hAnsi="Times New Roman"/>
        </w:rPr>
        <w:t xml:space="preserve">12:15.  </w:t>
      </w:r>
      <w:r>
        <w:rPr>
          <w:rFonts w:ascii="Times New Roman" w:hAnsi="Times New Roman"/>
        </w:rPr>
        <w:tab/>
      </w:r>
    </w:p>
  </w:footnote>
  <w:footnote w:id="6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See e.g.</w:t>
      </w:r>
      <w:r w:rsidRPr="00C9408D">
        <w:rPr>
          <w:rFonts w:ascii="Times New Roman" w:hAnsi="Times New Roman"/>
        </w:rPr>
        <w:t xml:space="preserv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263 (Apr. 17, 2006).  </w:t>
      </w:r>
    </w:p>
  </w:footnote>
  <w:footnote w:id="6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Buckley,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APB-1T 16-18.  </w:t>
      </w:r>
    </w:p>
  </w:footnote>
  <w:footnote w:id="6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As the Commission did in Docket UE-050684, this analysis here includes both litigated and settled rate cases.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w:t>
      </w:r>
      <w:proofErr w:type="spellStart"/>
      <w:r w:rsidRPr="00C9408D">
        <w:rPr>
          <w:rFonts w:ascii="Times New Roman" w:hAnsi="Times New Roman"/>
          <w:i/>
        </w:rPr>
        <w:t>Avista</w:t>
      </w:r>
      <w:proofErr w:type="spellEnd"/>
      <w:r w:rsidRPr="00C9408D">
        <w:rPr>
          <w:rFonts w:ascii="Times New Roman" w:hAnsi="Times New Roman"/>
          <w:i/>
        </w:rPr>
        <w:t xml:space="preserve"> 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UE-090134, Order 10, ¶ 24 (Dec. 22, 2009)</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Avista Corp.</w:instrText>
      </w:r>
      <w:r w:rsidRPr="00E41C81">
        <w:rPr>
          <w:rFonts w:ascii="Times New Roman" w:hAnsi="Times New Roman"/>
        </w:rPr>
        <w:instrText>,</w:instrText>
      </w:r>
      <w:r w:rsidRPr="00E41C81">
        <w:rPr>
          <w:rFonts w:ascii="Times New Roman" w:hAnsi="Times New Roman"/>
          <w:i/>
        </w:rPr>
        <w:instrText xml:space="preserve"> </w:instrText>
      </w:r>
      <w:r w:rsidRPr="00E41C81">
        <w:rPr>
          <w:rFonts w:ascii="Times New Roman" w:hAnsi="Times New Roman"/>
        </w:rPr>
        <w:instrText>Docket UE-090134, Order 10 (Dec. 22, 2009)</w:instrText>
      </w:r>
      <w:r>
        <w:instrText xml:space="preserve">" \s "Docket UE-090134, Order 10" \c 8 </w:instrText>
      </w:r>
      <w:r w:rsidR="00FC60A1">
        <w:rPr>
          <w:rFonts w:ascii="Times New Roman" w:hAnsi="Times New Roman"/>
        </w:rPr>
        <w:fldChar w:fldCharType="end"/>
      </w:r>
      <w:r w:rsidRPr="00C9408D">
        <w:rPr>
          <w:rFonts w:ascii="Times New Roman" w:hAnsi="Times New Roman"/>
        </w:rPr>
        <w:t xml:space="preserve"> (10.2%);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 Docket UE-090205 Order 09 at ¶ 23 (Dec. 16, 2009)</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PacifiCorp</w:instrText>
      </w:r>
      <w:r w:rsidRPr="00E41C81">
        <w:rPr>
          <w:rFonts w:ascii="Times New Roman" w:hAnsi="Times New Roman"/>
        </w:rPr>
        <w:instrText>, Docket UE-090205 Order 09 (Dec. 16, 2009)</w:instrText>
      </w:r>
      <w:r>
        <w:instrText xml:space="preserve">" \s "Docket UE-090205 Order 09" \c 8 </w:instrText>
      </w:r>
      <w:r w:rsidR="00FC60A1">
        <w:rPr>
          <w:rFonts w:ascii="Times New Roman" w:hAnsi="Times New Roman"/>
        </w:rPr>
        <w:fldChar w:fldCharType="end"/>
      </w:r>
      <w:r w:rsidRPr="00C9408D">
        <w:rPr>
          <w:rFonts w:ascii="Times New Roman" w:hAnsi="Times New Roman"/>
        </w:rPr>
        <w:t xml:space="preserve"> (10.2%);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w:t>
      </w:r>
      <w:proofErr w:type="spellStart"/>
      <w:r w:rsidRPr="00C9408D">
        <w:rPr>
          <w:rFonts w:ascii="Times New Roman" w:hAnsi="Times New Roman"/>
          <w:i/>
        </w:rPr>
        <w:t>Avista</w:t>
      </w:r>
      <w:proofErr w:type="spellEnd"/>
      <w:r w:rsidRPr="00C9408D">
        <w:rPr>
          <w:rFonts w:ascii="Times New Roman" w:hAnsi="Times New Roman"/>
          <w:i/>
        </w:rPr>
        <w:t xml:space="preserve"> Corp.</w:t>
      </w:r>
      <w:r w:rsidRPr="00C9408D">
        <w:rPr>
          <w:rFonts w:ascii="Times New Roman" w:hAnsi="Times New Roman"/>
        </w:rPr>
        <w:t>, Docket UE-080416, Order 08 ¶ 15 (Dec. 29, 2008)</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Avista Corp.</w:instrText>
      </w:r>
      <w:r w:rsidRPr="00E41C81">
        <w:rPr>
          <w:rFonts w:ascii="Times New Roman" w:hAnsi="Times New Roman"/>
        </w:rPr>
        <w:instrText>, Docket UE-080416, Order 08 (Dec. 29, 2008)</w:instrText>
      </w:r>
      <w:r>
        <w:instrText xml:space="preserve">" \s "Docket UE-080416, Order 08" \c 8 </w:instrText>
      </w:r>
      <w:r w:rsidR="00FC60A1">
        <w:rPr>
          <w:rFonts w:ascii="Times New Roman" w:hAnsi="Times New Roman"/>
        </w:rPr>
        <w:fldChar w:fldCharType="end"/>
      </w:r>
      <w:r w:rsidRPr="00C9408D">
        <w:rPr>
          <w:rFonts w:ascii="Times New Roman" w:hAnsi="Times New Roman"/>
        </w:rPr>
        <w:t xml:space="preserve"> (10.2%);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UE-072300, Order 12 at ¶ 51 (Oct. 8, 2008)</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Puget Sound Energy</w:instrText>
      </w:r>
      <w:r w:rsidRPr="00E41C81">
        <w:rPr>
          <w:rFonts w:ascii="Times New Roman" w:hAnsi="Times New Roman"/>
        </w:rPr>
        <w:instrText>, Docket UE-072300, Order 12  (Oct. 8, 2008)</w:instrText>
      </w:r>
      <w:r>
        <w:instrText xml:space="preserve">" \s "Docket UE-072300, Order 12" \c 8 </w:instrText>
      </w:r>
      <w:r w:rsidR="00FC60A1">
        <w:rPr>
          <w:rFonts w:ascii="Times New Roman" w:hAnsi="Times New Roman"/>
        </w:rPr>
        <w:fldChar w:fldCharType="end"/>
      </w:r>
      <w:r w:rsidRPr="00C9408D">
        <w:rPr>
          <w:rFonts w:ascii="Times New Roman" w:hAnsi="Times New Roman"/>
        </w:rPr>
        <w:t xml:space="preserve"> (10.15%);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UE-060266, Order 08</w:t>
      </w:r>
      <w:r w:rsidR="00FC60A1">
        <w:rPr>
          <w:rFonts w:ascii="Times New Roman" w:hAnsi="Times New Roman"/>
        </w:rPr>
        <w:fldChar w:fldCharType="begin"/>
      </w:r>
      <w:r>
        <w:rPr>
          <w:rFonts w:ascii="Times New Roman" w:hAnsi="Times New Roman"/>
        </w:rPr>
        <w:instrText xml:space="preserve"> TA \s "Docket UE-060266, Order 08" </w:instrText>
      </w:r>
      <w:r w:rsidR="00FC60A1">
        <w:rPr>
          <w:rFonts w:ascii="Times New Roman" w:hAnsi="Times New Roman"/>
        </w:rPr>
        <w:fldChar w:fldCharType="end"/>
      </w:r>
      <w:r w:rsidRPr="00C9408D">
        <w:rPr>
          <w:rFonts w:ascii="Times New Roman" w:hAnsi="Times New Roman"/>
        </w:rPr>
        <w:t xml:space="preserve"> at ¶ 81 (Jan. 5, 2007) (10.4%);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264 (Apr. 17, 2006) (10.2%).  </w:t>
      </w:r>
    </w:p>
  </w:footnote>
  <w:footnote w:id="6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SCH-8T 10 Table 3.</w:t>
      </w:r>
      <w:proofErr w:type="gramEnd"/>
      <w:r w:rsidRPr="00C9408D">
        <w:rPr>
          <w:rFonts w:ascii="Times New Roman" w:hAnsi="Times New Roman"/>
        </w:rPr>
        <w:t xml:space="preserve">  </w:t>
      </w:r>
    </w:p>
  </w:footnote>
  <w:footnote w:id="7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UE-040641, Order 06 at ¶ 80 (Feb. 18, 2005)</w:t>
      </w:r>
      <w:r w:rsidR="00FC60A1">
        <w:rPr>
          <w:rFonts w:ascii="Times New Roman" w:hAnsi="Times New Roman"/>
        </w:rPr>
        <w:fldChar w:fldCharType="begin"/>
      </w:r>
      <w:r>
        <w:instrText xml:space="preserve"> TA \l "</w:instrText>
      </w:r>
      <w:r w:rsidRPr="00E41C81">
        <w:rPr>
          <w:rFonts w:ascii="Times New Roman" w:hAnsi="Times New Roman"/>
          <w:i/>
          <w:iCs/>
        </w:rPr>
        <w:instrText>Wash. Utils. &amp; Transp. Comm'n</w:instrText>
      </w:r>
      <w:r w:rsidRPr="00E41C81">
        <w:rPr>
          <w:rFonts w:ascii="Times New Roman" w:hAnsi="Times New Roman"/>
          <w:i/>
        </w:rPr>
        <w:instrText xml:space="preserve"> v. Puget Sound Energy</w:instrText>
      </w:r>
      <w:r w:rsidRPr="00E41C81">
        <w:rPr>
          <w:rFonts w:ascii="Times New Roman" w:hAnsi="Times New Roman"/>
        </w:rPr>
        <w:instrText>,</w:instrText>
      </w:r>
      <w:r w:rsidRPr="00E41C81">
        <w:rPr>
          <w:rFonts w:ascii="Times New Roman" w:hAnsi="Times New Roman"/>
          <w:i/>
        </w:rPr>
        <w:instrText xml:space="preserve"> </w:instrText>
      </w:r>
      <w:r w:rsidRPr="00E41C81">
        <w:rPr>
          <w:rFonts w:ascii="Times New Roman" w:hAnsi="Times New Roman"/>
        </w:rPr>
        <w:instrText>Docket UE-040641, Order 06 (Feb. 18, 2005)</w:instrText>
      </w:r>
      <w:r>
        <w:instrText xml:space="preserve">" \s "Docket UE-040641, Order 06" \c 8 </w:instrText>
      </w:r>
      <w:r w:rsidR="00FC60A1">
        <w:rPr>
          <w:rFonts w:ascii="Times New Roman" w:hAnsi="Times New Roman"/>
        </w:rPr>
        <w:fldChar w:fldCharType="end"/>
      </w:r>
      <w:r w:rsidRPr="00C9408D">
        <w:rPr>
          <w:rFonts w:ascii="Times New Roman" w:hAnsi="Times New Roman"/>
        </w:rPr>
        <w:t xml:space="preserve"> (equity awards in other jurisdictions serve as a check that is “useful to fulfill the common sense approach”).  </w:t>
      </w:r>
    </w:p>
  </w:footnote>
  <w:footnote w:id="71">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See</w:t>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 xml:space="preserve">KLE-1T 55-56; 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 xml:space="preserve">MPG-1T 44-46.  </w:t>
      </w:r>
    </w:p>
  </w:footnote>
  <w:footnote w:id="7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55:</w:t>
      </w:r>
      <w:r>
        <w:rPr>
          <w:rFonts w:ascii="Times New Roman" w:hAnsi="Times New Roman"/>
        </w:rPr>
        <w:t>9</w:t>
      </w:r>
      <w:r w:rsidRPr="00C9408D">
        <w:rPr>
          <w:rFonts w:ascii="Times New Roman" w:hAnsi="Times New Roman"/>
        </w:rPr>
        <w:t xml:space="preserve">-13.  </w:t>
      </w:r>
    </w:p>
  </w:footnote>
  <w:footnote w:id="7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SCH-1T 37:2-12.  </w:t>
      </w:r>
      <w:r w:rsidRPr="00655827">
        <w:rPr>
          <w:rFonts w:ascii="Times New Roman" w:hAnsi="Times New Roman"/>
          <w:i/>
        </w:rPr>
        <w:t>S</w:t>
      </w:r>
      <w:r w:rsidRPr="00C9408D">
        <w:rPr>
          <w:rFonts w:ascii="Times New Roman" w:hAnsi="Times New Roman"/>
          <w:i/>
        </w:rPr>
        <w:t xml:space="preserve">ee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UE-040641</w:t>
      </w:r>
      <w:r>
        <w:rPr>
          <w:rFonts w:ascii="Times New Roman" w:hAnsi="Times New Roman"/>
        </w:rPr>
        <w:t>,</w:t>
      </w:r>
      <w:r w:rsidRPr="00C9408D">
        <w:rPr>
          <w:rFonts w:ascii="Times New Roman" w:hAnsi="Times New Roman"/>
        </w:rPr>
        <w:t xml:space="preserve"> Order 06</w:t>
      </w:r>
      <w:r w:rsidR="00FC60A1">
        <w:rPr>
          <w:rFonts w:ascii="Times New Roman" w:hAnsi="Times New Roman"/>
        </w:rPr>
        <w:fldChar w:fldCharType="begin"/>
      </w:r>
      <w:r>
        <w:rPr>
          <w:rFonts w:ascii="Times New Roman" w:hAnsi="Times New Roman"/>
        </w:rPr>
        <w:instrText xml:space="preserve"> TA \s "Docket UE-040641, Order 06" </w:instrText>
      </w:r>
      <w:r w:rsidR="00FC60A1">
        <w:rPr>
          <w:rFonts w:ascii="Times New Roman" w:hAnsi="Times New Roman"/>
        </w:rPr>
        <w:fldChar w:fldCharType="end"/>
      </w:r>
      <w:r w:rsidRPr="00C9408D">
        <w:rPr>
          <w:rFonts w:ascii="Times New Roman" w:hAnsi="Times New Roman"/>
        </w:rPr>
        <w:t xml:space="preserve"> at ¶ 44 (Feb. 18, 2005) (DCF requires a growth component that reflects “what investors actually, and reasonably, expect.”).    </w:t>
      </w:r>
    </w:p>
  </w:footnote>
  <w:footnote w:id="7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SCH-1T 37:18-20.  </w:t>
      </w:r>
    </w:p>
  </w:footnote>
  <w:footnote w:id="7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See</w:t>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25:11-13.  </w:t>
      </w:r>
    </w:p>
  </w:footnote>
  <w:footnote w:id="7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See</w:t>
      </w:r>
      <w:r w:rsidRPr="00C9408D">
        <w:rPr>
          <w:rFonts w:ascii="Times New Roman" w:hAnsi="Times New Roman"/>
        </w:rPr>
        <w:t xml:space="preserv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C9408D">
        <w:rPr>
          <w:rFonts w:ascii="Times New Roman" w:hAnsi="Times New Roman"/>
        </w:rPr>
        <w:t xml:space="preserve"> at ¶ 300 (Apr. 2, 2010) (DCF results are persuasive when based upon “both forward-looking estimates and historical data”).</w:t>
      </w:r>
    </w:p>
  </w:footnote>
  <w:footnote w:id="7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KLE-1T 55:2</w:t>
      </w:r>
      <w:r>
        <w:rPr>
          <w:rFonts w:ascii="Times New Roman" w:hAnsi="Times New Roman"/>
        </w:rPr>
        <w:t>1</w:t>
      </w:r>
      <w:r w:rsidRPr="00C9408D">
        <w:rPr>
          <w:rFonts w:ascii="Times New Roman" w:hAnsi="Times New Roman"/>
        </w:rPr>
        <w:t xml:space="preserve">-56:6; 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MPG-1T 45</w:t>
      </w:r>
      <w:proofErr w:type="gramStart"/>
      <w:r>
        <w:rPr>
          <w:rFonts w:ascii="Times New Roman" w:hAnsi="Times New Roman"/>
        </w:rPr>
        <w:t>:Table</w:t>
      </w:r>
      <w:proofErr w:type="gramEnd"/>
      <w:r>
        <w:rPr>
          <w:rFonts w:ascii="Times New Roman" w:hAnsi="Times New Roman"/>
        </w:rPr>
        <w:t xml:space="preserve"> 6</w:t>
      </w:r>
      <w:r w:rsidRPr="00C9408D">
        <w:rPr>
          <w:rFonts w:ascii="Times New Roman" w:hAnsi="Times New Roman"/>
        </w:rPr>
        <w:t xml:space="preserve">.  </w:t>
      </w:r>
    </w:p>
  </w:footnote>
  <w:footnote w:id="7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SCH-8T 21:6-20.  </w:t>
      </w:r>
    </w:p>
  </w:footnote>
  <w:footnote w:id="7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SCH-8T 25:9-11.  </w:t>
      </w:r>
    </w:p>
  </w:footnote>
  <w:footnote w:id="80">
    <w:p w:rsidR="00A26E08" w:rsidRDefault="00A26E08" w:rsidP="002E098B">
      <w:pPr>
        <w:pStyle w:val="FootnoteText"/>
      </w:pPr>
      <w:r>
        <w:rPr>
          <w:rStyle w:val="FootnoteReference"/>
        </w:rPr>
        <w:footnoteRef/>
      </w:r>
      <w:r>
        <w:t xml:space="preserve"> Elgin, TR. 705:1-14.</w:t>
      </w:r>
    </w:p>
  </w:footnote>
  <w:footnote w:id="81">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MPG-1T 21:3-4.  </w:t>
      </w:r>
    </w:p>
  </w:footnote>
  <w:footnote w:id="8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Pr>
          <w:rFonts w:ascii="Times New Roman" w:hAnsi="Times New Roman"/>
        </w:rPr>
        <w:t xml:space="preserve">Gorman, TR. 472:9-473:4; </w:t>
      </w:r>
      <w:r w:rsidRPr="00C9408D">
        <w:rPr>
          <w:rFonts w:ascii="Times New Roman" w:hAnsi="Times New Roman"/>
        </w:rPr>
        <w:t xml:space="preserve">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 xml:space="preserve">MPG-1T 45 Table 6 (long-term growth rate should be based upon 5- and 10-year GDP forecasts).  </w:t>
      </w:r>
    </w:p>
  </w:footnote>
  <w:footnote w:id="8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55:15-20.  </w:t>
      </w:r>
    </w:p>
  </w:footnote>
  <w:footnote w:id="8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261 (Apr. 17, 2006).  </w:t>
      </w:r>
    </w:p>
  </w:footnote>
  <w:footnote w:id="8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SCH-1T: 19:6-17.  </w:t>
      </w:r>
    </w:p>
  </w:footnote>
  <w:footnote w:id="8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sidRPr="00C9408D">
        <w:rPr>
          <w:rFonts w:ascii="Times New Roman" w:hAnsi="Times New Roman"/>
          <w:i/>
        </w:rPr>
        <w:t>See</w:t>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 xml:space="preserve">KLE-1T 38-44; Gorman,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 xml:space="preserve">MGP-1T </w:t>
      </w:r>
      <w:r>
        <w:rPr>
          <w:rFonts w:ascii="Times New Roman" w:hAnsi="Times New Roman"/>
        </w:rPr>
        <w:t>32-37</w:t>
      </w:r>
      <w:r w:rsidRPr="00C9408D">
        <w:rPr>
          <w:rFonts w:ascii="Times New Roman" w:hAnsi="Times New Roman"/>
        </w:rPr>
        <w:t xml:space="preserve">.  </w:t>
      </w:r>
    </w:p>
  </w:footnote>
  <w:footnote w:id="8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44:3-5 (“. . . I do not recommend the Commission place high reliance on the CAPM.”).  </w:t>
      </w:r>
    </w:p>
  </w:footnote>
  <w:footnote w:id="88">
    <w:p w:rsidR="00A26E08" w:rsidRDefault="00A26E08" w:rsidP="002E098B">
      <w:pPr>
        <w:pStyle w:val="FootnoteText"/>
      </w:pPr>
      <w:r>
        <w:rPr>
          <w:rStyle w:val="FootnoteReference"/>
        </w:rPr>
        <w:footnoteRef/>
      </w:r>
      <w:r>
        <w:t xml:space="preserve"> Hadaway, TR. 249:10-25.</w:t>
      </w:r>
    </w:p>
  </w:footnote>
  <w:footnote w:id="8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C9408D">
        <w:rPr>
          <w:rFonts w:ascii="Times New Roman" w:hAnsi="Times New Roman"/>
        </w:rPr>
        <w:t xml:space="preserve"> at n. 369 (Apr. 2, 2010).  </w:t>
      </w:r>
    </w:p>
  </w:footnote>
  <w:footnote w:id="9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Hadaway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SCH-8T 10</w:t>
      </w:r>
      <w:r>
        <w:rPr>
          <w:rFonts w:ascii="Times New Roman" w:hAnsi="Times New Roman"/>
        </w:rPr>
        <w:t>:</w:t>
      </w:r>
      <w:r w:rsidRPr="00C9408D">
        <w:rPr>
          <w:rFonts w:ascii="Times New Roman" w:hAnsi="Times New Roman"/>
        </w:rPr>
        <w:t xml:space="preserve">22-11:15.  </w:t>
      </w:r>
    </w:p>
  </w:footnote>
  <w:footnote w:id="91">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MPG-1T 37 Table 4.</w:t>
      </w:r>
      <w:proofErr w:type="gramEnd"/>
      <w:r w:rsidRPr="00C9408D">
        <w:rPr>
          <w:rFonts w:ascii="Times New Roman" w:hAnsi="Times New Roman"/>
        </w:rPr>
        <w:t xml:space="preserve">  </w:t>
      </w:r>
    </w:p>
  </w:footnote>
  <w:footnote w:id="9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w:t>
      </w:r>
      <w:r>
        <w:rPr>
          <w:rFonts w:ascii="Times New Roman" w:hAnsi="Times New Roman"/>
        </w:rPr>
        <w:t>,</w:t>
      </w:r>
      <w:r w:rsidRPr="00C9408D">
        <w:rPr>
          <w:rFonts w:ascii="Times New Roman" w:hAnsi="Times New Roman"/>
        </w:rPr>
        <w:t xml:space="preserve"> Order 04 at n. 384 (Apr. 17, 2006)</w:t>
      </w:r>
      <w:r w:rsidR="00FC60A1">
        <w:rPr>
          <w:rFonts w:ascii="Times New Roman" w:hAnsi="Times New Roman"/>
        </w:rPr>
        <w:fldChar w:fldCharType="begin"/>
      </w:r>
      <w: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w:t>
      </w:r>
    </w:p>
  </w:footnote>
  <w:footnote w:id="9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Pr>
          <w:rFonts w:ascii="Times New Roman" w:hAnsi="Times New Roman"/>
        </w:rPr>
        <w:t xml:space="preserve"> </w:t>
      </w:r>
      <w:r w:rsidRPr="00C9408D">
        <w:rPr>
          <w:rFonts w:ascii="Times New Roman" w:hAnsi="Times New Roman"/>
        </w:rPr>
        <w:t>Docket UE-040641, Order 06</w:t>
      </w:r>
      <w:r w:rsidR="00FC60A1">
        <w:rPr>
          <w:rFonts w:ascii="Times New Roman" w:hAnsi="Times New Roman"/>
        </w:rPr>
        <w:fldChar w:fldCharType="begin"/>
      </w:r>
      <w:r>
        <w:rPr>
          <w:rFonts w:ascii="Times New Roman" w:hAnsi="Times New Roman"/>
        </w:rPr>
        <w:instrText xml:space="preserve"> TA \s "Docket UE-040641, Order 06" </w:instrText>
      </w:r>
      <w:r w:rsidR="00FC60A1">
        <w:rPr>
          <w:rFonts w:ascii="Times New Roman" w:hAnsi="Times New Roman"/>
        </w:rPr>
        <w:fldChar w:fldCharType="end"/>
      </w:r>
      <w:r w:rsidRPr="00C9408D">
        <w:rPr>
          <w:rFonts w:ascii="Times New Roman" w:hAnsi="Times New Roman"/>
        </w:rPr>
        <w:t xml:space="preserve"> at ¶ 27 (Feb. 18, 2005).</w:t>
      </w:r>
    </w:p>
  </w:footnote>
  <w:footnote w:id="9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UE-040641, Order 06 at ¶ 40 (Feb. 18, 2005)</w:t>
      </w:r>
      <w:r w:rsidR="00FC60A1">
        <w:rPr>
          <w:rFonts w:ascii="Times New Roman" w:hAnsi="Times New Roman"/>
        </w:rPr>
        <w:fldChar w:fldCharType="begin"/>
      </w:r>
      <w:r>
        <w:instrText xml:space="preserve"> TA \s "Docket UE-040641, Order 06" </w:instrText>
      </w:r>
      <w:r w:rsidR="00FC60A1">
        <w:rPr>
          <w:rFonts w:ascii="Times New Roman" w:hAnsi="Times New Roman"/>
        </w:rPr>
        <w:fldChar w:fldCharType="end"/>
      </w:r>
      <w:r w:rsidRPr="00C9408D">
        <w:rPr>
          <w:rFonts w:ascii="Times New Roman" w:hAnsi="Times New Roman"/>
        </w:rPr>
        <w:t xml:space="preserve"> (Commission rejected hypothetical rate structure noting: “Our goal in this proceeding should be to set the Company’s equity ratio at the level that the evidence shows is most likely to prevail, on average, over the course of the rate year.”).  </w:t>
      </w:r>
    </w:p>
  </w:footnote>
  <w:footnote w:id="95">
    <w:p w:rsidR="00A26E08" w:rsidRPr="00C9408D" w:rsidRDefault="00A26E08" w:rsidP="002E098B">
      <w:pPr>
        <w:pStyle w:val="FootnoteText"/>
        <w:rPr>
          <w:rFonts w:ascii="Times New Roman" w:hAnsi="Times New Roman"/>
          <w:i/>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UE-060266, Order 08</w:t>
      </w:r>
      <w:r w:rsidR="00FC60A1">
        <w:rPr>
          <w:rFonts w:ascii="Times New Roman" w:hAnsi="Times New Roman"/>
        </w:rPr>
        <w:fldChar w:fldCharType="begin"/>
      </w:r>
      <w:r>
        <w:rPr>
          <w:rFonts w:ascii="Times New Roman" w:hAnsi="Times New Roman"/>
        </w:rPr>
        <w:instrText xml:space="preserve"> TA \s "Docket UE-060266, Order 08" </w:instrText>
      </w:r>
      <w:r w:rsidR="00FC60A1">
        <w:rPr>
          <w:rFonts w:ascii="Times New Roman" w:hAnsi="Times New Roman"/>
        </w:rPr>
        <w:fldChar w:fldCharType="end"/>
      </w:r>
      <w:r w:rsidRPr="00C9408D">
        <w:rPr>
          <w:rFonts w:ascii="Times New Roman" w:hAnsi="Times New Roman"/>
        </w:rPr>
        <w:t xml:space="preserve"> at ¶ 76 (Jan. 5, 2007).  The Commission subsequently </w:t>
      </w:r>
      <w:r>
        <w:rPr>
          <w:rFonts w:ascii="Times New Roman" w:hAnsi="Times New Roman"/>
        </w:rPr>
        <w:t>af</w:t>
      </w:r>
      <w:r w:rsidRPr="00C9408D">
        <w:rPr>
          <w:rFonts w:ascii="Times New Roman" w:hAnsi="Times New Roman"/>
        </w:rPr>
        <w:t xml:space="preserve">firmed this standard in Puget Sound Energy’s next general rate case.  </w:t>
      </w:r>
      <w:r w:rsidRPr="00C9408D">
        <w:rPr>
          <w:rFonts w:ascii="Times New Roman" w:hAnsi="Times New Roman"/>
          <w:i/>
        </w:rPr>
        <w:t>See</w:t>
      </w:r>
      <w:r w:rsidRPr="00C9408D">
        <w:rPr>
          <w:rFonts w:ascii="Times New Roman" w:hAnsi="Times New Roman"/>
        </w:rPr>
        <w:t xml:space="preserve">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Puget Sound Energy</w:t>
      </w:r>
      <w:r w:rsidRPr="00C9408D">
        <w:rPr>
          <w:rFonts w:ascii="Times New Roman" w:hAnsi="Times New Roman"/>
        </w:rPr>
        <w:t>, Docket UE-090704, Order 11 at ¶ 278 (April 2, 2010)</w:t>
      </w:r>
      <w:r w:rsidR="00FC60A1">
        <w:rPr>
          <w:rFonts w:ascii="Times New Roman" w:hAnsi="Times New Roman"/>
        </w:rPr>
        <w:fldChar w:fldCharType="begin"/>
      </w:r>
      <w:r>
        <w:instrText xml:space="preserve"> TA \s "Docket UE-090704, Order 11" </w:instrText>
      </w:r>
      <w:r w:rsidR="00FC60A1">
        <w:rPr>
          <w:rFonts w:ascii="Times New Roman" w:hAnsi="Times New Roman"/>
        </w:rPr>
        <w:fldChar w:fldCharType="end"/>
      </w:r>
      <w:r w:rsidRPr="00C9408D">
        <w:rPr>
          <w:rFonts w:ascii="Times New Roman" w:hAnsi="Times New Roman"/>
        </w:rPr>
        <w:t>; s</w:t>
      </w:r>
      <w:r w:rsidRPr="00C9408D">
        <w:rPr>
          <w:rFonts w:ascii="Times New Roman" w:hAnsi="Times New Roman"/>
          <w:i/>
        </w:rPr>
        <w:t xml:space="preserve">ee also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v.</w:t>
      </w:r>
      <w:proofErr w:type="gramEnd"/>
      <w:r w:rsidRPr="00C9408D">
        <w:rPr>
          <w:rFonts w:ascii="Times New Roman" w:hAnsi="Times New Roman"/>
          <w:i/>
        </w:rPr>
        <w:t xml:space="preserve">  </w:t>
      </w:r>
      <w:proofErr w:type="spellStart"/>
      <w:r w:rsidRPr="00C9408D">
        <w:rPr>
          <w:rFonts w:ascii="Times New Roman" w:hAnsi="Times New Roman"/>
          <w:i/>
        </w:rPr>
        <w:t>Avista</w:t>
      </w:r>
      <w:proofErr w:type="spellEnd"/>
      <w:r w:rsidRPr="00C9408D">
        <w:rPr>
          <w:rFonts w:ascii="Times New Roman" w:hAnsi="Times New Roman"/>
        </w:rPr>
        <w:t>, Docket UE-050482, Order 05</w:t>
      </w:r>
      <w:r w:rsidR="00FC60A1">
        <w:rPr>
          <w:rFonts w:ascii="Times New Roman" w:hAnsi="Times New Roman"/>
        </w:rPr>
        <w:fldChar w:fldCharType="begin"/>
      </w:r>
      <w:r>
        <w:rPr>
          <w:rFonts w:ascii="Times New Roman" w:hAnsi="Times New Roman"/>
        </w:rPr>
        <w:instrText xml:space="preserve"> TA \s "Docket UE-050482, Order 05" </w:instrText>
      </w:r>
      <w:r w:rsidR="00FC60A1">
        <w:rPr>
          <w:rFonts w:ascii="Times New Roman" w:hAnsi="Times New Roman"/>
        </w:rPr>
        <w:fldChar w:fldCharType="end"/>
      </w:r>
      <w:r w:rsidRPr="00C9408D">
        <w:rPr>
          <w:rFonts w:ascii="Times New Roman" w:hAnsi="Times New Roman"/>
        </w:rPr>
        <w:t xml:space="preserve"> at ¶ 55 (Dec. 21, 2005) (“The Commission has approved ‘hypothetical’ equity components in capital structures in the past when there was good reason to do so.  In this case, our purpose is to support the Company’s continuing efforts to strengthen its balance sheet and restore its credit rating to investment grade.”).</w:t>
      </w:r>
    </w:p>
  </w:footnote>
  <w:footnote w:id="9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BNW-1T 7:6-7.</w:t>
      </w:r>
    </w:p>
  </w:footnote>
  <w:footnote w:id="9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13:13-15.</w:t>
      </w:r>
    </w:p>
  </w:footnote>
  <w:footnote w:id="98">
    <w:p w:rsidR="00A26E08" w:rsidRDefault="00A26E08" w:rsidP="002E098B">
      <w:pPr>
        <w:pStyle w:val="FootnoteText"/>
      </w:pPr>
      <w:r>
        <w:rPr>
          <w:rStyle w:val="FootnoteReference"/>
        </w:rPr>
        <w:footnoteRef/>
      </w:r>
      <w:r>
        <w:t xml:space="preserve"> Williams, </w:t>
      </w:r>
      <w:proofErr w:type="spellStart"/>
      <w:r>
        <w:t>Exh</w:t>
      </w:r>
      <w:proofErr w:type="spellEnd"/>
      <w:r>
        <w:t>. No. BNW-1T 4:19-22.</w:t>
      </w:r>
    </w:p>
  </w:footnote>
  <w:footnote w:id="9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16:13-19.</w:t>
      </w:r>
    </w:p>
  </w:footnote>
  <w:footnote w:id="10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23:1-2.</w:t>
      </w:r>
    </w:p>
  </w:footnote>
  <w:footnote w:id="101">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9:8-10.</w:t>
      </w:r>
    </w:p>
  </w:footnote>
  <w:footnote w:id="102">
    <w:p w:rsidR="00A26E08" w:rsidRDefault="00A26E08" w:rsidP="002E098B">
      <w:pPr>
        <w:pStyle w:val="FootnoteText"/>
      </w:pPr>
      <w:r>
        <w:rPr>
          <w:rStyle w:val="FootnoteReference"/>
        </w:rPr>
        <w:footnoteRef/>
      </w:r>
      <w:r>
        <w:t xml:space="preserve"> Elgin, </w:t>
      </w:r>
      <w:proofErr w:type="spellStart"/>
      <w:r>
        <w:t>Exh</w:t>
      </w:r>
      <w:proofErr w:type="spellEnd"/>
      <w:r>
        <w:t>. No. KLE-4 3:6-9.</w:t>
      </w:r>
    </w:p>
  </w:footnote>
  <w:footnote w:id="10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17:18-20.</w:t>
      </w:r>
    </w:p>
  </w:footnote>
  <w:footnote w:id="10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13:12-13.</w:t>
      </w:r>
    </w:p>
  </w:footnote>
  <w:footnote w:id="10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18:16-21.</w:t>
      </w:r>
    </w:p>
  </w:footnote>
  <w:footnote w:id="10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19:5-10.</w:t>
      </w:r>
    </w:p>
  </w:footnote>
  <w:footnote w:id="10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18:21-19:</w:t>
      </w:r>
      <w:r>
        <w:rPr>
          <w:rFonts w:ascii="Times New Roman" w:hAnsi="Times New Roman"/>
        </w:rPr>
        <w:t>4</w:t>
      </w:r>
      <w:r w:rsidRPr="00C9408D">
        <w:rPr>
          <w:rFonts w:ascii="Times New Roman" w:hAnsi="Times New Roman"/>
        </w:rPr>
        <w:t>.</w:t>
      </w:r>
    </w:p>
  </w:footnote>
  <w:footnote w:id="10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13:17.</w:t>
      </w:r>
    </w:p>
  </w:footnote>
  <w:footnote w:id="10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19:13-19.</w:t>
      </w:r>
    </w:p>
  </w:footnote>
  <w:footnote w:id="11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19:13-19.</w:t>
      </w:r>
    </w:p>
  </w:footnote>
  <w:footnote w:id="111">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14: 24-26.</w:t>
      </w:r>
    </w:p>
  </w:footnote>
  <w:footnote w:id="11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BNW-7T 20:19-21.  </w:t>
      </w:r>
    </w:p>
  </w:footnote>
  <w:footnote w:id="113">
    <w:p w:rsidR="00A26E08" w:rsidRDefault="00A26E08">
      <w:pPr>
        <w:pStyle w:val="FootnoteText"/>
      </w:pPr>
      <w:r>
        <w:rPr>
          <w:rStyle w:val="FootnoteReference"/>
        </w:rPr>
        <w:footnoteRef/>
      </w:r>
      <w:r>
        <w:t xml:space="preserve"> </w:t>
      </w:r>
      <w:proofErr w:type="gramStart"/>
      <w:r>
        <w:t xml:space="preserve">Gorman </w:t>
      </w:r>
      <w:proofErr w:type="spellStart"/>
      <w:r>
        <w:t>Exh</w:t>
      </w:r>
      <w:proofErr w:type="spellEnd"/>
      <w:r>
        <w:t xml:space="preserve"> No.</w:t>
      </w:r>
      <w:proofErr w:type="gramEnd"/>
      <w:r>
        <w:t xml:space="preserve"> MPG-22T 4: 1-2.</w:t>
      </w:r>
    </w:p>
  </w:footnote>
  <w:footnote w:id="11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MPG-26 4:18-25.</w:t>
      </w:r>
    </w:p>
  </w:footnote>
  <w:footnote w:id="11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MPG-26 5:1-6.</w:t>
      </w:r>
    </w:p>
  </w:footnote>
  <w:footnote w:id="11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MPG-26 5:21-24.</w:t>
      </w:r>
    </w:p>
  </w:footnote>
  <w:footnote w:id="117">
    <w:p w:rsidR="00A26E08" w:rsidRDefault="00A26E08">
      <w:pPr>
        <w:pStyle w:val="FootnoteText"/>
      </w:pPr>
      <w:r>
        <w:rPr>
          <w:rStyle w:val="FootnoteReference"/>
        </w:rPr>
        <w:footnoteRef/>
      </w:r>
      <w:r>
        <w:t xml:space="preserve"> Gorman, TR. 455:15-457:16. </w:t>
      </w:r>
    </w:p>
  </w:footnote>
  <w:footnote w:id="118">
    <w:p w:rsidR="00A26E08" w:rsidRDefault="00A26E08">
      <w:pPr>
        <w:pStyle w:val="FootnoteText"/>
      </w:pPr>
      <w:r>
        <w:rPr>
          <w:rStyle w:val="FootnoteReference"/>
        </w:rPr>
        <w:footnoteRef/>
      </w:r>
      <w:r>
        <w:t xml:space="preserve"> Gorman, TR. 457:17-22.</w:t>
      </w:r>
    </w:p>
  </w:footnote>
  <w:footnote w:id="11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4:17-19.</w:t>
      </w:r>
    </w:p>
  </w:footnote>
  <w:footnote w:id="12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BNW-1T 4:1-</w:t>
      </w:r>
      <w:r>
        <w:rPr>
          <w:rFonts w:ascii="Times New Roman" w:hAnsi="Times New Roman"/>
        </w:rPr>
        <w:t>2</w:t>
      </w:r>
      <w:r w:rsidRPr="00C9408D">
        <w:rPr>
          <w:rFonts w:ascii="Times New Roman" w:hAnsi="Times New Roman"/>
        </w:rPr>
        <w:t>.</w:t>
      </w:r>
    </w:p>
  </w:footnote>
  <w:footnote w:id="121">
    <w:p w:rsidR="00A26E08" w:rsidRDefault="00A26E08" w:rsidP="002E098B">
      <w:pPr>
        <w:pStyle w:val="FootnoteText"/>
      </w:pPr>
      <w:r>
        <w:rPr>
          <w:rStyle w:val="FootnoteReference"/>
        </w:rPr>
        <w:footnoteRef/>
      </w:r>
      <w:r>
        <w:t xml:space="preserve"> Gorman, TR. 464:10-18.</w:t>
      </w:r>
    </w:p>
  </w:footnote>
  <w:footnote w:id="122">
    <w:p w:rsidR="00A26E08" w:rsidRDefault="00A26E08" w:rsidP="002E098B">
      <w:pPr>
        <w:pStyle w:val="FootnoteText"/>
      </w:pPr>
      <w:r>
        <w:rPr>
          <w:rStyle w:val="FootnoteReference"/>
        </w:rPr>
        <w:footnoteRef/>
      </w:r>
      <w:r>
        <w:t xml:space="preserve"> Williams, TR. 279:12-25.</w:t>
      </w:r>
    </w:p>
  </w:footnote>
  <w:footnote w:id="12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19:12.</w:t>
      </w:r>
    </w:p>
  </w:footnote>
  <w:footnote w:id="12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19:19-22.</w:t>
      </w:r>
    </w:p>
  </w:footnote>
  <w:footnote w:id="12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 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224 (Apr. 17, 2006) (emphasis added).</w:t>
      </w:r>
    </w:p>
  </w:footnote>
  <w:footnote w:id="126">
    <w:p w:rsidR="00A26E08" w:rsidRPr="004B083D" w:rsidRDefault="00A26E08" w:rsidP="002E098B">
      <w:pPr>
        <w:pStyle w:val="FootnoteText"/>
      </w:pPr>
      <w:r>
        <w:rPr>
          <w:rStyle w:val="FootnoteReference"/>
        </w:rPr>
        <w:footnoteRef/>
      </w:r>
      <w:r>
        <w:t xml:space="preserve"> </w:t>
      </w:r>
      <w:r>
        <w:rPr>
          <w:i/>
        </w:rPr>
        <w:t>See</w:t>
      </w:r>
      <w:r>
        <w:t xml:space="preserve"> Williams, </w:t>
      </w:r>
      <w:proofErr w:type="spellStart"/>
      <w:r>
        <w:t>Exh</w:t>
      </w:r>
      <w:proofErr w:type="spellEnd"/>
      <w:r>
        <w:t xml:space="preserve">. No. BNW-1T 10:1-19; Williams, </w:t>
      </w:r>
      <w:proofErr w:type="spellStart"/>
      <w:r>
        <w:t>Exh</w:t>
      </w:r>
      <w:proofErr w:type="spellEnd"/>
      <w:r>
        <w:t xml:space="preserve">. No. BNW-7T </w:t>
      </w:r>
      <w:r w:rsidRPr="00C9408D">
        <w:rPr>
          <w:rFonts w:ascii="Times New Roman" w:hAnsi="Times New Roman"/>
        </w:rPr>
        <w:t>5:3-8</w:t>
      </w:r>
      <w:r>
        <w:rPr>
          <w:rFonts w:ascii="Times New Roman" w:hAnsi="Times New Roman"/>
        </w:rPr>
        <w:t xml:space="preserve">; </w:t>
      </w:r>
      <w:r>
        <w:t>11:20-23, 12:3-17.</w:t>
      </w:r>
    </w:p>
  </w:footnote>
  <w:footnote w:id="12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15:19-20.  </w:t>
      </w:r>
    </w:p>
  </w:footnote>
  <w:footnote w:id="12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KLE-1T 16:17-19.</w:t>
      </w:r>
    </w:p>
  </w:footnote>
  <w:footnote w:id="12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This is especially true because PacifiCorp is already viewed as a “BBB” on a stand-alone basis.  So any adjustment that puts downward pressure on the rating is more likely to cause a downgrade than it would be for a company without this stand-alone rating.  </w:t>
      </w:r>
      <w:r>
        <w:rPr>
          <w:rFonts w:ascii="Times New Roman" w:hAnsi="Times New Roman"/>
        </w:rPr>
        <w:t xml:space="preserve">Williams, </w:t>
      </w:r>
      <w:proofErr w:type="spellStart"/>
      <w:r>
        <w:rPr>
          <w:rFonts w:ascii="Times New Roman" w:hAnsi="Times New Roman"/>
        </w:rPr>
        <w:t>Exh</w:t>
      </w:r>
      <w:proofErr w:type="spellEnd"/>
      <w:r>
        <w:rPr>
          <w:rFonts w:ascii="Times New Roman" w:hAnsi="Times New Roman"/>
        </w:rPr>
        <w:t>. No. BNW-1T 9:8-12.</w:t>
      </w:r>
    </w:p>
  </w:footnote>
  <w:footnote w:id="13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15:15-16.  </w:t>
      </w:r>
    </w:p>
  </w:footnote>
  <w:footnote w:id="131">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BNW-7T 16:4-22; </w:t>
      </w:r>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PacifiCorp</w:t>
      </w:r>
      <w:r w:rsidRPr="00C9408D">
        <w:rPr>
          <w:rFonts w:ascii="Times New Roman" w:hAnsi="Times New Roman"/>
        </w:rPr>
        <w:t>,</w:t>
      </w:r>
      <w:r w:rsidRPr="00C9408D">
        <w:rPr>
          <w:rFonts w:ascii="Times New Roman" w:hAnsi="Times New Roman"/>
          <w:i/>
        </w:rPr>
        <w:t xml:space="preserve"> </w:t>
      </w:r>
      <w:r w:rsidRPr="00C9408D">
        <w:rPr>
          <w:rFonts w:ascii="Times New Roman" w:hAnsi="Times New Roman"/>
        </w:rPr>
        <w:t>Docket UE-050684, Order 04</w:t>
      </w:r>
      <w:r w:rsidR="00FC60A1">
        <w:rPr>
          <w:rFonts w:ascii="Times New Roman" w:hAnsi="Times New Roman"/>
        </w:rPr>
        <w:fldChar w:fldCharType="begin"/>
      </w:r>
      <w:r>
        <w:rPr>
          <w:rFonts w:ascii="Times New Roman" w:hAnsi="Times New Roman"/>
        </w:rPr>
        <w:instrText xml:space="preserve"> TA \s "Docket UE-050684, Order 04" </w:instrText>
      </w:r>
      <w:r w:rsidR="00FC60A1">
        <w:rPr>
          <w:rFonts w:ascii="Times New Roman" w:hAnsi="Times New Roman"/>
        </w:rPr>
        <w:fldChar w:fldCharType="end"/>
      </w:r>
      <w:r w:rsidRPr="00C9408D">
        <w:rPr>
          <w:rFonts w:ascii="Times New Roman" w:hAnsi="Times New Roman"/>
        </w:rPr>
        <w:t xml:space="preserve"> at ¶ 232 (Apr. 17. 2006).</w:t>
      </w:r>
    </w:p>
  </w:footnote>
  <w:footnote w:id="132">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Gorman, TR. 460:16-24; </w:t>
      </w:r>
      <w:r w:rsidRPr="00C9408D">
        <w:rPr>
          <w:rFonts w:ascii="Times New Roman" w:hAnsi="Times New Roman"/>
        </w:rPr>
        <w:t xml:space="preserve">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MPG-25 9:8-16.</w:t>
      </w:r>
    </w:p>
  </w:footnote>
  <w:footnote w:id="13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40:20-41:2.</w:t>
      </w:r>
    </w:p>
  </w:footnote>
  <w:footnote w:id="134">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No. MPG-23; Gorman, TR. 461:12-18; Gorman, TR. 462:2-7.</w:t>
      </w:r>
    </w:p>
  </w:footnote>
  <w:footnote w:id="13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13:9-21.</w:t>
      </w:r>
    </w:p>
  </w:footnote>
  <w:footnote w:id="13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proofErr w:type="gramStart"/>
      <w:r w:rsidRPr="00C9408D">
        <w:rPr>
          <w:rFonts w:ascii="Times New Roman" w:hAnsi="Times New Roman"/>
        </w:rPr>
        <w:t>KLE-5 17.</w:t>
      </w:r>
      <w:proofErr w:type="gramEnd"/>
    </w:p>
  </w:footnote>
  <w:footnote w:id="13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BNW-7T 14:1-7.</w:t>
      </w:r>
    </w:p>
  </w:footnote>
  <w:footnote w:id="13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17:21-18:4.  </w:t>
      </w:r>
    </w:p>
  </w:footnote>
  <w:footnote w:id="13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KLE-1T 17:21-18:4.  </w:t>
      </w:r>
    </w:p>
  </w:footnote>
  <w:footnote w:id="140">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Elgin,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KLE-4 12-13.</w:t>
      </w:r>
    </w:p>
  </w:footnote>
  <w:footnote w:id="141">
    <w:p w:rsidR="00A26E08" w:rsidRDefault="00A26E08" w:rsidP="002E098B">
      <w:pPr>
        <w:pStyle w:val="FootnoteText"/>
      </w:pPr>
      <w:r>
        <w:rPr>
          <w:rStyle w:val="FootnoteReference"/>
        </w:rPr>
        <w:footnoteRef/>
      </w:r>
      <w:r>
        <w:t xml:space="preserve"> Elgin, TR. 715:12-20.</w:t>
      </w:r>
    </w:p>
  </w:footnote>
  <w:footnote w:id="142">
    <w:p w:rsidR="00A26E08" w:rsidRPr="00C9408D" w:rsidRDefault="00A26E08" w:rsidP="002E098B">
      <w:pPr>
        <w:pStyle w:val="FootnoteText"/>
        <w:rPr>
          <w:rFonts w:ascii="Times New Roman" w:hAnsi="Times New Roman"/>
          <w:i/>
        </w:rPr>
      </w:pPr>
      <w:r w:rsidRPr="00C9408D">
        <w:rPr>
          <w:rStyle w:val="FootnoteReference"/>
          <w:rFonts w:ascii="Times New Roman" w:hAnsi="Times New Roman"/>
        </w:rPr>
        <w:footnoteRef/>
      </w:r>
      <w:r w:rsidRPr="00C9408D">
        <w:rPr>
          <w:rFonts w:ascii="Times New Roman" w:hAnsi="Times New Roman"/>
        </w:rPr>
        <w:t xml:space="preserve"> Gorman,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MPG-1T 38:2-6.</w:t>
      </w:r>
    </w:p>
  </w:footnote>
  <w:footnote w:id="143">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 xml:space="preserve">Gorman, TR. 463:3-7; </w:t>
      </w:r>
      <w:r w:rsidRPr="00C9408D">
        <w:rPr>
          <w:rFonts w:ascii="Times New Roman" w:hAnsi="Times New Roman"/>
        </w:rPr>
        <w:t xml:space="preserve">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BNW-7T 21:6-14.  </w:t>
      </w:r>
    </w:p>
  </w:footnote>
  <w:footnote w:id="144">
    <w:p w:rsidR="00A26E08" w:rsidRDefault="00A26E08" w:rsidP="002E098B">
      <w:pPr>
        <w:pStyle w:val="FootnoteText"/>
      </w:pPr>
      <w:r>
        <w:rPr>
          <w:rStyle w:val="FootnoteReference"/>
        </w:rPr>
        <w:footnoteRef/>
      </w:r>
      <w:r>
        <w:t xml:space="preserve"> </w:t>
      </w:r>
      <w:r w:rsidRPr="00C9408D">
        <w:rPr>
          <w:rFonts w:ascii="Times New Roman" w:hAnsi="Times New Roman"/>
        </w:rPr>
        <w:t xml:space="preserve">Williams, </w:t>
      </w:r>
      <w:proofErr w:type="spellStart"/>
      <w:r w:rsidRPr="00C9408D">
        <w:rPr>
          <w:rFonts w:ascii="Times New Roman" w:hAnsi="Times New Roman"/>
        </w:rPr>
        <w:t>Exh</w:t>
      </w:r>
      <w:proofErr w:type="spellEnd"/>
      <w:r w:rsidRPr="00C9408D">
        <w:rPr>
          <w:rFonts w:ascii="Times New Roman" w:hAnsi="Times New Roman"/>
        </w:rPr>
        <w:t>. No. BNW-7T 22:</w:t>
      </w:r>
      <w:r>
        <w:rPr>
          <w:rFonts w:ascii="Times New Roman" w:hAnsi="Times New Roman"/>
        </w:rPr>
        <w:t>2</w:t>
      </w:r>
      <w:r w:rsidRPr="00C9408D">
        <w:rPr>
          <w:rFonts w:ascii="Times New Roman" w:hAnsi="Times New Roman"/>
        </w:rPr>
        <w:t xml:space="preserve">-13; Gorman, </w:t>
      </w:r>
      <w:proofErr w:type="spellStart"/>
      <w:r w:rsidRPr="00C9408D">
        <w:rPr>
          <w:rFonts w:ascii="Times New Roman" w:hAnsi="Times New Roman"/>
        </w:rPr>
        <w:t>Exh</w:t>
      </w:r>
      <w:proofErr w:type="spellEnd"/>
      <w:r w:rsidRPr="00C9408D">
        <w:rPr>
          <w:rFonts w:ascii="Times New Roman" w:hAnsi="Times New Roman"/>
        </w:rPr>
        <w:t xml:space="preserve">. No. </w:t>
      </w:r>
      <w:proofErr w:type="gramStart"/>
      <w:r w:rsidRPr="00C9408D">
        <w:rPr>
          <w:rFonts w:ascii="Times New Roman" w:hAnsi="Times New Roman"/>
        </w:rPr>
        <w:t>MPG-1T 9, 11.</w:t>
      </w:r>
      <w:proofErr w:type="gramEnd"/>
      <w:r w:rsidRPr="00C9408D">
        <w:rPr>
          <w:rFonts w:ascii="Times New Roman" w:hAnsi="Times New Roman"/>
        </w:rPr>
        <w:t xml:space="preserve">  </w:t>
      </w:r>
    </w:p>
  </w:footnote>
  <w:footnote w:id="145">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BNW-1T 9:8-12.   </w:t>
      </w:r>
    </w:p>
  </w:footnote>
  <w:footnote w:id="146">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BNW-7T 10:5-6.  </w:t>
      </w:r>
    </w:p>
  </w:footnote>
  <w:footnote w:id="147">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BNW-1T 10:1-19.  </w:t>
      </w:r>
    </w:p>
  </w:footnote>
  <w:footnote w:id="148">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Williams,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BNW-7T 12:3-9.  </w:t>
      </w:r>
    </w:p>
  </w:footnote>
  <w:footnote w:id="149">
    <w:p w:rsidR="00A26E08" w:rsidRPr="00C9408D" w:rsidRDefault="00A26E08" w:rsidP="002E098B">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&amp; Transp. </w:t>
      </w:r>
      <w:proofErr w:type="spellStart"/>
      <w:r w:rsidRPr="00C9408D">
        <w:rPr>
          <w:rFonts w:ascii="Times New Roman" w:hAnsi="Times New Roman"/>
          <w:i/>
          <w:iCs/>
        </w:rPr>
        <w:t>Comm'n</w:t>
      </w:r>
      <w:proofErr w:type="spellEnd"/>
      <w:r w:rsidRPr="00C9408D">
        <w:rPr>
          <w:rFonts w:ascii="Times New Roman" w:hAnsi="Times New Roman"/>
          <w:i/>
        </w:rPr>
        <w:t xml:space="preserve"> v. </w:t>
      </w:r>
      <w:proofErr w:type="spellStart"/>
      <w:r w:rsidRPr="00C9408D">
        <w:rPr>
          <w:rFonts w:ascii="Times New Roman" w:hAnsi="Times New Roman"/>
          <w:i/>
        </w:rPr>
        <w:t>Avista</w:t>
      </w:r>
      <w:proofErr w:type="spellEnd"/>
      <w:r w:rsidRPr="00C9408D">
        <w:rPr>
          <w:rFonts w:ascii="Times New Roman" w:hAnsi="Times New Roman"/>
          <w:i/>
        </w:rPr>
        <w:t xml:space="preserve"> Corp. </w:t>
      </w:r>
      <w:r w:rsidRPr="00C9408D">
        <w:rPr>
          <w:rFonts w:ascii="Times New Roman" w:hAnsi="Times New Roman"/>
        </w:rPr>
        <w:t>Docket UE-100467, Order 07</w:t>
      </w:r>
      <w:r w:rsidR="00FC60A1">
        <w:rPr>
          <w:rFonts w:ascii="Times New Roman" w:hAnsi="Times New Roman"/>
        </w:rPr>
        <w:fldChar w:fldCharType="begin"/>
      </w:r>
      <w:r>
        <w:rPr>
          <w:rFonts w:ascii="Times New Roman" w:hAnsi="Times New Roman"/>
        </w:rPr>
        <w:instrText xml:space="preserve"> TA \s "Docket UE-100467, Order 07" </w:instrText>
      </w:r>
      <w:r w:rsidR="00FC60A1">
        <w:rPr>
          <w:rFonts w:ascii="Times New Roman" w:hAnsi="Times New Roman"/>
        </w:rPr>
        <w:fldChar w:fldCharType="end"/>
      </w:r>
      <w:r w:rsidRPr="00C9408D">
        <w:rPr>
          <w:rFonts w:ascii="Times New Roman" w:hAnsi="Times New Roman"/>
        </w:rPr>
        <w:t xml:space="preserve"> at n. 37 (Nov. 19, 2010).  </w:t>
      </w:r>
    </w:p>
  </w:footnote>
  <w:footnote w:id="150">
    <w:p w:rsidR="00A26E08" w:rsidRDefault="00A26E08" w:rsidP="007F494E">
      <w:pPr>
        <w:pStyle w:val="FootnoteText"/>
      </w:pPr>
      <w:r>
        <w:rPr>
          <w:rStyle w:val="FootnoteReference"/>
        </w:rPr>
        <w:footnoteRef/>
      </w:r>
      <w:r>
        <w:t xml:space="preserve"> Meyer, </w:t>
      </w:r>
      <w:proofErr w:type="spellStart"/>
      <w:r>
        <w:t>Exh</w:t>
      </w:r>
      <w:proofErr w:type="spellEnd"/>
      <w:r>
        <w:t xml:space="preserve">. No. GRM-1CT 16:4-5.  </w:t>
      </w:r>
    </w:p>
  </w:footnote>
  <w:footnote w:id="151">
    <w:p w:rsidR="00A26E08" w:rsidRDefault="00A26E08" w:rsidP="007F494E">
      <w:pPr>
        <w:pStyle w:val="FootnoteText"/>
      </w:pPr>
      <w:r>
        <w:rPr>
          <w:rStyle w:val="FootnoteReference"/>
        </w:rPr>
        <w:footnoteRef/>
      </w:r>
      <w:r>
        <w:t xml:space="preserve"> Meyer, </w:t>
      </w:r>
      <w:proofErr w:type="spellStart"/>
      <w:r>
        <w:t>Exh</w:t>
      </w:r>
      <w:proofErr w:type="spellEnd"/>
      <w:r>
        <w:t xml:space="preserve">. No. GRM-1CT 16: Table 3, 1-5.  </w:t>
      </w:r>
    </w:p>
  </w:footnote>
  <w:footnote w:id="152">
    <w:p w:rsidR="00A26E08" w:rsidRDefault="00A26E08" w:rsidP="007F494E">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TES-4T 4:11-15; Duvall, </w:t>
      </w:r>
      <w:proofErr w:type="spellStart"/>
      <w:r>
        <w:t>Exh</w:t>
      </w:r>
      <w:proofErr w:type="spellEnd"/>
      <w:r>
        <w:t xml:space="preserve">. No. GND-5T 11:10-22.  ICNU’s and Public Counsel’s proposal also differs from Staff’s and the Company’s in that it uses five years of usage rather than test year usage and reverses out-of-period adjustments made by the Company.  Duvall, </w:t>
      </w:r>
      <w:proofErr w:type="spellStart"/>
      <w:r>
        <w:t>Exh</w:t>
      </w:r>
      <w:proofErr w:type="spellEnd"/>
      <w:r>
        <w:t>. No. GND-5T 19-22.</w:t>
      </w:r>
    </w:p>
  </w:footnote>
  <w:footnote w:id="153">
    <w:p w:rsidR="00A26E08" w:rsidRDefault="00A26E08" w:rsidP="007F494E">
      <w:pPr>
        <w:pStyle w:val="FootnoteText"/>
      </w:pPr>
      <w:r>
        <w:rPr>
          <w:rStyle w:val="FootnoteReference"/>
        </w:rPr>
        <w:footnoteRef/>
      </w:r>
      <w:r>
        <w:t xml:space="preserve"> Novak, </w:t>
      </w:r>
      <w:proofErr w:type="spellStart"/>
      <w:r>
        <w:t>Exh</w:t>
      </w:r>
      <w:proofErr w:type="spellEnd"/>
      <w:r>
        <w:t xml:space="preserve">. No. VN-1CT 3:22-4:3.  </w:t>
      </w:r>
    </w:p>
  </w:footnote>
  <w:footnote w:id="154">
    <w:p w:rsidR="00A26E08" w:rsidRDefault="00A26E08" w:rsidP="007F494E">
      <w:pPr>
        <w:pStyle w:val="FootnoteText"/>
      </w:pPr>
      <w:r>
        <w:rPr>
          <w:rStyle w:val="FootnoteReference"/>
        </w:rPr>
        <w:footnoteRef/>
      </w:r>
      <w:r>
        <w:t xml:space="preserve"> Novak, </w:t>
      </w:r>
      <w:proofErr w:type="spellStart"/>
      <w:r>
        <w:t>Exh</w:t>
      </w:r>
      <w:proofErr w:type="spellEnd"/>
      <w:r>
        <w:t xml:space="preserve">. No. VN-1CT 4:4-7.  </w:t>
      </w:r>
    </w:p>
  </w:footnote>
  <w:footnote w:id="155">
    <w:p w:rsidR="00A26E08" w:rsidRDefault="00A26E08" w:rsidP="007F494E">
      <w:pPr>
        <w:pStyle w:val="FootnoteText"/>
      </w:pPr>
      <w:r>
        <w:rPr>
          <w:rStyle w:val="FootnoteReference"/>
        </w:rPr>
        <w:footnoteRef/>
      </w:r>
      <w:r>
        <w:t xml:space="preserve"> Novak, </w:t>
      </w:r>
      <w:proofErr w:type="spellStart"/>
      <w:r>
        <w:t>Exh</w:t>
      </w:r>
      <w:proofErr w:type="spellEnd"/>
      <w:r>
        <w:t xml:space="preserve">. No. VN-1CT 4:7-9.  Ms. Novak’s pre-filed testimony indicated that PacifiCorp determines normal temperature using data from the Portland Airport weather station.  Novak, </w:t>
      </w:r>
      <w:proofErr w:type="spellStart"/>
      <w:r>
        <w:t>Exh</w:t>
      </w:r>
      <w:proofErr w:type="spellEnd"/>
      <w:r>
        <w:t>. No. VN-1CT 4:19.20.  PacifiCorp explained at the hearing that the Company measures weather at the Yakima weather station.  Novak, TR. 767:22-23.</w:t>
      </w:r>
    </w:p>
  </w:footnote>
  <w:footnote w:id="156">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12:14-15.  </w:t>
      </w:r>
    </w:p>
  </w:footnote>
  <w:footnote w:id="157">
    <w:p w:rsidR="00A26E08" w:rsidRDefault="00A26E08" w:rsidP="007F494E">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TES-4T 4:19.  </w:t>
      </w:r>
    </w:p>
  </w:footnote>
  <w:footnote w:id="158">
    <w:p w:rsidR="00A26E08" w:rsidRDefault="00A26E08" w:rsidP="007F494E">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TES-4T 5:1-16.  </w:t>
      </w:r>
    </w:p>
  </w:footnote>
  <w:footnote w:id="159">
    <w:p w:rsidR="00A26E08" w:rsidRDefault="00A26E08" w:rsidP="007F494E">
      <w:pPr>
        <w:pStyle w:val="FootnoteText"/>
      </w:pPr>
      <w:r>
        <w:rPr>
          <w:rStyle w:val="FootnoteReference"/>
        </w:rPr>
        <w:footnoteRef/>
      </w:r>
      <w:r>
        <w:t xml:space="preserve"> Meyer, </w:t>
      </w:r>
      <w:proofErr w:type="spellStart"/>
      <w:r>
        <w:t>Exh</w:t>
      </w:r>
      <w:proofErr w:type="spellEnd"/>
      <w:r>
        <w:t>. No. GRM-1CT 18:12-13.</w:t>
      </w:r>
    </w:p>
  </w:footnote>
  <w:footnote w:id="160">
    <w:p w:rsidR="00A26E08" w:rsidRDefault="00A26E08" w:rsidP="007F494E">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No. TES-4T 6:3-8.</w:t>
      </w:r>
    </w:p>
  </w:footnote>
  <w:footnote w:id="161">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12:15-13:4; </w:t>
      </w:r>
      <w:r>
        <w:rPr>
          <w:i/>
        </w:rPr>
        <w:t xml:space="preserve">Wash. </w:t>
      </w:r>
      <w:proofErr w:type="spellStart"/>
      <w:r>
        <w:rPr>
          <w:i/>
        </w:rPr>
        <w:t>Utils</w:t>
      </w:r>
      <w:proofErr w:type="spellEnd"/>
      <w:r>
        <w:rPr>
          <w:i/>
        </w:rPr>
        <w:t xml:space="preserve">. &amp; Transp. </w:t>
      </w:r>
      <w:proofErr w:type="spellStart"/>
      <w:r>
        <w:rPr>
          <w:i/>
        </w:rPr>
        <w:t>Comm’n</w:t>
      </w:r>
      <w:proofErr w:type="spellEnd"/>
      <w:r>
        <w:rPr>
          <w:i/>
        </w:rPr>
        <w:t xml:space="preserve"> v. PacifiCorp</w:t>
      </w:r>
      <w:r>
        <w:t>, Docket UE-090205 Order 09, Stipulation ¶ 19 (Dec. 16, 2009)</w:t>
      </w:r>
      <w:r w:rsidR="00FC60A1">
        <w:fldChar w:fldCharType="begin"/>
      </w:r>
      <w:r>
        <w:instrText xml:space="preserve"> TA \s "Docket UE-090205 Order 09" </w:instrText>
      </w:r>
      <w:r w:rsidR="00FC60A1">
        <w:fldChar w:fldCharType="end"/>
      </w:r>
      <w:r>
        <w:t>.</w:t>
      </w:r>
    </w:p>
  </w:footnote>
  <w:footnote w:id="162">
    <w:p w:rsidR="00A26E08" w:rsidRPr="00DD60BA" w:rsidRDefault="00A26E08" w:rsidP="00AC74C7">
      <w:pPr>
        <w:pStyle w:val="FootnoteText"/>
        <w:tabs>
          <w:tab w:val="left" w:pos="900"/>
        </w:tabs>
        <w:rPr>
          <w:i/>
        </w:rPr>
      </w:pPr>
      <w:r>
        <w:rPr>
          <w:rStyle w:val="FootnoteReference"/>
        </w:rPr>
        <w:footnoteRef/>
      </w:r>
      <w:r>
        <w:t xml:space="preserve"> </w:t>
      </w:r>
      <w:r>
        <w:rPr>
          <w:i/>
        </w:rPr>
        <w:t>Id.</w:t>
      </w:r>
      <w:r w:rsidR="00FC60A1">
        <w:rPr>
          <w:i/>
        </w:rPr>
        <w:fldChar w:fldCharType="begin"/>
      </w:r>
      <w:r>
        <w:instrText xml:space="preserve"> TA \s "Docket UE-090205 Order 09" </w:instrText>
      </w:r>
      <w:r w:rsidR="00FC60A1">
        <w:rPr>
          <w:i/>
        </w:rPr>
        <w:fldChar w:fldCharType="end"/>
      </w:r>
      <w:r>
        <w:rPr>
          <w:i/>
        </w:rPr>
        <w:tab/>
      </w:r>
    </w:p>
  </w:footnote>
  <w:footnote w:id="163">
    <w:p w:rsidR="00A26E08" w:rsidRPr="00DD60BA" w:rsidRDefault="00A26E08" w:rsidP="007F494E">
      <w:pPr>
        <w:pStyle w:val="FootnoteText"/>
      </w:pPr>
      <w:r>
        <w:rPr>
          <w:rStyle w:val="FootnoteReference"/>
        </w:rPr>
        <w:footnoteRef/>
      </w:r>
      <w:r>
        <w:t xml:space="preserve"> </w:t>
      </w:r>
      <w:r>
        <w:rPr>
          <w:i/>
        </w:rPr>
        <w:t xml:space="preserve">See </w:t>
      </w:r>
      <w:r>
        <w:t xml:space="preserve">Meyer, </w:t>
      </w:r>
      <w:proofErr w:type="spellStart"/>
      <w:r>
        <w:t>Exh</w:t>
      </w:r>
      <w:proofErr w:type="spellEnd"/>
      <w:r>
        <w:t>. No. GRM-1CT 16:2-18:13.</w:t>
      </w:r>
    </w:p>
  </w:footnote>
  <w:footnote w:id="164">
    <w:p w:rsidR="00A26E08" w:rsidRDefault="00A26E08" w:rsidP="007F494E">
      <w:pPr>
        <w:pStyle w:val="FootnoteText"/>
      </w:pPr>
      <w:r>
        <w:rPr>
          <w:rStyle w:val="FootnoteReference"/>
        </w:rPr>
        <w:footnoteRef/>
      </w:r>
      <w:r>
        <w:t xml:space="preserve"> Schooley, TR. 798:7-799:2.  </w:t>
      </w:r>
    </w:p>
  </w:footnote>
  <w:footnote w:id="165">
    <w:p w:rsidR="00A26E08" w:rsidRDefault="00A26E08" w:rsidP="006B45ED">
      <w:pPr>
        <w:pStyle w:val="FootnoteText"/>
      </w:pPr>
      <w:r>
        <w:rPr>
          <w:rStyle w:val="FootnoteReference"/>
        </w:rPr>
        <w:footnoteRef/>
      </w:r>
      <w:r>
        <w:t xml:space="preserve"> Novak, </w:t>
      </w:r>
      <w:proofErr w:type="spellStart"/>
      <w:r>
        <w:t>Exh</w:t>
      </w:r>
      <w:proofErr w:type="spellEnd"/>
      <w:r>
        <w:t>. No. VN-1CT 7:17-21; 8:1-3.</w:t>
      </w:r>
    </w:p>
  </w:footnote>
  <w:footnote w:id="166">
    <w:p w:rsidR="00A26E08" w:rsidRDefault="00A26E08" w:rsidP="007F494E">
      <w:pPr>
        <w:pStyle w:val="FootnoteText"/>
      </w:pPr>
      <w:r>
        <w:rPr>
          <w:rStyle w:val="FootnoteReference"/>
        </w:rPr>
        <w:footnoteRef/>
      </w:r>
      <w:r>
        <w:t xml:space="preserve"> Novak, </w:t>
      </w:r>
      <w:proofErr w:type="spellStart"/>
      <w:r>
        <w:t>Exh</w:t>
      </w:r>
      <w:proofErr w:type="spellEnd"/>
      <w:r>
        <w:t xml:space="preserve">. No. VN-1CT 9:17-21; 10:19-22.  </w:t>
      </w:r>
    </w:p>
  </w:footnote>
  <w:footnote w:id="167">
    <w:p w:rsidR="00A26E08" w:rsidRDefault="00A26E08" w:rsidP="007F494E">
      <w:pPr>
        <w:pStyle w:val="FootnoteText"/>
      </w:pPr>
      <w:r>
        <w:rPr>
          <w:rStyle w:val="FootnoteReference"/>
        </w:rPr>
        <w:footnoteRef/>
      </w:r>
      <w:r>
        <w:t xml:space="preserve"> Novak, </w:t>
      </w:r>
      <w:proofErr w:type="spellStart"/>
      <w:r>
        <w:t>Exh</w:t>
      </w:r>
      <w:proofErr w:type="spellEnd"/>
      <w:r>
        <w:t>. No. VN-1CT 8:10-16.</w:t>
      </w:r>
    </w:p>
  </w:footnote>
  <w:footnote w:id="168">
    <w:p w:rsidR="00A26E08" w:rsidRDefault="00A26E08" w:rsidP="007F494E">
      <w:pPr>
        <w:pStyle w:val="FootnoteText"/>
      </w:pPr>
      <w:r>
        <w:rPr>
          <w:rStyle w:val="FootnoteReference"/>
        </w:rPr>
        <w:footnoteRef/>
      </w:r>
      <w:r>
        <w:t xml:space="preserve"> Novak, </w:t>
      </w:r>
      <w:proofErr w:type="spellStart"/>
      <w:r>
        <w:t>Exh</w:t>
      </w:r>
      <w:proofErr w:type="spellEnd"/>
      <w:r>
        <w:t xml:space="preserve">. No. VN-1CT 9:12-15; 2:14-15.  </w:t>
      </w:r>
    </w:p>
  </w:footnote>
  <w:footnote w:id="169">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10:14-17.  </w:t>
      </w:r>
    </w:p>
  </w:footnote>
  <w:footnote w:id="170">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10:18-23.  </w:t>
      </w:r>
    </w:p>
  </w:footnote>
  <w:footnote w:id="171">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10:21-23.  </w:t>
      </w:r>
    </w:p>
  </w:footnote>
  <w:footnote w:id="172">
    <w:p w:rsidR="00A26E08" w:rsidRDefault="00A26E08" w:rsidP="007F494E">
      <w:pPr>
        <w:pStyle w:val="FootnoteText"/>
      </w:pPr>
      <w:r>
        <w:rPr>
          <w:rStyle w:val="FootnoteReference"/>
        </w:rPr>
        <w:footnoteRef/>
      </w:r>
      <w:r>
        <w:t xml:space="preserve"> Duvall, </w:t>
      </w:r>
      <w:proofErr w:type="spellStart"/>
      <w:r>
        <w:t>Exh</w:t>
      </w:r>
      <w:proofErr w:type="spellEnd"/>
      <w:r>
        <w:t>. No. GND-5T, 11:1-5.</w:t>
      </w:r>
    </w:p>
  </w:footnote>
  <w:footnote w:id="173">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3:20-4:4.  </w:t>
      </w:r>
    </w:p>
  </w:footnote>
  <w:footnote w:id="174">
    <w:p w:rsidR="00A26E08" w:rsidRDefault="00A26E08" w:rsidP="007F494E">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RBD-4T 9:2-3.  </w:t>
      </w:r>
    </w:p>
  </w:footnote>
  <w:footnote w:id="175">
    <w:p w:rsidR="00A26E08" w:rsidRDefault="00A26E08" w:rsidP="007F494E">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xml:space="preserve">. No. MDF-1CT 10:20-21.  </w:t>
      </w:r>
    </w:p>
  </w:footnote>
  <w:footnote w:id="176">
    <w:p w:rsidR="00A26E08" w:rsidRDefault="00A26E08" w:rsidP="007F494E">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No. RJF-1CT 63:14-15.  </w:t>
      </w:r>
    </w:p>
  </w:footnote>
  <w:footnote w:id="177">
    <w:p w:rsidR="00A26E08" w:rsidRDefault="00A26E08" w:rsidP="007F494E">
      <w:pPr>
        <w:pStyle w:val="FootnoteText"/>
      </w:pPr>
      <w:r>
        <w:rPr>
          <w:rStyle w:val="FootnoteReference"/>
        </w:rPr>
        <w:footnoteRef/>
      </w:r>
      <w:r>
        <w:t xml:space="preserve"> Duvall, </w:t>
      </w:r>
      <w:proofErr w:type="spellStart"/>
      <w:r>
        <w:t>Exh</w:t>
      </w:r>
      <w:proofErr w:type="spellEnd"/>
      <w:r>
        <w:t>. No. GND-5T 5:6-10.</w:t>
      </w:r>
    </w:p>
  </w:footnote>
  <w:footnote w:id="178">
    <w:p w:rsidR="00A26E08" w:rsidRDefault="00A26E08" w:rsidP="007F494E">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xml:space="preserve">. No. MDF-1CT 10:21-11:2.  </w:t>
      </w:r>
    </w:p>
  </w:footnote>
  <w:footnote w:id="179">
    <w:p w:rsidR="00A26E08" w:rsidRDefault="00A26E08" w:rsidP="007F494E">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xml:space="preserve">. No. MDF-1CT 10:5-13; </w:t>
      </w:r>
      <w:r>
        <w:rPr>
          <w:i/>
        </w:rPr>
        <w:t>Re. Petition of Puget Sound Energy, Inc.</w:t>
      </w:r>
      <w:r>
        <w:t>, Docket UE-070725, Order 3 ¶ 1 (May 20, 2010)</w:t>
      </w:r>
      <w:r w:rsidR="00FC60A1">
        <w:fldChar w:fldCharType="begin"/>
      </w:r>
      <w:r>
        <w:instrText xml:space="preserve"> TA \l "</w:instrText>
      </w:r>
      <w:r w:rsidRPr="00E41C81">
        <w:rPr>
          <w:i/>
        </w:rPr>
        <w:instrText>Petition of Puget Sound Energy, Inc.</w:instrText>
      </w:r>
      <w:r w:rsidRPr="00E41C81">
        <w:instrText>, Docket UE-070725, Order 3 (May 20, 2010)</w:instrText>
      </w:r>
      <w:r>
        <w:instrText xml:space="preserve">" \s "Docket UE-070725, Order 3" \c 8 </w:instrText>
      </w:r>
      <w:r w:rsidR="00FC60A1">
        <w:fldChar w:fldCharType="end"/>
      </w:r>
      <w:r>
        <w:t xml:space="preserve">.  </w:t>
      </w:r>
    </w:p>
  </w:footnote>
  <w:footnote w:id="180">
    <w:p w:rsidR="00A26E08" w:rsidRDefault="00A26E08" w:rsidP="007F494E">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No. MDF-1CT 10:7-9.</w:t>
      </w:r>
    </w:p>
  </w:footnote>
  <w:footnote w:id="181">
    <w:p w:rsidR="00A26E08" w:rsidRDefault="00A26E08" w:rsidP="007F494E">
      <w:pPr>
        <w:pStyle w:val="FootnoteText"/>
      </w:pPr>
      <w:r>
        <w:rPr>
          <w:rStyle w:val="FootnoteReference"/>
        </w:rPr>
        <w:footnoteRef/>
      </w:r>
      <w:r>
        <w:t xml:space="preserve"> </w:t>
      </w:r>
      <w:r w:rsidRPr="00F32400">
        <w:rPr>
          <w:i/>
        </w:rPr>
        <w:t>Re Puget Sound Energy</w:t>
      </w:r>
      <w:r w:rsidRPr="00E805C5">
        <w:t>, Docket UE-010410, Order Denying Petition to Amend Accounting Order (Nov. 9, 2001)</w:t>
      </w:r>
      <w:r w:rsidR="00FC60A1">
        <w:fldChar w:fldCharType="begin"/>
      </w:r>
      <w:r>
        <w:instrText xml:space="preserve"> TA \l "</w:instrText>
      </w:r>
      <w:r w:rsidRPr="00E41C81">
        <w:rPr>
          <w:i/>
        </w:rPr>
        <w:instrText>Puget Sound Energy</w:instrText>
      </w:r>
      <w:r w:rsidRPr="00E41C81">
        <w:instrText>, Docket UE-010410, Order Denying Petition to Amend Accounting Order (Nov. 9, 2001)</w:instrText>
      </w:r>
      <w:r>
        <w:instrText xml:space="preserve">" \s "Docket UE-010410, Order Denying Petition to Amend" \c 8 </w:instrText>
      </w:r>
      <w:r w:rsidR="00FC60A1">
        <w:fldChar w:fldCharType="end"/>
      </w:r>
      <w:r w:rsidRPr="00E805C5">
        <w:t xml:space="preserve">; </w:t>
      </w:r>
      <w:r w:rsidRPr="00F32400">
        <w:rPr>
          <w:i/>
        </w:rPr>
        <w:t>see also</w:t>
      </w:r>
      <w:r w:rsidRPr="00E805C5">
        <w:t xml:space="preserve"> RCW 80.28.020</w:t>
      </w:r>
      <w:r w:rsidR="00FC60A1">
        <w:fldChar w:fldCharType="begin"/>
      </w:r>
      <w:r>
        <w:instrText xml:space="preserve"> TA \s "RCW 80.28.020" </w:instrText>
      </w:r>
      <w:r w:rsidR="00FC60A1">
        <w:fldChar w:fldCharType="end"/>
      </w:r>
      <w:r w:rsidRPr="00E805C5">
        <w:t xml:space="preserve">.  </w:t>
      </w:r>
      <w:r>
        <w:t xml:space="preserve">The Commission denied Puget’s petition on the basis that the “retroactive ratemaking doctrine prohibits the Commission from authorizing or requiring a utility to adjust current rates to make up for past errors in projections.  With few </w:t>
      </w:r>
      <w:proofErr w:type="gramStart"/>
      <w:r>
        <w:t>exceptions  (</w:t>
      </w:r>
      <w:proofErr w:type="gramEnd"/>
      <w:r>
        <w:t>not applicable here), under RCW 80.28.020, the Commission is charged with setting rates on a prospective basis.”</w:t>
      </w:r>
    </w:p>
  </w:footnote>
  <w:footnote w:id="182">
    <w:p w:rsidR="00A26E08" w:rsidRDefault="00A26E08" w:rsidP="007F494E">
      <w:pPr>
        <w:pStyle w:val="FootnoteText"/>
      </w:pPr>
      <w:r>
        <w:rPr>
          <w:rStyle w:val="FootnoteReference"/>
        </w:rPr>
        <w:footnoteRef/>
      </w:r>
      <w:r>
        <w:t xml:space="preserve"> </w:t>
      </w:r>
      <w:r w:rsidRPr="00F32400">
        <w:rPr>
          <w:i/>
        </w:rPr>
        <w:t xml:space="preserve">Id.  </w:t>
      </w:r>
    </w:p>
  </w:footnote>
  <w:footnote w:id="183">
    <w:p w:rsidR="00A26E08" w:rsidRDefault="00A26E08" w:rsidP="007F494E">
      <w:pPr>
        <w:pStyle w:val="FootnoteText"/>
      </w:pPr>
      <w:r>
        <w:rPr>
          <w:rStyle w:val="FootnoteReference"/>
        </w:rPr>
        <w:footnoteRef/>
      </w:r>
      <w:r>
        <w:t xml:space="preserve"> </w:t>
      </w:r>
      <w:r w:rsidRPr="00F32400">
        <w:rPr>
          <w:i/>
        </w:rPr>
        <w:t>Re. Petition of Puget Sound Energy, Inc.</w:t>
      </w:r>
      <w:r>
        <w:t>, Docket UT-070725, Order 3 ¶ 6 (May 20, 2010)</w:t>
      </w:r>
      <w:r w:rsidR="00FC60A1">
        <w:fldChar w:fldCharType="begin"/>
      </w:r>
      <w:r>
        <w:instrText xml:space="preserve"> TA \s "Docket UE-070725, Order 3" </w:instrText>
      </w:r>
      <w:r w:rsidR="00FC60A1">
        <w:fldChar w:fldCharType="end"/>
      </w:r>
      <w:r>
        <w:t xml:space="preserve">.  </w:t>
      </w:r>
    </w:p>
  </w:footnote>
  <w:footnote w:id="184">
    <w:p w:rsidR="00A26E08" w:rsidRDefault="00A26E08" w:rsidP="007F494E">
      <w:pPr>
        <w:pStyle w:val="FootnoteText"/>
      </w:pPr>
      <w:r>
        <w:rPr>
          <w:rStyle w:val="FootnoteReference"/>
        </w:rPr>
        <w:footnoteRef/>
      </w:r>
      <w:r>
        <w:t xml:space="preserve"> </w:t>
      </w:r>
      <w:r w:rsidRPr="00D833F4">
        <w:t> </w:t>
      </w:r>
      <w:r>
        <w:t>T</w:t>
      </w:r>
      <w:r w:rsidRPr="00D833F4">
        <w:t xml:space="preserve">he Commission has indicated that recovery of costs incurred prior to the date of the filing of an accounting petition “undeniably would violate the general prohibition against retroactive ratemaking and thus is not a legally sustainable result.”  </w:t>
      </w:r>
      <w:r w:rsidRPr="00D833F4">
        <w:rPr>
          <w:i/>
        </w:rPr>
        <w:t>In re PacifiCorp</w:t>
      </w:r>
      <w:r w:rsidRPr="00D833F4">
        <w:t>, Docket UE-020417</w:t>
      </w:r>
      <w:r>
        <w:t xml:space="preserve">, Sixth Supp. </w:t>
      </w:r>
      <w:proofErr w:type="gramStart"/>
      <w:r>
        <w:t>Order</w:t>
      </w:r>
      <w:r w:rsidRPr="00D833F4">
        <w:t>(</w:t>
      </w:r>
      <w:proofErr w:type="gramEnd"/>
      <w:r w:rsidRPr="00D833F4">
        <w:t>July 15, 2003)</w:t>
      </w:r>
      <w:r w:rsidR="00FC60A1">
        <w:fldChar w:fldCharType="begin"/>
      </w:r>
      <w:r>
        <w:instrText xml:space="preserve"> TA \l "</w:instrText>
      </w:r>
      <w:r w:rsidRPr="00E41C81">
        <w:rPr>
          <w:i/>
        </w:rPr>
        <w:instrText>In re PacifiCorp</w:instrText>
      </w:r>
      <w:r w:rsidRPr="00E41C81">
        <w:instrText>, Docket UE-020417 (July 15, 2003)</w:instrText>
      </w:r>
      <w:r>
        <w:instrText xml:space="preserve">" \s "Docket UE-020417" \c 8 </w:instrText>
      </w:r>
      <w:r w:rsidR="00FC60A1">
        <w:fldChar w:fldCharType="end"/>
      </w:r>
      <w:r w:rsidRPr="00D833F4">
        <w:t xml:space="preserve"> (referring to the $98 million in power costs incurred prior to PacifiCorp’s deferred accounting filing).</w:t>
      </w:r>
    </w:p>
  </w:footnote>
  <w:footnote w:id="185">
    <w:p w:rsidR="00A26E08" w:rsidRDefault="00A26E08" w:rsidP="007F494E">
      <w:pPr>
        <w:pStyle w:val="FootnoteText"/>
      </w:pPr>
      <w:r>
        <w:rPr>
          <w:rStyle w:val="FootnoteReference"/>
        </w:rPr>
        <w:footnoteRef/>
      </w:r>
      <w:r>
        <w:t xml:space="preserve"> Duvall, </w:t>
      </w:r>
      <w:proofErr w:type="spellStart"/>
      <w:r>
        <w:t>Exh</w:t>
      </w:r>
      <w:proofErr w:type="spellEnd"/>
      <w:r>
        <w:t xml:space="preserve">. No. GND-5T 6:1-9.  </w:t>
      </w:r>
    </w:p>
  </w:footnote>
  <w:footnote w:id="186">
    <w:p w:rsidR="00A26E08" w:rsidRDefault="00A26E08" w:rsidP="007F494E">
      <w:pPr>
        <w:pStyle w:val="FootnoteText"/>
      </w:pPr>
      <w:r>
        <w:rPr>
          <w:rStyle w:val="FootnoteReference"/>
        </w:rPr>
        <w:footnoteRef/>
      </w:r>
      <w:r>
        <w:t xml:space="preserve"> Duvall, </w:t>
      </w:r>
      <w:proofErr w:type="spellStart"/>
      <w:r>
        <w:t>Exh</w:t>
      </w:r>
      <w:proofErr w:type="spellEnd"/>
      <w:r>
        <w:t>. No. GND-5T 6:12-16. The PSE case addresses the matching principle. W</w:t>
      </w:r>
      <w:r w:rsidRPr="004D32C6">
        <w:t xml:space="preserve">hile Puget’s REC deferral petition was pending, Public Counsel and Kroger attempted to bring the REC sales issue into Puget’s </w:t>
      </w:r>
      <w:r>
        <w:t>general rate case</w:t>
      </w:r>
      <w:r w:rsidRPr="004D32C6">
        <w:t xml:space="preserve">.  Puget, Staff and the Energy Project moved to strike this testimony on the basis that REC issues were outside the scope of the </w:t>
      </w:r>
      <w:r>
        <w:t>general rate case</w:t>
      </w:r>
      <w:r w:rsidRPr="004D32C6">
        <w:t xml:space="preserve">.  Public Counsel argued that “REC revenue issues are directly related to the proper analysis of power costs in this case…[W]hen wind generation costs are included in the power costs sought to be recovered, proper ratemaking principles requires that revenues derived from the related RECs must also be considered.  Moreover, Joint </w:t>
      </w:r>
      <w:proofErr w:type="spellStart"/>
      <w:r w:rsidRPr="004D32C6">
        <w:t>Movants</w:t>
      </w:r>
      <w:proofErr w:type="spellEnd"/>
      <w:r w:rsidRPr="004D32C6">
        <w:t xml:space="preserve"> do not explain why it is appropriate to update PSE power costs as was done in the most recent supplemental filing, without updating related revenues.  Failure to take these known and measurable revenues into account would be a violation of the matching principle.</w:t>
      </w:r>
      <w:r>
        <w:t>”</w:t>
      </w:r>
      <w:r w:rsidRPr="004D32C6">
        <w:t xml:space="preserve">  The Commission acknowledged the merit of Public Counsel’s argument, but granted the motion to strike, finding that the pendency of the deferred accounting docket on RECs ensured against harm to customers.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xml:space="preserve">, </w:t>
      </w:r>
      <w:r w:rsidRPr="004D32C6">
        <w:t>Docket UE-090704, Order 10 (January 8, 2010).</w:t>
      </w:r>
      <w:r w:rsidR="00FC60A1">
        <w:fldChar w:fldCharType="begin"/>
      </w:r>
      <w:r>
        <w:instrText xml:space="preserve"> TA \l "</w:instrText>
      </w:r>
      <w:r w:rsidRPr="003F1CDE">
        <w:rPr>
          <w:i/>
        </w:rPr>
        <w:instrText>Wash. Utils. &amp; Transp. Comm’n v. PacifiCorp</w:instrText>
      </w:r>
      <w:r w:rsidRPr="003F1CDE">
        <w:instrText>, Docket UE-090704, Order 10 (January 8, 2010).</w:instrText>
      </w:r>
      <w:r>
        <w:instrText xml:space="preserve">" \s "Docket UE-090704, Order 10" \c 8 </w:instrText>
      </w:r>
      <w:r w:rsidR="00FC60A1">
        <w:fldChar w:fldCharType="end"/>
      </w:r>
      <w:r w:rsidRPr="004D32C6">
        <w:t xml:space="preserve">   </w:t>
      </w:r>
    </w:p>
  </w:footnote>
  <w:footnote w:id="187">
    <w:p w:rsidR="00A26E08" w:rsidRDefault="00A26E08" w:rsidP="00CB1528">
      <w:pPr>
        <w:pStyle w:val="FootnoteText"/>
      </w:pPr>
      <w:r>
        <w:rPr>
          <w:rStyle w:val="FootnoteReference"/>
        </w:rPr>
        <w:footnoteRef/>
      </w:r>
      <w:r>
        <w:t xml:space="preserve">“Pseudo” RECs exist due to the fact that RECs cannot be allocated to more than one state and RECs are allocated on a system-wide basis to each state that is supporting the costs of the facility from which the RECs are generated.  Even if the Company could meet its Washington renewable portfolio standard from the total RECs generated from facilities located in Washington, other states are paying a share of the costs of these facilities are therefore entitled to a share of the RECs that are generated.  Duvall, </w:t>
      </w:r>
      <w:proofErr w:type="spellStart"/>
      <w:r>
        <w:t>Exh</w:t>
      </w:r>
      <w:proofErr w:type="spellEnd"/>
      <w:r>
        <w:t>. No. GND-5T 6:17-7:6.</w:t>
      </w:r>
    </w:p>
  </w:footnote>
  <w:footnote w:id="188">
    <w:p w:rsidR="00A26E08" w:rsidRDefault="00A26E08" w:rsidP="00AC625D">
      <w:pPr>
        <w:pStyle w:val="FootnoteText"/>
      </w:pPr>
      <w:r>
        <w:rPr>
          <w:rStyle w:val="FootnoteReference"/>
        </w:rPr>
        <w:footnoteRef/>
      </w:r>
      <w:r>
        <w:t xml:space="preserve"> Duvall, </w:t>
      </w:r>
      <w:proofErr w:type="spellStart"/>
      <w:r>
        <w:t>Exh</w:t>
      </w:r>
      <w:proofErr w:type="spellEnd"/>
      <w:r>
        <w:t>. GND-5T 14:5-6.</w:t>
      </w:r>
    </w:p>
  </w:footnote>
  <w:footnote w:id="189">
    <w:p w:rsidR="00A26E08" w:rsidRDefault="00A26E08">
      <w:pPr>
        <w:pStyle w:val="FootnoteText"/>
      </w:pPr>
      <w:r>
        <w:rPr>
          <w:rStyle w:val="FootnoteReference"/>
        </w:rPr>
        <w:footnoteRef/>
      </w:r>
      <w:r>
        <w:t xml:space="preserve"> Bench Request, </w:t>
      </w:r>
      <w:proofErr w:type="spellStart"/>
      <w:r>
        <w:t>Exh</w:t>
      </w:r>
      <w:proofErr w:type="spellEnd"/>
      <w:r>
        <w:t xml:space="preserve">. </w:t>
      </w:r>
      <w:proofErr w:type="gramStart"/>
      <w:r>
        <w:t>No. 16C.</w:t>
      </w:r>
      <w:proofErr w:type="gramEnd"/>
    </w:p>
  </w:footnote>
  <w:footnote w:id="190">
    <w:p w:rsidR="00A26E08" w:rsidRDefault="00A26E08" w:rsidP="00AC625D">
      <w:pPr>
        <w:pStyle w:val="FootnoteText"/>
      </w:pPr>
      <w:r>
        <w:rPr>
          <w:rStyle w:val="FootnoteReference"/>
        </w:rPr>
        <w:footnoteRef/>
      </w:r>
      <w:r>
        <w:t xml:space="preserve"> Buckley, </w:t>
      </w:r>
      <w:proofErr w:type="spellStart"/>
      <w:r>
        <w:t>Exh</w:t>
      </w:r>
      <w:proofErr w:type="spellEnd"/>
      <w:r>
        <w:t xml:space="preserve">. No. APB-1CT 8:7-12; </w:t>
      </w:r>
      <w:proofErr w:type="spellStart"/>
      <w:r>
        <w:t>Falkenberg</w:t>
      </w:r>
      <w:proofErr w:type="spellEnd"/>
      <w:r>
        <w:t xml:space="preserve">, </w:t>
      </w:r>
      <w:proofErr w:type="spellStart"/>
      <w:r>
        <w:t>Exh</w:t>
      </w:r>
      <w:proofErr w:type="spellEnd"/>
      <w:r>
        <w:t xml:space="preserve">. No. RJF-1CT 9:20-22.  </w:t>
      </w:r>
    </w:p>
  </w:footnote>
  <w:footnote w:id="191">
    <w:p w:rsidR="00A26E08" w:rsidRDefault="00A26E08">
      <w:pPr>
        <w:pStyle w:val="FootnoteText"/>
      </w:pPr>
      <w:r>
        <w:rPr>
          <w:rStyle w:val="FootnoteReference"/>
        </w:rPr>
        <w:footnoteRef/>
      </w:r>
      <w:r>
        <w:t xml:space="preserve"> All NPC adjustments are stated on a WCA basis, rather than a Washington-allocated basis.  </w:t>
      </w:r>
    </w:p>
  </w:footnote>
  <w:footnote w:id="192">
    <w:p w:rsidR="00A26E08" w:rsidRDefault="00A26E08" w:rsidP="00AC625D">
      <w:pPr>
        <w:pStyle w:val="FootnoteText"/>
      </w:pPr>
      <w:r>
        <w:rPr>
          <w:rStyle w:val="FootnoteReference"/>
        </w:rPr>
        <w:footnoteRef/>
      </w:r>
      <w:r>
        <w:t xml:space="preserve"> Buckley, </w:t>
      </w:r>
      <w:proofErr w:type="spellStart"/>
      <w:r>
        <w:t>Exh</w:t>
      </w:r>
      <w:proofErr w:type="spellEnd"/>
      <w:r>
        <w:t xml:space="preserve">. No. APB-1CT 8:6-15; </w:t>
      </w:r>
      <w:proofErr w:type="spellStart"/>
      <w:r>
        <w:t>Falkenberg</w:t>
      </w:r>
      <w:proofErr w:type="spellEnd"/>
      <w:r>
        <w:t xml:space="preserve">, </w:t>
      </w:r>
      <w:proofErr w:type="spellStart"/>
      <w:r>
        <w:t>Exh</w:t>
      </w:r>
      <w:proofErr w:type="spellEnd"/>
      <w:r>
        <w:t xml:space="preserve">. No. RJF-1CT 9:20-22.  </w:t>
      </w:r>
    </w:p>
  </w:footnote>
  <w:footnote w:id="193">
    <w:p w:rsidR="00A26E08" w:rsidRDefault="00A26E08" w:rsidP="00AC625D">
      <w:pPr>
        <w:pStyle w:val="FootnoteText"/>
      </w:pPr>
      <w:r>
        <w:rPr>
          <w:rStyle w:val="FootnoteReference"/>
        </w:rPr>
        <w:footnoteRef/>
      </w:r>
      <w:r>
        <w:t xml:space="preserve"> Duvall, </w:t>
      </w:r>
      <w:proofErr w:type="spellStart"/>
      <w:r>
        <w:t>Exh</w:t>
      </w:r>
      <w:proofErr w:type="spellEnd"/>
      <w:r>
        <w:t xml:space="preserve">. No. GND-5T 31:18-20.  </w:t>
      </w:r>
    </w:p>
  </w:footnote>
  <w:footnote w:id="194">
    <w:p w:rsidR="00A26E08" w:rsidRDefault="00A26E08" w:rsidP="00AC625D">
      <w:pPr>
        <w:pStyle w:val="FootnoteText"/>
      </w:pPr>
      <w:r>
        <w:rPr>
          <w:rStyle w:val="FootnoteReference"/>
        </w:rPr>
        <w:footnoteRef/>
      </w:r>
      <w:r>
        <w:t xml:space="preserve"> Buckley, </w:t>
      </w:r>
      <w:proofErr w:type="spellStart"/>
      <w:r>
        <w:t>Exh</w:t>
      </w:r>
      <w:proofErr w:type="spellEnd"/>
      <w:r>
        <w:t xml:space="preserve">. No. APB-1CT 8:7-21; </w:t>
      </w:r>
      <w:proofErr w:type="spellStart"/>
      <w:r>
        <w:t>Falkenberg</w:t>
      </w:r>
      <w:proofErr w:type="spellEnd"/>
      <w:r>
        <w:t xml:space="preserve">, </w:t>
      </w:r>
      <w:proofErr w:type="spellStart"/>
      <w:r>
        <w:t>Exh</w:t>
      </w:r>
      <w:proofErr w:type="spellEnd"/>
      <w:r>
        <w:t>. No. RJF-1CT 9:4-5.</w:t>
      </w:r>
    </w:p>
  </w:footnote>
  <w:footnote w:id="195">
    <w:p w:rsidR="00A26E08" w:rsidRDefault="00A26E08" w:rsidP="00AC625D">
      <w:pPr>
        <w:pStyle w:val="FootnoteText"/>
      </w:pPr>
      <w:r>
        <w:rPr>
          <w:rStyle w:val="FootnoteReference"/>
        </w:rPr>
        <w:footnoteRef/>
      </w:r>
      <w:r>
        <w:t xml:space="preserve"> Falkenberg, TR 667:6-12.  </w:t>
      </w:r>
    </w:p>
  </w:footnote>
  <w:footnote w:id="196">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10:3-24.</w:t>
      </w:r>
    </w:p>
  </w:footnote>
  <w:footnote w:id="197">
    <w:p w:rsidR="00A26E08" w:rsidRDefault="00A26E08" w:rsidP="00AC625D">
      <w:pPr>
        <w:pStyle w:val="FootnoteText"/>
      </w:pPr>
      <w:r>
        <w:rPr>
          <w:rStyle w:val="FootnoteReference"/>
        </w:rPr>
        <w:footnoteRef/>
      </w:r>
      <w:r>
        <w:t xml:space="preserve"> Falkenberg, TR 666:15-667:21.</w:t>
      </w:r>
    </w:p>
  </w:footnote>
  <w:footnote w:id="198">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6:6-10.</w:t>
      </w:r>
    </w:p>
  </w:footnote>
  <w:footnote w:id="199">
    <w:p w:rsidR="00A26E08" w:rsidRDefault="00A26E08" w:rsidP="00AC625D">
      <w:pPr>
        <w:pStyle w:val="FootnoteText"/>
      </w:pPr>
      <w:r>
        <w:rPr>
          <w:rStyle w:val="FootnoteReference"/>
        </w:rPr>
        <w:footnoteRef/>
      </w:r>
      <w:r>
        <w:t xml:space="preserve"> Falkenberg, TR. 663:5-17.  </w:t>
      </w:r>
    </w:p>
  </w:footnote>
  <w:footnote w:id="200">
    <w:p w:rsidR="00A26E08" w:rsidRDefault="00A26E08" w:rsidP="00AC625D">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w:t>
      </w:r>
      <w:proofErr w:type="gramStart"/>
      <w:r>
        <w:rPr>
          <w:i/>
        </w:rPr>
        <w:t xml:space="preserve">&amp; Transp. </w:t>
      </w:r>
      <w:proofErr w:type="spellStart"/>
      <w:r>
        <w:rPr>
          <w:i/>
        </w:rPr>
        <w:t>Comm’n</w:t>
      </w:r>
      <w:proofErr w:type="spellEnd"/>
      <w:r>
        <w:rPr>
          <w:i/>
        </w:rPr>
        <w:t xml:space="preserve"> v. PacifiCorp</w:t>
      </w:r>
      <w:r>
        <w:t>, Docket UE-061546, Order 8 ¶ 117-118 (June 21, 2007)</w:t>
      </w:r>
      <w:r w:rsidR="00FC60A1">
        <w:fldChar w:fldCharType="begin"/>
      </w:r>
      <w:r>
        <w:instrText xml:space="preserve"> TA \l "</w:instrText>
      </w:r>
      <w:r w:rsidRPr="00E41C81">
        <w:rPr>
          <w:i/>
        </w:rPr>
        <w:instrText>Wash. Utils. &amp; Transp. Comm’n v. PacifiCorp</w:instrText>
      </w:r>
      <w:r w:rsidRPr="00E41C81">
        <w:instrText>, Docket UE-061546, Order 8 (June 21, 2007)</w:instrText>
      </w:r>
      <w:r>
        <w:instrText xml:space="preserve">" \s "Docket UE-061546, Order 8" \c 8 </w:instrText>
      </w:r>
      <w:r w:rsidR="00FC60A1">
        <w:fldChar w:fldCharType="end"/>
      </w:r>
      <w:r>
        <w:t xml:space="preserve">; </w:t>
      </w:r>
      <w:proofErr w:type="spellStart"/>
      <w:r>
        <w:t>Falkenberg</w:t>
      </w:r>
      <w:proofErr w:type="spellEnd"/>
      <w:r>
        <w:t xml:space="preserve">, </w:t>
      </w:r>
      <w:proofErr w:type="spellStart"/>
      <w:r>
        <w:t>Exh</w:t>
      </w:r>
      <w:proofErr w:type="spellEnd"/>
      <w:r>
        <w:t xml:space="preserve"> No.</w:t>
      </w:r>
      <w:proofErr w:type="gramEnd"/>
      <w:r>
        <w:t xml:space="preserve"> RJF-18 30-33.</w:t>
      </w:r>
    </w:p>
  </w:footnote>
  <w:footnote w:id="201">
    <w:p w:rsidR="00A26E08" w:rsidRDefault="00A26E08" w:rsidP="00AC625D">
      <w:pPr>
        <w:pStyle w:val="FootnoteText"/>
      </w:pPr>
      <w:r>
        <w:rPr>
          <w:rStyle w:val="FootnoteReference"/>
        </w:rPr>
        <w:footnoteRef/>
      </w:r>
      <w:r>
        <w:t xml:space="preserve"> Falkenberg, TR. 667:16-21. </w:t>
      </w:r>
    </w:p>
  </w:footnote>
  <w:footnote w:id="202">
    <w:p w:rsidR="00A26E08" w:rsidRDefault="00A26E08" w:rsidP="00AC625D">
      <w:pPr>
        <w:pStyle w:val="FootnoteText"/>
      </w:pPr>
      <w:r>
        <w:rPr>
          <w:rStyle w:val="FootnoteReference"/>
        </w:rPr>
        <w:footnoteRef/>
      </w:r>
      <w:r>
        <w:t xml:space="preserve"> Duvall, </w:t>
      </w:r>
      <w:proofErr w:type="spellStart"/>
      <w:r>
        <w:t>Exh</w:t>
      </w:r>
      <w:proofErr w:type="spellEnd"/>
      <w:r>
        <w:t>. No. GND-5T 32:16-18.</w:t>
      </w:r>
    </w:p>
  </w:footnote>
  <w:footnote w:id="203">
    <w:p w:rsidR="00A26E08" w:rsidRPr="003A5BED" w:rsidRDefault="00A26E08" w:rsidP="00AC625D">
      <w:pPr>
        <w:pStyle w:val="FootnoteText"/>
      </w:pPr>
      <w:r>
        <w:rPr>
          <w:rStyle w:val="FootnoteReference"/>
        </w:rPr>
        <w:footnoteRef/>
      </w:r>
      <w:r>
        <w:t xml:space="preserve"> Duvall </w:t>
      </w:r>
      <w:proofErr w:type="spellStart"/>
      <w:r>
        <w:t>Exh</w:t>
      </w:r>
      <w:proofErr w:type="spellEnd"/>
      <w:r>
        <w:t xml:space="preserve">. No. GND-5T 34:4-10.  </w:t>
      </w:r>
      <w:r>
        <w:rPr>
          <w:i/>
        </w:rPr>
        <w:t xml:space="preserve">See Wash. </w:t>
      </w:r>
      <w:proofErr w:type="spellStart"/>
      <w:r>
        <w:rPr>
          <w:i/>
        </w:rPr>
        <w:t>Utils</w:t>
      </w:r>
      <w:proofErr w:type="spellEnd"/>
      <w:r>
        <w:rPr>
          <w:i/>
        </w:rPr>
        <w:t xml:space="preserve">. &amp; Transp. </w:t>
      </w:r>
      <w:proofErr w:type="spellStart"/>
      <w:r>
        <w:rPr>
          <w:i/>
        </w:rPr>
        <w:t>Comm’n</w:t>
      </w:r>
      <w:proofErr w:type="spellEnd"/>
      <w:r>
        <w:rPr>
          <w:i/>
        </w:rPr>
        <w:t xml:space="preserve"> v. PacifiCorp</w:t>
      </w:r>
      <w:r>
        <w:t>, Docket UE-061546, Order 8</w:t>
      </w:r>
      <w:r w:rsidR="00FC60A1">
        <w:fldChar w:fldCharType="begin"/>
      </w:r>
      <w:r>
        <w:instrText xml:space="preserve"> TA \s "Docket UE-061546, Order 8" </w:instrText>
      </w:r>
      <w:r w:rsidR="00FC60A1">
        <w:fldChar w:fldCharType="end"/>
      </w:r>
      <w:r>
        <w:t xml:space="preserve"> (June 21, 2007).</w:t>
      </w:r>
    </w:p>
  </w:footnote>
  <w:footnote w:id="204">
    <w:p w:rsidR="00A26E08" w:rsidRDefault="00A26E08" w:rsidP="00AC625D">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UE-061546, Order 8</w:t>
      </w:r>
      <w:r w:rsidR="00FC60A1">
        <w:fldChar w:fldCharType="begin"/>
      </w:r>
      <w:r>
        <w:instrText xml:space="preserve"> TA \s "Docket UE-061546, Order 8" </w:instrText>
      </w:r>
      <w:r w:rsidR="00FC60A1">
        <w:fldChar w:fldCharType="end"/>
      </w:r>
      <w:r>
        <w:t xml:space="preserve"> at 13-14 (June 21, 2007).</w:t>
      </w:r>
    </w:p>
  </w:footnote>
  <w:footnote w:id="205">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16:1-21.</w:t>
      </w:r>
    </w:p>
  </w:footnote>
  <w:footnote w:id="206">
    <w:p w:rsidR="00A26E08" w:rsidRDefault="00A26E08" w:rsidP="00AC625D">
      <w:pPr>
        <w:pStyle w:val="FootnoteText"/>
      </w:pPr>
      <w:r>
        <w:rPr>
          <w:rStyle w:val="FootnoteReference"/>
        </w:rPr>
        <w:footnoteRef/>
      </w:r>
      <w:r>
        <w:t xml:space="preserve"> Falkenberg, TR. 647:9-648:17.</w:t>
      </w:r>
    </w:p>
  </w:footnote>
  <w:footnote w:id="207">
    <w:p w:rsidR="00A26E08" w:rsidRDefault="00A26E08" w:rsidP="00AC625D">
      <w:pPr>
        <w:pStyle w:val="FootnoteText"/>
      </w:pPr>
      <w:r>
        <w:rPr>
          <w:rStyle w:val="FootnoteReference"/>
        </w:rPr>
        <w:footnoteRef/>
      </w:r>
      <w:r>
        <w:t xml:space="preserve"> Duvall, </w:t>
      </w:r>
      <w:proofErr w:type="spellStart"/>
      <w:r>
        <w:t>Exh</w:t>
      </w:r>
      <w:proofErr w:type="spellEnd"/>
      <w:r>
        <w:t>. No. GND-5T 35:1-7.</w:t>
      </w:r>
    </w:p>
  </w:footnote>
  <w:footnote w:id="208">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No. RJF-8T 3:6-7. </w:t>
      </w:r>
    </w:p>
  </w:footnote>
  <w:footnote w:id="209">
    <w:p w:rsidR="00A26E08" w:rsidRDefault="00A26E08" w:rsidP="00AC625D">
      <w:pPr>
        <w:pStyle w:val="FootnoteText"/>
      </w:pPr>
      <w:r>
        <w:rPr>
          <w:rStyle w:val="FootnoteReference"/>
        </w:rPr>
        <w:footnoteRef/>
      </w:r>
      <w:r>
        <w:t xml:space="preserve"> Duvall, </w:t>
      </w:r>
      <w:proofErr w:type="spellStart"/>
      <w:r>
        <w:t>Exh</w:t>
      </w:r>
      <w:proofErr w:type="spellEnd"/>
      <w:r>
        <w:t xml:space="preserve">. No. GND-5T 35:8-18; Falkenberg, TR. 651:7-657:25.  </w:t>
      </w:r>
    </w:p>
  </w:footnote>
  <w:footnote w:id="210">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31:23-24.</w:t>
      </w:r>
    </w:p>
  </w:footnote>
  <w:footnote w:id="211">
    <w:p w:rsidR="00A26E08" w:rsidRDefault="00A26E08" w:rsidP="00AC625D">
      <w:pPr>
        <w:pStyle w:val="FootnoteText"/>
      </w:pPr>
      <w:r>
        <w:rPr>
          <w:rStyle w:val="FootnoteReference"/>
        </w:rPr>
        <w:footnoteRef/>
      </w:r>
      <w:r>
        <w:t xml:space="preserve"> Buckley, </w:t>
      </w:r>
      <w:proofErr w:type="spellStart"/>
      <w:r>
        <w:t>Exh</w:t>
      </w:r>
      <w:proofErr w:type="spellEnd"/>
      <w:r>
        <w:t xml:space="preserve">. No. APB-1CT 20:3-11; </w:t>
      </w:r>
      <w:proofErr w:type="spellStart"/>
      <w:r>
        <w:t>Falkenberg</w:t>
      </w:r>
      <w:proofErr w:type="spellEnd"/>
      <w:r>
        <w:t xml:space="preserve">, </w:t>
      </w:r>
      <w:proofErr w:type="spellStart"/>
      <w:r>
        <w:t>Exh</w:t>
      </w:r>
      <w:proofErr w:type="spellEnd"/>
      <w:r>
        <w:t>. No. RJF-1CT 32:21-22.</w:t>
      </w:r>
    </w:p>
  </w:footnote>
  <w:footnote w:id="212">
    <w:p w:rsidR="00A26E08" w:rsidRDefault="00A26E08" w:rsidP="00AC625D">
      <w:pPr>
        <w:pStyle w:val="FootnoteText"/>
      </w:pPr>
      <w:r>
        <w:rPr>
          <w:rStyle w:val="FootnoteReference"/>
        </w:rPr>
        <w:footnoteRef/>
      </w:r>
      <w:r>
        <w:t xml:space="preserve"> Buckley, </w:t>
      </w:r>
      <w:proofErr w:type="spellStart"/>
      <w:r>
        <w:t>Exh</w:t>
      </w:r>
      <w:proofErr w:type="spellEnd"/>
      <w:r>
        <w:t>. No. APB-1CT 20:13-18 (emphasis added).</w:t>
      </w:r>
    </w:p>
  </w:footnote>
  <w:footnote w:id="213">
    <w:p w:rsidR="00A26E08" w:rsidRDefault="00A26E08" w:rsidP="00AC625D">
      <w:pPr>
        <w:pStyle w:val="FootnoteText"/>
      </w:pPr>
      <w:r>
        <w:rPr>
          <w:rStyle w:val="FootnoteReference"/>
        </w:rPr>
        <w:footnoteRef/>
      </w:r>
      <w:r>
        <w:t xml:space="preserve"> Falkenberg, TR. 654:19-24.</w:t>
      </w:r>
    </w:p>
  </w:footnote>
  <w:footnote w:id="214">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32:9-17.</w:t>
      </w:r>
    </w:p>
  </w:footnote>
  <w:footnote w:id="215">
    <w:p w:rsidR="00A26E08" w:rsidRDefault="00A26E08" w:rsidP="00AC625D">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UE-061546, Order 8</w:t>
      </w:r>
      <w:r w:rsidR="00FC60A1">
        <w:fldChar w:fldCharType="begin"/>
      </w:r>
      <w:r>
        <w:instrText xml:space="preserve"> TA \s "Docket UE-061546, Order 8" </w:instrText>
      </w:r>
      <w:r w:rsidR="00FC60A1">
        <w:fldChar w:fldCharType="end"/>
      </w:r>
      <w:r>
        <w:t xml:space="preserve"> ¶ 54 (June 21, 2007).</w:t>
      </w:r>
    </w:p>
  </w:footnote>
  <w:footnote w:id="216">
    <w:p w:rsidR="00A26E08" w:rsidRDefault="00A26E08" w:rsidP="00AC625D">
      <w:pPr>
        <w:pStyle w:val="FootnoteText"/>
      </w:pPr>
      <w:r>
        <w:rPr>
          <w:rStyle w:val="FootnoteReference"/>
        </w:rPr>
        <w:footnoteRef/>
      </w:r>
      <w:r>
        <w:t xml:space="preserve"> Falkenberg, TR. 655:19-23; Duvall, </w:t>
      </w:r>
      <w:proofErr w:type="spellStart"/>
      <w:r>
        <w:t>Exh</w:t>
      </w:r>
      <w:proofErr w:type="spellEnd"/>
      <w:r>
        <w:t>. No. GND-5T:11-16.</w:t>
      </w:r>
    </w:p>
  </w:footnote>
  <w:footnote w:id="217">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No. RJF-1CT 33:10-11; Buckley, </w:t>
      </w:r>
      <w:proofErr w:type="spellStart"/>
      <w:r>
        <w:t>Exh</w:t>
      </w:r>
      <w:proofErr w:type="spellEnd"/>
      <w:r>
        <w:t>. No. APB-1CT 19:1-8.</w:t>
      </w:r>
    </w:p>
  </w:footnote>
  <w:footnote w:id="218">
    <w:p w:rsidR="00A26E08" w:rsidRDefault="00A26E08" w:rsidP="00AC625D">
      <w:pPr>
        <w:pStyle w:val="FootnoteText"/>
      </w:pPr>
      <w:r>
        <w:rPr>
          <w:rStyle w:val="FootnoteReference"/>
        </w:rPr>
        <w:footnoteRef/>
      </w:r>
      <w:r>
        <w:t xml:space="preserve"> Falkenberg, TR. 656:10-657:16.</w:t>
      </w:r>
    </w:p>
  </w:footnote>
  <w:footnote w:id="219">
    <w:p w:rsidR="00A26E08" w:rsidRDefault="00A26E08">
      <w:pPr>
        <w:pStyle w:val="FootnoteText"/>
      </w:pPr>
      <w:r>
        <w:rPr>
          <w:rStyle w:val="FootnoteReference"/>
        </w:rPr>
        <w:footnoteRef/>
      </w:r>
      <w:r>
        <w:t xml:space="preserve"> Duvall, TR. 304:2-8.</w:t>
      </w:r>
    </w:p>
  </w:footnote>
  <w:footnote w:id="220">
    <w:p w:rsidR="00A26E08" w:rsidRDefault="00A26E08" w:rsidP="00AC625D">
      <w:pPr>
        <w:pStyle w:val="FootnoteText"/>
      </w:pPr>
      <w:r>
        <w:rPr>
          <w:rStyle w:val="FootnoteReference"/>
        </w:rPr>
        <w:footnoteRef/>
      </w:r>
      <w:r>
        <w:t xml:space="preserve"> Duvall, </w:t>
      </w:r>
      <w:proofErr w:type="spellStart"/>
      <w:r>
        <w:t>Exh</w:t>
      </w:r>
      <w:proofErr w:type="spellEnd"/>
      <w:r>
        <w:t>. No. GND-5T 42:4-15.</w:t>
      </w:r>
    </w:p>
  </w:footnote>
  <w:footnote w:id="221">
    <w:p w:rsidR="00A26E08" w:rsidRDefault="00A26E08" w:rsidP="00AC625D">
      <w:pPr>
        <w:pStyle w:val="FootnoteText"/>
      </w:pPr>
      <w:r>
        <w:rPr>
          <w:rStyle w:val="FootnoteReference"/>
        </w:rPr>
        <w:footnoteRef/>
      </w:r>
      <w:r>
        <w:t xml:space="preserve"> Duvall, </w:t>
      </w:r>
      <w:proofErr w:type="spellStart"/>
      <w:r>
        <w:t>Exh</w:t>
      </w:r>
      <w:proofErr w:type="spellEnd"/>
      <w:r>
        <w:t>. No. GND-5T 42:13-15.</w:t>
      </w:r>
    </w:p>
  </w:footnote>
  <w:footnote w:id="222">
    <w:p w:rsidR="00A26E08" w:rsidRPr="00140CA1" w:rsidRDefault="00A26E08" w:rsidP="00AC625D">
      <w:pPr>
        <w:pStyle w:val="FootnoteText"/>
        <w:rPr>
          <w:i/>
        </w:rPr>
      </w:pPr>
      <w:r>
        <w:rPr>
          <w:rStyle w:val="FootnoteReference"/>
        </w:rPr>
        <w:footnoteRef/>
      </w:r>
      <w:r>
        <w:t xml:space="preserve"> </w:t>
      </w:r>
      <w:r>
        <w:rPr>
          <w:i/>
        </w:rPr>
        <w:t>See</w:t>
      </w:r>
      <w:r w:rsidRPr="00140CA1">
        <w:t xml:space="preserve"> </w:t>
      </w:r>
      <w:proofErr w:type="spellStart"/>
      <w:r>
        <w:t>Falkenberg</w:t>
      </w:r>
      <w:proofErr w:type="spellEnd"/>
      <w:r>
        <w:t xml:space="preserve">, </w:t>
      </w:r>
      <w:proofErr w:type="spellStart"/>
      <w:r>
        <w:t>Exh</w:t>
      </w:r>
      <w:proofErr w:type="spellEnd"/>
      <w:r>
        <w:t>. No. RJF-1CT 34:2-5.</w:t>
      </w:r>
    </w:p>
  </w:footnote>
  <w:footnote w:id="223">
    <w:p w:rsidR="00A26E08" w:rsidRDefault="00A26E08" w:rsidP="00AC625D">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UE-061546, Order 8</w:t>
      </w:r>
      <w:r w:rsidR="00FC60A1">
        <w:fldChar w:fldCharType="begin"/>
      </w:r>
      <w:r>
        <w:instrText xml:space="preserve"> TA \s "Docket UE-061546, Order 8" </w:instrText>
      </w:r>
      <w:r w:rsidR="00FC60A1">
        <w:fldChar w:fldCharType="end"/>
      </w:r>
      <w:r>
        <w:t xml:space="preserve"> ¶ 122 (June 21, 2007).</w:t>
      </w:r>
    </w:p>
  </w:footnote>
  <w:footnote w:id="224">
    <w:p w:rsidR="00A26E08" w:rsidRDefault="00A26E08" w:rsidP="00AC625D">
      <w:pPr>
        <w:pStyle w:val="FootnoteText"/>
      </w:pPr>
      <w:r>
        <w:rPr>
          <w:rStyle w:val="FootnoteReference"/>
        </w:rPr>
        <w:footnoteRef/>
      </w:r>
      <w:r>
        <w:t xml:space="preserve"> Falkenberg, TR. 659:19-661:10.</w:t>
      </w:r>
    </w:p>
  </w:footnote>
  <w:footnote w:id="225">
    <w:p w:rsidR="00A26E08" w:rsidRDefault="00A26E08" w:rsidP="00AC625D">
      <w:pPr>
        <w:pStyle w:val="FootnoteText"/>
      </w:pPr>
      <w:r>
        <w:rPr>
          <w:rStyle w:val="FootnoteReference"/>
        </w:rPr>
        <w:footnoteRef/>
      </w:r>
      <w:r>
        <w:t>Falkenberg, TR. 658:23-659:3.</w:t>
      </w:r>
    </w:p>
  </w:footnote>
  <w:footnote w:id="226">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RJF-20 5:15-16.</w:t>
      </w:r>
    </w:p>
  </w:footnote>
  <w:footnote w:id="227">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No. RJF-1CT 46:8-10; Buckley, </w:t>
      </w:r>
      <w:proofErr w:type="spellStart"/>
      <w:r>
        <w:t>Exh</w:t>
      </w:r>
      <w:proofErr w:type="spellEnd"/>
      <w:r>
        <w:t>. No. APB-1CT 24:3-25:5.</w:t>
      </w:r>
    </w:p>
  </w:footnote>
  <w:footnote w:id="228">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46:4-7; Buckley, TR. 592:1-9.</w:t>
      </w:r>
    </w:p>
  </w:footnote>
  <w:footnote w:id="229">
    <w:p w:rsidR="00A26E08" w:rsidRPr="00B857A8" w:rsidRDefault="00A26E08" w:rsidP="00AC625D">
      <w:pPr>
        <w:pStyle w:val="FootnoteText"/>
      </w:pPr>
      <w:r>
        <w:rPr>
          <w:rStyle w:val="FootnoteReference"/>
        </w:rPr>
        <w:footnoteRef/>
      </w:r>
      <w:r>
        <w:t xml:space="preserve"> 16 U.S.C. </w:t>
      </w:r>
      <w:r>
        <w:rPr>
          <w:rFonts w:cs="Times"/>
        </w:rPr>
        <w:t>§</w:t>
      </w:r>
      <w:r>
        <w:t xml:space="preserve"> 791 </w:t>
      </w:r>
      <w:proofErr w:type="gramStart"/>
      <w:r>
        <w:rPr>
          <w:i/>
        </w:rPr>
        <w:t>et</w:t>
      </w:r>
      <w:proofErr w:type="gramEnd"/>
      <w:r>
        <w:rPr>
          <w:i/>
        </w:rPr>
        <w:t xml:space="preserve"> seq</w:t>
      </w:r>
      <w:r w:rsidR="00FC60A1">
        <w:rPr>
          <w:i/>
        </w:rPr>
        <w:fldChar w:fldCharType="begin"/>
      </w:r>
      <w:r>
        <w:instrText xml:space="preserve"> TA \l "</w:instrText>
      </w:r>
      <w:r w:rsidRPr="006E38F5">
        <w:instrText xml:space="preserve">16 U.S.C. </w:instrText>
      </w:r>
      <w:r w:rsidRPr="006E38F5">
        <w:rPr>
          <w:rFonts w:cs="Times"/>
        </w:rPr>
        <w:instrText>§</w:instrText>
      </w:r>
      <w:r w:rsidRPr="006E38F5">
        <w:instrText xml:space="preserve"> 791 </w:instrText>
      </w:r>
      <w:r w:rsidRPr="006E38F5">
        <w:rPr>
          <w:i/>
        </w:rPr>
        <w:instrText>et seq</w:instrText>
      </w:r>
      <w:r>
        <w:instrText xml:space="preserve">" \s "16 U.S.C. § 791 et seq" \c 2 </w:instrText>
      </w:r>
      <w:r w:rsidR="00FC60A1">
        <w:rPr>
          <w:i/>
        </w:rPr>
        <w:fldChar w:fldCharType="end"/>
      </w:r>
      <w:r>
        <w:rPr>
          <w:i/>
        </w:rPr>
        <w:t>.</w:t>
      </w:r>
      <w:r>
        <w:t xml:space="preserve">; </w:t>
      </w:r>
      <w:r>
        <w:rPr>
          <w:i/>
        </w:rPr>
        <w:t xml:space="preserve">Nantahala Power &amp; Light Co. v. </w:t>
      </w:r>
      <w:proofErr w:type="spellStart"/>
      <w:r>
        <w:rPr>
          <w:i/>
        </w:rPr>
        <w:t>Thornberg</w:t>
      </w:r>
      <w:proofErr w:type="spellEnd"/>
      <w:r>
        <w:t>, 476 U.S. 953, 963-64 (1986)</w:t>
      </w:r>
      <w:r w:rsidR="00FC60A1">
        <w:fldChar w:fldCharType="begin"/>
      </w:r>
      <w:r>
        <w:instrText xml:space="preserve"> TA \s "Nantahala" </w:instrText>
      </w:r>
      <w:r w:rsidR="00FC60A1">
        <w:fldChar w:fldCharType="end"/>
      </w:r>
      <w:r>
        <w:t xml:space="preserve">; </w:t>
      </w:r>
      <w:r>
        <w:rPr>
          <w:i/>
        </w:rPr>
        <w:t xml:space="preserve">Cogeneration </w:t>
      </w:r>
      <w:proofErr w:type="spellStart"/>
      <w:r>
        <w:rPr>
          <w:i/>
        </w:rPr>
        <w:t>Ass’n</w:t>
      </w:r>
      <w:proofErr w:type="spellEnd"/>
      <w:r>
        <w:rPr>
          <w:i/>
        </w:rPr>
        <w:t xml:space="preserve"> of Cal. V. Fed. </w:t>
      </w:r>
      <w:proofErr w:type="gramStart"/>
      <w:r>
        <w:rPr>
          <w:i/>
        </w:rPr>
        <w:t xml:space="preserve">Energy Regulatory </w:t>
      </w:r>
      <w:proofErr w:type="spellStart"/>
      <w:r>
        <w:rPr>
          <w:i/>
        </w:rPr>
        <w:t>Comm’n</w:t>
      </w:r>
      <w:proofErr w:type="spellEnd"/>
      <w:r>
        <w:t>, 525 F.3d 1279, 1280 (D.C. App. 2008)</w:t>
      </w:r>
      <w:r w:rsidR="00FC60A1">
        <w:fldChar w:fldCharType="begin"/>
      </w:r>
      <w:r>
        <w:instrText xml:space="preserve"> TA \l "</w:instrText>
      </w:r>
      <w:r w:rsidRPr="00CC311A">
        <w:rPr>
          <w:i/>
        </w:rPr>
        <w:instrText>Cogeneration Ass’n of Cal. V. Fed. Energy Regulatory Comm’n</w:instrText>
      </w:r>
      <w:r w:rsidRPr="00CC311A">
        <w:instrText>, 525 F.3d 1279 (D.C. App. 2008)</w:instrText>
      </w:r>
      <w:r>
        <w:instrText xml:space="preserve">" \s "Cogeneration" \c 1 </w:instrText>
      </w:r>
      <w:r w:rsidR="00FC60A1">
        <w:fldChar w:fldCharType="end"/>
      </w:r>
      <w:r>
        <w:t>.</w:t>
      </w:r>
      <w:proofErr w:type="gramEnd"/>
    </w:p>
  </w:footnote>
  <w:footnote w:id="230">
    <w:p w:rsidR="00A26E08" w:rsidRPr="004F2D7C" w:rsidRDefault="00A26E08" w:rsidP="007B47FD">
      <w:pPr>
        <w:pStyle w:val="FootnoteText"/>
        <w:tabs>
          <w:tab w:val="left" w:pos="7020"/>
        </w:tabs>
      </w:pPr>
      <w:r>
        <w:rPr>
          <w:rStyle w:val="FootnoteReference"/>
        </w:rPr>
        <w:footnoteRef/>
      </w:r>
      <w:r>
        <w:t xml:space="preserve"> </w:t>
      </w:r>
      <w:r>
        <w:rPr>
          <w:i/>
        </w:rPr>
        <w:t>Nantahala</w:t>
      </w:r>
      <w:r w:rsidR="00FC60A1">
        <w:rPr>
          <w:i/>
        </w:rPr>
        <w:fldChar w:fldCharType="begin"/>
      </w:r>
      <w:r>
        <w:rPr>
          <w:i/>
        </w:rPr>
        <w:instrText xml:space="preserve"> TA \s "Nantahala" </w:instrText>
      </w:r>
      <w:r w:rsidR="00FC60A1">
        <w:rPr>
          <w:i/>
        </w:rPr>
        <w:fldChar w:fldCharType="end"/>
      </w:r>
      <w:r>
        <w:t>, 487 U.S. at 372.</w:t>
      </w:r>
      <w:r>
        <w:tab/>
      </w:r>
    </w:p>
  </w:footnote>
  <w:footnote w:id="231">
    <w:p w:rsidR="00A26E08" w:rsidRDefault="00A26E08" w:rsidP="00AC625D">
      <w:pPr>
        <w:pStyle w:val="FootnoteText"/>
      </w:pPr>
      <w:r>
        <w:rPr>
          <w:rStyle w:val="FootnoteReference"/>
        </w:rPr>
        <w:footnoteRef/>
      </w:r>
      <w:r>
        <w:t xml:space="preserve"> </w:t>
      </w:r>
      <w:proofErr w:type="gramStart"/>
      <w:r>
        <w:rPr>
          <w:i/>
        </w:rPr>
        <w:t>Miss. Power &amp; Light Co. v. Miss.</w:t>
      </w:r>
      <w:r>
        <w:t>, 487 U.S. 354, 372 (1988)</w:t>
      </w:r>
      <w:r w:rsidR="00FC60A1">
        <w:fldChar w:fldCharType="begin"/>
      </w:r>
      <w:r>
        <w:instrText xml:space="preserve"> TA \l "</w:instrText>
      </w:r>
      <w:r w:rsidRPr="006E38F5">
        <w:rPr>
          <w:i/>
        </w:rPr>
        <w:instrText>Miss. Power &amp; Light Co. v. Miss.</w:instrText>
      </w:r>
      <w:r w:rsidRPr="006E38F5">
        <w:instrText>, 487 U.S. 354 (1988)</w:instrText>
      </w:r>
      <w:r>
        <w:instrText xml:space="preserve">" \s "Miss. Power &amp; Light Co." \c 1 </w:instrText>
      </w:r>
      <w:r w:rsidR="00FC60A1">
        <w:fldChar w:fldCharType="end"/>
      </w:r>
      <w:r>
        <w:t>.</w:t>
      </w:r>
      <w:proofErr w:type="gramEnd"/>
    </w:p>
  </w:footnote>
  <w:footnote w:id="232">
    <w:p w:rsidR="00A26E08" w:rsidRDefault="00A26E08" w:rsidP="00AC625D">
      <w:pPr>
        <w:pStyle w:val="FootnoteText"/>
      </w:pPr>
      <w:r>
        <w:rPr>
          <w:rStyle w:val="FootnoteReference"/>
        </w:rPr>
        <w:footnoteRef/>
      </w:r>
      <w:r>
        <w:t xml:space="preserve"> </w:t>
      </w:r>
      <w:r>
        <w:rPr>
          <w:i/>
        </w:rPr>
        <w:t>Nantahala</w:t>
      </w:r>
      <w:r w:rsidR="00FC60A1">
        <w:rPr>
          <w:i/>
        </w:rPr>
        <w:fldChar w:fldCharType="begin"/>
      </w:r>
      <w:r>
        <w:rPr>
          <w:i/>
        </w:rPr>
        <w:instrText xml:space="preserve"> TA \s "Nantahala" </w:instrText>
      </w:r>
      <w:r w:rsidR="00FC60A1">
        <w:rPr>
          <w:i/>
        </w:rPr>
        <w:fldChar w:fldCharType="end"/>
      </w:r>
      <w:r>
        <w:t xml:space="preserve">, 487 U.S. </w:t>
      </w:r>
      <w:proofErr w:type="gramStart"/>
      <w:r>
        <w:t>at  966</w:t>
      </w:r>
      <w:proofErr w:type="gramEnd"/>
      <w:r>
        <w:t xml:space="preserve">.  The Company’s OATT does not contain an explicit charge for wholesale wind integration rates, so imputing such a charge in PacifiCorp’s rates would violate the </w:t>
      </w:r>
      <w:proofErr w:type="spellStart"/>
      <w:r>
        <w:t>filed</w:t>
      </w:r>
      <w:proofErr w:type="spellEnd"/>
      <w:r>
        <w:t xml:space="preserve"> rate doctrine and interfere with FERC’s plenary authority over transmission rates in interstate commerce.</w:t>
      </w:r>
    </w:p>
  </w:footnote>
  <w:footnote w:id="233">
    <w:p w:rsidR="00A26E08" w:rsidRDefault="00A26E08" w:rsidP="00AC625D">
      <w:pPr>
        <w:pStyle w:val="FootnoteText"/>
      </w:pPr>
      <w:r>
        <w:rPr>
          <w:rStyle w:val="FootnoteReference"/>
        </w:rPr>
        <w:footnoteRef/>
      </w:r>
      <w:r>
        <w:t xml:space="preserve"> </w:t>
      </w:r>
      <w:r>
        <w:rPr>
          <w:i/>
        </w:rPr>
        <w:t>Nantahala</w:t>
      </w:r>
      <w:r w:rsidR="00FC60A1">
        <w:rPr>
          <w:i/>
        </w:rPr>
        <w:fldChar w:fldCharType="begin"/>
      </w:r>
      <w:r>
        <w:rPr>
          <w:i/>
        </w:rPr>
        <w:instrText xml:space="preserve"> TA \s "Nantahala" </w:instrText>
      </w:r>
      <w:r w:rsidR="00FC60A1">
        <w:rPr>
          <w:i/>
        </w:rPr>
        <w:fldChar w:fldCharType="end"/>
      </w:r>
      <w:r>
        <w:t>, 487 U.S. at 962.</w:t>
      </w:r>
    </w:p>
  </w:footnote>
  <w:footnote w:id="234">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45:3-12.</w:t>
      </w:r>
    </w:p>
  </w:footnote>
  <w:footnote w:id="235">
    <w:p w:rsidR="00A26E08" w:rsidRDefault="00A26E08" w:rsidP="00AC625D">
      <w:pPr>
        <w:pStyle w:val="FootnoteText"/>
      </w:pPr>
      <w:r>
        <w:rPr>
          <w:rStyle w:val="FootnoteReference"/>
        </w:rPr>
        <w:footnoteRef/>
      </w:r>
      <w:r>
        <w:t xml:space="preserve"> Buckley, </w:t>
      </w:r>
      <w:proofErr w:type="spellStart"/>
      <w:r>
        <w:t>Exh</w:t>
      </w:r>
      <w:proofErr w:type="spellEnd"/>
      <w:r>
        <w:t>. No. APB-16 19, n.39; Buckley, TR. 593:18-23</w:t>
      </w:r>
      <w:proofErr w:type="gramStart"/>
      <w:r>
        <w:t>..</w:t>
      </w:r>
      <w:proofErr w:type="gramEnd"/>
    </w:p>
  </w:footnote>
  <w:footnote w:id="236">
    <w:p w:rsidR="00A26E08" w:rsidRDefault="00A26E08" w:rsidP="00AC625D">
      <w:pPr>
        <w:pStyle w:val="FootnoteText"/>
      </w:pPr>
      <w:r>
        <w:rPr>
          <w:rStyle w:val="FootnoteReference"/>
        </w:rPr>
        <w:footnoteRef/>
      </w:r>
      <w:r>
        <w:t xml:space="preserve"> </w:t>
      </w:r>
      <w:r>
        <w:rPr>
          <w:i/>
        </w:rPr>
        <w:t>Westar Energy, Inc.</w:t>
      </w:r>
      <w:r>
        <w:t>, Docket No. ER09-1273-000,</w:t>
      </w:r>
      <w:r>
        <w:rPr>
          <w:i/>
        </w:rPr>
        <w:t xml:space="preserve"> </w:t>
      </w:r>
      <w:r>
        <w:t>130 FERC ¶ 61,215 (Mar. 18, 2010)</w:t>
      </w:r>
      <w:r w:rsidR="00FC60A1">
        <w:fldChar w:fldCharType="begin"/>
      </w:r>
      <w:r>
        <w:instrText xml:space="preserve"> TA \l "</w:instrText>
      </w:r>
      <w:r w:rsidRPr="006E38F5">
        <w:rPr>
          <w:i/>
        </w:rPr>
        <w:instrText>Westar Energy, Inc.</w:instrText>
      </w:r>
      <w:r w:rsidRPr="006E38F5">
        <w:instrText>, Docket No. ER09-1273-000,</w:instrText>
      </w:r>
      <w:r w:rsidRPr="006E38F5">
        <w:rPr>
          <w:i/>
        </w:rPr>
        <w:instrText xml:space="preserve"> </w:instrText>
      </w:r>
      <w:r w:rsidRPr="006E38F5">
        <w:instrText>130 FERC (Mar. 18, 2010)</w:instrText>
      </w:r>
      <w:r>
        <w:instrText xml:space="preserve">" \s "Westar Energy" \c 9 </w:instrText>
      </w:r>
      <w:r w:rsidR="00FC60A1">
        <w:fldChar w:fldCharType="end"/>
      </w:r>
      <w:r>
        <w:t>.  The Company requests that the Commission take official notice of this order pursuant to WAC 480-07-495</w:t>
      </w:r>
      <w:r w:rsidR="00FC60A1">
        <w:fldChar w:fldCharType="begin"/>
      </w:r>
      <w:r>
        <w:instrText xml:space="preserve"> TA \l "</w:instrText>
      </w:r>
      <w:r w:rsidRPr="00382891">
        <w:instrText>WAC 480-07-495</w:instrText>
      </w:r>
      <w:r>
        <w:instrText xml:space="preserve">" \s "WAC 480-07-495" \c 4 </w:instrText>
      </w:r>
      <w:r w:rsidR="00FC60A1">
        <w:fldChar w:fldCharType="end"/>
      </w:r>
      <w:r>
        <w:t>(2</w:t>
      </w:r>
      <w:proofErr w:type="gramStart"/>
      <w:r>
        <w:t>)(</w:t>
      </w:r>
      <w:proofErr w:type="gramEnd"/>
      <w:r>
        <w:t>a)(</w:t>
      </w:r>
      <w:proofErr w:type="spellStart"/>
      <w:r>
        <w:t>i</w:t>
      </w:r>
      <w:proofErr w:type="spellEnd"/>
      <w:r>
        <w:t>)(A).</w:t>
      </w:r>
    </w:p>
  </w:footnote>
  <w:footnote w:id="237">
    <w:p w:rsidR="00A26E08" w:rsidRDefault="00A26E08" w:rsidP="00AC625D">
      <w:pPr>
        <w:pStyle w:val="FootnoteText"/>
      </w:pPr>
      <w:r>
        <w:rPr>
          <w:rStyle w:val="FootnoteReference"/>
        </w:rPr>
        <w:footnoteRef/>
      </w:r>
      <w:r>
        <w:t xml:space="preserve"> Buckley, </w:t>
      </w:r>
      <w:proofErr w:type="spellStart"/>
      <w:r>
        <w:t>Exh</w:t>
      </w:r>
      <w:proofErr w:type="spellEnd"/>
      <w:r>
        <w:t xml:space="preserve">. No. </w:t>
      </w:r>
      <w:proofErr w:type="gramStart"/>
      <w:r>
        <w:t>APB-16.</w:t>
      </w:r>
      <w:proofErr w:type="gramEnd"/>
    </w:p>
  </w:footnote>
  <w:footnote w:id="238">
    <w:p w:rsidR="00A26E08" w:rsidRDefault="00A26E08" w:rsidP="00AC625D">
      <w:pPr>
        <w:pStyle w:val="FootnoteText"/>
      </w:pPr>
      <w:r>
        <w:rPr>
          <w:rStyle w:val="FootnoteReference"/>
        </w:rPr>
        <w:footnoteRef/>
      </w:r>
      <w:r>
        <w:t xml:space="preserve"> </w:t>
      </w:r>
      <w:r>
        <w:rPr>
          <w:i/>
        </w:rPr>
        <w:t xml:space="preserve">See </w:t>
      </w:r>
      <w:r>
        <w:t xml:space="preserve">Duvall, </w:t>
      </w:r>
      <w:proofErr w:type="spellStart"/>
      <w:r>
        <w:t>Exh</w:t>
      </w:r>
      <w:proofErr w:type="spellEnd"/>
      <w:r>
        <w:t>. No. GND-5T 46:1-4.</w:t>
      </w:r>
    </w:p>
  </w:footnote>
  <w:footnote w:id="239">
    <w:p w:rsidR="00A26E08" w:rsidRPr="00C2534F" w:rsidRDefault="00A26E08" w:rsidP="00AC625D">
      <w:pPr>
        <w:pStyle w:val="FootnoteText"/>
      </w:pPr>
      <w:r>
        <w:rPr>
          <w:rStyle w:val="FootnoteReference"/>
        </w:rPr>
        <w:footnoteRef/>
      </w:r>
      <w:r>
        <w:t xml:space="preserve"> </w:t>
      </w:r>
      <w:r>
        <w:rPr>
          <w:i/>
        </w:rPr>
        <w:t xml:space="preserve">See </w:t>
      </w:r>
      <w:r>
        <w:t xml:space="preserve">Buckley, TR. 597:13-25; </w:t>
      </w:r>
      <w:r>
        <w:rPr>
          <w:i/>
        </w:rPr>
        <w:t>Re. PacifiCorp 2011 Transition Adjustment Mechanism</w:t>
      </w:r>
      <w:r>
        <w:t>, Oregon PUC Docket UE 216,</w:t>
      </w:r>
      <w:r>
        <w:rPr>
          <w:i/>
        </w:rPr>
        <w:t xml:space="preserve"> </w:t>
      </w:r>
      <w:r>
        <w:t>Order No. 10-363, Appendix A at 4 (Sept. 16, 2010)</w:t>
      </w:r>
      <w:r w:rsidR="00FC60A1">
        <w:fldChar w:fldCharType="begin"/>
      </w:r>
      <w:r>
        <w:instrText xml:space="preserve"> TA \l "</w:instrText>
      </w:r>
      <w:r w:rsidRPr="00E008C1">
        <w:rPr>
          <w:i/>
        </w:rPr>
        <w:instrText>PacifiCorp 2011 Transition Adjustment Mechanism</w:instrText>
      </w:r>
      <w:r w:rsidRPr="00E008C1">
        <w:instrText>, Oregon PUC Docket UE 216,</w:instrText>
      </w:r>
      <w:r w:rsidRPr="00E008C1">
        <w:rPr>
          <w:i/>
        </w:rPr>
        <w:instrText xml:space="preserve"> </w:instrText>
      </w:r>
      <w:r w:rsidRPr="00E008C1">
        <w:instrText>Order No. 10-363 (Sept. 16, 2010)</w:instrText>
      </w:r>
      <w:r>
        <w:instrText xml:space="preserve">" \s "Oregon PUC Docket UE 216, Order No. 10-363" \c 9 </w:instrText>
      </w:r>
      <w:r w:rsidR="00FC60A1">
        <w:fldChar w:fldCharType="end"/>
      </w:r>
      <w:r>
        <w:t xml:space="preserve">; </w:t>
      </w:r>
      <w:r w:rsidRPr="00046985">
        <w:rPr>
          <w:i/>
        </w:rPr>
        <w:t>Re. Application of Rocky Mountain Power for Authority to Increase its</w:t>
      </w:r>
      <w:r>
        <w:rPr>
          <w:i/>
        </w:rPr>
        <w:t xml:space="preserve"> </w:t>
      </w:r>
      <w:r w:rsidRPr="00046985">
        <w:rPr>
          <w:i/>
        </w:rPr>
        <w:t>Retail Electric Utility Service Rates in Utah</w:t>
      </w:r>
      <w:r>
        <w:t>,</w:t>
      </w:r>
      <w:r>
        <w:rPr>
          <w:i/>
        </w:rPr>
        <w:t xml:space="preserve"> </w:t>
      </w:r>
      <w:r>
        <w:t>Utah PSC Docket 09-035-23, Order at 51 (Feb. 18, 2010)</w:t>
      </w:r>
      <w:r w:rsidR="00FC60A1">
        <w:fldChar w:fldCharType="begin"/>
      </w:r>
      <w:r>
        <w:instrText xml:space="preserve"> TA \l "</w:instrText>
      </w:r>
      <w:r w:rsidRPr="006E38F5">
        <w:rPr>
          <w:i/>
        </w:rPr>
        <w:instrText>Application of Rocky Mountain Power for Authority to Increase its Retail Electric Utility Service Rates in Utah</w:instrText>
      </w:r>
      <w:r w:rsidRPr="006E38F5">
        <w:instrText>,</w:instrText>
      </w:r>
      <w:r w:rsidRPr="006E38F5">
        <w:rPr>
          <w:i/>
        </w:rPr>
        <w:instrText xml:space="preserve"> </w:instrText>
      </w:r>
      <w:r w:rsidRPr="006E38F5">
        <w:instrText>Utah PSC Docket 09-035-23, Order (Feb. 18, 2010)</w:instrText>
      </w:r>
      <w:r>
        <w:instrText xml:space="preserve">" \s "Utah PSC Docket 09-035-23, Order" \c 9 </w:instrText>
      </w:r>
      <w:r w:rsidR="00FC60A1">
        <w:fldChar w:fldCharType="end"/>
      </w:r>
      <w:r>
        <w:t>.  The Company requests that the Commission take official notice of this order pursuant to WAC 480-07-495</w:t>
      </w:r>
      <w:r w:rsidR="00FC60A1">
        <w:fldChar w:fldCharType="begin"/>
      </w:r>
      <w:r>
        <w:instrText xml:space="preserve"> TA \s "WAC 480-07-495" </w:instrText>
      </w:r>
      <w:r w:rsidR="00FC60A1">
        <w:fldChar w:fldCharType="end"/>
      </w:r>
      <w:r>
        <w:t>(2</w:t>
      </w:r>
      <w:proofErr w:type="gramStart"/>
      <w:r>
        <w:t>)(</w:t>
      </w:r>
      <w:proofErr w:type="gramEnd"/>
      <w:r>
        <w:t>a)(</w:t>
      </w:r>
      <w:proofErr w:type="spellStart"/>
      <w:r>
        <w:t>i</w:t>
      </w:r>
      <w:proofErr w:type="spellEnd"/>
      <w:r>
        <w:t>)(A).</w:t>
      </w:r>
    </w:p>
  </w:footnote>
  <w:footnote w:id="240">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No. RJF-1CT 50:9-13; Buckley, </w:t>
      </w:r>
      <w:proofErr w:type="spellStart"/>
      <w:r>
        <w:t>Exh</w:t>
      </w:r>
      <w:proofErr w:type="spellEnd"/>
      <w:r>
        <w:t>. No. APB-1CT 17:18-23.</w:t>
      </w:r>
    </w:p>
  </w:footnote>
  <w:footnote w:id="241">
    <w:p w:rsidR="00A26E08" w:rsidRDefault="00A26E08" w:rsidP="00AC625D">
      <w:pPr>
        <w:pStyle w:val="FootnoteText"/>
      </w:pPr>
      <w:r>
        <w:rPr>
          <w:rStyle w:val="FootnoteReference"/>
        </w:rPr>
        <w:footnoteRef/>
      </w:r>
      <w:r>
        <w:t xml:space="preserve"> Buckley, </w:t>
      </w:r>
      <w:proofErr w:type="spellStart"/>
      <w:r>
        <w:t>Exh</w:t>
      </w:r>
      <w:proofErr w:type="spellEnd"/>
      <w:r>
        <w:t>. No. APB-1CT 17:8-12.</w:t>
      </w:r>
    </w:p>
  </w:footnote>
  <w:footnote w:id="242">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50:10.</w:t>
      </w:r>
    </w:p>
  </w:footnote>
  <w:footnote w:id="243">
    <w:p w:rsidR="00A26E08" w:rsidRDefault="00A26E08" w:rsidP="00AC625D">
      <w:pPr>
        <w:pStyle w:val="FootnoteText"/>
      </w:pPr>
      <w:r>
        <w:rPr>
          <w:rStyle w:val="FootnoteReference"/>
        </w:rPr>
        <w:footnoteRef/>
      </w:r>
      <w:r>
        <w:t xml:space="preserve"> Duvall, </w:t>
      </w:r>
      <w:proofErr w:type="spellStart"/>
      <w:r>
        <w:t>Exh</w:t>
      </w:r>
      <w:proofErr w:type="spellEnd"/>
      <w:r>
        <w:t>. No. GND-5T 49:13-20.</w:t>
      </w:r>
    </w:p>
  </w:footnote>
  <w:footnote w:id="244">
    <w:p w:rsidR="00A26E08" w:rsidRDefault="00A26E08" w:rsidP="00AC625D">
      <w:pPr>
        <w:pStyle w:val="FootnoteText"/>
      </w:pPr>
      <w:r>
        <w:rPr>
          <w:rStyle w:val="FootnoteReference"/>
        </w:rPr>
        <w:footnoteRef/>
      </w:r>
      <w:r>
        <w:t xml:space="preserve"> Buckley, </w:t>
      </w:r>
      <w:proofErr w:type="spellStart"/>
      <w:r>
        <w:t>Exh</w:t>
      </w:r>
      <w:proofErr w:type="spellEnd"/>
      <w:r>
        <w:t xml:space="preserve">. No. </w:t>
      </w:r>
      <w:proofErr w:type="gramStart"/>
      <w:r>
        <w:t>APB-10.</w:t>
      </w:r>
      <w:proofErr w:type="gramEnd"/>
    </w:p>
  </w:footnote>
  <w:footnote w:id="245">
    <w:p w:rsidR="00A26E08" w:rsidRDefault="00A26E08" w:rsidP="00AC625D">
      <w:pPr>
        <w:pStyle w:val="FootnoteText"/>
      </w:pPr>
      <w:r>
        <w:rPr>
          <w:rStyle w:val="FootnoteReference"/>
        </w:rPr>
        <w:footnoteRef/>
      </w:r>
      <w:r>
        <w:t xml:space="preserve"> Duvall, </w:t>
      </w:r>
      <w:proofErr w:type="spellStart"/>
      <w:r>
        <w:t>Exh</w:t>
      </w:r>
      <w:proofErr w:type="spellEnd"/>
      <w:r>
        <w:t>. No. GND-5T 50:2-14.</w:t>
      </w:r>
    </w:p>
  </w:footnote>
  <w:footnote w:id="246">
    <w:p w:rsidR="00A26E08" w:rsidRDefault="00A26E08" w:rsidP="00AC625D">
      <w:pPr>
        <w:pStyle w:val="FootnoteText"/>
      </w:pPr>
      <w:r>
        <w:rPr>
          <w:rStyle w:val="FootnoteReference"/>
        </w:rPr>
        <w:footnoteRef/>
      </w:r>
      <w:r>
        <w:t xml:space="preserve"> Duvall, </w:t>
      </w:r>
      <w:proofErr w:type="spellStart"/>
      <w:r>
        <w:t>Exh</w:t>
      </w:r>
      <w:proofErr w:type="spellEnd"/>
      <w:r>
        <w:t>. No. GND-5T 50:10-12.</w:t>
      </w:r>
    </w:p>
  </w:footnote>
  <w:footnote w:id="247">
    <w:p w:rsidR="00A26E08" w:rsidRDefault="00A26E08" w:rsidP="00AC625D">
      <w:pPr>
        <w:pStyle w:val="FootnoteText"/>
      </w:pPr>
      <w:r>
        <w:rPr>
          <w:rStyle w:val="FootnoteReference"/>
        </w:rPr>
        <w:footnoteRef/>
      </w:r>
      <w:r>
        <w:t xml:space="preserve"> Buckley, </w:t>
      </w:r>
      <w:proofErr w:type="spellStart"/>
      <w:r>
        <w:t>Exh</w:t>
      </w:r>
      <w:proofErr w:type="spellEnd"/>
      <w:r>
        <w:t>. No. APB-13 3:10-12.</w:t>
      </w:r>
    </w:p>
  </w:footnote>
  <w:footnote w:id="248">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50:4.</w:t>
      </w:r>
    </w:p>
  </w:footnote>
  <w:footnote w:id="249">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No. </w:t>
      </w:r>
      <w:proofErr w:type="gramStart"/>
      <w:r>
        <w:t>RJF-14.</w:t>
      </w:r>
      <w:proofErr w:type="gramEnd"/>
    </w:p>
  </w:footnote>
  <w:footnote w:id="250">
    <w:p w:rsidR="00A26E08" w:rsidRPr="00CF0E4C" w:rsidRDefault="00A26E08" w:rsidP="00AC625D">
      <w:pPr>
        <w:pStyle w:val="FootnoteText"/>
      </w:pPr>
      <w:r>
        <w:rPr>
          <w:rStyle w:val="FootnoteReference"/>
        </w:rPr>
        <w:footnoteRef/>
      </w:r>
      <w:r>
        <w:t xml:space="preserve"> </w:t>
      </w:r>
      <w:r>
        <w:rPr>
          <w:i/>
        </w:rPr>
        <w:t xml:space="preserve">See </w:t>
      </w:r>
      <w:r>
        <w:t xml:space="preserve">Buckley, </w:t>
      </w:r>
      <w:proofErr w:type="spellStart"/>
      <w:r>
        <w:t>Exh</w:t>
      </w:r>
      <w:proofErr w:type="spellEnd"/>
      <w:r>
        <w:t>. No. APB-1CT 16:13-16.</w:t>
      </w:r>
    </w:p>
  </w:footnote>
  <w:footnote w:id="251">
    <w:p w:rsidR="00A26E08" w:rsidRDefault="00A26E08" w:rsidP="00AC625D">
      <w:pPr>
        <w:pStyle w:val="FootnoteText"/>
      </w:pPr>
      <w:r>
        <w:rPr>
          <w:rStyle w:val="FootnoteReference"/>
        </w:rPr>
        <w:footnoteRef/>
      </w:r>
      <w:r>
        <w:t xml:space="preserve"> Duvall, </w:t>
      </w:r>
      <w:proofErr w:type="spellStart"/>
      <w:r>
        <w:t>Exh</w:t>
      </w:r>
      <w:proofErr w:type="spellEnd"/>
      <w:r>
        <w:t>. No. GND-5T 50:15-19.</w:t>
      </w:r>
    </w:p>
  </w:footnote>
  <w:footnote w:id="252">
    <w:p w:rsidR="00A26E08" w:rsidRDefault="00A26E08" w:rsidP="00AC625D">
      <w:pPr>
        <w:pStyle w:val="FootnoteText"/>
      </w:pPr>
      <w:r>
        <w:rPr>
          <w:rStyle w:val="FootnoteReference"/>
        </w:rPr>
        <w:footnoteRef/>
      </w:r>
      <w:r>
        <w:t xml:space="preserve"> Buckley, TR. 586:8-587:1.</w:t>
      </w:r>
    </w:p>
  </w:footnote>
  <w:footnote w:id="253">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54:11-16.</w:t>
      </w:r>
    </w:p>
  </w:footnote>
  <w:footnote w:id="254">
    <w:p w:rsidR="00A26E08" w:rsidRDefault="00A26E08" w:rsidP="00AC625D">
      <w:pPr>
        <w:pStyle w:val="FootnoteText"/>
      </w:pPr>
      <w:r>
        <w:rPr>
          <w:rStyle w:val="FootnoteReference"/>
        </w:rPr>
        <w:footnoteRef/>
      </w:r>
      <w:r>
        <w:t xml:space="preserve"> Duvall, </w:t>
      </w:r>
      <w:proofErr w:type="spellStart"/>
      <w:r>
        <w:t>Exh</w:t>
      </w:r>
      <w:proofErr w:type="spellEnd"/>
      <w:r>
        <w:t>. No. GND-5T 51:17-52:11.</w:t>
      </w:r>
    </w:p>
  </w:footnote>
  <w:footnote w:id="255">
    <w:p w:rsidR="00A26E08" w:rsidRDefault="00A26E08" w:rsidP="00AC625D">
      <w:pPr>
        <w:pStyle w:val="FootnoteText"/>
      </w:pPr>
      <w:r>
        <w:rPr>
          <w:rStyle w:val="FootnoteReference"/>
        </w:rPr>
        <w:footnoteRef/>
      </w:r>
      <w:r>
        <w:t xml:space="preserve"> Duvall, </w:t>
      </w:r>
      <w:proofErr w:type="spellStart"/>
      <w:r>
        <w:t>Exh</w:t>
      </w:r>
      <w:proofErr w:type="spellEnd"/>
      <w:r>
        <w:t>. No. GND-1T 7:3-13.</w:t>
      </w:r>
    </w:p>
  </w:footnote>
  <w:footnote w:id="256">
    <w:p w:rsidR="00A26E08" w:rsidRDefault="00A26E08" w:rsidP="00AC625D">
      <w:pPr>
        <w:pStyle w:val="FootnoteText"/>
      </w:pPr>
      <w:r>
        <w:rPr>
          <w:rStyle w:val="FootnoteReference"/>
        </w:rPr>
        <w:footnoteRef/>
      </w:r>
      <w:r>
        <w:t xml:space="preserve"> Duvall, </w:t>
      </w:r>
      <w:proofErr w:type="spellStart"/>
      <w:r>
        <w:t>Exh</w:t>
      </w:r>
      <w:proofErr w:type="spellEnd"/>
      <w:r>
        <w:t>. No. GND-5T 52:15-21; Duvall, TR. 347:8-15.</w:t>
      </w:r>
    </w:p>
  </w:footnote>
  <w:footnote w:id="257">
    <w:p w:rsidR="00A26E08" w:rsidRDefault="00A26E08" w:rsidP="00AC625D">
      <w:pPr>
        <w:pStyle w:val="FootnoteText"/>
      </w:pPr>
      <w:r>
        <w:rPr>
          <w:rStyle w:val="FootnoteReference"/>
        </w:rPr>
        <w:footnoteRef/>
      </w:r>
      <w:r>
        <w:t xml:space="preserve"> Duvall, </w:t>
      </w:r>
      <w:proofErr w:type="spellStart"/>
      <w:r>
        <w:t>Exh</w:t>
      </w:r>
      <w:proofErr w:type="spellEnd"/>
      <w:r>
        <w:t>. No. GND-5T 29:20-22.</w:t>
      </w:r>
    </w:p>
  </w:footnote>
  <w:footnote w:id="258">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48:23-49:1.</w:t>
      </w:r>
    </w:p>
  </w:footnote>
  <w:footnote w:id="259">
    <w:p w:rsidR="00A26E08" w:rsidRDefault="00A26E08" w:rsidP="00AC625D">
      <w:pPr>
        <w:pStyle w:val="FootnoteText"/>
      </w:pPr>
      <w:r>
        <w:rPr>
          <w:rStyle w:val="FootnoteReference"/>
        </w:rPr>
        <w:footnoteRef/>
      </w:r>
      <w:r>
        <w:t xml:space="preserve"> Duvall, </w:t>
      </w:r>
      <w:proofErr w:type="spellStart"/>
      <w:r>
        <w:t>Exh</w:t>
      </w:r>
      <w:proofErr w:type="spellEnd"/>
      <w:r>
        <w:t>. No. GND-5T 30:8-9.</w:t>
      </w:r>
    </w:p>
  </w:footnote>
  <w:footnote w:id="260">
    <w:p w:rsidR="00A26E08" w:rsidRDefault="00A26E08" w:rsidP="00AC625D">
      <w:pPr>
        <w:pStyle w:val="FootnoteText"/>
      </w:pPr>
      <w:r>
        <w:rPr>
          <w:rStyle w:val="FootnoteReference"/>
        </w:rPr>
        <w:footnoteRef/>
      </w:r>
      <w:r>
        <w:t xml:space="preserve"> Duvall, </w:t>
      </w:r>
      <w:proofErr w:type="spellStart"/>
      <w:r>
        <w:t>Exh</w:t>
      </w:r>
      <w:proofErr w:type="spellEnd"/>
      <w:r>
        <w:t>. No. GND-5T 30:9-11.</w:t>
      </w:r>
    </w:p>
  </w:footnote>
  <w:footnote w:id="261">
    <w:p w:rsidR="00A26E08" w:rsidRDefault="00A26E08" w:rsidP="00AC625D">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w:t>
      </w:r>
      <w:proofErr w:type="spellStart"/>
      <w:r>
        <w:rPr>
          <w:i/>
        </w:rPr>
        <w:t>Avista</w:t>
      </w:r>
      <w:proofErr w:type="spellEnd"/>
      <w:r>
        <w:rPr>
          <w:i/>
        </w:rPr>
        <w:t xml:space="preserve"> Corp.</w:t>
      </w:r>
      <w:r>
        <w:t>, Docket No. UE-050482, Order 5 at ¶ 101 (Dec. 21, 2005)</w:t>
      </w:r>
      <w:r w:rsidR="00FC60A1">
        <w:fldChar w:fldCharType="begin"/>
      </w:r>
      <w:r>
        <w:instrText xml:space="preserve"> TA \s "Docket UE-050482, Order 05" </w:instrText>
      </w:r>
      <w:r w:rsidR="00FC60A1">
        <w:fldChar w:fldCharType="end"/>
      </w:r>
      <w:r>
        <w:t>.</w:t>
      </w:r>
    </w:p>
  </w:footnote>
  <w:footnote w:id="262">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xml:space="preserve">, RJF-1CT 25:14-21; Buckley, </w:t>
      </w:r>
      <w:proofErr w:type="spellStart"/>
      <w:r>
        <w:t>Exh</w:t>
      </w:r>
      <w:proofErr w:type="spellEnd"/>
      <w:r>
        <w:t>. No. APB-1CT 13:6-10.</w:t>
      </w:r>
    </w:p>
  </w:footnote>
  <w:footnote w:id="263">
    <w:p w:rsidR="00A26E08" w:rsidRDefault="00A26E08" w:rsidP="00AC625D">
      <w:pPr>
        <w:pStyle w:val="FootnoteText"/>
      </w:pPr>
      <w:r>
        <w:rPr>
          <w:rStyle w:val="FootnoteReference"/>
        </w:rPr>
        <w:footnoteRef/>
      </w:r>
      <w:r>
        <w:t xml:space="preserve"> Duvall, </w:t>
      </w:r>
      <w:proofErr w:type="spellStart"/>
      <w:r>
        <w:t>Exh</w:t>
      </w:r>
      <w:proofErr w:type="spellEnd"/>
      <w:r>
        <w:t>. No. GND-5T 36:9-15.</w:t>
      </w:r>
    </w:p>
  </w:footnote>
  <w:footnote w:id="264">
    <w:p w:rsidR="00A26E08" w:rsidRDefault="00A26E08" w:rsidP="00AC625D">
      <w:pPr>
        <w:pStyle w:val="FootnoteText"/>
      </w:pPr>
      <w:r>
        <w:rPr>
          <w:rStyle w:val="FootnoteReference"/>
        </w:rPr>
        <w:footnoteRef/>
      </w:r>
      <w:r>
        <w:t xml:space="preserve"> Duvall, </w:t>
      </w:r>
      <w:proofErr w:type="spellStart"/>
      <w:r>
        <w:t>Exh</w:t>
      </w:r>
      <w:proofErr w:type="spellEnd"/>
      <w:r>
        <w:t>. No. GND-5T 36:21-22.</w:t>
      </w:r>
    </w:p>
  </w:footnote>
  <w:footnote w:id="265">
    <w:p w:rsidR="00A26E08" w:rsidRDefault="00A26E08" w:rsidP="00AC625D">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RJF-1CT 28:13-15.</w:t>
      </w:r>
    </w:p>
  </w:footnote>
  <w:footnote w:id="266">
    <w:p w:rsidR="00A26E08" w:rsidRDefault="00A26E08" w:rsidP="00AC625D">
      <w:pPr>
        <w:pStyle w:val="FootnoteText"/>
      </w:pPr>
      <w:r>
        <w:rPr>
          <w:rStyle w:val="FootnoteReference"/>
        </w:rPr>
        <w:footnoteRef/>
      </w:r>
      <w:r>
        <w:t xml:space="preserve"> Duvall, </w:t>
      </w:r>
      <w:proofErr w:type="spellStart"/>
      <w:r>
        <w:t>Exh</w:t>
      </w:r>
      <w:proofErr w:type="spellEnd"/>
      <w:r>
        <w:t>. No. GND-5T 37:13-21.</w:t>
      </w:r>
    </w:p>
  </w:footnote>
  <w:footnote w:id="267">
    <w:p w:rsidR="00A26E08" w:rsidRDefault="00A26E08" w:rsidP="00AC625D">
      <w:pPr>
        <w:pStyle w:val="FootnoteText"/>
      </w:pPr>
      <w:r>
        <w:rPr>
          <w:rStyle w:val="FootnoteReference"/>
        </w:rPr>
        <w:footnoteRef/>
      </w:r>
      <w:r>
        <w:t xml:space="preserve"> Duvall, </w:t>
      </w:r>
      <w:proofErr w:type="spellStart"/>
      <w:r>
        <w:t>Exh</w:t>
      </w:r>
      <w:proofErr w:type="spellEnd"/>
      <w:r>
        <w:t>. No. GND-5T 38:1-8.</w:t>
      </w:r>
    </w:p>
  </w:footnote>
  <w:footnote w:id="268">
    <w:p w:rsidR="00A26E08" w:rsidRDefault="00A26E08">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UE-061546, Order 8</w:t>
      </w:r>
      <w:r w:rsidR="00FC60A1">
        <w:fldChar w:fldCharType="begin"/>
      </w:r>
      <w:r>
        <w:instrText xml:space="preserve"> TA \s "Docket UE-061546, Order 8" </w:instrText>
      </w:r>
      <w:r w:rsidR="00FC60A1">
        <w:fldChar w:fldCharType="end"/>
      </w:r>
      <w:r>
        <w:t xml:space="preserve"> ¶ 124 (June 21, 2007).</w:t>
      </w:r>
    </w:p>
  </w:footnote>
  <w:footnote w:id="269">
    <w:p w:rsidR="00A26E08" w:rsidRDefault="00A26E08" w:rsidP="00AC625D">
      <w:pPr>
        <w:pStyle w:val="FootnoteText"/>
      </w:pPr>
      <w:r>
        <w:rPr>
          <w:rStyle w:val="FootnoteReference"/>
        </w:rPr>
        <w:footnoteRef/>
      </w:r>
      <w:r>
        <w:t xml:space="preserve"> Duvall, </w:t>
      </w:r>
      <w:proofErr w:type="spellStart"/>
      <w:r>
        <w:t>Exh</w:t>
      </w:r>
      <w:proofErr w:type="spellEnd"/>
      <w:r>
        <w:t xml:space="preserve">. No. GND-5T 53:7-10; </w:t>
      </w:r>
      <w:proofErr w:type="spellStart"/>
      <w:r>
        <w:t>Falkenberg</w:t>
      </w:r>
      <w:proofErr w:type="spellEnd"/>
      <w:r>
        <w:t xml:space="preserve">, </w:t>
      </w:r>
      <w:proofErr w:type="spellStart"/>
      <w:r>
        <w:t>Exh</w:t>
      </w:r>
      <w:proofErr w:type="spellEnd"/>
      <w:r>
        <w:t>. No. RJF-1CT 55:1-15.</w:t>
      </w:r>
    </w:p>
  </w:footnote>
  <w:footnote w:id="270">
    <w:p w:rsidR="00A26E08" w:rsidRDefault="00A26E08" w:rsidP="00AC625D">
      <w:pPr>
        <w:pStyle w:val="FootnoteText"/>
      </w:pPr>
      <w:r>
        <w:rPr>
          <w:rStyle w:val="FootnoteReference"/>
        </w:rPr>
        <w:footnoteRef/>
      </w:r>
      <w:r>
        <w:t xml:space="preserve"> Duvall, </w:t>
      </w:r>
      <w:proofErr w:type="spellStart"/>
      <w:r>
        <w:t>Exh</w:t>
      </w:r>
      <w:proofErr w:type="spellEnd"/>
      <w:r>
        <w:t>. No. GND-5T 53:17-54:3.</w:t>
      </w:r>
    </w:p>
  </w:footnote>
  <w:footnote w:id="271">
    <w:p w:rsidR="00A26E08" w:rsidRDefault="00A26E08" w:rsidP="00AC625D">
      <w:pPr>
        <w:pStyle w:val="FootnoteText"/>
      </w:pPr>
      <w:r>
        <w:rPr>
          <w:rStyle w:val="FootnoteReference"/>
        </w:rPr>
        <w:footnoteRef/>
      </w:r>
      <w:r>
        <w:t xml:space="preserve"> Duvall, </w:t>
      </w:r>
      <w:proofErr w:type="spellStart"/>
      <w:r>
        <w:t>Exh</w:t>
      </w:r>
      <w:proofErr w:type="spellEnd"/>
      <w:r>
        <w:t xml:space="preserve">. No. GND-5T 54:4-13; </w:t>
      </w:r>
      <w:proofErr w:type="spellStart"/>
      <w:r>
        <w:t>Exh</w:t>
      </w:r>
      <w:proofErr w:type="spellEnd"/>
      <w:r>
        <w:t xml:space="preserve">, GND-10; </w:t>
      </w:r>
      <w:proofErr w:type="spellStart"/>
      <w:r>
        <w:t>Exh</w:t>
      </w:r>
      <w:proofErr w:type="spellEnd"/>
      <w:r>
        <w:t xml:space="preserve">. No. </w:t>
      </w:r>
      <w:proofErr w:type="gramStart"/>
      <w:r>
        <w:t>GND-11.</w:t>
      </w:r>
      <w:proofErr w:type="gramEnd"/>
    </w:p>
  </w:footnote>
  <w:footnote w:id="272">
    <w:p w:rsidR="00A26E08" w:rsidRDefault="00A26E08" w:rsidP="00AC625D">
      <w:pPr>
        <w:pStyle w:val="FootnoteText"/>
      </w:pPr>
      <w:r>
        <w:rPr>
          <w:rStyle w:val="FootnoteReference"/>
        </w:rPr>
        <w:footnoteRef/>
      </w:r>
      <w:r>
        <w:t xml:space="preserve"> Duvall, </w:t>
      </w:r>
      <w:proofErr w:type="spellStart"/>
      <w:r>
        <w:t>Exh</w:t>
      </w:r>
      <w:proofErr w:type="spellEnd"/>
      <w:r>
        <w:t>. No. GND-5T 55:1-6.</w:t>
      </w:r>
    </w:p>
  </w:footnote>
  <w:footnote w:id="273">
    <w:p w:rsidR="00A26E08" w:rsidRDefault="00A26E08" w:rsidP="00AC625D">
      <w:pPr>
        <w:pStyle w:val="FootnoteText"/>
      </w:pPr>
      <w:r>
        <w:rPr>
          <w:rStyle w:val="FootnoteReference"/>
        </w:rPr>
        <w:footnoteRef/>
      </w:r>
      <w:r>
        <w:t xml:space="preserve"> Duvall, </w:t>
      </w:r>
      <w:proofErr w:type="spellStart"/>
      <w:r>
        <w:t>Exh</w:t>
      </w:r>
      <w:proofErr w:type="spellEnd"/>
      <w:r>
        <w:t>. No. GND-5T 22:2-30:19.</w:t>
      </w:r>
    </w:p>
  </w:footnote>
  <w:footnote w:id="274">
    <w:p w:rsidR="00A26E08" w:rsidRDefault="00A26E08" w:rsidP="00AC625D">
      <w:pPr>
        <w:pStyle w:val="FootnoteText"/>
      </w:pPr>
      <w:r>
        <w:rPr>
          <w:rStyle w:val="FootnoteReference"/>
        </w:rPr>
        <w:footnoteRef/>
      </w:r>
      <w:r>
        <w:t xml:space="preserve"> Falkenberg, TR. 673:10-14.</w:t>
      </w:r>
    </w:p>
  </w:footnote>
  <w:footnote w:id="275">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7:12-13.  The orders cited were from 1984, 1985, 1986, 1983, and 1997.</w:t>
      </w:r>
    </w:p>
  </w:footnote>
  <w:footnote w:id="276">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xml:space="preserve">. No. KHB-1T 7:12-21.  </w:t>
      </w:r>
    </w:p>
  </w:footnote>
  <w:footnote w:id="277">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8:8-14</w:t>
      </w:r>
      <w:r>
        <w:rPr>
          <w:rFonts w:ascii="Times New Roman" w:hAnsi="Times New Roman"/>
        </w:rPr>
        <w:t xml:space="preserve">; </w:t>
      </w:r>
      <w:r w:rsidRPr="005C5580">
        <w:rPr>
          <w:rFonts w:ascii="Times New Roman" w:hAnsi="Times New Roman"/>
        </w:rPr>
        <w:t xml:space="preserve">Breda, </w:t>
      </w:r>
      <w:proofErr w:type="spellStart"/>
      <w:r w:rsidRPr="005C5580">
        <w:rPr>
          <w:rFonts w:ascii="Times New Roman" w:hAnsi="Times New Roman"/>
        </w:rPr>
        <w:t>Exh</w:t>
      </w:r>
      <w:proofErr w:type="spellEnd"/>
      <w:r w:rsidRPr="005C5580">
        <w:rPr>
          <w:rFonts w:ascii="Times New Roman" w:hAnsi="Times New Roman"/>
        </w:rPr>
        <w:t>. No. KHB-1T 24:21.</w:t>
      </w:r>
    </w:p>
  </w:footnote>
  <w:footnote w:id="278">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RF-9 1-2.</w:t>
      </w:r>
    </w:p>
  </w:footnote>
  <w:footnote w:id="279">
    <w:p w:rsidR="00A26E08" w:rsidRDefault="00A26E08" w:rsidP="00B043C0">
      <w:pPr>
        <w:pStyle w:val="FootnoteText"/>
      </w:pPr>
      <w:r>
        <w:rPr>
          <w:rStyle w:val="FootnoteReference"/>
        </w:rPr>
        <w:footnoteRef/>
      </w:r>
      <w:r>
        <w:t xml:space="preserve"> Breda, </w:t>
      </w:r>
      <w:proofErr w:type="spellStart"/>
      <w:r>
        <w:t>Exh</w:t>
      </w:r>
      <w:proofErr w:type="spellEnd"/>
      <w:r>
        <w:t xml:space="preserve">. No. KHB -1T 5:4-13; 8:1-4; Fuller, </w:t>
      </w:r>
      <w:proofErr w:type="spellStart"/>
      <w:r>
        <w:t>Exh</w:t>
      </w:r>
      <w:proofErr w:type="spellEnd"/>
      <w:r>
        <w:t>. No. RF-8T 5:19-6:8</w:t>
      </w:r>
    </w:p>
  </w:footnote>
  <w:footnote w:id="280">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xml:space="preserve">. No. KHB-1T </w:t>
      </w:r>
      <w:r>
        <w:rPr>
          <w:rFonts w:ascii="Times New Roman" w:hAnsi="Times New Roman"/>
        </w:rPr>
        <w:t>4:</w:t>
      </w:r>
      <w:r w:rsidRPr="005C5580">
        <w:rPr>
          <w:rFonts w:ascii="Times New Roman" w:hAnsi="Times New Roman"/>
        </w:rPr>
        <w:t xml:space="preserve">19-22; Fuller, </w:t>
      </w:r>
      <w:proofErr w:type="spellStart"/>
      <w:r w:rsidRPr="005C5580">
        <w:rPr>
          <w:rFonts w:ascii="Times New Roman" w:hAnsi="Times New Roman"/>
        </w:rPr>
        <w:t>Exh</w:t>
      </w:r>
      <w:proofErr w:type="spellEnd"/>
      <w:r w:rsidRPr="005C5580">
        <w:rPr>
          <w:rFonts w:ascii="Times New Roman" w:hAnsi="Times New Roman"/>
        </w:rPr>
        <w:t>. No. RF-1T 6:23-7:6.</w:t>
      </w:r>
    </w:p>
  </w:footnote>
  <w:footnote w:id="281">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RF-1T 6:23-7:6.</w:t>
      </w:r>
    </w:p>
  </w:footnote>
  <w:footnote w:id="282">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15:1-11, 24:10-13.</w:t>
      </w:r>
    </w:p>
  </w:footnote>
  <w:footnote w:id="283">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7:3-6</w:t>
      </w:r>
      <w:r>
        <w:rPr>
          <w:rFonts w:ascii="Times New Roman" w:hAnsi="Times New Roman"/>
        </w:rPr>
        <w:t>;</w:t>
      </w:r>
      <w:r w:rsidRPr="005C5580">
        <w:rPr>
          <w:rFonts w:ascii="Times New Roman" w:hAnsi="Times New Roman"/>
        </w:rPr>
        <w:t xml:space="preserve"> 24:14-16</w:t>
      </w:r>
      <w:r>
        <w:rPr>
          <w:rFonts w:ascii="Times New Roman" w:hAnsi="Times New Roman"/>
        </w:rPr>
        <w:t xml:space="preserve">; </w:t>
      </w:r>
      <w:r w:rsidRPr="005C5580">
        <w:rPr>
          <w:rFonts w:ascii="Times New Roman" w:hAnsi="Times New Roman"/>
        </w:rPr>
        <w:t xml:space="preserve">Breda, </w:t>
      </w:r>
      <w:proofErr w:type="spellStart"/>
      <w:r w:rsidRPr="005C5580">
        <w:rPr>
          <w:rFonts w:ascii="Times New Roman" w:hAnsi="Times New Roman"/>
        </w:rPr>
        <w:t>Exh</w:t>
      </w:r>
      <w:proofErr w:type="spellEnd"/>
      <w:r w:rsidRPr="005C5580">
        <w:rPr>
          <w:rFonts w:ascii="Times New Roman" w:hAnsi="Times New Roman"/>
        </w:rPr>
        <w:t>. No. KHB-1T 6:22-7:1.</w:t>
      </w:r>
    </w:p>
  </w:footnote>
  <w:footnote w:id="284">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RF-8T 12:1-13.</w:t>
      </w:r>
    </w:p>
  </w:footnote>
  <w:footnote w:id="285">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15:8-11</w:t>
      </w:r>
      <w:r>
        <w:rPr>
          <w:rFonts w:ascii="Times New Roman" w:hAnsi="Times New Roman"/>
        </w:rPr>
        <w:t>;</w:t>
      </w:r>
      <w:r w:rsidRPr="005C5580">
        <w:rPr>
          <w:rFonts w:ascii="Times New Roman" w:hAnsi="Times New Roman"/>
        </w:rPr>
        <w:t xml:space="preserve"> 24:17-20.</w:t>
      </w:r>
    </w:p>
  </w:footnote>
  <w:footnote w:id="286">
    <w:p w:rsidR="00A26E08" w:rsidRDefault="00A26E08" w:rsidP="00B043C0">
      <w:pPr>
        <w:pStyle w:val="FootnoteText"/>
      </w:pPr>
      <w:r>
        <w:rPr>
          <w:rStyle w:val="FootnoteReference"/>
        </w:rPr>
        <w:footnoteRef/>
      </w:r>
      <w: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w:t>
      </w:r>
      <w:r>
        <w:rPr>
          <w:rFonts w:ascii="Times New Roman" w:hAnsi="Times New Roman"/>
          <w:i/>
        </w:rPr>
        <w:t xml:space="preserve"> Puget Sound Energy, </w:t>
      </w:r>
      <w:r>
        <w:rPr>
          <w:rFonts w:ascii="Times New Roman" w:hAnsi="Times New Roman"/>
        </w:rPr>
        <w:t>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Pr>
          <w:rFonts w:ascii="Times New Roman" w:hAnsi="Times New Roman"/>
        </w:rPr>
        <w:t xml:space="preserve"> at ¶ 32 (Apr. 2, 2010) (to improve the “quality of the record” the Commission provided “some parameters for future guidance to parties”)</w:t>
      </w:r>
      <w:r w:rsidRPr="005C5580">
        <w:rPr>
          <w:rFonts w:ascii="Times New Roman" w:hAnsi="Times New Roman"/>
          <w:i/>
        </w:rPr>
        <w:t>.</w:t>
      </w:r>
    </w:p>
  </w:footnote>
  <w:footnote w:id="287">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xml:space="preserve">. No. RF-1T 8:2-7; Fuller, </w:t>
      </w:r>
      <w:proofErr w:type="spellStart"/>
      <w:r w:rsidRPr="005C5580">
        <w:rPr>
          <w:rFonts w:ascii="Times New Roman" w:hAnsi="Times New Roman"/>
        </w:rPr>
        <w:t>Exh</w:t>
      </w:r>
      <w:proofErr w:type="spellEnd"/>
      <w:r w:rsidRPr="005C5580">
        <w:rPr>
          <w:rFonts w:ascii="Times New Roman" w:hAnsi="Times New Roman"/>
        </w:rPr>
        <w:t>. No. RF-8T 6:16-7:7.</w:t>
      </w:r>
    </w:p>
  </w:footnote>
  <w:footnote w:id="288">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RF-9 (“it is difficult to discern what specific accounting treatment is implied without examining the underlying record in the docket”), Breda, T</w:t>
      </w:r>
      <w:r>
        <w:rPr>
          <w:rFonts w:ascii="Times New Roman" w:hAnsi="Times New Roman"/>
        </w:rPr>
        <w:t>R</w:t>
      </w:r>
      <w:r w:rsidRPr="005C5580">
        <w:rPr>
          <w:rFonts w:ascii="Times New Roman" w:hAnsi="Times New Roman"/>
        </w:rPr>
        <w:t>. 752:18-20 (“it’s difficult to find an order that speaks specifically to tax normalization”).</w:t>
      </w:r>
    </w:p>
  </w:footnote>
  <w:footnote w:id="289">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756:1-3.</w:t>
      </w:r>
    </w:p>
  </w:footnote>
  <w:footnote w:id="290">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RF-8T 4:15-20.</w:t>
      </w:r>
    </w:p>
  </w:footnote>
  <w:footnote w:id="291">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RF-8T 4:9-14.</w:t>
      </w:r>
    </w:p>
  </w:footnote>
  <w:footnote w:id="292">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RF-8T 4:15-20.</w:t>
      </w:r>
    </w:p>
  </w:footnote>
  <w:footnote w:id="293">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23:13-15.</w:t>
      </w:r>
    </w:p>
  </w:footnote>
  <w:footnote w:id="294">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RF-8T 1:13-16.</w:t>
      </w:r>
    </w:p>
  </w:footnote>
  <w:footnote w:id="295">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r w:rsidRPr="005C5580">
        <w:rPr>
          <w:rFonts w:ascii="Times New Roman" w:hAnsi="Times New Roman"/>
          <w:i/>
        </w:rPr>
        <w:t>See</w:t>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xml:space="preserve">. No. </w:t>
      </w:r>
      <w:proofErr w:type="gramStart"/>
      <w:r w:rsidRPr="005C5580">
        <w:rPr>
          <w:rFonts w:ascii="Times New Roman" w:hAnsi="Times New Roman"/>
        </w:rPr>
        <w:t xml:space="preserve">RF-15 (reconciling Fuller, </w:t>
      </w:r>
      <w:proofErr w:type="spellStart"/>
      <w:r w:rsidRPr="005C5580">
        <w:rPr>
          <w:rFonts w:ascii="Times New Roman" w:hAnsi="Times New Roman"/>
        </w:rPr>
        <w:t>Exh</w:t>
      </w:r>
      <w:proofErr w:type="spellEnd"/>
      <w:r w:rsidRPr="005C5580">
        <w:rPr>
          <w:rFonts w:ascii="Times New Roman" w:hAnsi="Times New Roman"/>
        </w:rPr>
        <w:t>.</w:t>
      </w:r>
      <w:proofErr w:type="gramEnd"/>
      <w:r w:rsidRPr="005C5580">
        <w:rPr>
          <w:rFonts w:ascii="Times New Roman" w:hAnsi="Times New Roman"/>
        </w:rPr>
        <w:t xml:space="preserve"> No. </w:t>
      </w:r>
      <w:proofErr w:type="gramStart"/>
      <w:r w:rsidRPr="005C5580">
        <w:rPr>
          <w:rFonts w:ascii="Times New Roman" w:hAnsi="Times New Roman"/>
        </w:rPr>
        <w:t xml:space="preserve">RF-12 and Breda, </w:t>
      </w:r>
      <w:proofErr w:type="spellStart"/>
      <w:r w:rsidRPr="005C5580">
        <w:rPr>
          <w:rFonts w:ascii="Times New Roman" w:hAnsi="Times New Roman"/>
        </w:rPr>
        <w:t>Exh</w:t>
      </w:r>
      <w:proofErr w:type="spellEnd"/>
      <w:r w:rsidRPr="005C5580">
        <w:rPr>
          <w:rFonts w:ascii="Times New Roman" w:hAnsi="Times New Roman"/>
        </w:rPr>
        <w:t>.</w:t>
      </w:r>
      <w:proofErr w:type="gramEnd"/>
      <w:r w:rsidRPr="005C5580">
        <w:rPr>
          <w:rFonts w:ascii="Times New Roman" w:hAnsi="Times New Roman"/>
        </w:rPr>
        <w:t xml:space="preserve"> No. KHB-6); Breda, T</w:t>
      </w:r>
      <w:r>
        <w:rPr>
          <w:rFonts w:ascii="Times New Roman" w:hAnsi="Times New Roman"/>
        </w:rPr>
        <w:t>R</w:t>
      </w:r>
      <w:r w:rsidRPr="005C5580">
        <w:rPr>
          <w:rFonts w:ascii="Times New Roman" w:hAnsi="Times New Roman"/>
        </w:rPr>
        <w:t>. 749:12-750:15 (her adjustment moves these items from flow-through to normalized); Breda, T</w:t>
      </w:r>
      <w:r>
        <w:rPr>
          <w:rFonts w:ascii="Times New Roman" w:hAnsi="Times New Roman"/>
        </w:rPr>
        <w:t>R</w:t>
      </w:r>
      <w:r w:rsidRPr="005C5580">
        <w:rPr>
          <w:rFonts w:ascii="Times New Roman" w:hAnsi="Times New Roman"/>
        </w:rPr>
        <w:t>. 752:2-14 (the difference between Staff and the Company is that Ms. Breda normalized these five assets because regulatory assets are “usually” normalized).</w:t>
      </w:r>
    </w:p>
  </w:footnote>
  <w:footnote w:id="296">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xml:space="preserve">. No. </w:t>
      </w:r>
      <w:proofErr w:type="gramStart"/>
      <w:r w:rsidRPr="005C5580">
        <w:rPr>
          <w:rFonts w:ascii="Times New Roman" w:hAnsi="Times New Roman"/>
        </w:rPr>
        <w:t>RF-9.</w:t>
      </w:r>
      <w:proofErr w:type="gramEnd"/>
    </w:p>
  </w:footnote>
  <w:footnote w:id="297">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755:18-756:3.  Ms. Breda’s testimony with respect to this issue is problematic because she also testified that “most of the time” when the Commission authorizes a deferral it also authorizes normalization and that “there are some specific instances” where the Commission has done otherwise.  Breda, T</w:t>
      </w:r>
      <w:r>
        <w:rPr>
          <w:rFonts w:ascii="Times New Roman" w:hAnsi="Times New Roman"/>
        </w:rPr>
        <w:t>R</w:t>
      </w:r>
      <w:r w:rsidRPr="005C5580">
        <w:rPr>
          <w:rFonts w:ascii="Times New Roman" w:hAnsi="Times New Roman"/>
        </w:rPr>
        <w:t>. 755:13-17.  This leaves the impression that unless the Commission specifically says otherwise, normalization is authorized when the Commission allows a deferral.  Staff’s own testimony and the Commission orders cited therein contradict this statement</w:t>
      </w:r>
      <w:r>
        <w:rPr>
          <w:rFonts w:ascii="Times New Roman" w:hAnsi="Times New Roman"/>
        </w:rPr>
        <w:t>.</w:t>
      </w:r>
    </w:p>
  </w:footnote>
  <w:footnote w:id="298">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8:6-14.</w:t>
      </w:r>
    </w:p>
  </w:footnote>
  <w:footnote w:id="299">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756:4-8.</w:t>
      </w:r>
    </w:p>
  </w:footnote>
  <w:footnote w:id="300">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757:6-14.</w:t>
      </w:r>
    </w:p>
  </w:footnote>
  <w:footnote w:id="301">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xml:space="preserve">. No. RF-8T 9:17-22; Fuller, </w:t>
      </w:r>
      <w:proofErr w:type="spellStart"/>
      <w:r w:rsidRPr="005C5580">
        <w:rPr>
          <w:rFonts w:ascii="Times New Roman" w:hAnsi="Times New Roman"/>
        </w:rPr>
        <w:t>Exh</w:t>
      </w:r>
      <w:proofErr w:type="spellEnd"/>
      <w:r w:rsidRPr="005C5580">
        <w:rPr>
          <w:rFonts w:ascii="Times New Roman" w:hAnsi="Times New Roman"/>
        </w:rPr>
        <w:t xml:space="preserve">. No. </w:t>
      </w:r>
      <w:proofErr w:type="gramStart"/>
      <w:r w:rsidRPr="005C5580">
        <w:rPr>
          <w:rFonts w:ascii="Times New Roman" w:hAnsi="Times New Roman"/>
        </w:rPr>
        <w:t>RF-10.</w:t>
      </w:r>
      <w:proofErr w:type="gramEnd"/>
    </w:p>
  </w:footnote>
  <w:footnote w:id="302">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r w:rsidRPr="005C5580">
        <w:rPr>
          <w:rFonts w:ascii="Times New Roman" w:hAnsi="Times New Roman"/>
          <w:i/>
        </w:rPr>
        <w:t>See</w:t>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No. RF-15; Breda, T</w:t>
      </w:r>
      <w:r>
        <w:rPr>
          <w:rFonts w:ascii="Times New Roman" w:hAnsi="Times New Roman"/>
        </w:rPr>
        <w:t>R</w:t>
      </w:r>
      <w:r w:rsidRPr="005C5580">
        <w:rPr>
          <w:rFonts w:ascii="Times New Roman" w:hAnsi="Times New Roman"/>
        </w:rPr>
        <w:t>. 751:4-16.</w:t>
      </w:r>
    </w:p>
  </w:footnote>
  <w:footnote w:id="303">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w:t>
      </w:r>
      <w:r>
        <w:rPr>
          <w:rFonts w:ascii="Times New Roman" w:hAnsi="Times New Roman"/>
          <w:i/>
        </w:rPr>
        <w:t xml:space="preserve"> </w:t>
      </w:r>
      <w:proofErr w:type="gramStart"/>
      <w:r w:rsidRPr="005C5580">
        <w:rPr>
          <w:rFonts w:ascii="Times New Roman" w:hAnsi="Times New Roman"/>
          <w:i/>
        </w:rPr>
        <w:t>PacifiCorp</w:t>
      </w:r>
      <w:r>
        <w:rPr>
          <w:rFonts w:ascii="Times New Roman" w:hAnsi="Times New Roman"/>
          <w:i/>
        </w:rPr>
        <w:t xml:space="preserve"> </w:t>
      </w:r>
      <w:r w:rsidRPr="005C5580">
        <w:rPr>
          <w:rFonts w:ascii="Times New Roman" w:hAnsi="Times New Roman"/>
        </w:rPr>
        <w:t>,</w:t>
      </w:r>
      <w:proofErr w:type="gramEnd"/>
      <w:r w:rsidRPr="005C5580">
        <w:rPr>
          <w:rFonts w:ascii="Times New Roman" w:hAnsi="Times New Roman"/>
        </w:rPr>
        <w:t xml:space="preserve"> Docket UE-090205, Order 09 (Dec. 16, 2009)</w:t>
      </w:r>
      <w:r w:rsidR="00FC60A1">
        <w:rPr>
          <w:rFonts w:ascii="Times New Roman" w:hAnsi="Times New Roman"/>
        </w:rPr>
        <w:fldChar w:fldCharType="begin"/>
      </w:r>
      <w:r>
        <w:instrText xml:space="preserve"> TA \s "Docket UE-090205 Order 09" </w:instrText>
      </w:r>
      <w:r w:rsidR="00FC60A1">
        <w:rPr>
          <w:rFonts w:ascii="Times New Roman" w:hAnsi="Times New Roman"/>
        </w:rPr>
        <w:fldChar w:fldCharType="end"/>
      </w:r>
      <w:r>
        <w:rPr>
          <w:rFonts w:ascii="Times New Roman" w:hAnsi="Times New Roman"/>
        </w:rPr>
        <w:t>.</w:t>
      </w:r>
    </w:p>
  </w:footnote>
  <w:footnote w:id="304">
    <w:p w:rsidR="00A26E08" w:rsidRPr="005C5580" w:rsidRDefault="00A26E08" w:rsidP="00B043C0">
      <w:pPr>
        <w:pStyle w:val="FootnoteText"/>
        <w:rPr>
          <w:rFonts w:ascii="Times New Roman" w:hAnsi="Times New Roman"/>
          <w:i/>
        </w:rPr>
      </w:pPr>
      <w:r w:rsidRPr="005C5580">
        <w:rPr>
          <w:rStyle w:val="FootnoteReference"/>
          <w:rFonts w:ascii="Times New Roman" w:hAnsi="Times New Roman"/>
        </w:rPr>
        <w:footnoteRef/>
      </w:r>
      <w:r w:rsidRPr="005C5580">
        <w:rPr>
          <w:rFonts w:ascii="Times New Roman" w:hAnsi="Times New Roman"/>
        </w:rPr>
        <w:t xml:space="preserve"> </w:t>
      </w:r>
      <w:r w:rsidRPr="005C5580">
        <w:rPr>
          <w:rFonts w:ascii="Times New Roman" w:hAnsi="Times New Roman"/>
          <w:i/>
        </w:rPr>
        <w:t xml:space="preserve">See </w:t>
      </w:r>
      <w:r w:rsidRPr="005C5580">
        <w:rPr>
          <w:rFonts w:ascii="Times New Roman" w:hAnsi="Times New Roman"/>
        </w:rPr>
        <w:t xml:space="preserve">Fuller, </w:t>
      </w:r>
      <w:proofErr w:type="spellStart"/>
      <w:r w:rsidRPr="005C5580">
        <w:rPr>
          <w:rFonts w:ascii="Times New Roman" w:hAnsi="Times New Roman"/>
        </w:rPr>
        <w:t>Exh</w:t>
      </w:r>
      <w:proofErr w:type="spellEnd"/>
      <w:r w:rsidRPr="005C5580">
        <w:rPr>
          <w:rFonts w:ascii="Times New Roman" w:hAnsi="Times New Roman"/>
        </w:rPr>
        <w:t xml:space="preserve">. No. </w:t>
      </w:r>
      <w:proofErr w:type="gramStart"/>
      <w:r w:rsidRPr="005C5580">
        <w:rPr>
          <w:rFonts w:ascii="Times New Roman" w:hAnsi="Times New Roman"/>
        </w:rPr>
        <w:t>RF-</w:t>
      </w:r>
      <w:r>
        <w:rPr>
          <w:rFonts w:ascii="Times New Roman" w:hAnsi="Times New Roman"/>
        </w:rPr>
        <w:t>9</w:t>
      </w:r>
      <w:r w:rsidRPr="005C5580">
        <w:rPr>
          <w:rFonts w:ascii="Times New Roman" w:hAnsi="Times New Roman"/>
        </w:rPr>
        <w:t>.</w:t>
      </w:r>
      <w:proofErr w:type="gramEnd"/>
    </w:p>
  </w:footnote>
  <w:footnote w:id="305">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755:18-23 (admits there is no Chehalis order authorizing normalization).</w:t>
      </w:r>
    </w:p>
  </w:footnote>
  <w:footnote w:id="306">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752:5-14</w:t>
      </w:r>
      <w:r>
        <w:rPr>
          <w:rFonts w:ascii="Times New Roman" w:hAnsi="Times New Roman"/>
        </w:rPr>
        <w:t xml:space="preserve">; </w:t>
      </w:r>
      <w:r w:rsidRPr="005C5580">
        <w:rPr>
          <w:rFonts w:ascii="Times New Roman" w:hAnsi="Times New Roman"/>
        </w:rPr>
        <w:t>Breda, T</w:t>
      </w:r>
      <w:r>
        <w:rPr>
          <w:rFonts w:ascii="Times New Roman" w:hAnsi="Times New Roman"/>
        </w:rPr>
        <w:t>R</w:t>
      </w:r>
      <w:r w:rsidRPr="005C5580">
        <w:rPr>
          <w:rFonts w:ascii="Times New Roman" w:hAnsi="Times New Roman"/>
        </w:rPr>
        <w:t>. 755:6-17.</w:t>
      </w:r>
    </w:p>
  </w:footnote>
  <w:footnote w:id="307">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754:2-16 (Ms. Breda could not state that the Commission explicitly authorized normalization).</w:t>
      </w:r>
    </w:p>
  </w:footnote>
  <w:footnote w:id="308">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756:19-757:1.</w:t>
      </w:r>
    </w:p>
  </w:footnote>
  <w:footnote w:id="309">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r w:rsidRPr="005C5580">
        <w:rPr>
          <w:rFonts w:ascii="Times New Roman" w:hAnsi="Times New Roman"/>
          <w:i/>
        </w:rPr>
        <w:t>See</w:t>
      </w:r>
      <w:r w:rsidRPr="005C5580">
        <w:rPr>
          <w:rFonts w:ascii="Times New Roman" w:hAnsi="Times New Roman"/>
        </w:rPr>
        <w:t xml:space="preserve"> Fuller, </w:t>
      </w:r>
      <w:proofErr w:type="spellStart"/>
      <w:r w:rsidRPr="005C5580">
        <w:rPr>
          <w:rFonts w:ascii="Times New Roman" w:hAnsi="Times New Roman"/>
        </w:rPr>
        <w:t>Exh</w:t>
      </w:r>
      <w:proofErr w:type="spellEnd"/>
      <w:r w:rsidRPr="005C5580">
        <w:rPr>
          <w:rFonts w:ascii="Times New Roman" w:hAnsi="Times New Roman"/>
        </w:rPr>
        <w:t xml:space="preserve">. No. </w:t>
      </w:r>
      <w:proofErr w:type="gramStart"/>
      <w:r w:rsidRPr="005C5580">
        <w:rPr>
          <w:rFonts w:ascii="Times New Roman" w:hAnsi="Times New Roman"/>
        </w:rPr>
        <w:t>RF-15.</w:t>
      </w:r>
      <w:proofErr w:type="gramEnd"/>
    </w:p>
  </w:footnote>
  <w:footnote w:id="310">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w:t>
      </w:r>
      <w:proofErr w:type="spellStart"/>
      <w:r w:rsidRPr="005C5580">
        <w:rPr>
          <w:rFonts w:ascii="Times New Roman" w:hAnsi="Times New Roman"/>
        </w:rPr>
        <w:t>Exh</w:t>
      </w:r>
      <w:proofErr w:type="spellEnd"/>
      <w:r w:rsidRPr="005C5580">
        <w:rPr>
          <w:rFonts w:ascii="Times New Roman" w:hAnsi="Times New Roman"/>
        </w:rPr>
        <w:t>. No. KHB-1T 25:4-7; Breda, T</w:t>
      </w:r>
      <w:r>
        <w:rPr>
          <w:rFonts w:ascii="Times New Roman" w:hAnsi="Times New Roman"/>
        </w:rPr>
        <w:t>R</w:t>
      </w:r>
      <w:r w:rsidRPr="005C5580">
        <w:rPr>
          <w:rFonts w:ascii="Times New Roman" w:hAnsi="Times New Roman"/>
        </w:rPr>
        <w:t xml:space="preserve">. 758:6-14; Fuller, </w:t>
      </w:r>
      <w:proofErr w:type="spellStart"/>
      <w:r w:rsidRPr="005C5580">
        <w:rPr>
          <w:rFonts w:ascii="Times New Roman" w:hAnsi="Times New Roman"/>
        </w:rPr>
        <w:t>Exh</w:t>
      </w:r>
      <w:proofErr w:type="spellEnd"/>
      <w:r w:rsidRPr="005C5580">
        <w:rPr>
          <w:rFonts w:ascii="Times New Roman" w:hAnsi="Times New Roman"/>
        </w:rPr>
        <w:t>. No. RF-8T 12:17-</w:t>
      </w:r>
      <w:r>
        <w:rPr>
          <w:rFonts w:ascii="Times New Roman" w:hAnsi="Times New Roman"/>
        </w:rPr>
        <w:t>13:</w:t>
      </w:r>
      <w:r w:rsidRPr="005C5580">
        <w:rPr>
          <w:rFonts w:ascii="Times New Roman" w:hAnsi="Times New Roman"/>
        </w:rPr>
        <w:t>2.</w:t>
      </w:r>
    </w:p>
  </w:footnote>
  <w:footnote w:id="311">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 </w:t>
      </w:r>
      <w:proofErr w:type="spellStart"/>
      <w:r w:rsidRPr="005C5580">
        <w:rPr>
          <w:rFonts w:ascii="Times New Roman" w:hAnsi="Times New Roman"/>
          <w:i/>
        </w:rPr>
        <w:t>Avista</w:t>
      </w:r>
      <w:proofErr w:type="spellEnd"/>
      <w:r w:rsidRPr="005C5580">
        <w:rPr>
          <w:rFonts w:ascii="Times New Roman" w:hAnsi="Times New Roman"/>
          <w:i/>
        </w:rPr>
        <w:t xml:space="preserve"> Corp.</w:t>
      </w:r>
      <w:r w:rsidRPr="005C5580">
        <w:rPr>
          <w:rFonts w:ascii="Times New Roman" w:hAnsi="Times New Roman"/>
        </w:rPr>
        <w:t>, Docket UE-090134, Order 10</w:t>
      </w:r>
      <w:r w:rsidR="00FC60A1">
        <w:rPr>
          <w:rFonts w:ascii="Times New Roman" w:hAnsi="Times New Roman"/>
        </w:rPr>
        <w:fldChar w:fldCharType="begin"/>
      </w:r>
      <w:r>
        <w:rPr>
          <w:rFonts w:ascii="Times New Roman" w:hAnsi="Times New Roman"/>
        </w:rPr>
        <w:instrText xml:space="preserve"> TA \s "Docket UE-090134, Order 10" </w:instrText>
      </w:r>
      <w:r w:rsidR="00FC60A1">
        <w:rPr>
          <w:rFonts w:ascii="Times New Roman" w:hAnsi="Times New Roman"/>
        </w:rPr>
        <w:fldChar w:fldCharType="end"/>
      </w:r>
      <w:r w:rsidRPr="005C5580">
        <w:rPr>
          <w:rFonts w:ascii="Times New Roman" w:hAnsi="Times New Roman"/>
        </w:rPr>
        <w:t xml:space="preserve"> at ¶76 (Dec. 22, 2009).</w:t>
      </w:r>
    </w:p>
  </w:footnote>
  <w:footnote w:id="312">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xml:space="preserve">. 760:7-12; Breda, </w:t>
      </w:r>
      <w:proofErr w:type="spellStart"/>
      <w:r w:rsidRPr="005C5580">
        <w:rPr>
          <w:rFonts w:ascii="Times New Roman" w:hAnsi="Times New Roman"/>
        </w:rPr>
        <w:t>Exh</w:t>
      </w:r>
      <w:proofErr w:type="spellEnd"/>
      <w:r w:rsidRPr="005C5580">
        <w:rPr>
          <w:rFonts w:ascii="Times New Roman" w:hAnsi="Times New Roman"/>
        </w:rPr>
        <w:t>. No. KHB-1T 25:2-11.</w:t>
      </w:r>
    </w:p>
  </w:footnote>
  <w:footnote w:id="313">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 Puget Sound Energy</w:t>
      </w:r>
      <w:r w:rsidRPr="005C5580">
        <w:rPr>
          <w:rFonts w:ascii="Times New Roman" w:hAnsi="Times New Roman"/>
        </w:rPr>
        <w:t>, 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5C5580">
        <w:rPr>
          <w:rFonts w:ascii="Times New Roman" w:hAnsi="Times New Roman"/>
        </w:rPr>
        <w:t xml:space="preserve"> at ¶¶ 195-197 (Apr. 2, 2010).</w:t>
      </w:r>
    </w:p>
  </w:footnote>
  <w:footnote w:id="314">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 Puget Sound Energy</w:t>
      </w:r>
      <w:r w:rsidRPr="005C5580">
        <w:rPr>
          <w:rFonts w:ascii="Times New Roman" w:hAnsi="Times New Roman"/>
        </w:rPr>
        <w:t>, 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5C5580">
        <w:rPr>
          <w:rFonts w:ascii="Times New Roman" w:hAnsi="Times New Roman"/>
        </w:rPr>
        <w:t xml:space="preserve"> at ¶ 193 (Apr. 2, 2010).</w:t>
      </w:r>
    </w:p>
  </w:footnote>
  <w:footnote w:id="315">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 Puget Sound Energy</w:t>
      </w:r>
      <w:r w:rsidRPr="005C5580">
        <w:rPr>
          <w:rFonts w:ascii="Times New Roman" w:hAnsi="Times New Roman"/>
        </w:rPr>
        <w:t>, 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5C5580">
        <w:rPr>
          <w:rFonts w:ascii="Times New Roman" w:hAnsi="Times New Roman"/>
        </w:rPr>
        <w:t xml:space="preserve"> at ¶ 197 (Apr. 2, 2010).</w:t>
      </w:r>
    </w:p>
  </w:footnote>
  <w:footnote w:id="316">
    <w:p w:rsidR="00A26E08" w:rsidRPr="005C5580" w:rsidRDefault="00A26E08" w:rsidP="00B043C0">
      <w:pPr>
        <w:pStyle w:val="FootnoteText"/>
        <w:rPr>
          <w:rFonts w:ascii="Times New Roman" w:hAnsi="Times New Roman"/>
        </w:rPr>
      </w:pPr>
      <w:r w:rsidRPr="005C5580">
        <w:rPr>
          <w:rStyle w:val="FootnoteReference"/>
          <w:rFonts w:ascii="Times New Roman" w:hAnsi="Times New Roman"/>
        </w:rPr>
        <w:footnoteRef/>
      </w:r>
      <w:r w:rsidRPr="005C5580">
        <w:rPr>
          <w:rFonts w:ascii="Times New Roman" w:hAnsi="Times New Roman"/>
        </w:rPr>
        <w:t xml:space="preserve"> Breda, T</w:t>
      </w:r>
      <w:r>
        <w:rPr>
          <w:rFonts w:ascii="Times New Roman" w:hAnsi="Times New Roman"/>
        </w:rPr>
        <w:t>R</w:t>
      </w:r>
      <w:r w:rsidRPr="005C5580">
        <w:rPr>
          <w:rFonts w:ascii="Times New Roman" w:hAnsi="Times New Roman"/>
        </w:rPr>
        <w:t>. 761:4-10.</w:t>
      </w:r>
    </w:p>
  </w:footnote>
  <w:footnote w:id="317">
    <w:p w:rsidR="00A26E08" w:rsidRDefault="00A26E08" w:rsidP="00CE087A">
      <w:pPr>
        <w:pStyle w:val="FootnoteText"/>
      </w:pPr>
      <w:r>
        <w:rPr>
          <w:rStyle w:val="FootnoteReference"/>
        </w:rPr>
        <w:footnoteRef/>
      </w:r>
      <w:r>
        <w:t xml:space="preserve"> Fuller, </w:t>
      </w:r>
      <w:proofErr w:type="spellStart"/>
      <w:r>
        <w:t>Exh</w:t>
      </w:r>
      <w:proofErr w:type="spellEnd"/>
      <w:r>
        <w:t xml:space="preserve">. No. RF-1T 5:3-16; Fuller, </w:t>
      </w:r>
      <w:proofErr w:type="spellStart"/>
      <w:r>
        <w:t>Exh</w:t>
      </w:r>
      <w:proofErr w:type="spellEnd"/>
      <w:r>
        <w:t>. No. RF-8T 13:9-14:12.</w:t>
      </w:r>
    </w:p>
  </w:footnote>
  <w:footnote w:id="318">
    <w:p w:rsidR="00A26E08" w:rsidRPr="005C5580" w:rsidRDefault="00A26E08" w:rsidP="005857A4">
      <w:pPr>
        <w:pStyle w:val="FootnoteText"/>
        <w:rPr>
          <w:rFonts w:ascii="Times New Roman" w:hAnsi="Times New Roman"/>
        </w:rPr>
      </w:pPr>
      <w:r>
        <w:rPr>
          <w:rStyle w:val="FootnoteReference"/>
        </w:rPr>
        <w:footnoteRef/>
      </w:r>
      <w: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 Puget Sound Energy</w:t>
      </w:r>
      <w:r w:rsidRPr="005C5580">
        <w:rPr>
          <w:rFonts w:ascii="Times New Roman" w:hAnsi="Times New Roman"/>
        </w:rPr>
        <w:t>, 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5C5580">
        <w:rPr>
          <w:rFonts w:ascii="Times New Roman" w:hAnsi="Times New Roman"/>
        </w:rPr>
        <w:t xml:space="preserve"> at ¶ 19</w:t>
      </w:r>
      <w:r>
        <w:rPr>
          <w:rFonts w:ascii="Times New Roman" w:hAnsi="Times New Roman"/>
        </w:rPr>
        <w:t>5</w:t>
      </w:r>
      <w:r w:rsidRPr="005C5580">
        <w:rPr>
          <w:rFonts w:ascii="Times New Roman" w:hAnsi="Times New Roman"/>
        </w:rPr>
        <w:t xml:space="preserve"> (Apr. 2, 2010).</w:t>
      </w:r>
    </w:p>
    <w:p w:rsidR="00A26E08" w:rsidRPr="0022687C" w:rsidRDefault="00A26E08" w:rsidP="00973298">
      <w:pPr>
        <w:pStyle w:val="FootnoteText"/>
      </w:pPr>
    </w:p>
  </w:footnote>
  <w:footnote w:id="319">
    <w:p w:rsidR="00A26E08" w:rsidRPr="005C5580" w:rsidRDefault="00A26E08" w:rsidP="005857A4">
      <w:pPr>
        <w:pStyle w:val="FootnoteText"/>
        <w:rPr>
          <w:rFonts w:ascii="Times New Roman" w:hAnsi="Times New Roman"/>
        </w:rPr>
      </w:pPr>
      <w:r>
        <w:rPr>
          <w:rStyle w:val="FootnoteReference"/>
        </w:rPr>
        <w:footnoteRef/>
      </w:r>
      <w:r>
        <w:t xml:space="preserve"> </w:t>
      </w:r>
      <w:proofErr w:type="gramStart"/>
      <w:r w:rsidRPr="005C5580">
        <w:rPr>
          <w:rFonts w:ascii="Times New Roman" w:hAnsi="Times New Roman"/>
          <w:i/>
          <w:iCs/>
        </w:rPr>
        <w:t xml:space="preserve">Wash. </w:t>
      </w:r>
      <w:proofErr w:type="spellStart"/>
      <w:r w:rsidRPr="005C5580">
        <w:rPr>
          <w:rFonts w:ascii="Times New Roman" w:hAnsi="Times New Roman"/>
          <w:i/>
          <w:iCs/>
        </w:rPr>
        <w:t>Utils</w:t>
      </w:r>
      <w:proofErr w:type="spellEnd"/>
      <w:r w:rsidRPr="005C5580">
        <w:rPr>
          <w:rFonts w:ascii="Times New Roman" w:hAnsi="Times New Roman"/>
          <w:i/>
          <w:iCs/>
        </w:rPr>
        <w:t>.</w:t>
      </w:r>
      <w:proofErr w:type="gramEnd"/>
      <w:r w:rsidRPr="005C5580">
        <w:rPr>
          <w:rFonts w:ascii="Times New Roman" w:hAnsi="Times New Roman"/>
          <w:i/>
          <w:iCs/>
        </w:rPr>
        <w:t xml:space="preserve"> &amp; Transp. </w:t>
      </w:r>
      <w:proofErr w:type="spellStart"/>
      <w:r w:rsidRPr="005C5580">
        <w:rPr>
          <w:rFonts w:ascii="Times New Roman" w:hAnsi="Times New Roman"/>
          <w:i/>
          <w:iCs/>
        </w:rPr>
        <w:t>Comm'n</w:t>
      </w:r>
      <w:proofErr w:type="spellEnd"/>
      <w:r w:rsidRPr="005C5580">
        <w:rPr>
          <w:rFonts w:ascii="Times New Roman" w:hAnsi="Times New Roman"/>
          <w:i/>
        </w:rPr>
        <w:t xml:space="preserve"> v. Puget Sound Energy</w:t>
      </w:r>
      <w:r w:rsidRPr="005C5580">
        <w:rPr>
          <w:rFonts w:ascii="Times New Roman" w:hAnsi="Times New Roman"/>
        </w:rPr>
        <w:t>, Docket UE-090704, Order 11</w:t>
      </w:r>
      <w:r w:rsidR="00FC60A1">
        <w:rPr>
          <w:rFonts w:ascii="Times New Roman" w:hAnsi="Times New Roman"/>
        </w:rPr>
        <w:fldChar w:fldCharType="begin"/>
      </w:r>
      <w:r>
        <w:rPr>
          <w:rFonts w:ascii="Times New Roman" w:hAnsi="Times New Roman"/>
        </w:rPr>
        <w:instrText xml:space="preserve"> TA \s "Docket UE-090704, Order 11" </w:instrText>
      </w:r>
      <w:r w:rsidR="00FC60A1">
        <w:rPr>
          <w:rFonts w:ascii="Times New Roman" w:hAnsi="Times New Roman"/>
        </w:rPr>
        <w:fldChar w:fldCharType="end"/>
      </w:r>
      <w:r w:rsidRPr="005C5580">
        <w:rPr>
          <w:rFonts w:ascii="Times New Roman" w:hAnsi="Times New Roman"/>
        </w:rPr>
        <w:t xml:space="preserve"> at ¶ 19</w:t>
      </w:r>
      <w:r>
        <w:rPr>
          <w:rFonts w:ascii="Times New Roman" w:hAnsi="Times New Roman"/>
        </w:rPr>
        <w:t>7</w:t>
      </w:r>
      <w:r w:rsidRPr="005C5580">
        <w:rPr>
          <w:rFonts w:ascii="Times New Roman" w:hAnsi="Times New Roman"/>
        </w:rPr>
        <w:t xml:space="preserve"> (Apr. 2, 2010).</w:t>
      </w:r>
    </w:p>
    <w:p w:rsidR="00A26E08" w:rsidRDefault="00A26E08" w:rsidP="00CE087A">
      <w:pPr>
        <w:pStyle w:val="FootnoteText"/>
      </w:pPr>
    </w:p>
  </w:footnote>
  <w:footnote w:id="320">
    <w:p w:rsidR="00A26E08" w:rsidRPr="00C9408D" w:rsidRDefault="00A26E08" w:rsidP="00AC4967">
      <w:pPr>
        <w:pStyle w:val="FootnoteText"/>
        <w:tabs>
          <w:tab w:val="left" w:pos="5325"/>
        </w:tabs>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Meyer</w:t>
      </w:r>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GRM-1T 4:3-8.</w:t>
      </w:r>
      <w:r>
        <w:rPr>
          <w:rFonts w:ascii="Times New Roman" w:hAnsi="Times New Roman"/>
        </w:rPr>
        <w:tab/>
      </w:r>
    </w:p>
  </w:footnote>
  <w:footnote w:id="321">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r>
        <w:rPr>
          <w:rFonts w:ascii="Times New Roman" w:hAnsi="Times New Roman"/>
        </w:rPr>
        <w:t>Meyer</w:t>
      </w:r>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GRM-1T 4:3-8.</w:t>
      </w:r>
    </w:p>
  </w:footnote>
  <w:footnote w:id="322">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v.</w:t>
      </w:r>
      <w:r>
        <w:rPr>
          <w:rFonts w:ascii="Times New Roman" w:hAnsi="Times New Roman"/>
          <w:i/>
        </w:rPr>
        <w:t xml:space="preserve"> </w:t>
      </w:r>
      <w:r w:rsidRPr="00C9408D">
        <w:rPr>
          <w:rFonts w:ascii="Times New Roman" w:hAnsi="Times New Roman"/>
          <w:i/>
        </w:rPr>
        <w:t>Pac</w:t>
      </w:r>
      <w:r>
        <w:rPr>
          <w:rFonts w:ascii="Times New Roman" w:hAnsi="Times New Roman"/>
          <w:i/>
        </w:rPr>
        <w:t>i</w:t>
      </w:r>
      <w:r w:rsidRPr="00C9408D">
        <w:rPr>
          <w:rFonts w:ascii="Times New Roman" w:hAnsi="Times New Roman"/>
          <w:i/>
        </w:rPr>
        <w:t>f</w:t>
      </w:r>
      <w:r>
        <w:rPr>
          <w:rFonts w:ascii="Times New Roman" w:hAnsi="Times New Roman"/>
          <w:i/>
        </w:rPr>
        <w:t>i</w:t>
      </w:r>
      <w:r w:rsidRPr="00C9408D">
        <w:rPr>
          <w:rFonts w:ascii="Times New Roman" w:hAnsi="Times New Roman"/>
          <w:i/>
        </w:rPr>
        <w:t>Corp</w:t>
      </w:r>
      <w:r w:rsidRPr="00C9408D">
        <w:rPr>
          <w:rFonts w:ascii="Times New Roman" w:hAnsi="Times New Roman"/>
        </w:rPr>
        <w:t>, Docket UE-050684, Order 0</w:t>
      </w:r>
      <w:r>
        <w:rPr>
          <w:rFonts w:ascii="Times New Roman" w:hAnsi="Times New Roman"/>
        </w:rPr>
        <w:t>4</w:t>
      </w:r>
      <w:r w:rsidRPr="00C9408D">
        <w:rPr>
          <w:rFonts w:ascii="Times New Roman" w:hAnsi="Times New Roman"/>
        </w:rPr>
        <w:t xml:space="preserve"> </w:t>
      </w:r>
      <w:r w:rsidRPr="00A320A9">
        <w:rPr>
          <w:rFonts w:ascii="Times New Roman" w:hAnsi="Times New Roman"/>
        </w:rPr>
        <w:t>¶ 188 (</w:t>
      </w:r>
      <w:r w:rsidRPr="00C9408D">
        <w:rPr>
          <w:rFonts w:ascii="Times New Roman" w:hAnsi="Times New Roman"/>
        </w:rPr>
        <w:t>Apr. 17. 2006)</w:t>
      </w:r>
      <w:r w:rsidR="00FC60A1">
        <w:rPr>
          <w:rFonts w:ascii="Times New Roman" w:hAnsi="Times New Roman"/>
        </w:rPr>
        <w:fldChar w:fldCharType="begin"/>
      </w:r>
      <w:r>
        <w:instrText xml:space="preserve"> TA \s "Docket UE-050684, Order 04" </w:instrText>
      </w:r>
      <w:r w:rsidR="00FC60A1">
        <w:rPr>
          <w:rFonts w:ascii="Times New Roman" w:hAnsi="Times New Roman"/>
        </w:rPr>
        <w:fldChar w:fldCharType="end"/>
      </w:r>
      <w:r w:rsidRPr="00C9408D">
        <w:rPr>
          <w:rFonts w:ascii="Times New Roman" w:hAnsi="Times New Roman"/>
        </w:rPr>
        <w:t>.</w:t>
      </w:r>
      <w:proofErr w:type="gramEnd"/>
    </w:p>
  </w:footnote>
  <w:footnote w:id="323">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Schooley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TES-1T 26:20-27:6.</w:t>
      </w:r>
    </w:p>
  </w:footnote>
  <w:footnote w:id="324">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w:t>
      </w:r>
      <w:proofErr w:type="spellStart"/>
      <w:r w:rsidRPr="00C9408D">
        <w:rPr>
          <w:rFonts w:ascii="Times New Roman" w:hAnsi="Times New Roman"/>
          <w:i/>
        </w:rPr>
        <w:t>v.Pacif</w:t>
      </w:r>
      <w:r>
        <w:rPr>
          <w:rFonts w:ascii="Times New Roman" w:hAnsi="Times New Roman"/>
          <w:i/>
        </w:rPr>
        <w:t>i</w:t>
      </w:r>
      <w:r w:rsidRPr="00C9408D">
        <w:rPr>
          <w:rFonts w:ascii="Times New Roman" w:hAnsi="Times New Roman"/>
          <w:i/>
        </w:rPr>
        <w:t>Corp</w:t>
      </w:r>
      <w:proofErr w:type="spellEnd"/>
      <w:r w:rsidRPr="00C9408D">
        <w:rPr>
          <w:rFonts w:ascii="Times New Roman" w:hAnsi="Times New Roman"/>
        </w:rPr>
        <w:t>, Docket UE-061546, Order 08 at ¶ 162 (June 21, 2007)</w:t>
      </w:r>
      <w:r w:rsidR="00FC60A1">
        <w:rPr>
          <w:rFonts w:ascii="Times New Roman" w:hAnsi="Times New Roman"/>
        </w:rPr>
        <w:fldChar w:fldCharType="begin"/>
      </w:r>
      <w:r>
        <w:instrText xml:space="preserve"> TA \s "Docket UE-061546, Order 8" </w:instrText>
      </w:r>
      <w:r w:rsidR="00FC60A1">
        <w:rPr>
          <w:rFonts w:ascii="Times New Roman" w:hAnsi="Times New Roman"/>
        </w:rPr>
        <w:fldChar w:fldCharType="end"/>
      </w:r>
      <w:r w:rsidRPr="00C9408D">
        <w:rPr>
          <w:rFonts w:ascii="Times New Roman" w:hAnsi="Times New Roman"/>
        </w:rPr>
        <w:t>.</w:t>
      </w:r>
      <w:proofErr w:type="gramEnd"/>
    </w:p>
  </w:footnote>
  <w:footnote w:id="325">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Docket UE-061546</w:t>
      </w:r>
      <w:r w:rsidRPr="00882F63">
        <w:rPr>
          <w:rFonts w:ascii="Times New Roman" w:hAnsi="Times New Roman"/>
        </w:rPr>
        <w:t>, TR.</w:t>
      </w:r>
      <w:r>
        <w:rPr>
          <w:rFonts w:ascii="Times New Roman" w:hAnsi="Times New Roman"/>
        </w:rPr>
        <w:t xml:space="preserve"> 318:19-319:4.  The Company requests that the Commission take official notice of the transcript filed in this docket pursuant to WAC 480-07-495</w:t>
      </w:r>
      <w:r w:rsidR="00FC60A1">
        <w:rPr>
          <w:rFonts w:ascii="Times New Roman" w:hAnsi="Times New Roman"/>
        </w:rPr>
        <w:fldChar w:fldCharType="begin"/>
      </w:r>
      <w:r>
        <w:rPr>
          <w:rFonts w:ascii="Times New Roman" w:hAnsi="Times New Roman"/>
        </w:rPr>
        <w:instrText xml:space="preserve"> TA \s "WAC 480-07-495" </w:instrText>
      </w:r>
      <w:r w:rsidR="00FC60A1">
        <w:rPr>
          <w:rFonts w:ascii="Times New Roman" w:hAnsi="Times New Roman"/>
        </w:rPr>
        <w:fldChar w:fldCharType="end"/>
      </w:r>
      <w:r>
        <w:rPr>
          <w:rFonts w:ascii="Times New Roman" w:hAnsi="Times New Roman"/>
        </w:rPr>
        <w:t>(2</w:t>
      </w:r>
      <w:proofErr w:type="gramStart"/>
      <w:r>
        <w:rPr>
          <w:rFonts w:ascii="Times New Roman" w:hAnsi="Times New Roman"/>
        </w:rPr>
        <w:t>)(</w:t>
      </w:r>
      <w:proofErr w:type="gramEnd"/>
      <w:r>
        <w:rPr>
          <w:rFonts w:ascii="Times New Roman" w:hAnsi="Times New Roman"/>
        </w:rPr>
        <w:t>a)(</w:t>
      </w:r>
      <w:proofErr w:type="spellStart"/>
      <w:r>
        <w:rPr>
          <w:rFonts w:ascii="Times New Roman" w:hAnsi="Times New Roman"/>
        </w:rPr>
        <w:t>i</w:t>
      </w:r>
      <w:proofErr w:type="spellEnd"/>
      <w:r>
        <w:rPr>
          <w:rFonts w:ascii="Times New Roman" w:hAnsi="Times New Roman"/>
        </w:rPr>
        <w:t>).</w:t>
      </w:r>
    </w:p>
  </w:footnote>
  <w:footnote w:id="326">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w:t>
      </w:r>
      <w:proofErr w:type="spellStart"/>
      <w:r w:rsidRPr="00C9408D">
        <w:rPr>
          <w:rFonts w:ascii="Times New Roman" w:hAnsi="Times New Roman"/>
          <w:i/>
        </w:rPr>
        <w:t>v.Pacif</w:t>
      </w:r>
      <w:r>
        <w:rPr>
          <w:rFonts w:ascii="Times New Roman" w:hAnsi="Times New Roman"/>
          <w:i/>
        </w:rPr>
        <w:t>i</w:t>
      </w:r>
      <w:r w:rsidRPr="00C9408D">
        <w:rPr>
          <w:rFonts w:ascii="Times New Roman" w:hAnsi="Times New Roman"/>
          <w:i/>
        </w:rPr>
        <w:t>Corp</w:t>
      </w:r>
      <w:proofErr w:type="spellEnd"/>
      <w:r w:rsidRPr="00C9408D">
        <w:rPr>
          <w:rFonts w:ascii="Times New Roman" w:hAnsi="Times New Roman"/>
        </w:rPr>
        <w:t>, Docket UE-061546, Order 08 ¶ 162 (June 21, 2007)</w:t>
      </w:r>
      <w:r w:rsidR="00FC60A1">
        <w:rPr>
          <w:rFonts w:ascii="Times New Roman" w:hAnsi="Times New Roman"/>
        </w:rPr>
        <w:fldChar w:fldCharType="begin"/>
      </w:r>
      <w:r>
        <w:instrText xml:space="preserve"> TA \s "Docket UE-061546, Order 8" </w:instrText>
      </w:r>
      <w:r w:rsidR="00FC60A1">
        <w:rPr>
          <w:rFonts w:ascii="Times New Roman" w:hAnsi="Times New Roman"/>
        </w:rPr>
        <w:fldChar w:fldCharType="end"/>
      </w:r>
      <w:r w:rsidRPr="00C9408D">
        <w:rPr>
          <w:rFonts w:ascii="Times New Roman" w:hAnsi="Times New Roman"/>
        </w:rPr>
        <w:t>.</w:t>
      </w:r>
      <w:proofErr w:type="gramEnd"/>
    </w:p>
  </w:footnote>
  <w:footnote w:id="327">
    <w:p w:rsidR="00A26E08" w:rsidRPr="00C9408D" w:rsidRDefault="00A26E08" w:rsidP="00613674">
      <w:pPr>
        <w:pStyle w:val="FootnoteText"/>
        <w:tabs>
          <w:tab w:val="left" w:pos="3675"/>
        </w:tabs>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13:19-14:8.</w:t>
      </w:r>
      <w:r>
        <w:rPr>
          <w:rFonts w:ascii="Times New Roman" w:hAnsi="Times New Roman"/>
        </w:rPr>
        <w:tab/>
      </w:r>
    </w:p>
  </w:footnote>
  <w:footnote w:id="328">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Schooley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TES-1T 14:4-5</w:t>
      </w:r>
      <w:r>
        <w:rPr>
          <w:rFonts w:ascii="Times New Roman" w:hAnsi="Times New Roman"/>
        </w:rPr>
        <w:t xml:space="preserve"> (emphasis added)</w:t>
      </w:r>
      <w:r w:rsidRPr="00C9408D">
        <w:rPr>
          <w:rFonts w:ascii="Times New Roman" w:hAnsi="Times New Roman"/>
        </w:rPr>
        <w:t>.</w:t>
      </w:r>
    </w:p>
  </w:footnote>
  <w:footnote w:id="329">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Docket UE-061546, </w:t>
      </w:r>
      <w:proofErr w:type="spellStart"/>
      <w:r w:rsidRPr="00C9408D">
        <w:rPr>
          <w:rFonts w:ascii="Times New Roman" w:hAnsi="Times New Roman"/>
        </w:rPr>
        <w:t>Schooley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TES-1T 17:2-4</w:t>
      </w:r>
      <w:r>
        <w:rPr>
          <w:rFonts w:ascii="Times New Roman" w:hAnsi="Times New Roman"/>
        </w:rPr>
        <w:t xml:space="preserve"> (emphasis added)</w:t>
      </w:r>
      <w:r w:rsidRPr="00C9408D">
        <w:rPr>
          <w:rFonts w:ascii="Times New Roman" w:hAnsi="Times New Roman"/>
        </w:rPr>
        <w:t xml:space="preserve">.  </w:t>
      </w:r>
      <w:r>
        <w:rPr>
          <w:rFonts w:ascii="Times New Roman" w:hAnsi="Times New Roman"/>
        </w:rPr>
        <w:t xml:space="preserve">The Company requests that the Commission take official notice of Mr. </w:t>
      </w:r>
      <w:proofErr w:type="spellStart"/>
      <w:r>
        <w:rPr>
          <w:rFonts w:ascii="Times New Roman" w:hAnsi="Times New Roman"/>
        </w:rPr>
        <w:t>Schooley’s</w:t>
      </w:r>
      <w:proofErr w:type="spellEnd"/>
      <w:r>
        <w:rPr>
          <w:rFonts w:ascii="Times New Roman" w:hAnsi="Times New Roman"/>
        </w:rPr>
        <w:t xml:space="preserve"> testimony filed in this docket pursuant to WAC 480-07-495</w:t>
      </w:r>
      <w:r w:rsidR="00FC60A1">
        <w:rPr>
          <w:rFonts w:ascii="Times New Roman" w:hAnsi="Times New Roman"/>
        </w:rPr>
        <w:fldChar w:fldCharType="begin"/>
      </w:r>
      <w:r>
        <w:rPr>
          <w:rFonts w:ascii="Times New Roman" w:hAnsi="Times New Roman"/>
        </w:rPr>
        <w:instrText xml:space="preserve"> TA \s "WAC 480-07-495" </w:instrText>
      </w:r>
      <w:r w:rsidR="00FC60A1">
        <w:rPr>
          <w:rFonts w:ascii="Times New Roman" w:hAnsi="Times New Roman"/>
        </w:rPr>
        <w:fldChar w:fldCharType="end"/>
      </w:r>
      <w:r>
        <w:rPr>
          <w:rFonts w:ascii="Times New Roman" w:hAnsi="Times New Roman"/>
        </w:rPr>
        <w:t>(2)(a)(</w:t>
      </w:r>
      <w:proofErr w:type="spellStart"/>
      <w:r>
        <w:rPr>
          <w:rFonts w:ascii="Times New Roman" w:hAnsi="Times New Roman"/>
        </w:rPr>
        <w:t>i</w:t>
      </w:r>
      <w:proofErr w:type="spellEnd"/>
      <w:r>
        <w:rPr>
          <w:rFonts w:ascii="Times New Roman" w:hAnsi="Times New Roman"/>
        </w:rPr>
        <w:t>).</w:t>
      </w:r>
    </w:p>
  </w:footnote>
  <w:footnote w:id="330">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Schooley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TES-1T 14:15-18</w:t>
      </w:r>
      <w:r>
        <w:rPr>
          <w:rFonts w:ascii="Times New Roman" w:hAnsi="Times New Roman"/>
        </w:rPr>
        <w:t xml:space="preserve"> (emphasis added)</w:t>
      </w:r>
      <w:r w:rsidRPr="00C9408D">
        <w:rPr>
          <w:rFonts w:ascii="Times New Roman" w:hAnsi="Times New Roman"/>
        </w:rPr>
        <w:t>.</w:t>
      </w:r>
    </w:p>
  </w:footnote>
  <w:footnote w:id="331">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Docket UE-061546, </w:t>
      </w:r>
      <w:proofErr w:type="spellStart"/>
      <w:r w:rsidRPr="00C9408D">
        <w:rPr>
          <w:rFonts w:ascii="Times New Roman" w:hAnsi="Times New Roman"/>
        </w:rPr>
        <w:t>Schooley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TES-1T 17:9-11</w:t>
      </w:r>
      <w:r w:rsidRPr="000D2752">
        <w:rPr>
          <w:rFonts w:ascii="Times New Roman" w:hAnsi="Times New Roman"/>
        </w:rPr>
        <w:t xml:space="preserve"> </w:t>
      </w:r>
      <w:r>
        <w:rPr>
          <w:rFonts w:ascii="Times New Roman" w:hAnsi="Times New Roman"/>
        </w:rPr>
        <w:t>(emphasis added).</w:t>
      </w:r>
      <w:r w:rsidRPr="00C9408D">
        <w:rPr>
          <w:rFonts w:ascii="Times New Roman" w:hAnsi="Times New Roman"/>
        </w:rPr>
        <w:t xml:space="preserve">  </w:t>
      </w:r>
    </w:p>
  </w:footnote>
  <w:footnote w:id="332">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Schooley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 xml:space="preserve">TES-1T 18:4-19:12;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15:12-19</w:t>
      </w:r>
      <w:proofErr w:type="gramStart"/>
      <w:r w:rsidRPr="00C9408D">
        <w:rPr>
          <w:rFonts w:ascii="Times New Roman" w:hAnsi="Times New Roman"/>
        </w:rPr>
        <w:t>..</w:t>
      </w:r>
      <w:proofErr w:type="gramEnd"/>
      <w:r w:rsidRPr="00C9408D">
        <w:rPr>
          <w:rFonts w:ascii="Times New Roman" w:hAnsi="Times New Roman"/>
        </w:rPr>
        <w:t xml:space="preserve">  In this case, because </w:t>
      </w:r>
      <w:r>
        <w:rPr>
          <w:rFonts w:ascii="Times New Roman" w:hAnsi="Times New Roman"/>
        </w:rPr>
        <w:t>Mr. </w:t>
      </w:r>
      <w:r w:rsidRPr="00C9408D">
        <w:rPr>
          <w:rFonts w:ascii="Times New Roman" w:hAnsi="Times New Roman"/>
        </w:rPr>
        <w:t>Schooley concluded that the CWC was zero, he did not actually allocate CWC to Washington.  However, his testimony describes in detail how he would have done so if the CWC value had been positive.</w:t>
      </w:r>
    </w:p>
  </w:footnote>
  <w:footnote w:id="333">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16:18-21, 17:17-23.</w:t>
      </w:r>
    </w:p>
  </w:footnote>
  <w:footnote w:id="334">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17:4-14.</w:t>
      </w:r>
    </w:p>
  </w:footnote>
  <w:footnote w:id="335">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12:5-10.</w:t>
      </w:r>
    </w:p>
  </w:footnote>
  <w:footnote w:id="336">
    <w:p w:rsidR="00A26E08" w:rsidRDefault="00A26E08" w:rsidP="00F96B3C">
      <w:pPr>
        <w:pStyle w:val="FootnoteText"/>
      </w:pPr>
      <w:r>
        <w:rPr>
          <w:rStyle w:val="FootnoteReference"/>
        </w:rPr>
        <w:footnoteRef/>
      </w:r>
      <w:r>
        <w:t xml:space="preserve"> </w:t>
      </w:r>
      <w:proofErr w:type="spellStart"/>
      <w:r>
        <w:t>Dalley</w:t>
      </w:r>
      <w:proofErr w:type="spellEnd"/>
      <w:r>
        <w:t>, TR. 362:4-7.</w:t>
      </w:r>
    </w:p>
  </w:footnote>
  <w:footnote w:id="337">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gramStart"/>
      <w:r w:rsidRPr="00C9408D">
        <w:rPr>
          <w:rFonts w:ascii="Times New Roman" w:hAnsi="Times New Roman"/>
          <w:i/>
          <w:iCs/>
        </w:rPr>
        <w:t xml:space="preserve">Wash. </w:t>
      </w:r>
      <w:proofErr w:type="spellStart"/>
      <w:r w:rsidRPr="00C9408D">
        <w:rPr>
          <w:rFonts w:ascii="Times New Roman" w:hAnsi="Times New Roman"/>
          <w:i/>
          <w:iCs/>
        </w:rPr>
        <w:t>Utils</w:t>
      </w:r>
      <w:proofErr w:type="spellEnd"/>
      <w:r w:rsidRPr="00C9408D">
        <w:rPr>
          <w:rFonts w:ascii="Times New Roman" w:hAnsi="Times New Roman"/>
          <w:i/>
          <w:iCs/>
        </w:rPr>
        <w:t>.</w:t>
      </w:r>
      <w:proofErr w:type="gramEnd"/>
      <w:r w:rsidRPr="00C9408D">
        <w:rPr>
          <w:rFonts w:ascii="Times New Roman" w:hAnsi="Times New Roman"/>
          <w:i/>
          <w:iCs/>
        </w:rPr>
        <w:t xml:space="preserve"> </w:t>
      </w:r>
      <w:proofErr w:type="gramStart"/>
      <w:r w:rsidRPr="00C9408D">
        <w:rPr>
          <w:rFonts w:ascii="Times New Roman" w:hAnsi="Times New Roman"/>
          <w:i/>
          <w:iCs/>
        </w:rPr>
        <w:t xml:space="preserve">&amp; Transp. </w:t>
      </w:r>
      <w:proofErr w:type="spellStart"/>
      <w:r w:rsidRPr="00C9408D">
        <w:rPr>
          <w:rFonts w:ascii="Times New Roman" w:hAnsi="Times New Roman"/>
          <w:i/>
          <w:iCs/>
        </w:rPr>
        <w:t>Comm'n</w:t>
      </w:r>
      <w:proofErr w:type="spellEnd"/>
      <w:r w:rsidRPr="00C9408D">
        <w:rPr>
          <w:rFonts w:ascii="Times New Roman" w:hAnsi="Times New Roman"/>
          <w:i/>
        </w:rPr>
        <w:t xml:space="preserve"> v.</w:t>
      </w:r>
      <w:r>
        <w:rPr>
          <w:rFonts w:ascii="Times New Roman" w:hAnsi="Times New Roman"/>
          <w:i/>
        </w:rPr>
        <w:t xml:space="preserve"> </w:t>
      </w:r>
      <w:r w:rsidRPr="00C9408D">
        <w:rPr>
          <w:rFonts w:ascii="Times New Roman" w:hAnsi="Times New Roman"/>
          <w:i/>
        </w:rPr>
        <w:t>PacifiCorp</w:t>
      </w:r>
      <w:r w:rsidRPr="00C9408D">
        <w:rPr>
          <w:rFonts w:ascii="Times New Roman" w:hAnsi="Times New Roman"/>
        </w:rPr>
        <w:t>, Docket UE-061546, Order 08 ¶ 160 (June 21, 2007)</w:t>
      </w:r>
      <w:r w:rsidR="00FC60A1">
        <w:rPr>
          <w:rFonts w:ascii="Times New Roman" w:hAnsi="Times New Roman"/>
        </w:rPr>
        <w:fldChar w:fldCharType="begin"/>
      </w:r>
      <w:r>
        <w:instrText xml:space="preserve"> TA \s "Docket UE-061546, Order 8" </w:instrText>
      </w:r>
      <w:r w:rsidR="00FC60A1">
        <w:rPr>
          <w:rFonts w:ascii="Times New Roman" w:hAnsi="Times New Roman"/>
        </w:rPr>
        <w:fldChar w:fldCharType="end"/>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No. </w:t>
      </w:r>
      <w:r w:rsidRPr="00C9408D">
        <w:rPr>
          <w:rFonts w:ascii="Times New Roman" w:hAnsi="Times New Roman"/>
        </w:rPr>
        <w:t xml:space="preserve">RBD-4T 12:5-10;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RBD-1T 21:8-17.</w:t>
      </w:r>
    </w:p>
  </w:footnote>
  <w:footnote w:id="338">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Dal</w:t>
      </w:r>
      <w:r w:rsidRPr="00C9408D">
        <w:rPr>
          <w:rFonts w:ascii="Times New Roman" w:hAnsi="Times New Roman"/>
        </w:rPr>
        <w:t>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RBD-1T 20:14-21:17.</w:t>
      </w:r>
    </w:p>
  </w:footnote>
  <w:footnote w:id="339">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15:5-8.</w:t>
      </w:r>
    </w:p>
  </w:footnote>
  <w:footnote w:id="340">
    <w:p w:rsidR="00A26E08" w:rsidRPr="00C9408D" w:rsidRDefault="00A26E08" w:rsidP="00F96B3C">
      <w:pPr>
        <w:pStyle w:val="FootnoteText"/>
        <w:rPr>
          <w:rFonts w:ascii="Times New Roman" w:hAnsi="Times New Roman"/>
        </w:rPr>
      </w:pPr>
      <w:r w:rsidRPr="00C9408D">
        <w:rPr>
          <w:rStyle w:val="FootnoteReference"/>
          <w:rFonts w:ascii="Times New Roman" w:hAnsi="Times New Roman"/>
        </w:rPr>
        <w:footnoteRef/>
      </w:r>
      <w:r w:rsidRPr="00C9408D">
        <w:rPr>
          <w:rFonts w:ascii="Times New Roman" w:hAnsi="Times New Roman"/>
        </w:rPr>
        <w:t xml:space="preserve"> </w:t>
      </w:r>
      <w:proofErr w:type="spellStart"/>
      <w:r w:rsidRPr="00C9408D">
        <w:rPr>
          <w:rFonts w:ascii="Times New Roman" w:hAnsi="Times New Roman"/>
        </w:rPr>
        <w:t>Dalley</w:t>
      </w:r>
      <w:proofErr w:type="spellEnd"/>
      <w:r w:rsidRPr="00C9408D">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No. </w:t>
      </w:r>
      <w:r w:rsidRPr="00C9408D">
        <w:rPr>
          <w:rFonts w:ascii="Times New Roman" w:hAnsi="Times New Roman"/>
        </w:rPr>
        <w:t>RBD-4T 15:5-8.</w:t>
      </w:r>
    </w:p>
  </w:footnote>
  <w:footnote w:id="341">
    <w:p w:rsidR="00A26E08" w:rsidRDefault="00A26E08" w:rsidP="00F96B3C">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No. RBD-4T 18:1-6.</w:t>
      </w:r>
    </w:p>
  </w:footnote>
  <w:footnote w:id="342">
    <w:p w:rsidR="00A26E08" w:rsidRDefault="00A26E08" w:rsidP="00F96B3C">
      <w:pPr>
        <w:pStyle w:val="FootnoteText"/>
      </w:pPr>
      <w:r>
        <w:rPr>
          <w:rStyle w:val="FootnoteReference"/>
        </w:rPr>
        <w:footnoteRef/>
      </w:r>
      <w:r>
        <w:t xml:space="preserve"> </w:t>
      </w:r>
      <w:proofErr w:type="spellStart"/>
      <w:r>
        <w:t>Dalley</w:t>
      </w:r>
      <w:proofErr w:type="spellEnd"/>
      <w:r>
        <w:t>, TR. 356:3-359:25.</w:t>
      </w:r>
    </w:p>
  </w:footnote>
  <w:footnote w:id="343">
    <w:p w:rsidR="00A26E08" w:rsidRDefault="00A26E08" w:rsidP="00F96B3C">
      <w:pPr>
        <w:pStyle w:val="FootnoteText"/>
      </w:pPr>
      <w:r>
        <w:rPr>
          <w:rStyle w:val="FootnoteReference"/>
        </w:rPr>
        <w:footnoteRef/>
      </w:r>
      <w:r>
        <w:t xml:space="preserve"> </w:t>
      </w:r>
      <w:proofErr w:type="spellStart"/>
      <w:r>
        <w:t>Dalley</w:t>
      </w:r>
      <w:proofErr w:type="spellEnd"/>
      <w:r>
        <w:t>, TR. 359:2-8; 359:21-25.</w:t>
      </w:r>
    </w:p>
  </w:footnote>
  <w:footnote w:id="344">
    <w:p w:rsidR="00A26E08" w:rsidRDefault="00A26E08">
      <w:pPr>
        <w:pStyle w:val="FootnoteText"/>
      </w:pPr>
      <w:r>
        <w:rPr>
          <w:rStyle w:val="FootnoteReference"/>
        </w:rPr>
        <w:footnoteRef/>
      </w:r>
      <w:r>
        <w:t xml:space="preserve"> Meyer, </w:t>
      </w:r>
      <w:proofErr w:type="spellStart"/>
      <w:r>
        <w:t>Exh</w:t>
      </w:r>
      <w:proofErr w:type="spellEnd"/>
      <w:r>
        <w:t>. No. GRM-1CT 9:16-19.</w:t>
      </w:r>
    </w:p>
  </w:footnote>
  <w:footnote w:id="345">
    <w:p w:rsidR="00A26E08" w:rsidRDefault="00A26E08">
      <w:pPr>
        <w:pStyle w:val="FootnoteText"/>
      </w:pPr>
      <w:r>
        <w:rPr>
          <w:rStyle w:val="FootnoteReference"/>
        </w:rPr>
        <w:footnoteRef/>
      </w:r>
      <w:r>
        <w:t xml:space="preserve"> Wilson, </w:t>
      </w:r>
      <w:proofErr w:type="spellStart"/>
      <w:r>
        <w:t>Exh</w:t>
      </w:r>
      <w:proofErr w:type="spellEnd"/>
      <w:r>
        <w:t>. No. EDW-1T 2:19-3:6.</w:t>
      </w:r>
    </w:p>
  </w:footnote>
  <w:footnote w:id="346">
    <w:p w:rsidR="00A26E08" w:rsidRDefault="00A26E08">
      <w:pPr>
        <w:pStyle w:val="FootnoteText"/>
      </w:pPr>
      <w:r>
        <w:rPr>
          <w:rStyle w:val="FootnoteReference"/>
        </w:rPr>
        <w:footnoteRef/>
      </w:r>
      <w:r>
        <w:t xml:space="preserve"> Wilson, </w:t>
      </w:r>
      <w:proofErr w:type="spellStart"/>
      <w:r>
        <w:t>Exh</w:t>
      </w:r>
      <w:proofErr w:type="spellEnd"/>
      <w:r>
        <w:t>. No. EDW-1T 3:7-9.</w:t>
      </w:r>
    </w:p>
  </w:footnote>
  <w:footnote w:id="347">
    <w:p w:rsidR="00A26E08" w:rsidRDefault="00A26E08" w:rsidP="004B066C">
      <w:pPr>
        <w:pStyle w:val="FootnoteText"/>
      </w:pPr>
      <w:r>
        <w:rPr>
          <w:rStyle w:val="FootnoteReference"/>
        </w:rPr>
        <w:footnoteRef/>
      </w:r>
      <w:r>
        <w:t xml:space="preserve"> Wilson, </w:t>
      </w:r>
      <w:proofErr w:type="spellStart"/>
      <w:r>
        <w:t>Exh</w:t>
      </w:r>
      <w:proofErr w:type="spellEnd"/>
      <w:r>
        <w:t>. No. EDW-1T 3:16-4:3.</w:t>
      </w:r>
    </w:p>
  </w:footnote>
  <w:footnote w:id="348">
    <w:p w:rsidR="00A26E08" w:rsidRDefault="00A26E08" w:rsidP="004B066C">
      <w:pPr>
        <w:pStyle w:val="FootnoteText"/>
      </w:pPr>
      <w:r>
        <w:rPr>
          <w:rStyle w:val="FootnoteReference"/>
        </w:rPr>
        <w:footnoteRef/>
      </w:r>
      <w:r>
        <w:t xml:space="preserve"> Wilson, </w:t>
      </w:r>
      <w:proofErr w:type="spellStart"/>
      <w:r>
        <w:t>Exh</w:t>
      </w:r>
      <w:proofErr w:type="spellEnd"/>
      <w:r>
        <w:t>. No. EDW-1T 4:4-8.</w:t>
      </w:r>
    </w:p>
  </w:footnote>
  <w:footnote w:id="349">
    <w:p w:rsidR="00A26E08" w:rsidRDefault="00A26E08">
      <w:pPr>
        <w:pStyle w:val="FootnoteText"/>
      </w:pPr>
      <w:r>
        <w:rPr>
          <w:rStyle w:val="FootnoteReference"/>
        </w:rPr>
        <w:footnoteRef/>
      </w:r>
      <w:r>
        <w:t xml:space="preserve"> Wilson, </w:t>
      </w:r>
      <w:proofErr w:type="spellStart"/>
      <w:r>
        <w:t>Exh</w:t>
      </w:r>
      <w:proofErr w:type="spellEnd"/>
      <w:r>
        <w:t>. No. EDW-1T 5:20-7:20.</w:t>
      </w:r>
    </w:p>
  </w:footnote>
  <w:footnote w:id="350">
    <w:p w:rsidR="00A26E08" w:rsidRDefault="00A26E08">
      <w:pPr>
        <w:pStyle w:val="FootnoteText"/>
      </w:pPr>
      <w:r>
        <w:rPr>
          <w:rStyle w:val="FootnoteReference"/>
        </w:rPr>
        <w:footnoteRef/>
      </w:r>
      <w:r>
        <w:t xml:space="preserve"> Wilson, </w:t>
      </w:r>
      <w:proofErr w:type="spellStart"/>
      <w:r>
        <w:t>Exh</w:t>
      </w:r>
      <w:proofErr w:type="spellEnd"/>
      <w:r>
        <w:t>. No. EDW-1T 7:2-4, 11-13.</w:t>
      </w:r>
    </w:p>
  </w:footnote>
  <w:footnote w:id="351">
    <w:p w:rsidR="00A26E08" w:rsidRDefault="00A26E08">
      <w:pPr>
        <w:pStyle w:val="FootnoteText"/>
      </w:pPr>
      <w:r>
        <w:rPr>
          <w:rStyle w:val="FootnoteReference"/>
        </w:rPr>
        <w:footnoteRef/>
      </w:r>
      <w:r>
        <w:t xml:space="preserve"> Wilson, </w:t>
      </w:r>
      <w:proofErr w:type="spellStart"/>
      <w:r>
        <w:t>Exh</w:t>
      </w:r>
      <w:proofErr w:type="spellEnd"/>
      <w:r>
        <w:t>. No. EDW-1T 9:9-13.</w:t>
      </w:r>
    </w:p>
  </w:footnote>
  <w:footnote w:id="352">
    <w:p w:rsidR="00A26E08" w:rsidRDefault="00A26E08">
      <w:pPr>
        <w:pStyle w:val="FootnoteText"/>
      </w:pPr>
      <w:r>
        <w:rPr>
          <w:rStyle w:val="FootnoteReference"/>
        </w:rPr>
        <w:footnoteRef/>
      </w:r>
      <w:r>
        <w:t xml:space="preserve"> Wilson, </w:t>
      </w:r>
      <w:proofErr w:type="spellStart"/>
      <w:r>
        <w:t>Exh</w:t>
      </w:r>
      <w:proofErr w:type="spellEnd"/>
      <w:r>
        <w:t>. No. EDW-1T 7:21-8:5.</w:t>
      </w:r>
    </w:p>
  </w:footnote>
  <w:footnote w:id="353">
    <w:p w:rsidR="00A26E08" w:rsidRDefault="00A26E08">
      <w:pPr>
        <w:pStyle w:val="FootnoteText"/>
      </w:pPr>
      <w:r>
        <w:rPr>
          <w:rStyle w:val="FootnoteReference"/>
        </w:rPr>
        <w:footnoteRef/>
      </w:r>
      <w:r>
        <w:t xml:space="preserve"> Meyer, </w:t>
      </w:r>
      <w:proofErr w:type="spellStart"/>
      <w:r>
        <w:t>Exh</w:t>
      </w:r>
      <w:proofErr w:type="spellEnd"/>
      <w:r>
        <w:t>. No. GRM-1CT 9:20-25, 14:18-22.</w:t>
      </w:r>
    </w:p>
  </w:footnote>
  <w:footnote w:id="354">
    <w:p w:rsidR="00A26E08" w:rsidRDefault="00A26E08">
      <w:pPr>
        <w:pStyle w:val="FootnoteText"/>
      </w:pPr>
      <w:r>
        <w:rPr>
          <w:rStyle w:val="FootnoteReference"/>
        </w:rPr>
        <w:footnoteRef/>
      </w:r>
      <w:r>
        <w:t xml:space="preserve"> Wilson, </w:t>
      </w:r>
      <w:proofErr w:type="spellStart"/>
      <w:r>
        <w:t>Exh</w:t>
      </w:r>
      <w:proofErr w:type="spellEnd"/>
      <w:r>
        <w:t>. No. EDW-3T 10:1-14.</w:t>
      </w:r>
    </w:p>
  </w:footnote>
  <w:footnote w:id="355">
    <w:p w:rsidR="00A26E08" w:rsidRDefault="00A26E08">
      <w:pPr>
        <w:pStyle w:val="FootnoteText"/>
      </w:pPr>
      <w:r>
        <w:rPr>
          <w:rStyle w:val="FootnoteReference"/>
        </w:rPr>
        <w:footnoteRef/>
      </w:r>
      <w:r>
        <w:t xml:space="preserve"> Wilson, </w:t>
      </w:r>
      <w:proofErr w:type="spellStart"/>
      <w:r>
        <w:t>Exh</w:t>
      </w:r>
      <w:proofErr w:type="spellEnd"/>
      <w:r>
        <w:t>. No. EDW-3T 9:10-12.</w:t>
      </w:r>
    </w:p>
  </w:footnote>
  <w:footnote w:id="356">
    <w:p w:rsidR="00A26E08" w:rsidRDefault="00A26E08">
      <w:pPr>
        <w:pStyle w:val="FootnoteText"/>
      </w:pPr>
      <w:r>
        <w:rPr>
          <w:rStyle w:val="FootnoteReference"/>
        </w:rPr>
        <w:footnoteRef/>
      </w:r>
      <w:r>
        <w:t xml:space="preserve"> Meyer, </w:t>
      </w:r>
      <w:proofErr w:type="spellStart"/>
      <w:r>
        <w:t>Exh</w:t>
      </w:r>
      <w:proofErr w:type="spellEnd"/>
      <w:r>
        <w:t>. No. GRM-1CT 14:18-15:5.</w:t>
      </w:r>
    </w:p>
  </w:footnote>
  <w:footnote w:id="357">
    <w:p w:rsidR="00A26E08" w:rsidRDefault="00A26E08">
      <w:pPr>
        <w:pStyle w:val="FootnoteText"/>
      </w:pPr>
      <w:r>
        <w:rPr>
          <w:rStyle w:val="FootnoteReference"/>
        </w:rPr>
        <w:footnoteRef/>
      </w:r>
      <w:r>
        <w:t xml:space="preserve"> Meyer, </w:t>
      </w:r>
      <w:proofErr w:type="spellStart"/>
      <w:r>
        <w:t>Exh</w:t>
      </w:r>
      <w:proofErr w:type="spellEnd"/>
      <w:r>
        <w:t>. No. GRM-1CT 14:18-15:5.</w:t>
      </w:r>
      <w:r w:rsidRPr="00973298">
        <w:t xml:space="preserve"> </w:t>
      </w:r>
      <w:r>
        <w:t>Moreover, the Commission has never disallowed incentive compensation on the basis that goals that provide direct benefits to customers provide indirect benefits to shareholders.  In fact, in the order cited by Mr. Meyer to support his position on incentive plans, the Commission stated that the utility in that case could “do a far better job in the future of creating incentives and setting goals that advantage ratepayers as well as shareholders.”</w:t>
      </w:r>
      <w:r w:rsidRPr="00973298">
        <w:rPr>
          <w:i/>
        </w:rP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Wash. Natural Gas Co.</w:t>
      </w:r>
      <w:r>
        <w:t>, Docket No. UG-920840, Fourth Suppl. Order at 19 (Sept. 27, 1993)</w:t>
      </w:r>
      <w:r w:rsidR="00FC60A1">
        <w:fldChar w:fldCharType="begin"/>
      </w:r>
      <w:r>
        <w:instrText xml:space="preserve"> TA \l "</w:instrText>
      </w:r>
      <w:r w:rsidRPr="006E38F5">
        <w:rPr>
          <w:i/>
        </w:rPr>
        <w:instrText>Wash. Utils. &amp; Transp. Comm’n v. Wash. Natural Gas Co.</w:instrText>
      </w:r>
      <w:r w:rsidRPr="006E38F5">
        <w:instrText>, Docket No. UG-920840, Fourth Suppl. Order (Sept. 27, 1993)</w:instrText>
      </w:r>
      <w:r>
        <w:instrText xml:space="preserve">" \s "Docket No. UG-920840, Fourth Suppl. Order" \c 8 </w:instrText>
      </w:r>
      <w:r w:rsidR="00FC60A1">
        <w:fldChar w:fldCharType="end"/>
      </w:r>
      <w:r>
        <w:t>.</w:t>
      </w:r>
    </w:p>
  </w:footnote>
  <w:footnote w:id="358">
    <w:p w:rsidR="00A26E08" w:rsidRDefault="00A26E08" w:rsidP="003F3D2A">
      <w:pPr>
        <w:pStyle w:val="FootnoteText"/>
      </w:pPr>
      <w:r>
        <w:rPr>
          <w:rStyle w:val="FootnoteReference"/>
        </w:rPr>
        <w:footnoteRef/>
      </w:r>
      <w:r>
        <w:t xml:space="preserve"> Wilson, </w:t>
      </w:r>
      <w:proofErr w:type="spellStart"/>
      <w:r>
        <w:t>Exh</w:t>
      </w:r>
      <w:proofErr w:type="spellEnd"/>
      <w:r>
        <w:t>. No. EDW-3T 11:3-8; Meyer, TR. 496:12-24</w:t>
      </w:r>
      <w:proofErr w:type="gramStart"/>
      <w:r>
        <w:t>..</w:t>
      </w:r>
      <w:proofErr w:type="gramEnd"/>
    </w:p>
  </w:footnote>
  <w:footnote w:id="359">
    <w:p w:rsidR="00A26E08" w:rsidRDefault="00A26E08" w:rsidP="003F3D2A">
      <w:pPr>
        <w:pStyle w:val="FootnoteText"/>
      </w:pPr>
      <w:r>
        <w:rPr>
          <w:rStyle w:val="FootnoteReference"/>
        </w:rPr>
        <w:footnoteRef/>
      </w:r>
      <w:r>
        <w:t xml:space="preserve"> Wilson, </w:t>
      </w:r>
      <w:proofErr w:type="spellStart"/>
      <w:r>
        <w:t>Exh</w:t>
      </w:r>
      <w:proofErr w:type="spellEnd"/>
      <w:r>
        <w:t>. No. EDW-3T 11:9-11.</w:t>
      </w:r>
    </w:p>
  </w:footnote>
  <w:footnote w:id="360">
    <w:p w:rsidR="00A26E08" w:rsidRDefault="00A26E08">
      <w:pPr>
        <w:pStyle w:val="FootnoteText"/>
      </w:pPr>
      <w:r>
        <w:rPr>
          <w:rStyle w:val="FootnoteReference"/>
        </w:rPr>
        <w:footnoteRef/>
      </w:r>
      <w:r>
        <w:t xml:space="preserve"> Meyer, TR. 495:17-19.</w:t>
      </w:r>
    </w:p>
  </w:footnote>
  <w:footnote w:id="361">
    <w:p w:rsidR="00A26E08" w:rsidRDefault="00A26E08">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UE-061546, Order 8</w:t>
      </w:r>
      <w:r w:rsidR="00FC60A1">
        <w:fldChar w:fldCharType="begin"/>
      </w:r>
      <w:r>
        <w:instrText xml:space="preserve"> TA \s "Docket UE-061546, Order 8" </w:instrText>
      </w:r>
      <w:r w:rsidR="00FC60A1">
        <w:fldChar w:fldCharType="end"/>
      </w:r>
      <w:r>
        <w:t xml:space="preserve"> at ¶¶ 184-85 (June 21, 2007).</w:t>
      </w:r>
    </w:p>
  </w:footnote>
  <w:footnote w:id="362">
    <w:p w:rsidR="00A26E08" w:rsidRDefault="00A26E08">
      <w:pPr>
        <w:pStyle w:val="FootnoteText"/>
      </w:pPr>
      <w:r>
        <w:rPr>
          <w:rStyle w:val="FootnoteReference"/>
        </w:rPr>
        <w:footnoteRef/>
      </w:r>
      <w:r>
        <w:t xml:space="preserve"> Meyer, </w:t>
      </w:r>
      <w:proofErr w:type="spellStart"/>
      <w:r>
        <w:t>Exh</w:t>
      </w:r>
      <w:proofErr w:type="spellEnd"/>
      <w:r>
        <w:t>. No. GRM-1CT 29:7-10.</w:t>
      </w:r>
    </w:p>
  </w:footnote>
  <w:footnote w:id="363">
    <w:p w:rsidR="00A26E08" w:rsidRDefault="00A26E08">
      <w:pPr>
        <w:pStyle w:val="FootnoteText"/>
      </w:pPr>
      <w:r>
        <w:rPr>
          <w:rStyle w:val="FootnoteReference"/>
        </w:rPr>
        <w:footnoteRef/>
      </w:r>
      <w:r>
        <w:t xml:space="preserve"> Meyer, </w:t>
      </w:r>
      <w:proofErr w:type="spellStart"/>
      <w:r>
        <w:t>Exh</w:t>
      </w:r>
      <w:proofErr w:type="spellEnd"/>
      <w:r>
        <w:t>. No. GRM-1CT 31:6-7.</w:t>
      </w:r>
    </w:p>
  </w:footnote>
  <w:footnote w:id="364">
    <w:p w:rsidR="00A26E08" w:rsidRDefault="00A26E08">
      <w:pPr>
        <w:pStyle w:val="FootnoteText"/>
      </w:pPr>
      <w:r>
        <w:rPr>
          <w:rStyle w:val="FootnoteReference"/>
        </w:rPr>
        <w:footnoteRef/>
      </w:r>
      <w:r>
        <w:t xml:space="preserve"> Meyer, </w:t>
      </w:r>
      <w:proofErr w:type="spellStart"/>
      <w:r>
        <w:t>Exh</w:t>
      </w:r>
      <w:proofErr w:type="spellEnd"/>
      <w:r>
        <w:t>. No. GRM-1CT 31:10-32:31.</w:t>
      </w:r>
    </w:p>
  </w:footnote>
  <w:footnote w:id="365">
    <w:p w:rsidR="00A26E08" w:rsidRDefault="00A26E08">
      <w:pPr>
        <w:pStyle w:val="FootnoteText"/>
      </w:pPr>
      <w:r>
        <w:rPr>
          <w:rStyle w:val="FootnoteReference"/>
        </w:rPr>
        <w:footnoteRef/>
      </w:r>
      <w:r>
        <w:t xml:space="preserve"> Meyer, </w:t>
      </w:r>
      <w:proofErr w:type="spellStart"/>
      <w:r>
        <w:t>Exh</w:t>
      </w:r>
      <w:proofErr w:type="spellEnd"/>
      <w:r>
        <w:t xml:space="preserve">. No. </w:t>
      </w:r>
      <w:proofErr w:type="gramStart"/>
      <w:r>
        <w:t>GRM-1CT 30 Table 5.</w:t>
      </w:r>
      <w:proofErr w:type="gramEnd"/>
    </w:p>
  </w:footnote>
  <w:footnote w:id="366">
    <w:p w:rsidR="00A26E08" w:rsidRDefault="00A26E08">
      <w:pPr>
        <w:pStyle w:val="FootnoteText"/>
      </w:pPr>
      <w:r>
        <w:rPr>
          <w:rStyle w:val="FootnoteReference"/>
        </w:rPr>
        <w:footnoteRef/>
      </w:r>
      <w:r>
        <w:t xml:space="preserve"> Wilson, </w:t>
      </w:r>
      <w:proofErr w:type="spellStart"/>
      <w:r>
        <w:t>Exh</w:t>
      </w:r>
      <w:proofErr w:type="spellEnd"/>
      <w:r>
        <w:t>. No. EDW-3T 12:14-13:4.</w:t>
      </w:r>
    </w:p>
  </w:footnote>
  <w:footnote w:id="367">
    <w:p w:rsidR="00A26E08" w:rsidRDefault="00A26E08">
      <w:pPr>
        <w:pStyle w:val="FootnoteText"/>
      </w:pPr>
      <w:r>
        <w:rPr>
          <w:rStyle w:val="FootnoteReference"/>
        </w:rPr>
        <w:footnoteRef/>
      </w:r>
      <w:r>
        <w:t xml:space="preserve"> Wilson, </w:t>
      </w:r>
      <w:proofErr w:type="spellStart"/>
      <w:r>
        <w:t>Exh</w:t>
      </w:r>
      <w:proofErr w:type="spellEnd"/>
      <w:r>
        <w:t>. No. EDW-3T 13:18-14:7.</w:t>
      </w:r>
    </w:p>
  </w:footnote>
  <w:footnote w:id="368">
    <w:p w:rsidR="00A26E08" w:rsidRPr="00903AF0" w:rsidRDefault="00A26E08" w:rsidP="005906F6">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w:t>
      </w:r>
      <w:proofErr w:type="spellStart"/>
      <w:r>
        <w:rPr>
          <w:i/>
        </w:rPr>
        <w:t>Avista</w:t>
      </w:r>
      <w:proofErr w:type="spellEnd"/>
      <w:r>
        <w:rPr>
          <w:i/>
        </w:rPr>
        <w:t xml:space="preserve"> Corp.</w:t>
      </w:r>
      <w:r>
        <w:t>, Docket UE-090134, Order 10</w:t>
      </w:r>
      <w:r w:rsidR="00FC60A1">
        <w:fldChar w:fldCharType="begin"/>
      </w:r>
      <w:r>
        <w:instrText xml:space="preserve"> TA \s "Docket UE-090134, Order 10" </w:instrText>
      </w:r>
      <w:r w:rsidR="00FC60A1">
        <w:fldChar w:fldCharType="end"/>
      </w:r>
      <w:r>
        <w:t xml:space="preserve"> ¶ 111 (Dec. 22, 2009).</w:t>
      </w:r>
    </w:p>
  </w:footnote>
  <w:footnote w:id="369">
    <w:p w:rsidR="00A26E08" w:rsidRDefault="00A26E08">
      <w:pPr>
        <w:pStyle w:val="FootnoteText"/>
      </w:pPr>
      <w:r>
        <w:rPr>
          <w:rStyle w:val="FootnoteReference"/>
        </w:rPr>
        <w:footnoteRef/>
      </w:r>
      <w:r>
        <w:t xml:space="preserve"> Meyer, </w:t>
      </w:r>
      <w:proofErr w:type="spellStart"/>
      <w:r>
        <w:t>Exh</w:t>
      </w:r>
      <w:proofErr w:type="spellEnd"/>
      <w:r>
        <w:t>. No. GRM-1CT 22:1-3.</w:t>
      </w:r>
    </w:p>
  </w:footnote>
  <w:footnote w:id="370">
    <w:p w:rsidR="00A26E08" w:rsidRDefault="00A26E08">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No. RBD-1T 10:21-23.</w:t>
      </w:r>
    </w:p>
  </w:footnote>
  <w:footnote w:id="371">
    <w:p w:rsidR="00A26E08" w:rsidRDefault="00A26E08">
      <w:pPr>
        <w:pStyle w:val="FootnoteText"/>
      </w:pPr>
      <w:r>
        <w:rPr>
          <w:rStyle w:val="FootnoteReference"/>
        </w:rPr>
        <w:footnoteRef/>
      </w:r>
      <w:r>
        <w:t xml:space="preserve"> Meyer, </w:t>
      </w:r>
      <w:proofErr w:type="spellStart"/>
      <w:r>
        <w:t>Exh</w:t>
      </w:r>
      <w:proofErr w:type="spellEnd"/>
      <w:r>
        <w:t>. No. GRM-1CT 24:3-7; 25:6-11.</w:t>
      </w:r>
    </w:p>
  </w:footnote>
  <w:footnote w:id="372">
    <w:p w:rsidR="00A26E08" w:rsidRDefault="00A26E08">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w:t>
      </w:r>
      <w:proofErr w:type="spellStart"/>
      <w:r>
        <w:rPr>
          <w:i/>
        </w:rPr>
        <w:t>Avista</w:t>
      </w:r>
      <w:proofErr w:type="spellEnd"/>
      <w:r>
        <w:rPr>
          <w:i/>
        </w:rPr>
        <w:t xml:space="preserve"> Corp.</w:t>
      </w:r>
      <w:r>
        <w:t>, Docket UE-090134, Order 10</w:t>
      </w:r>
      <w:r w:rsidR="00FC60A1">
        <w:fldChar w:fldCharType="begin"/>
      </w:r>
      <w:r>
        <w:instrText xml:space="preserve"> TA \s "Docket UE-090134, Order 10" </w:instrText>
      </w:r>
      <w:r w:rsidR="00FC60A1">
        <w:fldChar w:fldCharType="end"/>
      </w:r>
      <w:r>
        <w:t xml:space="preserve"> ¶ 105 (Dec. 22, 2009).</w:t>
      </w:r>
    </w:p>
  </w:footnote>
  <w:footnote w:id="373">
    <w:p w:rsidR="00A26E08" w:rsidRDefault="00A26E08">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w:t>
      </w:r>
      <w:proofErr w:type="spellStart"/>
      <w:r>
        <w:rPr>
          <w:i/>
        </w:rPr>
        <w:t>Avista</w:t>
      </w:r>
      <w:proofErr w:type="spellEnd"/>
      <w:r>
        <w:rPr>
          <w:i/>
        </w:rPr>
        <w:t xml:space="preserve"> Corp.</w:t>
      </w:r>
      <w:r>
        <w:t>, Docket UE-090134, Order 10</w:t>
      </w:r>
      <w:r w:rsidR="00FC60A1">
        <w:fldChar w:fldCharType="begin"/>
      </w:r>
      <w:r>
        <w:instrText xml:space="preserve"> TA \s "Docket UE-090134, Order 10" </w:instrText>
      </w:r>
      <w:r w:rsidR="00FC60A1">
        <w:fldChar w:fldCharType="end"/>
      </w:r>
      <w:r>
        <w:t xml:space="preserve"> ¶ 110 (Dec. 22, 2009).</w:t>
      </w:r>
    </w:p>
  </w:footnote>
  <w:footnote w:id="374">
    <w:p w:rsidR="00A26E08" w:rsidRDefault="00A26E08">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No. RBD-1T 10:21-23.</w:t>
      </w:r>
    </w:p>
  </w:footnote>
  <w:footnote w:id="375">
    <w:p w:rsidR="00A26E08" w:rsidRDefault="00A26E08">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RJF-1CT 54:17-24.</w:t>
      </w:r>
    </w:p>
  </w:footnote>
  <w:footnote w:id="376">
    <w:p w:rsidR="00A26E08" w:rsidRDefault="00A26E08" w:rsidP="00835C19">
      <w:pPr>
        <w:pStyle w:val="FootnoteText"/>
      </w:pPr>
      <w:r>
        <w:rPr>
          <w:rStyle w:val="FootnoteReference"/>
        </w:rPr>
        <w:footnoteRef/>
      </w:r>
      <w:r>
        <w:t xml:space="preserve"> Duvall, </w:t>
      </w:r>
      <w:proofErr w:type="spellStart"/>
      <w:r>
        <w:t>Exh</w:t>
      </w:r>
      <w:proofErr w:type="spellEnd"/>
      <w:r>
        <w:t>. No. GND-1T 7:3-13.</w:t>
      </w:r>
    </w:p>
  </w:footnote>
  <w:footnote w:id="377">
    <w:p w:rsidR="00A26E08" w:rsidRDefault="00A26E08">
      <w:pPr>
        <w:pStyle w:val="FootnoteText"/>
      </w:pPr>
      <w:r>
        <w:rPr>
          <w:rStyle w:val="FootnoteReference"/>
        </w:rPr>
        <w:footnoteRef/>
      </w:r>
      <w:r>
        <w:t xml:space="preserve"> </w:t>
      </w:r>
      <w:proofErr w:type="spellStart"/>
      <w:r>
        <w:t>Stuver</w:t>
      </w:r>
      <w:proofErr w:type="spellEnd"/>
      <w:r>
        <w:t xml:space="preserve">, </w:t>
      </w:r>
      <w:proofErr w:type="spellStart"/>
      <w:r>
        <w:t>Exh</w:t>
      </w:r>
      <w:proofErr w:type="spellEnd"/>
      <w:r>
        <w:t>. No. DKS-1T 5:3-6:15.</w:t>
      </w:r>
    </w:p>
  </w:footnote>
  <w:footnote w:id="378">
    <w:p w:rsidR="00A26E08" w:rsidRDefault="00A26E08">
      <w:pPr>
        <w:pStyle w:val="FootnoteText"/>
      </w:pPr>
      <w:r>
        <w:rPr>
          <w:rStyle w:val="FootnoteReference"/>
        </w:rPr>
        <w:footnoteRef/>
      </w:r>
      <w:r>
        <w:t xml:space="preserve"> </w:t>
      </w:r>
      <w:r>
        <w:rPr>
          <w:i/>
        </w:rPr>
        <w:t xml:space="preserve">See </w:t>
      </w:r>
      <w:proofErr w:type="spellStart"/>
      <w:r>
        <w:t>Stuver</w:t>
      </w:r>
      <w:proofErr w:type="spellEnd"/>
      <w:r>
        <w:t xml:space="preserve">, TR. 435:13-436:8; </w:t>
      </w:r>
      <w:proofErr w:type="spellStart"/>
      <w:r>
        <w:t>Stuver</w:t>
      </w:r>
      <w:proofErr w:type="spellEnd"/>
      <w:r>
        <w:t xml:space="preserve">, </w:t>
      </w:r>
      <w:proofErr w:type="spellStart"/>
      <w:r>
        <w:t>Exh</w:t>
      </w:r>
      <w:proofErr w:type="spellEnd"/>
      <w:r>
        <w:t xml:space="preserve">. No. </w:t>
      </w:r>
      <w:proofErr w:type="gramStart"/>
      <w:r>
        <w:t>DKS-3.</w:t>
      </w:r>
      <w:proofErr w:type="gramEnd"/>
      <w:r>
        <w:t xml:space="preserve"> </w:t>
      </w:r>
    </w:p>
  </w:footnote>
  <w:footnote w:id="379">
    <w:p w:rsidR="00A26E08" w:rsidRDefault="00A26E08">
      <w:pPr>
        <w:pStyle w:val="FootnoteText"/>
      </w:pPr>
      <w:r>
        <w:rPr>
          <w:rStyle w:val="FootnoteReference"/>
        </w:rPr>
        <w:footnoteRef/>
      </w:r>
      <w:r>
        <w:t xml:space="preserve"> Meyer, </w:t>
      </w:r>
      <w:proofErr w:type="spellStart"/>
      <w:r>
        <w:t>Exh</w:t>
      </w:r>
      <w:proofErr w:type="spellEnd"/>
      <w:r>
        <w:t xml:space="preserve">. No. GRM-1CT 36:3-18; Meyer, </w:t>
      </w:r>
      <w:proofErr w:type="spellStart"/>
      <w:r>
        <w:t>Exh</w:t>
      </w:r>
      <w:proofErr w:type="spellEnd"/>
      <w:r>
        <w:t xml:space="preserve">. No. </w:t>
      </w:r>
      <w:proofErr w:type="gramStart"/>
      <w:r>
        <w:t xml:space="preserve">GRM-7; Meyer, </w:t>
      </w:r>
      <w:proofErr w:type="spellStart"/>
      <w:r>
        <w:t>Exh</w:t>
      </w:r>
      <w:proofErr w:type="spellEnd"/>
      <w:r>
        <w:t>.</w:t>
      </w:r>
      <w:proofErr w:type="gramEnd"/>
      <w:r>
        <w:t xml:space="preserve"> No. </w:t>
      </w:r>
      <w:proofErr w:type="gramStart"/>
      <w:r>
        <w:t>GRM-8.</w:t>
      </w:r>
      <w:proofErr w:type="gramEnd"/>
    </w:p>
  </w:footnote>
  <w:footnote w:id="380">
    <w:p w:rsidR="00A26E08" w:rsidRDefault="00A26E08">
      <w:pPr>
        <w:pStyle w:val="FootnoteText"/>
      </w:pPr>
      <w:r>
        <w:rPr>
          <w:rStyle w:val="FootnoteReference"/>
        </w:rPr>
        <w:footnoteRef/>
      </w:r>
      <w:r>
        <w:t xml:space="preserve"> Meyer, </w:t>
      </w:r>
      <w:proofErr w:type="spellStart"/>
      <w:r>
        <w:t>Exh</w:t>
      </w:r>
      <w:proofErr w:type="spellEnd"/>
      <w:r>
        <w:t xml:space="preserve">. No. </w:t>
      </w:r>
      <w:proofErr w:type="gramStart"/>
      <w:r>
        <w:t>GRM-7.</w:t>
      </w:r>
      <w:proofErr w:type="gramEnd"/>
    </w:p>
  </w:footnote>
  <w:footnote w:id="381">
    <w:p w:rsidR="00A26E08" w:rsidRDefault="00A26E08">
      <w:pPr>
        <w:pStyle w:val="FootnoteText"/>
      </w:pPr>
      <w:r>
        <w:rPr>
          <w:rStyle w:val="FootnoteReference"/>
        </w:rPr>
        <w:footnoteRef/>
      </w:r>
      <w:r>
        <w:t xml:space="preserve"> Meyer, </w:t>
      </w:r>
      <w:proofErr w:type="spellStart"/>
      <w:r>
        <w:t>Exh</w:t>
      </w:r>
      <w:proofErr w:type="spellEnd"/>
      <w:r>
        <w:t xml:space="preserve">. No. </w:t>
      </w:r>
      <w:proofErr w:type="gramStart"/>
      <w:r>
        <w:t>GRM-8 2.</w:t>
      </w:r>
      <w:proofErr w:type="gramEnd"/>
    </w:p>
  </w:footnote>
  <w:footnote w:id="382">
    <w:p w:rsidR="00A26E08" w:rsidRPr="00100885" w:rsidRDefault="00A26E08">
      <w:pPr>
        <w:pStyle w:val="FootnoteText"/>
        <w:rPr>
          <w:i/>
        </w:rPr>
      </w:pPr>
      <w:r>
        <w:rPr>
          <w:rStyle w:val="FootnoteReference"/>
        </w:rPr>
        <w:footnoteRef/>
      </w:r>
      <w:r>
        <w:t xml:space="preserve"> </w:t>
      </w:r>
      <w:r>
        <w:rPr>
          <w:i/>
        </w:rPr>
        <w:t xml:space="preserve">See Wash. </w:t>
      </w:r>
      <w:proofErr w:type="spellStart"/>
      <w:r>
        <w:rPr>
          <w:i/>
        </w:rPr>
        <w:t>Utils</w:t>
      </w:r>
      <w:proofErr w:type="spellEnd"/>
      <w:r>
        <w:rPr>
          <w:i/>
        </w:rPr>
        <w:t xml:space="preserve">. &amp; Transp. </w:t>
      </w:r>
      <w:proofErr w:type="spellStart"/>
      <w:r>
        <w:rPr>
          <w:i/>
        </w:rPr>
        <w:t>Comm’n</w:t>
      </w:r>
      <w:proofErr w:type="spellEnd"/>
      <w:r>
        <w:rPr>
          <w:i/>
        </w:rPr>
        <w:t xml:space="preserve"> v. Wash. Natural Gas Co.</w:t>
      </w:r>
      <w:r>
        <w:t>, Docket No. UG-920840, Fourth Suppl. Order</w:t>
      </w:r>
      <w:r w:rsidR="00FC60A1">
        <w:fldChar w:fldCharType="begin"/>
      </w:r>
      <w:r>
        <w:instrText xml:space="preserve"> TA \s "Docket No. UG-920840, Fourth Suppl. Order" </w:instrText>
      </w:r>
      <w:r w:rsidR="00FC60A1">
        <w:fldChar w:fldCharType="end"/>
      </w:r>
      <w:r>
        <w:t xml:space="preserve"> at 19 (Sept. 27, 1993) (“Such goals might include controlling costs, promoting energy efficiency, providing good customer service, and promoting safety.”).</w:t>
      </w:r>
    </w:p>
  </w:footnote>
  <w:footnote w:id="383">
    <w:p w:rsidR="00A26E08" w:rsidRPr="00DE2D75" w:rsidRDefault="00A26E08">
      <w:pPr>
        <w:pStyle w:val="FootnoteText"/>
      </w:pPr>
      <w:r>
        <w:rPr>
          <w:rStyle w:val="FootnoteReference"/>
        </w:rPr>
        <w:footnoteRef/>
      </w:r>
      <w:r>
        <w:t xml:space="preserve"> Meyer, </w:t>
      </w:r>
      <w:proofErr w:type="spellStart"/>
      <w:r>
        <w:t>Exh</w:t>
      </w:r>
      <w:proofErr w:type="spellEnd"/>
      <w:r>
        <w:t xml:space="preserve">. No. GRM-1CT 1-10.  The commitment states that “MEHC and PacifiCorp will hold customers harmless for increases in costs retained by PacifiCorp that were previously assigned to affiliates relating to management fees . . . This commitment is </w:t>
      </w:r>
      <w:proofErr w:type="spellStart"/>
      <w:r>
        <w:t>offsettable</w:t>
      </w:r>
      <w:proofErr w:type="spellEnd"/>
      <w:r>
        <w:t xml:space="preserve"> to the extent PacifiCorp demonstrates to the Commission’s satisfaction, in the context of a general rate case the following: </w:t>
      </w:r>
      <w:proofErr w:type="spellStart"/>
      <w:r>
        <w:t>i</w:t>
      </w:r>
      <w:proofErr w:type="spellEnd"/>
      <w:r>
        <w:t xml:space="preserve">) Corporate allocations from MEHC to PacifiCorp included in PacifiCorp’s rates are less than $7.3 million.  </w:t>
      </w:r>
      <w:r>
        <w:rPr>
          <w:i/>
        </w:rPr>
        <w:t>Re Application of MidAmerican Energy Holdings Co. and PacifiCorp for an Order Authorizing Proposed Transaction</w:t>
      </w:r>
      <w:r>
        <w:t>, Docket UE-051090, Order 8, Appendix A at 13 (Mar. 10, 2006)</w:t>
      </w:r>
      <w:r w:rsidR="00FC60A1">
        <w:fldChar w:fldCharType="begin"/>
      </w:r>
      <w:r>
        <w:instrText xml:space="preserve"> TA \l "</w:instrText>
      </w:r>
      <w:r w:rsidRPr="006E38F5">
        <w:rPr>
          <w:i/>
        </w:rPr>
        <w:instrText>Application of MidAmerican Energy Holdings Co. and PacifiCorp for an Order Authorizing Proposed Transaction</w:instrText>
      </w:r>
      <w:r w:rsidRPr="006E38F5">
        <w:instrText>, Docket UE-051090, Order 8 (Mar. 10, 2006)</w:instrText>
      </w:r>
      <w:r>
        <w:instrText xml:space="preserve">" \s "Docket UE-051090, Order 8" \c 8 </w:instrText>
      </w:r>
      <w:r w:rsidR="00FC60A1">
        <w:fldChar w:fldCharType="end"/>
      </w:r>
      <w:r>
        <w:t>.</w:t>
      </w:r>
    </w:p>
  </w:footnote>
  <w:footnote w:id="384">
    <w:p w:rsidR="00A26E08" w:rsidRDefault="00A26E08">
      <w:pPr>
        <w:pStyle w:val="FootnoteText"/>
      </w:pPr>
      <w:r>
        <w:rPr>
          <w:rStyle w:val="FootnoteReference"/>
        </w:rPr>
        <w:footnoteRef/>
      </w:r>
      <w:r>
        <w:t xml:space="preserve"> Mr. Meyer agreed that the Company provided the invoiced amount to parties.  Meyer, TR. 517:11-20.</w:t>
      </w:r>
    </w:p>
  </w:footnote>
  <w:footnote w:id="385">
    <w:p w:rsidR="00A26E08" w:rsidRDefault="00A26E08">
      <w:pPr>
        <w:pStyle w:val="FootnoteText"/>
      </w:pPr>
      <w:r>
        <w:rPr>
          <w:rStyle w:val="FootnoteReference"/>
        </w:rPr>
        <w:footnoteRef/>
      </w:r>
      <w:r>
        <w:t xml:space="preserve"> </w:t>
      </w:r>
      <w:proofErr w:type="spellStart"/>
      <w:r>
        <w:t>Dalley</w:t>
      </w:r>
      <w:proofErr w:type="spellEnd"/>
      <w:r>
        <w:t>, TR. 373:11-374:2.</w:t>
      </w:r>
    </w:p>
  </w:footnote>
  <w:footnote w:id="386">
    <w:p w:rsidR="00A26E08" w:rsidRDefault="00A26E08">
      <w:pPr>
        <w:pStyle w:val="FootnoteText"/>
      </w:pPr>
      <w:r>
        <w:rPr>
          <w:rStyle w:val="FootnoteReference"/>
        </w:rPr>
        <w:footnoteRef/>
      </w:r>
      <w:r>
        <w:t xml:space="preserve"> </w:t>
      </w:r>
      <w:proofErr w:type="spellStart"/>
      <w:r>
        <w:t>Dalley</w:t>
      </w:r>
      <w:proofErr w:type="spellEnd"/>
      <w:r>
        <w:t>, TR. 373:20-22.</w:t>
      </w:r>
    </w:p>
  </w:footnote>
  <w:footnote w:id="387">
    <w:p w:rsidR="00A26E08" w:rsidRDefault="00A26E08">
      <w:pPr>
        <w:pStyle w:val="FootnoteText"/>
      </w:pPr>
      <w:r>
        <w:rPr>
          <w:rStyle w:val="FootnoteReference"/>
        </w:rPr>
        <w:footnoteRef/>
      </w:r>
      <w:r>
        <w:t xml:space="preserve"> </w:t>
      </w:r>
      <w:proofErr w:type="spellStart"/>
      <w:r>
        <w:t>Dalley</w:t>
      </w:r>
      <w:proofErr w:type="spellEnd"/>
      <w:r>
        <w:t>, TR. 373:24-374:2.</w:t>
      </w:r>
    </w:p>
  </w:footnote>
  <w:footnote w:id="388">
    <w:p w:rsidR="00A26E08" w:rsidRDefault="00A26E08">
      <w:pPr>
        <w:pStyle w:val="FootnoteText"/>
      </w:pPr>
      <w:r>
        <w:rPr>
          <w:rStyle w:val="FootnoteReference"/>
        </w:rPr>
        <w:footnoteRef/>
      </w:r>
      <w:r>
        <w:t xml:space="preserve"> Meyer, </w:t>
      </w:r>
      <w:proofErr w:type="spellStart"/>
      <w:r>
        <w:t>Exh</w:t>
      </w:r>
      <w:proofErr w:type="spellEnd"/>
      <w:r>
        <w:t xml:space="preserve">. No. GRM-1CT 26:10-18; </w:t>
      </w:r>
      <w:proofErr w:type="spellStart"/>
      <w:r>
        <w:t>Dalley</w:t>
      </w:r>
      <w:proofErr w:type="spellEnd"/>
      <w:r>
        <w:t xml:space="preserve">, </w:t>
      </w:r>
      <w:proofErr w:type="spellStart"/>
      <w:r>
        <w:t>Exh</w:t>
      </w:r>
      <w:proofErr w:type="spellEnd"/>
      <w:r>
        <w:t>. No. RBD-4T 16-21.</w:t>
      </w:r>
    </w:p>
  </w:footnote>
  <w:footnote w:id="389">
    <w:p w:rsidR="00A26E08" w:rsidRDefault="00A26E08">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xml:space="preserve">. No. MDF-1CT 16:20-17:2; </w:t>
      </w:r>
      <w:proofErr w:type="spellStart"/>
      <w:r>
        <w:t>Dalley</w:t>
      </w:r>
      <w:proofErr w:type="spellEnd"/>
      <w:r>
        <w:t xml:space="preserve">, </w:t>
      </w:r>
      <w:proofErr w:type="spellStart"/>
      <w:r>
        <w:t>Exh</w:t>
      </w:r>
      <w:proofErr w:type="spellEnd"/>
      <w:r>
        <w:t>. No. RBD-4T 21:9-15.</w:t>
      </w:r>
    </w:p>
  </w:footnote>
  <w:footnote w:id="390">
    <w:p w:rsidR="00A26E08" w:rsidRDefault="00A26E08">
      <w:pPr>
        <w:pStyle w:val="FootnoteText"/>
      </w:pPr>
      <w:r>
        <w:rPr>
          <w:rStyle w:val="FootnoteReference"/>
        </w:rPr>
        <w:footnoteRef/>
      </w:r>
      <w:r>
        <w:t xml:space="preserve"> </w:t>
      </w:r>
      <w:proofErr w:type="spellStart"/>
      <w:r>
        <w:t>Foisy</w:t>
      </w:r>
      <w:proofErr w:type="spellEnd"/>
      <w:r>
        <w:t xml:space="preserve">, </w:t>
      </w:r>
      <w:proofErr w:type="spellStart"/>
      <w:r>
        <w:t>Exh</w:t>
      </w:r>
      <w:proofErr w:type="spellEnd"/>
      <w:r>
        <w:t>. No. MDF-1CT 19:3-5.</w:t>
      </w:r>
    </w:p>
  </w:footnote>
  <w:footnote w:id="391">
    <w:p w:rsidR="00A26E08" w:rsidRDefault="00A26E08">
      <w:pPr>
        <w:pStyle w:val="FootnoteText"/>
      </w:pPr>
      <w:r>
        <w:rPr>
          <w:rStyle w:val="FootnoteReference"/>
        </w:rPr>
        <w:footnoteRef/>
      </w:r>
      <w:r>
        <w:t xml:space="preserve"> Griffith, </w:t>
      </w:r>
      <w:proofErr w:type="spellStart"/>
      <w:r>
        <w:t>Exh</w:t>
      </w:r>
      <w:proofErr w:type="spellEnd"/>
      <w:r>
        <w:t>. No. WRG-7T 2:8-13.</w:t>
      </w:r>
    </w:p>
  </w:footnote>
  <w:footnote w:id="392">
    <w:p w:rsidR="00A26E08" w:rsidRDefault="00A26E08">
      <w:pPr>
        <w:pStyle w:val="FootnoteText"/>
      </w:pPr>
      <w:r>
        <w:rPr>
          <w:rStyle w:val="FootnoteReference"/>
        </w:rPr>
        <w:footnoteRef/>
      </w:r>
      <w:r>
        <w:t xml:space="preserve"> Griffith, </w:t>
      </w:r>
      <w:proofErr w:type="spellStart"/>
      <w:r>
        <w:t>Exh</w:t>
      </w:r>
      <w:proofErr w:type="spellEnd"/>
      <w:r>
        <w:t>. No. WRG-7T 2:14-17.</w:t>
      </w:r>
    </w:p>
  </w:footnote>
  <w:footnote w:id="393">
    <w:p w:rsidR="00A26E08" w:rsidRDefault="00A26E08">
      <w:pPr>
        <w:pStyle w:val="FootnoteText"/>
      </w:pPr>
      <w:r>
        <w:rPr>
          <w:rStyle w:val="FootnoteReference"/>
        </w:rPr>
        <w:footnoteRef/>
      </w:r>
      <w:r>
        <w:t xml:space="preserve"> Griffith, </w:t>
      </w:r>
      <w:proofErr w:type="spellStart"/>
      <w:r>
        <w:t>Exh</w:t>
      </w:r>
      <w:proofErr w:type="spellEnd"/>
      <w:r>
        <w:t>. No. WRG-7T 2:17-18.</w:t>
      </w:r>
    </w:p>
  </w:footnote>
  <w:footnote w:id="394">
    <w:p w:rsidR="00A26E08" w:rsidRDefault="00A26E08">
      <w:pPr>
        <w:pStyle w:val="FootnoteText"/>
      </w:pPr>
      <w:r>
        <w:rPr>
          <w:rStyle w:val="FootnoteReference"/>
        </w:rPr>
        <w:footnoteRef/>
      </w:r>
      <w:r>
        <w:t xml:space="preserve"> Griffith, </w:t>
      </w:r>
      <w:proofErr w:type="spellStart"/>
      <w:r>
        <w:t>Exh</w:t>
      </w:r>
      <w:proofErr w:type="spellEnd"/>
      <w:r>
        <w:t>. No. WRG-7T 3:2-5.</w:t>
      </w:r>
    </w:p>
  </w:footnote>
  <w:footnote w:id="395">
    <w:p w:rsidR="00A26E08" w:rsidRDefault="00A26E08">
      <w:pPr>
        <w:pStyle w:val="FootnoteText"/>
      </w:pPr>
      <w:r>
        <w:rPr>
          <w:rStyle w:val="FootnoteReference"/>
        </w:rPr>
        <w:footnoteRef/>
      </w:r>
      <w:r>
        <w:t xml:space="preserve"> Griffith, </w:t>
      </w:r>
      <w:proofErr w:type="spellStart"/>
      <w:r>
        <w:t>Exh</w:t>
      </w:r>
      <w:proofErr w:type="spellEnd"/>
      <w:r>
        <w:t>. No. WRG-7T 3:8-13.</w:t>
      </w:r>
    </w:p>
  </w:footnote>
  <w:footnote w:id="396">
    <w:p w:rsidR="00A26E08" w:rsidRDefault="00A26E08">
      <w:pPr>
        <w:pStyle w:val="FootnoteText"/>
      </w:pPr>
      <w:r>
        <w:rPr>
          <w:rStyle w:val="FootnoteReference"/>
        </w:rPr>
        <w:footnoteRef/>
      </w:r>
      <w:r>
        <w:t xml:space="preserve"> Griffith, </w:t>
      </w:r>
      <w:proofErr w:type="spellStart"/>
      <w:r>
        <w:t>Exh</w:t>
      </w:r>
      <w:proofErr w:type="spellEnd"/>
      <w:r>
        <w:t>. No. WRG-7T 3:11-13.</w:t>
      </w:r>
    </w:p>
  </w:footnote>
  <w:footnote w:id="397">
    <w:p w:rsidR="00A26E08" w:rsidRDefault="00A26E08">
      <w:pPr>
        <w:pStyle w:val="FootnoteText"/>
      </w:pPr>
      <w:r>
        <w:rPr>
          <w:rStyle w:val="FootnoteReference"/>
        </w:rPr>
        <w:footnoteRef/>
      </w:r>
      <w:r>
        <w:t xml:space="preserve"> Griffith, </w:t>
      </w:r>
      <w:proofErr w:type="spellStart"/>
      <w:r>
        <w:t>Exh</w:t>
      </w:r>
      <w:proofErr w:type="spellEnd"/>
      <w:r>
        <w:t>. No. WRG-7T 3:22-23.</w:t>
      </w:r>
    </w:p>
  </w:footnote>
  <w:footnote w:id="398">
    <w:p w:rsidR="00A26E08" w:rsidRDefault="00A26E08">
      <w:pPr>
        <w:pStyle w:val="FootnoteText"/>
      </w:pPr>
      <w:r>
        <w:rPr>
          <w:rStyle w:val="FootnoteReference"/>
        </w:rPr>
        <w:footnoteRef/>
      </w:r>
      <w:r>
        <w:t xml:space="preserve"> Griffith, </w:t>
      </w:r>
      <w:proofErr w:type="spellStart"/>
      <w:r>
        <w:t>Exh</w:t>
      </w:r>
      <w:proofErr w:type="spellEnd"/>
      <w:r>
        <w:t>. No. WRG-7T 3:15-18.</w:t>
      </w:r>
    </w:p>
  </w:footnote>
  <w:footnote w:id="399">
    <w:p w:rsidR="00A26E08" w:rsidRDefault="00A26E08">
      <w:pPr>
        <w:pStyle w:val="FootnoteText"/>
      </w:pPr>
      <w:r>
        <w:rPr>
          <w:rStyle w:val="FootnoteReference"/>
        </w:rPr>
        <w:footnoteRef/>
      </w:r>
      <w:r>
        <w:t xml:space="preserve"> Griffith, </w:t>
      </w:r>
      <w:proofErr w:type="spellStart"/>
      <w:r>
        <w:t>Exh</w:t>
      </w:r>
      <w:proofErr w:type="spellEnd"/>
      <w:r>
        <w:t>. No. WRG-7T 3:18-20.</w:t>
      </w:r>
    </w:p>
  </w:footnote>
  <w:footnote w:id="400">
    <w:p w:rsidR="00A26E08" w:rsidRDefault="00A26E08">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No. CME-1T 13:16-19; 14:6-8.</w:t>
      </w:r>
    </w:p>
  </w:footnote>
  <w:footnote w:id="401">
    <w:p w:rsidR="00A26E08" w:rsidRDefault="00A26E08">
      <w:pPr>
        <w:pStyle w:val="FootnoteText"/>
      </w:pPr>
      <w:r>
        <w:rPr>
          <w:rStyle w:val="FootnoteReference"/>
        </w:rPr>
        <w:footnoteRef/>
      </w:r>
      <w:r>
        <w:t xml:space="preserve"> Griffith, </w:t>
      </w:r>
      <w:proofErr w:type="spellStart"/>
      <w:r>
        <w:t>Exh</w:t>
      </w:r>
      <w:proofErr w:type="spellEnd"/>
      <w:r>
        <w:t>. No. WRG-7T 4:5-7.</w:t>
      </w:r>
    </w:p>
  </w:footnote>
  <w:footnote w:id="402">
    <w:p w:rsidR="00A26E08" w:rsidRDefault="00A26E08">
      <w:pPr>
        <w:pStyle w:val="FootnoteText"/>
      </w:pPr>
      <w:r>
        <w:rPr>
          <w:rStyle w:val="FootnoteReference"/>
        </w:rPr>
        <w:footnoteRef/>
      </w:r>
      <w:r>
        <w:t xml:space="preserve"> Griffith, </w:t>
      </w:r>
      <w:proofErr w:type="spellStart"/>
      <w:r>
        <w:t>Exh</w:t>
      </w:r>
      <w:proofErr w:type="spellEnd"/>
      <w:r>
        <w:t>. No. WRG-7T 4:8-11.</w:t>
      </w:r>
    </w:p>
  </w:footnote>
  <w:footnote w:id="403">
    <w:p w:rsidR="00A26E08" w:rsidRDefault="00A26E08">
      <w:pPr>
        <w:pStyle w:val="FootnoteText"/>
      </w:pPr>
      <w:r>
        <w:rPr>
          <w:rStyle w:val="FootnoteReference"/>
        </w:rPr>
        <w:footnoteRef/>
      </w:r>
      <w:r>
        <w:t xml:space="preserve"> Griffith, </w:t>
      </w:r>
      <w:proofErr w:type="spellStart"/>
      <w:r>
        <w:t>Exh</w:t>
      </w:r>
      <w:proofErr w:type="spellEnd"/>
      <w:r>
        <w:t>. No. WRG-7T 5:7-9.</w:t>
      </w:r>
    </w:p>
  </w:footnote>
  <w:footnote w:id="404">
    <w:p w:rsidR="00A26E08" w:rsidRDefault="00A26E08">
      <w:pPr>
        <w:pStyle w:val="FootnoteText"/>
      </w:pPr>
      <w:r>
        <w:rPr>
          <w:rStyle w:val="FootnoteReference"/>
        </w:rPr>
        <w:footnoteRef/>
      </w:r>
      <w:r>
        <w:t xml:space="preserve"> </w:t>
      </w:r>
      <w:proofErr w:type="spellStart"/>
      <w:r>
        <w:t>Schoenbeck</w:t>
      </w:r>
      <w:proofErr w:type="spellEnd"/>
      <w:r>
        <w:t xml:space="preserve">, </w:t>
      </w:r>
      <w:proofErr w:type="spellStart"/>
      <w:r>
        <w:t>Exh</w:t>
      </w:r>
      <w:proofErr w:type="spellEnd"/>
      <w:r>
        <w:t>. No. DWS-1T 2:18-23.</w:t>
      </w:r>
    </w:p>
  </w:footnote>
  <w:footnote w:id="405">
    <w:p w:rsidR="00A26E08" w:rsidRDefault="00A26E08">
      <w:pPr>
        <w:pStyle w:val="FootnoteText"/>
      </w:pPr>
      <w:r>
        <w:rPr>
          <w:rStyle w:val="FootnoteReference"/>
        </w:rPr>
        <w:footnoteRef/>
      </w:r>
      <w:r>
        <w:t xml:space="preserve"> </w:t>
      </w:r>
      <w:proofErr w:type="spellStart"/>
      <w:r>
        <w:t>Schoenbeck</w:t>
      </w:r>
      <w:proofErr w:type="spellEnd"/>
      <w:r>
        <w:t xml:space="preserve">, </w:t>
      </w:r>
      <w:proofErr w:type="spellStart"/>
      <w:r>
        <w:t>Exh</w:t>
      </w:r>
      <w:proofErr w:type="spellEnd"/>
      <w:r>
        <w:t>. No. DWS-1T 3:2-3; 9-10.</w:t>
      </w:r>
    </w:p>
  </w:footnote>
  <w:footnote w:id="406">
    <w:p w:rsidR="00A26E08" w:rsidRDefault="00A26E08">
      <w:pPr>
        <w:pStyle w:val="FootnoteText"/>
      </w:pPr>
      <w:r>
        <w:rPr>
          <w:rStyle w:val="FootnoteReference"/>
        </w:rPr>
        <w:footnoteRef/>
      </w:r>
      <w:r>
        <w:t xml:space="preserve"> </w:t>
      </w:r>
      <w:proofErr w:type="spellStart"/>
      <w:r>
        <w:t>Schoenbeck</w:t>
      </w:r>
      <w:proofErr w:type="spellEnd"/>
      <w:r>
        <w:t xml:space="preserve">, </w:t>
      </w:r>
      <w:proofErr w:type="spellStart"/>
      <w:r>
        <w:t>Exh</w:t>
      </w:r>
      <w:proofErr w:type="spellEnd"/>
      <w:r>
        <w:t>. No. DWS-1T 3:15-16.</w:t>
      </w:r>
    </w:p>
  </w:footnote>
  <w:footnote w:id="407">
    <w:p w:rsidR="00A26E08" w:rsidRPr="00CA62FA" w:rsidRDefault="00A26E08">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Power &amp; Light Co.</w:t>
      </w:r>
      <w:r>
        <w:t>, Docket UE-920499, 9</w:t>
      </w:r>
      <w:r w:rsidRPr="00CA62FA">
        <w:rPr>
          <w:vertAlign w:val="superscript"/>
        </w:rPr>
        <w:t>th</w:t>
      </w:r>
      <w:r>
        <w:t xml:space="preserve"> Supp. Order on Rate Design Issues at 12 (Aug. 17, 1993)</w:t>
      </w:r>
      <w:r w:rsidR="00FC60A1">
        <w:fldChar w:fldCharType="begin"/>
      </w:r>
      <w:r>
        <w:instrText xml:space="preserve"> TA \l "</w:instrText>
      </w:r>
      <w:r w:rsidRPr="00382891">
        <w:rPr>
          <w:i/>
        </w:rPr>
        <w:instrText>Wash. Utils. &amp; Transp. Comm’n v. Puget Sound Power &amp; Light Co.</w:instrText>
      </w:r>
      <w:r w:rsidRPr="00382891">
        <w:instrText>, Docket UE-920499, 9</w:instrText>
      </w:r>
      <w:r w:rsidRPr="00382891">
        <w:rPr>
          <w:vertAlign w:val="superscript"/>
        </w:rPr>
        <w:instrText>th</w:instrText>
      </w:r>
      <w:r w:rsidRPr="00382891">
        <w:instrText xml:space="preserve"> Supp. Order on Rate Design Issues (Aug. 17, 1993)</w:instrText>
      </w:r>
      <w:r>
        <w:instrText xml:space="preserve">" \s "Docket UE-920499, 9th Supp. Order on Rate Design Issues" \c 8 </w:instrText>
      </w:r>
      <w:r w:rsidR="00FC60A1">
        <w:fldChar w:fldCharType="end"/>
      </w:r>
      <w:r>
        <w:t>.</w:t>
      </w:r>
    </w:p>
  </w:footnote>
  <w:footnote w:id="408">
    <w:p w:rsidR="00A26E08" w:rsidRDefault="00A26E08">
      <w:pPr>
        <w:pStyle w:val="FootnoteText"/>
      </w:pPr>
      <w:r>
        <w:rPr>
          <w:rStyle w:val="FootnoteReference"/>
        </w:rPr>
        <w:footnoteRef/>
      </w:r>
      <w:r>
        <w:t xml:space="preserve"> </w:t>
      </w:r>
      <w:proofErr w:type="spellStart"/>
      <w:r>
        <w:t>Paice</w:t>
      </w:r>
      <w:proofErr w:type="spellEnd"/>
      <w:r>
        <w:t xml:space="preserve">, </w:t>
      </w:r>
      <w:proofErr w:type="spellStart"/>
      <w:r>
        <w:t>Exh</w:t>
      </w:r>
      <w:proofErr w:type="spellEnd"/>
      <w:r>
        <w:t>. No. CCP-6T 2:13-15.</w:t>
      </w:r>
    </w:p>
  </w:footnote>
  <w:footnote w:id="409">
    <w:p w:rsidR="00A26E08" w:rsidRDefault="00A26E08">
      <w:pPr>
        <w:pStyle w:val="FootnoteText"/>
      </w:pPr>
      <w:r>
        <w:rPr>
          <w:rStyle w:val="FootnoteReference"/>
        </w:rPr>
        <w:footnoteRef/>
      </w:r>
      <w:r>
        <w:t xml:space="preserve"> </w:t>
      </w:r>
      <w:proofErr w:type="spellStart"/>
      <w:r>
        <w:t>Paice</w:t>
      </w:r>
      <w:proofErr w:type="spellEnd"/>
      <w:r>
        <w:t xml:space="preserve">, </w:t>
      </w:r>
      <w:proofErr w:type="spellStart"/>
      <w:r>
        <w:t>Exh</w:t>
      </w:r>
      <w:proofErr w:type="spellEnd"/>
      <w:r>
        <w:t>. No. CCP-6T 2:2-4:13.</w:t>
      </w:r>
    </w:p>
  </w:footnote>
  <w:footnote w:id="410">
    <w:p w:rsidR="00A26E08" w:rsidRDefault="00A26E08">
      <w:pPr>
        <w:pStyle w:val="FootnoteText"/>
      </w:pPr>
      <w:r>
        <w:rPr>
          <w:rStyle w:val="FootnoteReference"/>
        </w:rPr>
        <w:footnoteRef/>
      </w:r>
      <w:r>
        <w:t xml:space="preserve"> Griffith, </w:t>
      </w:r>
      <w:proofErr w:type="spellStart"/>
      <w:r>
        <w:t>Exh</w:t>
      </w:r>
      <w:proofErr w:type="spellEnd"/>
      <w:r>
        <w:t>. No. WRG-1T 7:3-16.</w:t>
      </w:r>
    </w:p>
  </w:footnote>
  <w:footnote w:id="411">
    <w:p w:rsidR="00A26E08" w:rsidRDefault="00A26E08">
      <w:pPr>
        <w:pStyle w:val="FootnoteText"/>
      </w:pPr>
      <w:r>
        <w:rPr>
          <w:rStyle w:val="FootnoteReference"/>
        </w:rPr>
        <w:footnoteRef/>
      </w:r>
      <w:r>
        <w:t xml:space="preserve"> Griffith, </w:t>
      </w:r>
      <w:proofErr w:type="spellStart"/>
      <w:r>
        <w:t>Exh</w:t>
      </w:r>
      <w:proofErr w:type="spellEnd"/>
      <w:r>
        <w:t>. No. WRG-7T 6:10-15.</w:t>
      </w:r>
    </w:p>
  </w:footnote>
  <w:footnote w:id="412">
    <w:p w:rsidR="00A26E08" w:rsidRDefault="00A26E08">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No. RME-1T 2:6-17, 6:12-21.</w:t>
      </w:r>
    </w:p>
  </w:footnote>
  <w:footnote w:id="413">
    <w:p w:rsidR="00A26E08" w:rsidRDefault="00A26E08">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No. RME-1T 7:10-19.</w:t>
      </w:r>
    </w:p>
  </w:footnote>
  <w:footnote w:id="414">
    <w:p w:rsidR="00A26E08" w:rsidRDefault="00A26E08">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No. CME-1T 14:12-15; 15:12-14.</w:t>
      </w:r>
    </w:p>
  </w:footnote>
  <w:footnote w:id="415">
    <w:p w:rsidR="00A26E08" w:rsidRDefault="00A26E08">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No. RME-1T 8:2-21.</w:t>
      </w:r>
    </w:p>
  </w:footnote>
  <w:footnote w:id="416">
    <w:p w:rsidR="00A26E08" w:rsidRDefault="00A26E08">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No. RME-1T 8:22-9:6.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3">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5">
    <w:nsid w:val="50E35727"/>
    <w:multiLevelType w:val="multilevel"/>
    <w:tmpl w:val="78560072"/>
    <w:numStyleLink w:val="Style2"/>
  </w:abstractNum>
  <w:abstractNum w:abstractNumId="6">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7">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1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3">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3"/>
  </w:num>
  <w:num w:numId="2">
    <w:abstractNumId w:val="1"/>
  </w:num>
  <w:num w:numId="3">
    <w:abstractNumId w:val="7"/>
  </w:num>
  <w:num w:numId="4">
    <w:abstractNumId w:val="10"/>
  </w:num>
  <w:num w:numId="5">
    <w:abstractNumId w:val="8"/>
  </w:num>
  <w:num w:numId="6">
    <w:abstractNumId w:val="2"/>
  </w:num>
  <w:num w:numId="7">
    <w:abstractNumId w:val="0"/>
  </w:num>
  <w:num w:numId="8">
    <w:abstractNumId w:val="5"/>
  </w:num>
  <w:num w:numId="9">
    <w:abstractNumId w:val="4"/>
  </w:num>
  <w:num w:numId="10">
    <w:abstractNumId w:val="6"/>
  </w:num>
  <w:num w:numId="11">
    <w:abstractNumId w:val="12"/>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20"/>
  <w:characterSpacingControl w:val="doNotCompress"/>
  <w:hdrShapeDefaults>
    <o:shapedefaults v:ext="edit" spidmax="33793"/>
  </w:hdrShapeDefaults>
  <w:footnotePr>
    <w:footnote w:id="-1"/>
    <w:footnote w:id="0"/>
  </w:footnotePr>
  <w:endnotePr>
    <w:endnote w:id="-1"/>
    <w:endnote w:id="0"/>
  </w:endnotePr>
  <w:compat/>
  <w:rsids>
    <w:rsidRoot w:val="00436B60"/>
    <w:rsid w:val="000024E1"/>
    <w:rsid w:val="000047EF"/>
    <w:rsid w:val="00011113"/>
    <w:rsid w:val="000135CC"/>
    <w:rsid w:val="00022B04"/>
    <w:rsid w:val="00030846"/>
    <w:rsid w:val="00037B64"/>
    <w:rsid w:val="00043309"/>
    <w:rsid w:val="00065C8D"/>
    <w:rsid w:val="00066DA6"/>
    <w:rsid w:val="0007035F"/>
    <w:rsid w:val="000722F3"/>
    <w:rsid w:val="000758D1"/>
    <w:rsid w:val="00076C55"/>
    <w:rsid w:val="000814D9"/>
    <w:rsid w:val="00082749"/>
    <w:rsid w:val="00082985"/>
    <w:rsid w:val="000920FA"/>
    <w:rsid w:val="00093AFC"/>
    <w:rsid w:val="000958E3"/>
    <w:rsid w:val="00097439"/>
    <w:rsid w:val="000A1905"/>
    <w:rsid w:val="000A3331"/>
    <w:rsid w:val="000A5150"/>
    <w:rsid w:val="000A59EE"/>
    <w:rsid w:val="000B2566"/>
    <w:rsid w:val="000B4931"/>
    <w:rsid w:val="000B68FF"/>
    <w:rsid w:val="000B7D7D"/>
    <w:rsid w:val="000C4E28"/>
    <w:rsid w:val="000E158B"/>
    <w:rsid w:val="000E4436"/>
    <w:rsid w:val="000E4642"/>
    <w:rsid w:val="000E69C7"/>
    <w:rsid w:val="000F101B"/>
    <w:rsid w:val="000F48B1"/>
    <w:rsid w:val="00100885"/>
    <w:rsid w:val="001051E9"/>
    <w:rsid w:val="00107581"/>
    <w:rsid w:val="00113D93"/>
    <w:rsid w:val="0011709B"/>
    <w:rsid w:val="00123DE0"/>
    <w:rsid w:val="00124969"/>
    <w:rsid w:val="00126616"/>
    <w:rsid w:val="00131144"/>
    <w:rsid w:val="001316FD"/>
    <w:rsid w:val="00131C4A"/>
    <w:rsid w:val="00132EE9"/>
    <w:rsid w:val="00134D85"/>
    <w:rsid w:val="00136104"/>
    <w:rsid w:val="00136D8E"/>
    <w:rsid w:val="00140CA1"/>
    <w:rsid w:val="0014686F"/>
    <w:rsid w:val="00153DFE"/>
    <w:rsid w:val="0015445A"/>
    <w:rsid w:val="001551AE"/>
    <w:rsid w:val="00156702"/>
    <w:rsid w:val="00157BBA"/>
    <w:rsid w:val="0016174B"/>
    <w:rsid w:val="00161AB7"/>
    <w:rsid w:val="00167755"/>
    <w:rsid w:val="00172A77"/>
    <w:rsid w:val="00182A2C"/>
    <w:rsid w:val="0018501A"/>
    <w:rsid w:val="00186735"/>
    <w:rsid w:val="00187EF1"/>
    <w:rsid w:val="00192230"/>
    <w:rsid w:val="00195BDE"/>
    <w:rsid w:val="0019609D"/>
    <w:rsid w:val="00197367"/>
    <w:rsid w:val="001B5EBD"/>
    <w:rsid w:val="001B6C5D"/>
    <w:rsid w:val="001B7B16"/>
    <w:rsid w:val="001C1F48"/>
    <w:rsid w:val="001C23A0"/>
    <w:rsid w:val="001C6D8B"/>
    <w:rsid w:val="001D4421"/>
    <w:rsid w:val="001E11C2"/>
    <w:rsid w:val="001E2A97"/>
    <w:rsid w:val="001E3829"/>
    <w:rsid w:val="001E61D5"/>
    <w:rsid w:val="001E7DD3"/>
    <w:rsid w:val="001E7E5C"/>
    <w:rsid w:val="001F112C"/>
    <w:rsid w:val="001F14CD"/>
    <w:rsid w:val="001F43E4"/>
    <w:rsid w:val="001F7016"/>
    <w:rsid w:val="00200277"/>
    <w:rsid w:val="0020075D"/>
    <w:rsid w:val="002031A6"/>
    <w:rsid w:val="00203FF7"/>
    <w:rsid w:val="00206357"/>
    <w:rsid w:val="0020650B"/>
    <w:rsid w:val="00211FD1"/>
    <w:rsid w:val="0021765A"/>
    <w:rsid w:val="00217E78"/>
    <w:rsid w:val="002206CB"/>
    <w:rsid w:val="00220CD9"/>
    <w:rsid w:val="002217CA"/>
    <w:rsid w:val="002220BB"/>
    <w:rsid w:val="0022319D"/>
    <w:rsid w:val="00223BA6"/>
    <w:rsid w:val="00224728"/>
    <w:rsid w:val="002277A8"/>
    <w:rsid w:val="00232617"/>
    <w:rsid w:val="00232E31"/>
    <w:rsid w:val="00233CD5"/>
    <w:rsid w:val="0023523C"/>
    <w:rsid w:val="00235F14"/>
    <w:rsid w:val="00236476"/>
    <w:rsid w:val="00240ED7"/>
    <w:rsid w:val="00243F60"/>
    <w:rsid w:val="002525E9"/>
    <w:rsid w:val="0025631A"/>
    <w:rsid w:val="00264104"/>
    <w:rsid w:val="0026517A"/>
    <w:rsid w:val="00266CDD"/>
    <w:rsid w:val="0027063B"/>
    <w:rsid w:val="00271E47"/>
    <w:rsid w:val="002741CE"/>
    <w:rsid w:val="00276F23"/>
    <w:rsid w:val="00280C71"/>
    <w:rsid w:val="00282D2E"/>
    <w:rsid w:val="00285BA2"/>
    <w:rsid w:val="00290DA9"/>
    <w:rsid w:val="002A1117"/>
    <w:rsid w:val="002A4560"/>
    <w:rsid w:val="002B0F2A"/>
    <w:rsid w:val="002C5AB9"/>
    <w:rsid w:val="002C6926"/>
    <w:rsid w:val="002C7E07"/>
    <w:rsid w:val="002D78CF"/>
    <w:rsid w:val="002D7E83"/>
    <w:rsid w:val="002E098B"/>
    <w:rsid w:val="002E39C3"/>
    <w:rsid w:val="002E4C43"/>
    <w:rsid w:val="0030309D"/>
    <w:rsid w:val="00303DA5"/>
    <w:rsid w:val="003057A2"/>
    <w:rsid w:val="00306435"/>
    <w:rsid w:val="0031044E"/>
    <w:rsid w:val="003159A5"/>
    <w:rsid w:val="00316E39"/>
    <w:rsid w:val="0032214D"/>
    <w:rsid w:val="00327F90"/>
    <w:rsid w:val="003308FA"/>
    <w:rsid w:val="00336AB8"/>
    <w:rsid w:val="00337B53"/>
    <w:rsid w:val="00346F41"/>
    <w:rsid w:val="00353819"/>
    <w:rsid w:val="003560DF"/>
    <w:rsid w:val="003568FC"/>
    <w:rsid w:val="00357265"/>
    <w:rsid w:val="00357BD6"/>
    <w:rsid w:val="00357F79"/>
    <w:rsid w:val="00363AFB"/>
    <w:rsid w:val="00371A07"/>
    <w:rsid w:val="0037225E"/>
    <w:rsid w:val="003728BE"/>
    <w:rsid w:val="0037314F"/>
    <w:rsid w:val="00380341"/>
    <w:rsid w:val="003825DF"/>
    <w:rsid w:val="00385FED"/>
    <w:rsid w:val="00397380"/>
    <w:rsid w:val="003977CD"/>
    <w:rsid w:val="003A0EDD"/>
    <w:rsid w:val="003A296E"/>
    <w:rsid w:val="003A43AF"/>
    <w:rsid w:val="003A5BED"/>
    <w:rsid w:val="003A6B89"/>
    <w:rsid w:val="003B1562"/>
    <w:rsid w:val="003B3983"/>
    <w:rsid w:val="003B63DD"/>
    <w:rsid w:val="003B7746"/>
    <w:rsid w:val="003C1514"/>
    <w:rsid w:val="003C3241"/>
    <w:rsid w:val="003C43D7"/>
    <w:rsid w:val="003C570E"/>
    <w:rsid w:val="003D09FD"/>
    <w:rsid w:val="003E5E6F"/>
    <w:rsid w:val="003E7B80"/>
    <w:rsid w:val="003F2FE6"/>
    <w:rsid w:val="003F3D2A"/>
    <w:rsid w:val="003F4583"/>
    <w:rsid w:val="0040036F"/>
    <w:rsid w:val="0040067B"/>
    <w:rsid w:val="00402D19"/>
    <w:rsid w:val="00407F7A"/>
    <w:rsid w:val="0041250B"/>
    <w:rsid w:val="00415030"/>
    <w:rsid w:val="00424D6B"/>
    <w:rsid w:val="00431B89"/>
    <w:rsid w:val="0043548B"/>
    <w:rsid w:val="004355A3"/>
    <w:rsid w:val="004356C4"/>
    <w:rsid w:val="00435760"/>
    <w:rsid w:val="00436B60"/>
    <w:rsid w:val="004444DA"/>
    <w:rsid w:val="00444582"/>
    <w:rsid w:val="00444D94"/>
    <w:rsid w:val="00445F09"/>
    <w:rsid w:val="004475BA"/>
    <w:rsid w:val="00450E9C"/>
    <w:rsid w:val="00451544"/>
    <w:rsid w:val="0045342F"/>
    <w:rsid w:val="00457572"/>
    <w:rsid w:val="004619B8"/>
    <w:rsid w:val="004657B6"/>
    <w:rsid w:val="0047425A"/>
    <w:rsid w:val="00477253"/>
    <w:rsid w:val="004905A9"/>
    <w:rsid w:val="0049430F"/>
    <w:rsid w:val="004949F5"/>
    <w:rsid w:val="00494D45"/>
    <w:rsid w:val="004A6FD2"/>
    <w:rsid w:val="004B066C"/>
    <w:rsid w:val="004B3E36"/>
    <w:rsid w:val="004C4028"/>
    <w:rsid w:val="004C5CB2"/>
    <w:rsid w:val="004C62B3"/>
    <w:rsid w:val="004D07FE"/>
    <w:rsid w:val="004D0851"/>
    <w:rsid w:val="004D2C15"/>
    <w:rsid w:val="004D40C2"/>
    <w:rsid w:val="004E2532"/>
    <w:rsid w:val="004E2D15"/>
    <w:rsid w:val="004E6202"/>
    <w:rsid w:val="004F0C42"/>
    <w:rsid w:val="004F2709"/>
    <w:rsid w:val="004F3E3D"/>
    <w:rsid w:val="004F7362"/>
    <w:rsid w:val="00502295"/>
    <w:rsid w:val="00502BBB"/>
    <w:rsid w:val="0050354E"/>
    <w:rsid w:val="0050431F"/>
    <w:rsid w:val="00504D71"/>
    <w:rsid w:val="00505546"/>
    <w:rsid w:val="00507099"/>
    <w:rsid w:val="00512AE6"/>
    <w:rsid w:val="0051593B"/>
    <w:rsid w:val="0051624A"/>
    <w:rsid w:val="005208C5"/>
    <w:rsid w:val="00521903"/>
    <w:rsid w:val="00530AA8"/>
    <w:rsid w:val="005312C5"/>
    <w:rsid w:val="00535679"/>
    <w:rsid w:val="00537B28"/>
    <w:rsid w:val="00543B17"/>
    <w:rsid w:val="00550DB7"/>
    <w:rsid w:val="00551A36"/>
    <w:rsid w:val="00557B47"/>
    <w:rsid w:val="00562D4D"/>
    <w:rsid w:val="00567C0E"/>
    <w:rsid w:val="00573C9F"/>
    <w:rsid w:val="0057441E"/>
    <w:rsid w:val="00574B1E"/>
    <w:rsid w:val="005857A4"/>
    <w:rsid w:val="005906F6"/>
    <w:rsid w:val="00590D5F"/>
    <w:rsid w:val="005918E4"/>
    <w:rsid w:val="0059401F"/>
    <w:rsid w:val="005A0DB0"/>
    <w:rsid w:val="005A2586"/>
    <w:rsid w:val="005A39DD"/>
    <w:rsid w:val="005A7E82"/>
    <w:rsid w:val="005B06D3"/>
    <w:rsid w:val="005B3041"/>
    <w:rsid w:val="005B41A1"/>
    <w:rsid w:val="005B651B"/>
    <w:rsid w:val="005B7E42"/>
    <w:rsid w:val="005C105C"/>
    <w:rsid w:val="005C365F"/>
    <w:rsid w:val="005C3FC6"/>
    <w:rsid w:val="005C76B4"/>
    <w:rsid w:val="005D1ADE"/>
    <w:rsid w:val="005D4EA9"/>
    <w:rsid w:val="005D67DD"/>
    <w:rsid w:val="005E3302"/>
    <w:rsid w:val="005F22D6"/>
    <w:rsid w:val="005F75D0"/>
    <w:rsid w:val="00600546"/>
    <w:rsid w:val="0060128D"/>
    <w:rsid w:val="00602F59"/>
    <w:rsid w:val="006035F9"/>
    <w:rsid w:val="00605CAF"/>
    <w:rsid w:val="00612880"/>
    <w:rsid w:val="00613674"/>
    <w:rsid w:val="00614CF5"/>
    <w:rsid w:val="00616D59"/>
    <w:rsid w:val="006216F3"/>
    <w:rsid w:val="006269CD"/>
    <w:rsid w:val="00626F84"/>
    <w:rsid w:val="006279A9"/>
    <w:rsid w:val="00627BCB"/>
    <w:rsid w:val="00630734"/>
    <w:rsid w:val="00631E69"/>
    <w:rsid w:val="00632AFA"/>
    <w:rsid w:val="0064475A"/>
    <w:rsid w:val="006458FE"/>
    <w:rsid w:val="00647A27"/>
    <w:rsid w:val="0065044B"/>
    <w:rsid w:val="0065107C"/>
    <w:rsid w:val="00655827"/>
    <w:rsid w:val="006603EB"/>
    <w:rsid w:val="00664426"/>
    <w:rsid w:val="00666CBB"/>
    <w:rsid w:val="00667579"/>
    <w:rsid w:val="00667A58"/>
    <w:rsid w:val="00672AB1"/>
    <w:rsid w:val="006773D3"/>
    <w:rsid w:val="0068013C"/>
    <w:rsid w:val="00684787"/>
    <w:rsid w:val="00696257"/>
    <w:rsid w:val="006A2498"/>
    <w:rsid w:val="006A3537"/>
    <w:rsid w:val="006A453F"/>
    <w:rsid w:val="006A4BB1"/>
    <w:rsid w:val="006A5271"/>
    <w:rsid w:val="006A582A"/>
    <w:rsid w:val="006B0AE4"/>
    <w:rsid w:val="006B195F"/>
    <w:rsid w:val="006B2548"/>
    <w:rsid w:val="006B3908"/>
    <w:rsid w:val="006B45ED"/>
    <w:rsid w:val="006B76C6"/>
    <w:rsid w:val="006B7743"/>
    <w:rsid w:val="006C049E"/>
    <w:rsid w:val="006C1A71"/>
    <w:rsid w:val="006C431D"/>
    <w:rsid w:val="006D047B"/>
    <w:rsid w:val="006D0D94"/>
    <w:rsid w:val="006D3EB1"/>
    <w:rsid w:val="006E1B6E"/>
    <w:rsid w:val="006E5711"/>
    <w:rsid w:val="006E5FFB"/>
    <w:rsid w:val="006F1C04"/>
    <w:rsid w:val="006F2C03"/>
    <w:rsid w:val="0070014D"/>
    <w:rsid w:val="0070082C"/>
    <w:rsid w:val="0070315C"/>
    <w:rsid w:val="00705584"/>
    <w:rsid w:val="007079B1"/>
    <w:rsid w:val="00707CD8"/>
    <w:rsid w:val="007137F7"/>
    <w:rsid w:val="00715509"/>
    <w:rsid w:val="00722BD1"/>
    <w:rsid w:val="00736BD4"/>
    <w:rsid w:val="007418E0"/>
    <w:rsid w:val="007447D2"/>
    <w:rsid w:val="0074622A"/>
    <w:rsid w:val="00746542"/>
    <w:rsid w:val="0076718E"/>
    <w:rsid w:val="007754C1"/>
    <w:rsid w:val="0077682F"/>
    <w:rsid w:val="0077752F"/>
    <w:rsid w:val="00780437"/>
    <w:rsid w:val="00782923"/>
    <w:rsid w:val="00786789"/>
    <w:rsid w:val="00791BA3"/>
    <w:rsid w:val="00792DA5"/>
    <w:rsid w:val="00794907"/>
    <w:rsid w:val="007964A4"/>
    <w:rsid w:val="007B0947"/>
    <w:rsid w:val="007B47FD"/>
    <w:rsid w:val="007B6ACB"/>
    <w:rsid w:val="007B797B"/>
    <w:rsid w:val="007C3842"/>
    <w:rsid w:val="007C4236"/>
    <w:rsid w:val="007D4683"/>
    <w:rsid w:val="007E2D9C"/>
    <w:rsid w:val="007F494E"/>
    <w:rsid w:val="007F6908"/>
    <w:rsid w:val="00801539"/>
    <w:rsid w:val="0080390D"/>
    <w:rsid w:val="008059C1"/>
    <w:rsid w:val="00810ADB"/>
    <w:rsid w:val="00811C2E"/>
    <w:rsid w:val="00816025"/>
    <w:rsid w:val="0081667A"/>
    <w:rsid w:val="00817889"/>
    <w:rsid w:val="00830424"/>
    <w:rsid w:val="00831159"/>
    <w:rsid w:val="00835C19"/>
    <w:rsid w:val="00835FE5"/>
    <w:rsid w:val="00836698"/>
    <w:rsid w:val="00840B5D"/>
    <w:rsid w:val="00842C54"/>
    <w:rsid w:val="00843017"/>
    <w:rsid w:val="00843969"/>
    <w:rsid w:val="008514FA"/>
    <w:rsid w:val="00853F4F"/>
    <w:rsid w:val="008548E1"/>
    <w:rsid w:val="0085530A"/>
    <w:rsid w:val="008559B3"/>
    <w:rsid w:val="0085659B"/>
    <w:rsid w:val="008626B7"/>
    <w:rsid w:val="00867FC8"/>
    <w:rsid w:val="00870B01"/>
    <w:rsid w:val="00870B90"/>
    <w:rsid w:val="008760FD"/>
    <w:rsid w:val="00882F63"/>
    <w:rsid w:val="00885204"/>
    <w:rsid w:val="00894F74"/>
    <w:rsid w:val="008A261B"/>
    <w:rsid w:val="008B2A3A"/>
    <w:rsid w:val="008B392B"/>
    <w:rsid w:val="008B46EC"/>
    <w:rsid w:val="008B61CB"/>
    <w:rsid w:val="008B6B34"/>
    <w:rsid w:val="008B73D2"/>
    <w:rsid w:val="008C0BAD"/>
    <w:rsid w:val="008C4D5D"/>
    <w:rsid w:val="008D07B7"/>
    <w:rsid w:val="008D199F"/>
    <w:rsid w:val="008E5E5E"/>
    <w:rsid w:val="008F1BF7"/>
    <w:rsid w:val="00903AF0"/>
    <w:rsid w:val="009071EC"/>
    <w:rsid w:val="00911900"/>
    <w:rsid w:val="00912D70"/>
    <w:rsid w:val="00915FD5"/>
    <w:rsid w:val="00921C71"/>
    <w:rsid w:val="00927277"/>
    <w:rsid w:val="009369B6"/>
    <w:rsid w:val="009369F4"/>
    <w:rsid w:val="00954183"/>
    <w:rsid w:val="00960585"/>
    <w:rsid w:val="00961D66"/>
    <w:rsid w:val="00964473"/>
    <w:rsid w:val="00965C53"/>
    <w:rsid w:val="0097109E"/>
    <w:rsid w:val="00971F1F"/>
    <w:rsid w:val="00973298"/>
    <w:rsid w:val="00980016"/>
    <w:rsid w:val="00980DE2"/>
    <w:rsid w:val="0098280A"/>
    <w:rsid w:val="009832BD"/>
    <w:rsid w:val="009850F5"/>
    <w:rsid w:val="00985A60"/>
    <w:rsid w:val="00994D05"/>
    <w:rsid w:val="009A10AA"/>
    <w:rsid w:val="009A4B88"/>
    <w:rsid w:val="009A756E"/>
    <w:rsid w:val="009B10E2"/>
    <w:rsid w:val="009B4DC6"/>
    <w:rsid w:val="009C1356"/>
    <w:rsid w:val="009C24A8"/>
    <w:rsid w:val="009C2EEA"/>
    <w:rsid w:val="009D19D8"/>
    <w:rsid w:val="009D2D0E"/>
    <w:rsid w:val="009D355E"/>
    <w:rsid w:val="009E524B"/>
    <w:rsid w:val="009E6DD9"/>
    <w:rsid w:val="009F0823"/>
    <w:rsid w:val="009F430E"/>
    <w:rsid w:val="009F5463"/>
    <w:rsid w:val="009F7732"/>
    <w:rsid w:val="00A01150"/>
    <w:rsid w:val="00A0191B"/>
    <w:rsid w:val="00A0245E"/>
    <w:rsid w:val="00A04782"/>
    <w:rsid w:val="00A04E33"/>
    <w:rsid w:val="00A079CF"/>
    <w:rsid w:val="00A17538"/>
    <w:rsid w:val="00A207E4"/>
    <w:rsid w:val="00A21196"/>
    <w:rsid w:val="00A2173E"/>
    <w:rsid w:val="00A2459D"/>
    <w:rsid w:val="00A25A4F"/>
    <w:rsid w:val="00A26E08"/>
    <w:rsid w:val="00A320A9"/>
    <w:rsid w:val="00A329F1"/>
    <w:rsid w:val="00A3707F"/>
    <w:rsid w:val="00A4001F"/>
    <w:rsid w:val="00A41A56"/>
    <w:rsid w:val="00A4375F"/>
    <w:rsid w:val="00A652AE"/>
    <w:rsid w:val="00A80758"/>
    <w:rsid w:val="00A81379"/>
    <w:rsid w:val="00A931BB"/>
    <w:rsid w:val="00A960BF"/>
    <w:rsid w:val="00AA25AF"/>
    <w:rsid w:val="00AA2B20"/>
    <w:rsid w:val="00AA423D"/>
    <w:rsid w:val="00AA5B00"/>
    <w:rsid w:val="00AA6CE4"/>
    <w:rsid w:val="00AA76CA"/>
    <w:rsid w:val="00AB50E8"/>
    <w:rsid w:val="00AC127A"/>
    <w:rsid w:val="00AC2A24"/>
    <w:rsid w:val="00AC3F5A"/>
    <w:rsid w:val="00AC4967"/>
    <w:rsid w:val="00AC5136"/>
    <w:rsid w:val="00AC625D"/>
    <w:rsid w:val="00AC74C7"/>
    <w:rsid w:val="00AD2BD4"/>
    <w:rsid w:val="00AE12B5"/>
    <w:rsid w:val="00AE7F06"/>
    <w:rsid w:val="00AF2EBC"/>
    <w:rsid w:val="00AF331E"/>
    <w:rsid w:val="00AF3DFB"/>
    <w:rsid w:val="00AF7260"/>
    <w:rsid w:val="00B02559"/>
    <w:rsid w:val="00B043C0"/>
    <w:rsid w:val="00B0668A"/>
    <w:rsid w:val="00B10BEB"/>
    <w:rsid w:val="00B1232E"/>
    <w:rsid w:val="00B13C7F"/>
    <w:rsid w:val="00B155BB"/>
    <w:rsid w:val="00B20C4D"/>
    <w:rsid w:val="00B20FA7"/>
    <w:rsid w:val="00B24D94"/>
    <w:rsid w:val="00B255D7"/>
    <w:rsid w:val="00B26B7F"/>
    <w:rsid w:val="00B31029"/>
    <w:rsid w:val="00B3184D"/>
    <w:rsid w:val="00B32AF4"/>
    <w:rsid w:val="00B37D9D"/>
    <w:rsid w:val="00B506CE"/>
    <w:rsid w:val="00B50CD4"/>
    <w:rsid w:val="00B5259E"/>
    <w:rsid w:val="00B53CA3"/>
    <w:rsid w:val="00B55843"/>
    <w:rsid w:val="00B570C7"/>
    <w:rsid w:val="00B574BD"/>
    <w:rsid w:val="00B60919"/>
    <w:rsid w:val="00B63AB6"/>
    <w:rsid w:val="00B64282"/>
    <w:rsid w:val="00B72D9D"/>
    <w:rsid w:val="00B766DA"/>
    <w:rsid w:val="00B85BD2"/>
    <w:rsid w:val="00BA0D17"/>
    <w:rsid w:val="00BA573F"/>
    <w:rsid w:val="00BA6112"/>
    <w:rsid w:val="00BA7E86"/>
    <w:rsid w:val="00BB0698"/>
    <w:rsid w:val="00BB19C5"/>
    <w:rsid w:val="00BB593B"/>
    <w:rsid w:val="00BC04BD"/>
    <w:rsid w:val="00BC1C3D"/>
    <w:rsid w:val="00BC4B79"/>
    <w:rsid w:val="00BC5E0C"/>
    <w:rsid w:val="00BD3AEB"/>
    <w:rsid w:val="00BE0487"/>
    <w:rsid w:val="00BE332B"/>
    <w:rsid w:val="00BE5993"/>
    <w:rsid w:val="00BF0593"/>
    <w:rsid w:val="00BF065D"/>
    <w:rsid w:val="00BF34A0"/>
    <w:rsid w:val="00BF4BC4"/>
    <w:rsid w:val="00C00BA5"/>
    <w:rsid w:val="00C012B0"/>
    <w:rsid w:val="00C025FD"/>
    <w:rsid w:val="00C06F12"/>
    <w:rsid w:val="00C1243E"/>
    <w:rsid w:val="00C165BE"/>
    <w:rsid w:val="00C24DA6"/>
    <w:rsid w:val="00C25243"/>
    <w:rsid w:val="00C2598C"/>
    <w:rsid w:val="00C273ED"/>
    <w:rsid w:val="00C30EC5"/>
    <w:rsid w:val="00C34EE5"/>
    <w:rsid w:val="00C35A97"/>
    <w:rsid w:val="00C370CE"/>
    <w:rsid w:val="00C37CBE"/>
    <w:rsid w:val="00C42E26"/>
    <w:rsid w:val="00C500ED"/>
    <w:rsid w:val="00C53490"/>
    <w:rsid w:val="00C5497B"/>
    <w:rsid w:val="00C54B45"/>
    <w:rsid w:val="00C55B7A"/>
    <w:rsid w:val="00C56AE3"/>
    <w:rsid w:val="00C5771F"/>
    <w:rsid w:val="00C6066A"/>
    <w:rsid w:val="00C61637"/>
    <w:rsid w:val="00C676D2"/>
    <w:rsid w:val="00C722E4"/>
    <w:rsid w:val="00C73F80"/>
    <w:rsid w:val="00C75FB4"/>
    <w:rsid w:val="00C859D6"/>
    <w:rsid w:val="00C87B20"/>
    <w:rsid w:val="00C90245"/>
    <w:rsid w:val="00C9288A"/>
    <w:rsid w:val="00C93FDA"/>
    <w:rsid w:val="00C95111"/>
    <w:rsid w:val="00C95F8B"/>
    <w:rsid w:val="00CA134D"/>
    <w:rsid w:val="00CA3CE6"/>
    <w:rsid w:val="00CA55C7"/>
    <w:rsid w:val="00CA62FA"/>
    <w:rsid w:val="00CA636B"/>
    <w:rsid w:val="00CB02CA"/>
    <w:rsid w:val="00CB11E4"/>
    <w:rsid w:val="00CB1528"/>
    <w:rsid w:val="00CB17E7"/>
    <w:rsid w:val="00CB29D9"/>
    <w:rsid w:val="00CB3802"/>
    <w:rsid w:val="00CB584C"/>
    <w:rsid w:val="00CB600D"/>
    <w:rsid w:val="00CB618F"/>
    <w:rsid w:val="00CB701B"/>
    <w:rsid w:val="00CB764F"/>
    <w:rsid w:val="00CB7E0B"/>
    <w:rsid w:val="00CC43D3"/>
    <w:rsid w:val="00CC6416"/>
    <w:rsid w:val="00CE02B6"/>
    <w:rsid w:val="00CE087A"/>
    <w:rsid w:val="00CE2723"/>
    <w:rsid w:val="00CE6015"/>
    <w:rsid w:val="00CE6BD8"/>
    <w:rsid w:val="00CF0E4C"/>
    <w:rsid w:val="00CF2634"/>
    <w:rsid w:val="00CF2769"/>
    <w:rsid w:val="00CF5910"/>
    <w:rsid w:val="00D15DC2"/>
    <w:rsid w:val="00D30F83"/>
    <w:rsid w:val="00D34C7F"/>
    <w:rsid w:val="00D43B6C"/>
    <w:rsid w:val="00D46DD4"/>
    <w:rsid w:val="00D5252A"/>
    <w:rsid w:val="00D5413E"/>
    <w:rsid w:val="00D56FD4"/>
    <w:rsid w:val="00D616BE"/>
    <w:rsid w:val="00D6346C"/>
    <w:rsid w:val="00D67C8B"/>
    <w:rsid w:val="00D70A60"/>
    <w:rsid w:val="00D70FB9"/>
    <w:rsid w:val="00D71DD6"/>
    <w:rsid w:val="00D73DB9"/>
    <w:rsid w:val="00D81935"/>
    <w:rsid w:val="00D84134"/>
    <w:rsid w:val="00D85AE0"/>
    <w:rsid w:val="00D868AC"/>
    <w:rsid w:val="00D8795E"/>
    <w:rsid w:val="00D9670C"/>
    <w:rsid w:val="00D97CFF"/>
    <w:rsid w:val="00DA3BB3"/>
    <w:rsid w:val="00DA4DF1"/>
    <w:rsid w:val="00DB2360"/>
    <w:rsid w:val="00DB6762"/>
    <w:rsid w:val="00DB6E4A"/>
    <w:rsid w:val="00DC1D6E"/>
    <w:rsid w:val="00DD0DEE"/>
    <w:rsid w:val="00DD3E2D"/>
    <w:rsid w:val="00DD60BA"/>
    <w:rsid w:val="00DE1A1E"/>
    <w:rsid w:val="00DE2D75"/>
    <w:rsid w:val="00DE7714"/>
    <w:rsid w:val="00DF315C"/>
    <w:rsid w:val="00E00141"/>
    <w:rsid w:val="00E00D96"/>
    <w:rsid w:val="00E010DB"/>
    <w:rsid w:val="00E01F72"/>
    <w:rsid w:val="00E0419F"/>
    <w:rsid w:val="00E10858"/>
    <w:rsid w:val="00E12952"/>
    <w:rsid w:val="00E14247"/>
    <w:rsid w:val="00E1485E"/>
    <w:rsid w:val="00E46694"/>
    <w:rsid w:val="00E57B6E"/>
    <w:rsid w:val="00E649E7"/>
    <w:rsid w:val="00E65F40"/>
    <w:rsid w:val="00E66580"/>
    <w:rsid w:val="00E70A8C"/>
    <w:rsid w:val="00E7381D"/>
    <w:rsid w:val="00E74C9C"/>
    <w:rsid w:val="00E76E64"/>
    <w:rsid w:val="00E805C5"/>
    <w:rsid w:val="00E83AFD"/>
    <w:rsid w:val="00E85521"/>
    <w:rsid w:val="00E85693"/>
    <w:rsid w:val="00E86464"/>
    <w:rsid w:val="00E95031"/>
    <w:rsid w:val="00EA1A10"/>
    <w:rsid w:val="00EA3000"/>
    <w:rsid w:val="00EA6029"/>
    <w:rsid w:val="00EC53BE"/>
    <w:rsid w:val="00ED1B73"/>
    <w:rsid w:val="00ED2A92"/>
    <w:rsid w:val="00ED41C9"/>
    <w:rsid w:val="00ED63C5"/>
    <w:rsid w:val="00ED6986"/>
    <w:rsid w:val="00EE01AC"/>
    <w:rsid w:val="00EE1648"/>
    <w:rsid w:val="00EE32B4"/>
    <w:rsid w:val="00EE46B2"/>
    <w:rsid w:val="00EE5E5E"/>
    <w:rsid w:val="00EF2049"/>
    <w:rsid w:val="00EF20E4"/>
    <w:rsid w:val="00EF4E5A"/>
    <w:rsid w:val="00EF5977"/>
    <w:rsid w:val="00EF71DF"/>
    <w:rsid w:val="00F058D8"/>
    <w:rsid w:val="00F1283E"/>
    <w:rsid w:val="00F16F87"/>
    <w:rsid w:val="00F20419"/>
    <w:rsid w:val="00F21772"/>
    <w:rsid w:val="00F2465A"/>
    <w:rsid w:val="00F32400"/>
    <w:rsid w:val="00F33574"/>
    <w:rsid w:val="00F346DF"/>
    <w:rsid w:val="00F40B95"/>
    <w:rsid w:val="00F446D3"/>
    <w:rsid w:val="00F505D8"/>
    <w:rsid w:val="00F51AB7"/>
    <w:rsid w:val="00F53B40"/>
    <w:rsid w:val="00F57E91"/>
    <w:rsid w:val="00F601C2"/>
    <w:rsid w:val="00F621F9"/>
    <w:rsid w:val="00F657BC"/>
    <w:rsid w:val="00F65926"/>
    <w:rsid w:val="00F6652D"/>
    <w:rsid w:val="00F71E89"/>
    <w:rsid w:val="00F753EB"/>
    <w:rsid w:val="00F82D45"/>
    <w:rsid w:val="00F8433B"/>
    <w:rsid w:val="00F96ABC"/>
    <w:rsid w:val="00F96B3C"/>
    <w:rsid w:val="00FA4A04"/>
    <w:rsid w:val="00FA5870"/>
    <w:rsid w:val="00FA77BA"/>
    <w:rsid w:val="00FB0712"/>
    <w:rsid w:val="00FC1612"/>
    <w:rsid w:val="00FC2575"/>
    <w:rsid w:val="00FC4B3E"/>
    <w:rsid w:val="00FC60A1"/>
    <w:rsid w:val="00FC6627"/>
    <w:rsid w:val="00FC785E"/>
    <w:rsid w:val="00FD7C0E"/>
    <w:rsid w:val="00FE19DE"/>
    <w:rsid w:val="00FE28CB"/>
    <w:rsid w:val="00FE29E4"/>
    <w:rsid w:val="00FE2EFE"/>
    <w:rsid w:val="00FE341A"/>
    <w:rsid w:val="00FE5B6A"/>
    <w:rsid w:val="00FF1780"/>
    <w:rsid w:val="00FF206C"/>
    <w:rsid w:val="00FF5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60"/>
    <w:pPr>
      <w:jc w:val="left"/>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94D45"/>
    <w:pPr>
      <w:spacing w:before="240"/>
    </w:pPr>
    <w:rPr>
      <w:szCs w:val="24"/>
    </w:rPr>
  </w:style>
  <w:style w:type="paragraph" w:styleId="ListParagraph">
    <w:name w:val="List Paragraph"/>
    <w:basedOn w:val="Normal"/>
    <w:uiPriority w:val="34"/>
    <w:qFormat/>
    <w:rsid w:val="002525E9"/>
    <w:pPr>
      <w:ind w:left="720"/>
      <w:contextualSpacing/>
    </w:pPr>
  </w:style>
  <w:style w:type="paragraph" w:styleId="Header">
    <w:name w:val="header"/>
    <w:basedOn w:val="Normal"/>
    <w:link w:val="HeaderChar"/>
    <w:uiPriority w:val="99"/>
    <w:semiHidden/>
    <w:unhideWhenUsed/>
    <w:rsid w:val="00235F14"/>
    <w:pPr>
      <w:tabs>
        <w:tab w:val="center" w:pos="4680"/>
        <w:tab w:val="right" w:pos="9360"/>
      </w:tabs>
    </w:pPr>
  </w:style>
  <w:style w:type="character" w:customStyle="1" w:styleId="HeaderChar">
    <w:name w:val="Header Char"/>
    <w:basedOn w:val="DefaultParagraphFont"/>
    <w:link w:val="Header"/>
    <w:uiPriority w:val="99"/>
    <w:semiHidden/>
    <w:rsid w:val="00235F14"/>
    <w:rPr>
      <w:rFonts w:ascii="Times" w:eastAsia="Times" w:hAnsi="Times" w:cs="Times New Roman"/>
      <w:sz w:val="24"/>
      <w:szCs w:val="20"/>
    </w:rPr>
  </w:style>
  <w:style w:type="paragraph" w:styleId="Footer">
    <w:name w:val="footer"/>
    <w:basedOn w:val="Normal"/>
    <w:link w:val="FooterChar"/>
    <w:uiPriority w:val="99"/>
    <w:unhideWhenUsed/>
    <w:rsid w:val="00235F14"/>
    <w:pPr>
      <w:tabs>
        <w:tab w:val="center" w:pos="4680"/>
        <w:tab w:val="right" w:pos="9360"/>
      </w:tabs>
    </w:pPr>
  </w:style>
  <w:style w:type="character" w:customStyle="1" w:styleId="FooterChar">
    <w:name w:val="Footer Char"/>
    <w:basedOn w:val="DefaultParagraphFont"/>
    <w:link w:val="Footer"/>
    <w:uiPriority w:val="99"/>
    <w:rsid w:val="00235F14"/>
    <w:rPr>
      <w:rFonts w:ascii="Times" w:eastAsia="Times" w:hAnsi="Times" w:cs="Times New Roman"/>
      <w:sz w:val="24"/>
      <w:szCs w:val="20"/>
    </w:rPr>
  </w:style>
  <w:style w:type="paragraph" w:customStyle="1" w:styleId="WashingtonParagraphs">
    <w:name w:val="Washington Paragraphs"/>
    <w:basedOn w:val="ListParagraph"/>
    <w:rsid w:val="00FA5870"/>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8760FD"/>
    <w:pPr>
      <w:numPr>
        <w:numId w:val="9"/>
      </w:numPr>
    </w:pPr>
  </w:style>
  <w:style w:type="paragraph" w:styleId="FootnoteText">
    <w:name w:val="footnote text"/>
    <w:basedOn w:val="Normal"/>
    <w:link w:val="FootnoteTextChar"/>
    <w:uiPriority w:val="99"/>
    <w:unhideWhenUsed/>
    <w:rsid w:val="00161AB7"/>
    <w:rPr>
      <w:sz w:val="20"/>
    </w:rPr>
  </w:style>
  <w:style w:type="character" w:customStyle="1" w:styleId="FootnoteTextChar">
    <w:name w:val="Footnote Text Char"/>
    <w:basedOn w:val="DefaultParagraphFont"/>
    <w:link w:val="FootnoteText"/>
    <w:uiPriority w:val="99"/>
    <w:rsid w:val="00161AB7"/>
    <w:rPr>
      <w:rFonts w:ascii="Times" w:eastAsia="Times" w:hAnsi="Times" w:cs="Times New Roman"/>
      <w:sz w:val="20"/>
      <w:szCs w:val="20"/>
    </w:rPr>
  </w:style>
  <w:style w:type="character" w:styleId="FootnoteReference">
    <w:name w:val="footnote reference"/>
    <w:basedOn w:val="DefaultParagraphFont"/>
    <w:uiPriority w:val="99"/>
    <w:semiHidden/>
    <w:unhideWhenUsed/>
    <w:rsid w:val="00161AB7"/>
    <w:rPr>
      <w:vertAlign w:val="superscript"/>
    </w:rPr>
  </w:style>
  <w:style w:type="paragraph" w:styleId="BalloonText">
    <w:name w:val="Balloon Text"/>
    <w:basedOn w:val="Normal"/>
    <w:link w:val="BalloonTextChar"/>
    <w:uiPriority w:val="99"/>
    <w:semiHidden/>
    <w:unhideWhenUsed/>
    <w:rsid w:val="00C24DA6"/>
    <w:rPr>
      <w:rFonts w:ascii="Tahoma" w:hAnsi="Tahoma"/>
      <w:sz w:val="16"/>
      <w:szCs w:val="16"/>
    </w:rPr>
  </w:style>
  <w:style w:type="character" w:customStyle="1" w:styleId="BalloonTextChar">
    <w:name w:val="Balloon Text Char"/>
    <w:basedOn w:val="DefaultParagraphFont"/>
    <w:link w:val="BalloonText"/>
    <w:uiPriority w:val="99"/>
    <w:semiHidden/>
    <w:rsid w:val="00C24DA6"/>
    <w:rPr>
      <w:rFonts w:ascii="Tahoma" w:eastAsia="Times" w:hAnsi="Tahoma" w:cs="Times New Roman"/>
      <w:sz w:val="16"/>
      <w:szCs w:val="16"/>
    </w:rPr>
  </w:style>
  <w:style w:type="paragraph" w:styleId="NormalWeb">
    <w:name w:val="Normal (Web)"/>
    <w:basedOn w:val="Normal"/>
    <w:uiPriority w:val="99"/>
    <w:semiHidden/>
    <w:unhideWhenUsed/>
    <w:rsid w:val="00612880"/>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2E4C43"/>
    <w:rPr>
      <w:sz w:val="16"/>
      <w:szCs w:val="16"/>
    </w:rPr>
  </w:style>
  <w:style w:type="paragraph" w:styleId="CommentText">
    <w:name w:val="annotation text"/>
    <w:basedOn w:val="Normal"/>
    <w:link w:val="CommentTextChar"/>
    <w:uiPriority w:val="99"/>
    <w:semiHidden/>
    <w:unhideWhenUsed/>
    <w:rsid w:val="002E4C4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E4C43"/>
    <w:rPr>
      <w:sz w:val="20"/>
      <w:szCs w:val="20"/>
    </w:rPr>
  </w:style>
  <w:style w:type="paragraph" w:styleId="CommentSubject">
    <w:name w:val="annotation subject"/>
    <w:basedOn w:val="CommentText"/>
    <w:next w:val="CommentText"/>
    <w:link w:val="CommentSubjectChar"/>
    <w:uiPriority w:val="99"/>
    <w:semiHidden/>
    <w:unhideWhenUsed/>
    <w:rsid w:val="00E01F72"/>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E01F72"/>
    <w:rPr>
      <w:rFonts w:ascii="Times" w:eastAsia="Times" w:hAnsi="Times" w:cs="Times New Roman"/>
      <w:b/>
      <w:bCs/>
    </w:rPr>
  </w:style>
  <w:style w:type="paragraph" w:styleId="TableofAuthorities">
    <w:name w:val="table of authorities"/>
    <w:basedOn w:val="Normal"/>
    <w:next w:val="Normal"/>
    <w:uiPriority w:val="99"/>
    <w:unhideWhenUsed/>
    <w:rsid w:val="00613674"/>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613674"/>
    <w:pPr>
      <w:spacing w:before="240" w:after="120"/>
    </w:pPr>
    <w:rPr>
      <w:rFonts w:asciiTheme="minorHAnsi" w:hAnsiTheme="minorHAnsi" w:cstheme="minorHAnsi"/>
      <w:b/>
      <w:bCs/>
      <w:caps/>
      <w:sz w:val="20"/>
    </w:rPr>
  </w:style>
  <w:style w:type="character" w:styleId="Hyperlink">
    <w:name w:val="Hyperlink"/>
    <w:basedOn w:val="DefaultParagraphFont"/>
    <w:rsid w:val="00156702"/>
    <w:rPr>
      <w:color w:val="0000FF"/>
      <w:u w:val="single"/>
    </w:rPr>
  </w:style>
</w:styles>
</file>

<file path=word/webSettings.xml><?xml version="1.0" encoding="utf-8"?>
<w:webSettings xmlns:r="http://schemas.openxmlformats.org/officeDocument/2006/relationships" xmlns:w="http://schemas.openxmlformats.org/wordprocessingml/2006/main">
  <w:divs>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rdan.white@pacificorp.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2011-02-11T08:00:00+00:00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9F0E45-6C16-46ED-B49B-441A402D8C42}"/>
</file>

<file path=customXml/itemProps2.xml><?xml version="1.0" encoding="utf-8"?>
<ds:datastoreItem xmlns:ds="http://schemas.openxmlformats.org/officeDocument/2006/customXml" ds:itemID="{B9664BBA-C6E6-42E4-82DC-C30F1A180540}"/>
</file>

<file path=customXml/itemProps3.xml><?xml version="1.0" encoding="utf-8"?>
<ds:datastoreItem xmlns:ds="http://schemas.openxmlformats.org/officeDocument/2006/customXml" ds:itemID="{A8E4BD2D-2E44-47A1-964A-7899022C709C}"/>
</file>

<file path=customXml/itemProps4.xml><?xml version="1.0" encoding="utf-8"?>
<ds:datastoreItem xmlns:ds="http://schemas.openxmlformats.org/officeDocument/2006/customXml" ds:itemID="{3A2B7695-9F7A-4791-B2E3-A668130DB9AF}"/>
</file>

<file path=customXml/itemProps5.xml><?xml version="1.0" encoding="utf-8"?>
<ds:datastoreItem xmlns:ds="http://schemas.openxmlformats.org/officeDocument/2006/customXml" ds:itemID="{DE92D8E5-C901-493F-9DEE-389346860385}"/>
</file>

<file path=docProps/app.xml><?xml version="1.0" encoding="utf-8"?>
<Properties xmlns="http://schemas.openxmlformats.org/officeDocument/2006/extended-properties" xmlns:vt="http://schemas.openxmlformats.org/officeDocument/2006/docPropsVTypes">
  <Template>Normal</Template>
  <TotalTime>59</TotalTime>
  <Pages>69</Pages>
  <Words>15627</Words>
  <Characters>89079</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Jamieson</dc:creator>
  <cp:lastModifiedBy>wendy</cp:lastModifiedBy>
  <cp:revision>16</cp:revision>
  <cp:lastPrinted>2011-02-11T22:10:00Z</cp:lastPrinted>
  <dcterms:created xsi:type="dcterms:W3CDTF">2011-02-11T20:44:00Z</dcterms:created>
  <dcterms:modified xsi:type="dcterms:W3CDTF">2011-02-11T22:11:00Z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