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5C" w:rsidRDefault="00674772" w:rsidP="00674772">
      <w:pPr>
        <w:jc w:val="center"/>
        <w:rPr>
          <w:b/>
        </w:rPr>
      </w:pPr>
      <w:r>
        <w:rPr>
          <w:b/>
        </w:rPr>
        <w:t>Appendix B</w:t>
      </w:r>
    </w:p>
    <w:p w:rsidR="00674772" w:rsidRDefault="00674772" w:rsidP="00674772">
      <w:pPr>
        <w:jc w:val="center"/>
        <w:rPr>
          <w:b/>
        </w:rPr>
      </w:pPr>
    </w:p>
    <w:p w:rsidR="00674772" w:rsidRDefault="005679C2" w:rsidP="00674772">
      <w:pPr>
        <w:jc w:val="center"/>
        <w:rPr>
          <w:b/>
        </w:rPr>
      </w:pPr>
      <w:r>
        <w:rPr>
          <w:b/>
        </w:rPr>
        <w:t>N</w:t>
      </w:r>
      <w:r w:rsidR="00674772">
        <w:rPr>
          <w:b/>
        </w:rPr>
        <w:t xml:space="preserve">et Power Cost </w:t>
      </w:r>
      <w:r w:rsidR="00183ED9">
        <w:rPr>
          <w:b/>
        </w:rPr>
        <w:t>Adjustments</w:t>
      </w:r>
    </w:p>
    <w:p w:rsidR="00674772" w:rsidRDefault="00674772" w:rsidP="00674772">
      <w:pPr>
        <w:jc w:val="center"/>
        <w:rPr>
          <w:b/>
        </w:rPr>
      </w:pPr>
    </w:p>
    <w:tbl>
      <w:tblPr>
        <w:tblStyle w:val="TableGrid"/>
        <w:tblW w:w="9468" w:type="dxa"/>
        <w:tblLayout w:type="fixed"/>
        <w:tblLook w:val="04A0"/>
      </w:tblPr>
      <w:tblGrid>
        <w:gridCol w:w="738"/>
        <w:gridCol w:w="3870"/>
        <w:gridCol w:w="1530"/>
        <w:gridCol w:w="1620"/>
        <w:gridCol w:w="1710"/>
      </w:tblGrid>
      <w:tr w:rsidR="00DA34E1" w:rsidTr="00DA34E1">
        <w:trPr>
          <w:cantSplit/>
        </w:trPr>
        <w:tc>
          <w:tcPr>
            <w:tcW w:w="738" w:type="dxa"/>
            <w:shd w:val="clear" w:color="auto" w:fill="000000" w:themeFill="text1"/>
            <w:vAlign w:val="center"/>
          </w:tcPr>
          <w:p w:rsidR="00DA34E1" w:rsidRDefault="00EE572F" w:rsidP="001956D2">
            <w:r>
              <w:t>Item</w:t>
            </w:r>
          </w:p>
        </w:tc>
        <w:tc>
          <w:tcPr>
            <w:tcW w:w="3870" w:type="dxa"/>
            <w:shd w:val="clear" w:color="auto" w:fill="000000" w:themeFill="text1"/>
            <w:vAlign w:val="center"/>
          </w:tcPr>
          <w:p w:rsidR="00DA34E1" w:rsidRDefault="00DA34E1" w:rsidP="00CF60A9">
            <w:r>
              <w:t>Issue</w:t>
            </w:r>
          </w:p>
        </w:tc>
        <w:tc>
          <w:tcPr>
            <w:tcW w:w="1530" w:type="dxa"/>
            <w:shd w:val="clear" w:color="auto" w:fill="000000" w:themeFill="text1"/>
          </w:tcPr>
          <w:p w:rsidR="00DA34E1" w:rsidRDefault="00DA34E1" w:rsidP="00CF60A9">
            <w:r>
              <w:t>Proposed Company Adjustment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1620" w:type="dxa"/>
            <w:shd w:val="clear" w:color="auto" w:fill="000000" w:themeFill="text1"/>
          </w:tcPr>
          <w:p w:rsidR="00DA34E1" w:rsidRDefault="00DA34E1" w:rsidP="00CF60A9">
            <w:r>
              <w:t>Proposed Staff Adjustment</w:t>
            </w:r>
          </w:p>
        </w:tc>
        <w:tc>
          <w:tcPr>
            <w:tcW w:w="1710" w:type="dxa"/>
            <w:shd w:val="clear" w:color="auto" w:fill="000000" w:themeFill="text1"/>
          </w:tcPr>
          <w:p w:rsidR="00DA34E1" w:rsidRDefault="00DA34E1" w:rsidP="00CF60A9">
            <w:r>
              <w:t>Proposed ICNU Adjustment</w:t>
            </w:r>
          </w:p>
        </w:tc>
      </w:tr>
      <w:tr w:rsidR="00DA34E1" w:rsidTr="00DA34E1">
        <w:trPr>
          <w:cantSplit/>
        </w:trPr>
        <w:tc>
          <w:tcPr>
            <w:tcW w:w="738" w:type="dxa"/>
            <w:shd w:val="clear" w:color="auto" w:fill="BFBFBF" w:themeFill="background1" w:themeFillShade="BF"/>
          </w:tcPr>
          <w:p w:rsidR="00DA34E1" w:rsidRDefault="00DA34E1" w:rsidP="001956D2"/>
        </w:tc>
        <w:tc>
          <w:tcPr>
            <w:tcW w:w="8730" w:type="dxa"/>
            <w:gridSpan w:val="4"/>
            <w:shd w:val="clear" w:color="auto" w:fill="BFBFBF" w:themeFill="background1" w:themeFillShade="BF"/>
          </w:tcPr>
          <w:p w:rsidR="00DA34E1" w:rsidRDefault="00DA34E1" w:rsidP="005679C2">
            <w:r>
              <w:t>Adjustments Accepted in Whole in the Company’s Rebuttal Testimony</w:t>
            </w:r>
          </w:p>
        </w:tc>
      </w:tr>
      <w:tr w:rsidR="00DA34E1" w:rsidTr="00DA34E1">
        <w:trPr>
          <w:cantSplit/>
        </w:trPr>
        <w:tc>
          <w:tcPr>
            <w:tcW w:w="738" w:type="dxa"/>
            <w:vAlign w:val="bottom"/>
          </w:tcPr>
          <w:p w:rsidR="00DA34E1" w:rsidRDefault="00DA34E1" w:rsidP="001956D2">
            <w:r>
              <w:t>1</w:t>
            </w:r>
          </w:p>
        </w:tc>
        <w:tc>
          <w:tcPr>
            <w:tcW w:w="3870" w:type="dxa"/>
          </w:tcPr>
          <w:p w:rsidR="00DA34E1" w:rsidRDefault="00DA34E1" w:rsidP="00674772">
            <w:r>
              <w:t>Commitment Logic Screens</w:t>
            </w:r>
          </w:p>
          <w:p w:rsidR="00DA34E1" w:rsidRDefault="00DA34E1" w:rsidP="00674772">
            <w:r>
              <w:t>(ICNU 2)</w:t>
            </w:r>
          </w:p>
        </w:tc>
        <w:tc>
          <w:tcPr>
            <w:tcW w:w="1530" w:type="dxa"/>
            <w:vAlign w:val="center"/>
          </w:tcPr>
          <w:p w:rsidR="00DA34E1" w:rsidRDefault="00DA34E1" w:rsidP="008C4E7A">
            <w:r>
              <w:t>$239,639</w:t>
            </w:r>
          </w:p>
        </w:tc>
        <w:tc>
          <w:tcPr>
            <w:tcW w:w="1620" w:type="dxa"/>
            <w:vAlign w:val="center"/>
          </w:tcPr>
          <w:p w:rsidR="00DA34E1" w:rsidRDefault="00DA34E1" w:rsidP="008C4E7A">
            <w:r>
              <w:t>N/A</w:t>
            </w:r>
          </w:p>
        </w:tc>
        <w:tc>
          <w:tcPr>
            <w:tcW w:w="1710" w:type="dxa"/>
            <w:vAlign w:val="center"/>
          </w:tcPr>
          <w:p w:rsidR="00DA34E1" w:rsidRDefault="00DA34E1" w:rsidP="008C4E7A">
            <w:r>
              <w:t>$973,338</w:t>
            </w:r>
          </w:p>
        </w:tc>
      </w:tr>
      <w:tr w:rsidR="00DA34E1" w:rsidTr="00DA34E1">
        <w:trPr>
          <w:cantSplit/>
        </w:trPr>
        <w:tc>
          <w:tcPr>
            <w:tcW w:w="738" w:type="dxa"/>
            <w:vAlign w:val="bottom"/>
          </w:tcPr>
          <w:p w:rsidR="00DA34E1" w:rsidRDefault="00DA34E1" w:rsidP="001956D2">
            <w:r>
              <w:t>2</w:t>
            </w:r>
          </w:p>
        </w:tc>
        <w:tc>
          <w:tcPr>
            <w:tcW w:w="3870" w:type="dxa"/>
          </w:tcPr>
          <w:p w:rsidR="00DA34E1" w:rsidRDefault="00DA34E1" w:rsidP="00674772">
            <w:r>
              <w:t>SMUD Contract Sales (ICNU 6)</w:t>
            </w:r>
          </w:p>
        </w:tc>
        <w:tc>
          <w:tcPr>
            <w:tcW w:w="1530" w:type="dxa"/>
            <w:vAlign w:val="center"/>
          </w:tcPr>
          <w:p w:rsidR="00DA34E1" w:rsidRDefault="00DA34E1" w:rsidP="008C4E7A">
            <w:r>
              <w:t>$19,039</w:t>
            </w:r>
          </w:p>
        </w:tc>
        <w:tc>
          <w:tcPr>
            <w:tcW w:w="1620" w:type="dxa"/>
            <w:vAlign w:val="center"/>
          </w:tcPr>
          <w:p w:rsidR="00DA34E1" w:rsidRDefault="00DA34E1" w:rsidP="008C4E7A">
            <w:r>
              <w:t>N/A</w:t>
            </w:r>
          </w:p>
        </w:tc>
        <w:tc>
          <w:tcPr>
            <w:tcW w:w="1710" w:type="dxa"/>
            <w:vAlign w:val="center"/>
          </w:tcPr>
          <w:p w:rsidR="00DA34E1" w:rsidRDefault="00DA34E1" w:rsidP="008C4E7A">
            <w:r>
              <w:t>$19,039</w:t>
            </w:r>
            <w:r>
              <w:rPr>
                <w:rStyle w:val="FootnoteReference"/>
              </w:rPr>
              <w:footnoteReference w:id="2"/>
            </w:r>
          </w:p>
        </w:tc>
      </w:tr>
      <w:tr w:rsidR="00DA34E1" w:rsidTr="00DA34E1">
        <w:trPr>
          <w:cantSplit/>
        </w:trPr>
        <w:tc>
          <w:tcPr>
            <w:tcW w:w="738" w:type="dxa"/>
            <w:vAlign w:val="bottom"/>
          </w:tcPr>
          <w:p w:rsidR="00DA34E1" w:rsidRDefault="00DA34E1" w:rsidP="001956D2">
            <w:r>
              <w:t>3</w:t>
            </w:r>
          </w:p>
        </w:tc>
        <w:tc>
          <w:tcPr>
            <w:tcW w:w="3870" w:type="dxa"/>
          </w:tcPr>
          <w:p w:rsidR="00DA34E1" w:rsidRDefault="00DA34E1" w:rsidP="00674772">
            <w:r>
              <w:t>Inter-hour Wind Integration for Non-Owned Resources</w:t>
            </w:r>
          </w:p>
          <w:p w:rsidR="00DA34E1" w:rsidRDefault="00DA34E1" w:rsidP="00674772">
            <w:r>
              <w:t>(Staff G, ICNU 12)</w:t>
            </w:r>
          </w:p>
        </w:tc>
        <w:tc>
          <w:tcPr>
            <w:tcW w:w="1530" w:type="dxa"/>
            <w:vAlign w:val="center"/>
          </w:tcPr>
          <w:p w:rsidR="00DA34E1" w:rsidRDefault="00DA34E1" w:rsidP="008C4E7A">
            <w:r>
              <w:t>$220,983</w:t>
            </w:r>
          </w:p>
        </w:tc>
        <w:tc>
          <w:tcPr>
            <w:tcW w:w="1620" w:type="dxa"/>
            <w:vAlign w:val="center"/>
          </w:tcPr>
          <w:p w:rsidR="00DA34E1" w:rsidRDefault="00DA34E1" w:rsidP="008C4E7A">
            <w:r>
              <w:t>$317,028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1710" w:type="dxa"/>
            <w:vAlign w:val="center"/>
          </w:tcPr>
          <w:p w:rsidR="00DA34E1" w:rsidRDefault="00DA34E1" w:rsidP="008C4E7A">
            <w:r>
              <w:t>$316,894</w:t>
            </w:r>
          </w:p>
        </w:tc>
      </w:tr>
      <w:tr w:rsidR="00DA34E1" w:rsidTr="00DA34E1">
        <w:trPr>
          <w:cantSplit/>
        </w:trPr>
        <w:tc>
          <w:tcPr>
            <w:tcW w:w="738" w:type="dxa"/>
            <w:shd w:val="clear" w:color="auto" w:fill="BFBFBF" w:themeFill="background1" w:themeFillShade="BF"/>
            <w:vAlign w:val="bottom"/>
          </w:tcPr>
          <w:p w:rsidR="00DA34E1" w:rsidRDefault="00DA34E1" w:rsidP="001956D2">
            <w:r>
              <w:t>4</w:t>
            </w:r>
          </w:p>
        </w:tc>
        <w:tc>
          <w:tcPr>
            <w:tcW w:w="8730" w:type="dxa"/>
            <w:gridSpan w:val="4"/>
            <w:shd w:val="clear" w:color="auto" w:fill="BFBFBF" w:themeFill="background1" w:themeFillShade="BF"/>
          </w:tcPr>
          <w:p w:rsidR="00DA34E1" w:rsidRDefault="00DA34E1" w:rsidP="00183ED9">
            <w:r>
              <w:t>Adjustments Accepted in Part in the Company’s Rebuttal Testimony</w:t>
            </w:r>
          </w:p>
        </w:tc>
      </w:tr>
      <w:tr w:rsidR="00DA34E1" w:rsidTr="00DA34E1">
        <w:trPr>
          <w:cantSplit/>
        </w:trPr>
        <w:tc>
          <w:tcPr>
            <w:tcW w:w="738" w:type="dxa"/>
            <w:vAlign w:val="bottom"/>
          </w:tcPr>
          <w:p w:rsidR="00DA34E1" w:rsidRDefault="00DA34E1" w:rsidP="001956D2">
            <w:r>
              <w:t>5</w:t>
            </w:r>
          </w:p>
        </w:tc>
        <w:tc>
          <w:tcPr>
            <w:tcW w:w="3870" w:type="dxa"/>
          </w:tcPr>
          <w:p w:rsidR="00DA34E1" w:rsidRDefault="00DA34E1" w:rsidP="00674772">
            <w:r>
              <w:t>PACE Transmission Cost</w:t>
            </w:r>
          </w:p>
          <w:p w:rsidR="00DA34E1" w:rsidRDefault="00DA34E1" w:rsidP="00674772">
            <w:r>
              <w:t>(ICNU 8)</w:t>
            </w:r>
          </w:p>
        </w:tc>
        <w:tc>
          <w:tcPr>
            <w:tcW w:w="1530" w:type="dxa"/>
            <w:vAlign w:val="center"/>
          </w:tcPr>
          <w:p w:rsidR="00DA34E1" w:rsidRDefault="00DA34E1" w:rsidP="008C4E7A">
            <w:r>
              <w:t>$12,836</w:t>
            </w:r>
          </w:p>
        </w:tc>
        <w:tc>
          <w:tcPr>
            <w:tcW w:w="1620" w:type="dxa"/>
            <w:vAlign w:val="center"/>
          </w:tcPr>
          <w:p w:rsidR="00DA34E1" w:rsidRDefault="00DA34E1" w:rsidP="008C4E7A">
            <w:r>
              <w:t>N/A</w:t>
            </w:r>
          </w:p>
        </w:tc>
        <w:tc>
          <w:tcPr>
            <w:tcW w:w="1710" w:type="dxa"/>
            <w:vAlign w:val="center"/>
          </w:tcPr>
          <w:p w:rsidR="00DA34E1" w:rsidRDefault="00DA34E1" w:rsidP="001279D3">
            <w:r>
              <w:t>$12,889</w:t>
            </w:r>
            <w:r>
              <w:rPr>
                <w:rStyle w:val="FootnoteReference"/>
              </w:rPr>
              <w:footnoteReference w:id="4"/>
            </w:r>
          </w:p>
        </w:tc>
      </w:tr>
      <w:tr w:rsidR="00DA34E1" w:rsidTr="00DA34E1">
        <w:trPr>
          <w:cantSplit/>
        </w:trPr>
        <w:tc>
          <w:tcPr>
            <w:tcW w:w="738" w:type="dxa"/>
            <w:vAlign w:val="bottom"/>
          </w:tcPr>
          <w:p w:rsidR="00DA34E1" w:rsidRDefault="00DA34E1" w:rsidP="001956D2">
            <w:r>
              <w:t>6</w:t>
            </w:r>
          </w:p>
        </w:tc>
        <w:tc>
          <w:tcPr>
            <w:tcW w:w="3870" w:type="dxa"/>
          </w:tcPr>
          <w:p w:rsidR="00DA34E1" w:rsidRDefault="00DA34E1" w:rsidP="00674772">
            <w:r>
              <w:t>Non-firm Transmission</w:t>
            </w:r>
          </w:p>
          <w:p w:rsidR="00DA34E1" w:rsidRDefault="00DA34E1" w:rsidP="00674772">
            <w:r>
              <w:t>(ICNU 10)</w:t>
            </w:r>
          </w:p>
        </w:tc>
        <w:tc>
          <w:tcPr>
            <w:tcW w:w="1530" w:type="dxa"/>
            <w:vAlign w:val="center"/>
          </w:tcPr>
          <w:p w:rsidR="00DA34E1" w:rsidRDefault="00DA34E1" w:rsidP="008C4E7A">
            <w:r>
              <w:t>-$274,089</w:t>
            </w:r>
          </w:p>
        </w:tc>
        <w:tc>
          <w:tcPr>
            <w:tcW w:w="1620" w:type="dxa"/>
            <w:vAlign w:val="center"/>
          </w:tcPr>
          <w:p w:rsidR="00DA34E1" w:rsidRDefault="00DA34E1" w:rsidP="008C4E7A">
            <w:r>
              <w:t>N/A</w:t>
            </w:r>
          </w:p>
        </w:tc>
        <w:tc>
          <w:tcPr>
            <w:tcW w:w="1710" w:type="dxa"/>
            <w:vAlign w:val="center"/>
          </w:tcPr>
          <w:p w:rsidR="00DA34E1" w:rsidRDefault="00DA34E1" w:rsidP="008C4E7A">
            <w:r>
              <w:t>$159,576</w:t>
            </w:r>
          </w:p>
        </w:tc>
      </w:tr>
      <w:tr w:rsidR="00DA34E1" w:rsidTr="00DA34E1">
        <w:trPr>
          <w:cantSplit/>
        </w:trPr>
        <w:tc>
          <w:tcPr>
            <w:tcW w:w="738" w:type="dxa"/>
            <w:vAlign w:val="bottom"/>
          </w:tcPr>
          <w:p w:rsidR="00DA34E1" w:rsidRDefault="00DA34E1" w:rsidP="001956D2">
            <w:r>
              <w:t>7</w:t>
            </w:r>
          </w:p>
        </w:tc>
        <w:tc>
          <w:tcPr>
            <w:tcW w:w="3870" w:type="dxa"/>
          </w:tcPr>
          <w:p w:rsidR="00DA34E1" w:rsidRDefault="00DA34E1" w:rsidP="00674772">
            <w:r>
              <w:t>Modeling of Intra-Hour Wind Integration</w:t>
            </w:r>
          </w:p>
          <w:p w:rsidR="00DA34E1" w:rsidRDefault="00DA34E1" w:rsidP="00674772">
            <w:r>
              <w:t>(ICNU 11)</w:t>
            </w:r>
          </w:p>
        </w:tc>
        <w:tc>
          <w:tcPr>
            <w:tcW w:w="1530" w:type="dxa"/>
            <w:vAlign w:val="center"/>
          </w:tcPr>
          <w:p w:rsidR="00DA34E1" w:rsidRDefault="00DA34E1" w:rsidP="008C4E7A">
            <w:r>
              <w:t>$124,445</w:t>
            </w:r>
          </w:p>
        </w:tc>
        <w:tc>
          <w:tcPr>
            <w:tcW w:w="1620" w:type="dxa"/>
            <w:vAlign w:val="center"/>
          </w:tcPr>
          <w:p w:rsidR="00DA34E1" w:rsidRDefault="00DA34E1" w:rsidP="008C4E7A">
            <w:r>
              <w:t>N/A</w:t>
            </w:r>
          </w:p>
        </w:tc>
        <w:tc>
          <w:tcPr>
            <w:tcW w:w="1710" w:type="dxa"/>
            <w:vAlign w:val="center"/>
          </w:tcPr>
          <w:p w:rsidR="00DA34E1" w:rsidRDefault="00DA34E1" w:rsidP="008C4E7A">
            <w:r>
              <w:t>$124,913</w:t>
            </w:r>
          </w:p>
        </w:tc>
      </w:tr>
      <w:tr w:rsidR="00DA34E1" w:rsidTr="00DA34E1">
        <w:trPr>
          <w:cantSplit/>
        </w:trPr>
        <w:tc>
          <w:tcPr>
            <w:tcW w:w="738" w:type="dxa"/>
            <w:vAlign w:val="bottom"/>
          </w:tcPr>
          <w:p w:rsidR="00DA34E1" w:rsidRDefault="00DA34E1" w:rsidP="001956D2">
            <w:r>
              <w:t>8</w:t>
            </w:r>
          </w:p>
        </w:tc>
        <w:tc>
          <w:tcPr>
            <w:tcW w:w="3870" w:type="dxa"/>
          </w:tcPr>
          <w:p w:rsidR="00DA34E1" w:rsidRDefault="00DA34E1" w:rsidP="00674772">
            <w:r>
              <w:t>Colstrip Planned Outage Schedule</w:t>
            </w:r>
          </w:p>
          <w:p w:rsidR="00DA34E1" w:rsidRDefault="00DA34E1" w:rsidP="00674772">
            <w:r>
              <w:t>(ICNU 16)</w:t>
            </w:r>
          </w:p>
        </w:tc>
        <w:tc>
          <w:tcPr>
            <w:tcW w:w="1530" w:type="dxa"/>
            <w:vAlign w:val="center"/>
          </w:tcPr>
          <w:p w:rsidR="00DA34E1" w:rsidRDefault="00DA34E1" w:rsidP="008C4E7A">
            <w:r>
              <w:t>$119,286</w:t>
            </w:r>
          </w:p>
        </w:tc>
        <w:tc>
          <w:tcPr>
            <w:tcW w:w="1620" w:type="dxa"/>
            <w:vAlign w:val="center"/>
          </w:tcPr>
          <w:p w:rsidR="00DA34E1" w:rsidRDefault="00DA34E1" w:rsidP="008C4E7A">
            <w:r>
              <w:t>N/A</w:t>
            </w:r>
          </w:p>
        </w:tc>
        <w:tc>
          <w:tcPr>
            <w:tcW w:w="1710" w:type="dxa"/>
            <w:vAlign w:val="center"/>
          </w:tcPr>
          <w:p w:rsidR="00DA34E1" w:rsidRDefault="00DA34E1" w:rsidP="008C4E7A">
            <w:r>
              <w:t>$119,286</w:t>
            </w:r>
            <w:r>
              <w:rPr>
                <w:rStyle w:val="FootnoteReference"/>
              </w:rPr>
              <w:footnoteReference w:id="5"/>
            </w:r>
          </w:p>
        </w:tc>
      </w:tr>
      <w:tr w:rsidR="00DA34E1" w:rsidTr="00DA34E1">
        <w:trPr>
          <w:cantSplit/>
        </w:trPr>
        <w:tc>
          <w:tcPr>
            <w:tcW w:w="738" w:type="dxa"/>
            <w:vAlign w:val="bottom"/>
          </w:tcPr>
          <w:p w:rsidR="00DA34E1" w:rsidRDefault="00DA34E1" w:rsidP="001956D2">
            <w:r>
              <w:t>9</w:t>
            </w:r>
          </w:p>
        </w:tc>
        <w:tc>
          <w:tcPr>
            <w:tcW w:w="3870" w:type="dxa"/>
          </w:tcPr>
          <w:p w:rsidR="00DA34E1" w:rsidRDefault="00DA34E1" w:rsidP="00674772">
            <w:r>
              <w:t>SCL Stateline Termination (Staff B, ICNU 5)</w:t>
            </w:r>
          </w:p>
        </w:tc>
        <w:tc>
          <w:tcPr>
            <w:tcW w:w="1530" w:type="dxa"/>
            <w:vAlign w:val="center"/>
          </w:tcPr>
          <w:p w:rsidR="00DA34E1" w:rsidRDefault="00DA34E1" w:rsidP="008C4E7A">
            <w:r>
              <w:t>$349,229</w:t>
            </w:r>
          </w:p>
        </w:tc>
        <w:tc>
          <w:tcPr>
            <w:tcW w:w="1620" w:type="dxa"/>
            <w:vAlign w:val="center"/>
          </w:tcPr>
          <w:p w:rsidR="00DA34E1" w:rsidRDefault="00DA34E1" w:rsidP="008C4E7A">
            <w:r>
              <w:t>$471,416</w:t>
            </w:r>
          </w:p>
        </w:tc>
        <w:tc>
          <w:tcPr>
            <w:tcW w:w="1710" w:type="dxa"/>
            <w:vAlign w:val="center"/>
          </w:tcPr>
          <w:p w:rsidR="00DA34E1" w:rsidRDefault="00DA34E1" w:rsidP="008C4E7A">
            <w:r>
              <w:t>$878,014</w:t>
            </w:r>
          </w:p>
        </w:tc>
      </w:tr>
      <w:tr w:rsidR="00DA34E1" w:rsidTr="00DA34E1">
        <w:trPr>
          <w:cantSplit/>
        </w:trPr>
        <w:tc>
          <w:tcPr>
            <w:tcW w:w="738" w:type="dxa"/>
            <w:shd w:val="clear" w:color="auto" w:fill="BFBFBF" w:themeFill="background1" w:themeFillShade="BF"/>
            <w:vAlign w:val="bottom"/>
          </w:tcPr>
          <w:p w:rsidR="00DA34E1" w:rsidRDefault="00DA34E1" w:rsidP="001956D2"/>
        </w:tc>
        <w:tc>
          <w:tcPr>
            <w:tcW w:w="8730" w:type="dxa"/>
            <w:gridSpan w:val="4"/>
            <w:shd w:val="clear" w:color="auto" w:fill="BFBFBF" w:themeFill="background1" w:themeFillShade="BF"/>
          </w:tcPr>
          <w:p w:rsidR="00DA34E1" w:rsidRDefault="00DA34E1" w:rsidP="005679C2">
            <w:r>
              <w:t>Fully Contested Adjustments</w:t>
            </w:r>
          </w:p>
        </w:tc>
      </w:tr>
      <w:tr w:rsidR="00DA34E1" w:rsidTr="00DA34E1">
        <w:trPr>
          <w:cantSplit/>
        </w:trPr>
        <w:tc>
          <w:tcPr>
            <w:tcW w:w="738" w:type="dxa"/>
            <w:vAlign w:val="bottom"/>
          </w:tcPr>
          <w:p w:rsidR="00DA34E1" w:rsidRDefault="00DA34E1" w:rsidP="001956D2">
            <w:r>
              <w:t>10</w:t>
            </w:r>
          </w:p>
        </w:tc>
        <w:tc>
          <w:tcPr>
            <w:tcW w:w="3870" w:type="dxa"/>
          </w:tcPr>
          <w:p w:rsidR="00DA34E1" w:rsidRDefault="00DA34E1" w:rsidP="005679C2">
            <w:r>
              <w:t xml:space="preserve">GRID Arbitrage Margins </w:t>
            </w:r>
          </w:p>
          <w:p w:rsidR="00DA34E1" w:rsidRDefault="00DA34E1" w:rsidP="005679C2">
            <w:r>
              <w:t>(Staff A, ICNU 1)</w:t>
            </w:r>
          </w:p>
        </w:tc>
        <w:tc>
          <w:tcPr>
            <w:tcW w:w="1530" w:type="dxa"/>
            <w:vAlign w:val="center"/>
          </w:tcPr>
          <w:p w:rsidR="00DA34E1" w:rsidRDefault="00DA34E1" w:rsidP="008C4E7A">
            <w:r w:rsidRPr="004A0E31">
              <w:t>N/A</w:t>
            </w:r>
          </w:p>
        </w:tc>
        <w:tc>
          <w:tcPr>
            <w:tcW w:w="1620" w:type="dxa"/>
            <w:vAlign w:val="center"/>
          </w:tcPr>
          <w:p w:rsidR="00DA34E1" w:rsidRDefault="00DA34E1" w:rsidP="008C4E7A">
            <w:r>
              <w:t>$527,315</w:t>
            </w:r>
          </w:p>
        </w:tc>
        <w:tc>
          <w:tcPr>
            <w:tcW w:w="1710" w:type="dxa"/>
            <w:vAlign w:val="center"/>
          </w:tcPr>
          <w:p w:rsidR="00DA34E1" w:rsidRDefault="00DA34E1" w:rsidP="008C4E7A">
            <w:r>
              <w:t>$585,874</w:t>
            </w:r>
          </w:p>
        </w:tc>
      </w:tr>
      <w:tr w:rsidR="00DA34E1" w:rsidTr="00DA34E1">
        <w:trPr>
          <w:cantSplit/>
        </w:trPr>
        <w:tc>
          <w:tcPr>
            <w:tcW w:w="738" w:type="dxa"/>
            <w:vAlign w:val="bottom"/>
          </w:tcPr>
          <w:p w:rsidR="00DA34E1" w:rsidRDefault="00DA34E1" w:rsidP="001956D2">
            <w:r>
              <w:t>11</w:t>
            </w:r>
          </w:p>
        </w:tc>
        <w:tc>
          <w:tcPr>
            <w:tcW w:w="3870" w:type="dxa"/>
          </w:tcPr>
          <w:p w:rsidR="00DA34E1" w:rsidRDefault="00DA34E1" w:rsidP="005679C2">
            <w:r>
              <w:t xml:space="preserve">Eastern Market Modifications </w:t>
            </w:r>
          </w:p>
          <w:p w:rsidR="00DA34E1" w:rsidRDefault="00DA34E1" w:rsidP="005679C2">
            <w:r>
              <w:t>(ICNU 3 and 4)</w:t>
            </w:r>
          </w:p>
        </w:tc>
        <w:tc>
          <w:tcPr>
            <w:tcW w:w="1530" w:type="dxa"/>
            <w:vAlign w:val="center"/>
          </w:tcPr>
          <w:p w:rsidR="00DA34E1" w:rsidRDefault="00DA34E1" w:rsidP="008C4E7A">
            <w:r w:rsidRPr="004A0E31">
              <w:t>N/A</w:t>
            </w:r>
          </w:p>
        </w:tc>
        <w:tc>
          <w:tcPr>
            <w:tcW w:w="1620" w:type="dxa"/>
            <w:vAlign w:val="center"/>
          </w:tcPr>
          <w:p w:rsidR="00DA34E1" w:rsidRDefault="00DA34E1" w:rsidP="008C4E7A">
            <w:r w:rsidRPr="003F1633">
              <w:t>N/A</w:t>
            </w:r>
          </w:p>
        </w:tc>
        <w:tc>
          <w:tcPr>
            <w:tcW w:w="1710" w:type="dxa"/>
            <w:vAlign w:val="center"/>
          </w:tcPr>
          <w:p w:rsidR="00DA34E1" w:rsidRDefault="00DA34E1" w:rsidP="008C4E7A">
            <w:r>
              <w:t>$502,308</w:t>
            </w:r>
          </w:p>
        </w:tc>
      </w:tr>
      <w:tr w:rsidR="00DA34E1" w:rsidTr="00DA34E1">
        <w:trPr>
          <w:cantSplit/>
        </w:trPr>
        <w:tc>
          <w:tcPr>
            <w:tcW w:w="738" w:type="dxa"/>
            <w:vAlign w:val="bottom"/>
          </w:tcPr>
          <w:p w:rsidR="00DA34E1" w:rsidRDefault="00DA34E1" w:rsidP="001956D2">
            <w:r>
              <w:t>12</w:t>
            </w:r>
          </w:p>
        </w:tc>
        <w:tc>
          <w:tcPr>
            <w:tcW w:w="3870" w:type="dxa"/>
          </w:tcPr>
          <w:p w:rsidR="00DA34E1" w:rsidRDefault="00DA34E1" w:rsidP="005679C2">
            <w:r>
              <w:t xml:space="preserve">Colstrip Wheeling Expense </w:t>
            </w:r>
          </w:p>
          <w:p w:rsidR="00DA34E1" w:rsidRDefault="00DA34E1" w:rsidP="005679C2">
            <w:r>
              <w:t>(ICNU 7)</w:t>
            </w:r>
          </w:p>
        </w:tc>
        <w:tc>
          <w:tcPr>
            <w:tcW w:w="1530" w:type="dxa"/>
            <w:vAlign w:val="center"/>
          </w:tcPr>
          <w:p w:rsidR="00DA34E1" w:rsidRDefault="00DA34E1" w:rsidP="008C4E7A">
            <w:r w:rsidRPr="004A0E31">
              <w:t>N/A</w:t>
            </w:r>
          </w:p>
        </w:tc>
        <w:tc>
          <w:tcPr>
            <w:tcW w:w="1620" w:type="dxa"/>
            <w:vAlign w:val="center"/>
          </w:tcPr>
          <w:p w:rsidR="00DA34E1" w:rsidRDefault="00DA34E1" w:rsidP="008C4E7A">
            <w:r w:rsidRPr="003F1633">
              <w:t>N/A</w:t>
            </w:r>
          </w:p>
        </w:tc>
        <w:tc>
          <w:tcPr>
            <w:tcW w:w="1710" w:type="dxa"/>
            <w:vAlign w:val="center"/>
          </w:tcPr>
          <w:p w:rsidR="00DA34E1" w:rsidRDefault="00DA34E1" w:rsidP="008C4E7A">
            <w:r>
              <w:t>$45,691</w:t>
            </w:r>
          </w:p>
        </w:tc>
      </w:tr>
      <w:tr w:rsidR="00DA34E1" w:rsidTr="00DA34E1">
        <w:trPr>
          <w:cantSplit/>
        </w:trPr>
        <w:tc>
          <w:tcPr>
            <w:tcW w:w="738" w:type="dxa"/>
            <w:vAlign w:val="bottom"/>
          </w:tcPr>
          <w:p w:rsidR="00DA34E1" w:rsidRDefault="00DA34E1" w:rsidP="001956D2">
            <w:r>
              <w:t>13</w:t>
            </w:r>
          </w:p>
        </w:tc>
        <w:tc>
          <w:tcPr>
            <w:tcW w:w="3870" w:type="dxa"/>
          </w:tcPr>
          <w:p w:rsidR="00DA34E1" w:rsidRDefault="00DA34E1" w:rsidP="005679C2">
            <w:r>
              <w:t xml:space="preserve">Idaho Point-to-Point Contract </w:t>
            </w:r>
          </w:p>
          <w:p w:rsidR="00DA34E1" w:rsidRDefault="00DA34E1" w:rsidP="005679C2">
            <w:r>
              <w:t>(Staff F, ICNU 8)</w:t>
            </w:r>
          </w:p>
        </w:tc>
        <w:tc>
          <w:tcPr>
            <w:tcW w:w="1530" w:type="dxa"/>
            <w:vAlign w:val="center"/>
          </w:tcPr>
          <w:p w:rsidR="00DA34E1" w:rsidRDefault="00DA34E1" w:rsidP="008C4E7A">
            <w:r w:rsidRPr="004A0E31">
              <w:t>N/A</w:t>
            </w:r>
          </w:p>
        </w:tc>
        <w:tc>
          <w:tcPr>
            <w:tcW w:w="1620" w:type="dxa"/>
            <w:vAlign w:val="center"/>
          </w:tcPr>
          <w:p w:rsidR="00DA34E1" w:rsidRDefault="00DA34E1" w:rsidP="008C4E7A">
            <w:r>
              <w:t>$351,118</w:t>
            </w:r>
          </w:p>
        </w:tc>
        <w:tc>
          <w:tcPr>
            <w:tcW w:w="1710" w:type="dxa"/>
            <w:vAlign w:val="center"/>
          </w:tcPr>
          <w:p w:rsidR="00DA34E1" w:rsidRDefault="00DA34E1" w:rsidP="008C4E7A">
            <w:r>
              <w:t>$351,099</w:t>
            </w:r>
            <w:r>
              <w:rPr>
                <w:rStyle w:val="FootnoteReference"/>
              </w:rPr>
              <w:footnoteReference w:id="6"/>
            </w:r>
          </w:p>
        </w:tc>
      </w:tr>
      <w:tr w:rsidR="00DA34E1" w:rsidTr="00DA34E1">
        <w:trPr>
          <w:cantSplit/>
        </w:trPr>
        <w:tc>
          <w:tcPr>
            <w:tcW w:w="738" w:type="dxa"/>
            <w:vAlign w:val="bottom"/>
          </w:tcPr>
          <w:p w:rsidR="00DA34E1" w:rsidRDefault="00DA34E1" w:rsidP="001956D2">
            <w:r>
              <w:lastRenderedPageBreak/>
              <w:t>14</w:t>
            </w:r>
          </w:p>
        </w:tc>
        <w:tc>
          <w:tcPr>
            <w:tcW w:w="3870" w:type="dxa"/>
          </w:tcPr>
          <w:p w:rsidR="00DA34E1" w:rsidRDefault="00DA34E1" w:rsidP="005679C2">
            <w:r>
              <w:t xml:space="preserve">DC Intertie </w:t>
            </w:r>
          </w:p>
          <w:p w:rsidR="00DA34E1" w:rsidRDefault="00DA34E1" w:rsidP="005679C2">
            <w:r>
              <w:t>(Staff E, ICNU 9)</w:t>
            </w:r>
          </w:p>
        </w:tc>
        <w:tc>
          <w:tcPr>
            <w:tcW w:w="1530" w:type="dxa"/>
            <w:vAlign w:val="center"/>
          </w:tcPr>
          <w:p w:rsidR="00DA34E1" w:rsidRDefault="00DA34E1" w:rsidP="008C4E7A">
            <w:r w:rsidRPr="004A0E31">
              <w:t>N/A</w:t>
            </w:r>
          </w:p>
        </w:tc>
        <w:tc>
          <w:tcPr>
            <w:tcW w:w="1620" w:type="dxa"/>
            <w:vAlign w:val="center"/>
          </w:tcPr>
          <w:p w:rsidR="00DA34E1" w:rsidRDefault="00DA34E1" w:rsidP="008C4E7A">
            <w:r>
              <w:t>$1,057,187</w:t>
            </w:r>
          </w:p>
        </w:tc>
        <w:tc>
          <w:tcPr>
            <w:tcW w:w="1710" w:type="dxa"/>
            <w:vAlign w:val="center"/>
          </w:tcPr>
          <w:p w:rsidR="00DA34E1" w:rsidRDefault="00DA34E1" w:rsidP="008C4E7A">
            <w:r>
              <w:t>$1,057,130</w:t>
            </w:r>
          </w:p>
        </w:tc>
      </w:tr>
      <w:tr w:rsidR="00DA34E1" w:rsidTr="00DA34E1">
        <w:trPr>
          <w:cantSplit/>
        </w:trPr>
        <w:tc>
          <w:tcPr>
            <w:tcW w:w="738" w:type="dxa"/>
            <w:vAlign w:val="bottom"/>
          </w:tcPr>
          <w:p w:rsidR="00DA34E1" w:rsidRDefault="00DA34E1" w:rsidP="001956D2">
            <w:r>
              <w:t>15</w:t>
            </w:r>
          </w:p>
        </w:tc>
        <w:tc>
          <w:tcPr>
            <w:tcW w:w="3870" w:type="dxa"/>
          </w:tcPr>
          <w:p w:rsidR="00DA34E1" w:rsidRDefault="00DA34E1" w:rsidP="005679C2">
            <w:r>
              <w:t xml:space="preserve">OATT Wind Integration Charges </w:t>
            </w:r>
          </w:p>
          <w:p w:rsidR="00DA34E1" w:rsidRDefault="00DA34E1" w:rsidP="005679C2">
            <w:r>
              <w:t>(Staff G, ICNU 13-15)</w:t>
            </w:r>
          </w:p>
        </w:tc>
        <w:tc>
          <w:tcPr>
            <w:tcW w:w="1530" w:type="dxa"/>
            <w:vAlign w:val="center"/>
          </w:tcPr>
          <w:p w:rsidR="00DA34E1" w:rsidRDefault="00DA34E1" w:rsidP="008C4E7A">
            <w:r w:rsidRPr="004A0E31">
              <w:t>N/A</w:t>
            </w:r>
          </w:p>
        </w:tc>
        <w:tc>
          <w:tcPr>
            <w:tcW w:w="1620" w:type="dxa"/>
            <w:vAlign w:val="center"/>
          </w:tcPr>
          <w:p w:rsidR="00DA34E1" w:rsidRDefault="00DA34E1" w:rsidP="008C4E7A">
            <w:r>
              <w:t>$903,793</w:t>
            </w:r>
            <w:r>
              <w:rPr>
                <w:rStyle w:val="FootnoteReference"/>
              </w:rPr>
              <w:footnoteReference w:id="7"/>
            </w:r>
          </w:p>
        </w:tc>
        <w:tc>
          <w:tcPr>
            <w:tcW w:w="1710" w:type="dxa"/>
            <w:vAlign w:val="center"/>
          </w:tcPr>
          <w:p w:rsidR="00DA34E1" w:rsidRDefault="00DA34E1" w:rsidP="008C4E7A">
            <w:r>
              <w:t>$506,607</w:t>
            </w:r>
          </w:p>
        </w:tc>
      </w:tr>
      <w:tr w:rsidR="00DA34E1" w:rsidTr="00DA34E1">
        <w:trPr>
          <w:cantSplit/>
        </w:trPr>
        <w:tc>
          <w:tcPr>
            <w:tcW w:w="738" w:type="dxa"/>
            <w:vAlign w:val="bottom"/>
          </w:tcPr>
          <w:p w:rsidR="00DA34E1" w:rsidRDefault="00DA34E1" w:rsidP="001956D2">
            <w:r>
              <w:t>16</w:t>
            </w:r>
          </w:p>
        </w:tc>
        <w:tc>
          <w:tcPr>
            <w:tcW w:w="3870" w:type="dxa"/>
          </w:tcPr>
          <w:p w:rsidR="00DA34E1" w:rsidRDefault="00DA34E1" w:rsidP="005679C2">
            <w:r>
              <w:t xml:space="preserve">Colstrip Outage </w:t>
            </w:r>
          </w:p>
          <w:p w:rsidR="00DA34E1" w:rsidRDefault="00DA34E1" w:rsidP="005679C2">
            <w:r>
              <w:t>(Staff D, ICNU 17)</w:t>
            </w:r>
          </w:p>
        </w:tc>
        <w:tc>
          <w:tcPr>
            <w:tcW w:w="1530" w:type="dxa"/>
            <w:vAlign w:val="center"/>
          </w:tcPr>
          <w:p w:rsidR="00DA34E1" w:rsidRDefault="00DA34E1" w:rsidP="008C4E7A">
            <w:r w:rsidRPr="004A0E31">
              <w:t>N/A</w:t>
            </w:r>
          </w:p>
        </w:tc>
        <w:tc>
          <w:tcPr>
            <w:tcW w:w="1620" w:type="dxa"/>
            <w:vAlign w:val="center"/>
          </w:tcPr>
          <w:p w:rsidR="00DA34E1" w:rsidRDefault="00DA34E1" w:rsidP="008C4E7A">
            <w:r>
              <w:t>$342,889</w:t>
            </w:r>
          </w:p>
        </w:tc>
        <w:tc>
          <w:tcPr>
            <w:tcW w:w="1710" w:type="dxa"/>
            <w:vAlign w:val="center"/>
          </w:tcPr>
          <w:p w:rsidR="00DA34E1" w:rsidRDefault="00DA34E1" w:rsidP="008C4E7A">
            <w:r>
              <w:t>$376,492</w:t>
            </w:r>
          </w:p>
        </w:tc>
      </w:tr>
      <w:tr w:rsidR="00DA34E1" w:rsidTr="00DA34E1">
        <w:trPr>
          <w:cantSplit/>
        </w:trPr>
        <w:tc>
          <w:tcPr>
            <w:tcW w:w="738" w:type="dxa"/>
            <w:vAlign w:val="bottom"/>
          </w:tcPr>
          <w:p w:rsidR="00DA34E1" w:rsidRDefault="00DA34E1" w:rsidP="001956D2">
            <w:r>
              <w:t>17</w:t>
            </w:r>
          </w:p>
        </w:tc>
        <w:tc>
          <w:tcPr>
            <w:tcW w:w="3870" w:type="dxa"/>
          </w:tcPr>
          <w:p w:rsidR="00DA34E1" w:rsidRDefault="00DA34E1" w:rsidP="005679C2">
            <w:r>
              <w:t xml:space="preserve">Bridger Plant Fuel </w:t>
            </w:r>
            <w:proofErr w:type="spellStart"/>
            <w:r>
              <w:t>Derations</w:t>
            </w:r>
            <w:proofErr w:type="spellEnd"/>
            <w:r>
              <w:t xml:space="preserve"> </w:t>
            </w:r>
          </w:p>
          <w:p w:rsidR="00DA34E1" w:rsidRDefault="00DA34E1" w:rsidP="005679C2">
            <w:r>
              <w:t>(ICNU 18)</w:t>
            </w:r>
          </w:p>
        </w:tc>
        <w:tc>
          <w:tcPr>
            <w:tcW w:w="1530" w:type="dxa"/>
            <w:vAlign w:val="center"/>
          </w:tcPr>
          <w:p w:rsidR="00DA34E1" w:rsidRDefault="00DA34E1" w:rsidP="008C4E7A">
            <w:r w:rsidRPr="00074CAA">
              <w:t>N/A</w:t>
            </w:r>
          </w:p>
        </w:tc>
        <w:tc>
          <w:tcPr>
            <w:tcW w:w="1620" w:type="dxa"/>
            <w:vAlign w:val="center"/>
          </w:tcPr>
          <w:p w:rsidR="00DA34E1" w:rsidRDefault="00DA34E1" w:rsidP="008C4E7A">
            <w:r w:rsidRPr="00D03228">
              <w:t>N/A</w:t>
            </w:r>
          </w:p>
        </w:tc>
        <w:tc>
          <w:tcPr>
            <w:tcW w:w="1710" w:type="dxa"/>
            <w:vAlign w:val="center"/>
          </w:tcPr>
          <w:p w:rsidR="00DA34E1" w:rsidRDefault="00DA34E1" w:rsidP="008C4E7A">
            <w:r>
              <w:t>$650,958</w:t>
            </w:r>
          </w:p>
        </w:tc>
      </w:tr>
      <w:tr w:rsidR="00DA34E1" w:rsidTr="00DA34E1">
        <w:trPr>
          <w:cantSplit/>
        </w:trPr>
        <w:tc>
          <w:tcPr>
            <w:tcW w:w="738" w:type="dxa"/>
            <w:vAlign w:val="bottom"/>
          </w:tcPr>
          <w:p w:rsidR="00DA34E1" w:rsidRDefault="00DA34E1" w:rsidP="001956D2">
            <w:r>
              <w:t>18</w:t>
            </w:r>
          </w:p>
        </w:tc>
        <w:tc>
          <w:tcPr>
            <w:tcW w:w="3870" w:type="dxa"/>
          </w:tcPr>
          <w:p w:rsidR="00DA34E1" w:rsidRDefault="00DA34E1" w:rsidP="005679C2">
            <w:r>
              <w:t>Hermiston Planned Outage Schedule</w:t>
            </w:r>
          </w:p>
          <w:p w:rsidR="00DA34E1" w:rsidRDefault="00DA34E1" w:rsidP="005679C2">
            <w:r>
              <w:t>(ICNU 16)</w:t>
            </w:r>
          </w:p>
        </w:tc>
        <w:tc>
          <w:tcPr>
            <w:tcW w:w="1530" w:type="dxa"/>
            <w:vAlign w:val="center"/>
          </w:tcPr>
          <w:p w:rsidR="00DA34E1" w:rsidRDefault="00DA34E1" w:rsidP="008C4E7A">
            <w:r w:rsidRPr="00074CAA">
              <w:t>N/A</w:t>
            </w:r>
          </w:p>
        </w:tc>
        <w:tc>
          <w:tcPr>
            <w:tcW w:w="1620" w:type="dxa"/>
            <w:vAlign w:val="center"/>
          </w:tcPr>
          <w:p w:rsidR="00DA34E1" w:rsidRDefault="00DA34E1" w:rsidP="008C4E7A">
            <w:r w:rsidRPr="00D03228">
              <w:t>N/A</w:t>
            </w:r>
          </w:p>
        </w:tc>
        <w:tc>
          <w:tcPr>
            <w:tcW w:w="1710" w:type="dxa"/>
            <w:vAlign w:val="center"/>
          </w:tcPr>
          <w:p w:rsidR="00DA34E1" w:rsidRDefault="00DA34E1" w:rsidP="008C4E7A">
            <w:r>
              <w:t>$310,427</w:t>
            </w:r>
            <w:r>
              <w:rPr>
                <w:rStyle w:val="FootnoteReference"/>
              </w:rPr>
              <w:footnoteReference w:id="8"/>
            </w:r>
          </w:p>
        </w:tc>
      </w:tr>
      <w:tr w:rsidR="00DA34E1" w:rsidTr="00DA34E1">
        <w:trPr>
          <w:cantSplit/>
        </w:trPr>
        <w:tc>
          <w:tcPr>
            <w:tcW w:w="738" w:type="dxa"/>
            <w:vAlign w:val="bottom"/>
          </w:tcPr>
          <w:p w:rsidR="00DA34E1" w:rsidRDefault="00DA34E1" w:rsidP="001956D2">
            <w:r>
              <w:t>19</w:t>
            </w:r>
          </w:p>
        </w:tc>
        <w:tc>
          <w:tcPr>
            <w:tcW w:w="3870" w:type="dxa"/>
          </w:tcPr>
          <w:p w:rsidR="00DA34E1" w:rsidRDefault="00DA34E1" w:rsidP="005679C2">
            <w:r>
              <w:t>SMUD Delivery Pattern</w:t>
            </w:r>
          </w:p>
          <w:p w:rsidR="00DA34E1" w:rsidRDefault="00DA34E1" w:rsidP="005679C2">
            <w:r>
              <w:t>(Staff C, ICNU 6)</w:t>
            </w:r>
          </w:p>
        </w:tc>
        <w:tc>
          <w:tcPr>
            <w:tcW w:w="1530" w:type="dxa"/>
            <w:vAlign w:val="center"/>
          </w:tcPr>
          <w:p w:rsidR="00DA34E1" w:rsidRDefault="00DA34E1" w:rsidP="008C4E7A">
            <w:r w:rsidRPr="00074CAA">
              <w:t>N/A</w:t>
            </w:r>
          </w:p>
        </w:tc>
        <w:tc>
          <w:tcPr>
            <w:tcW w:w="1620" w:type="dxa"/>
            <w:vAlign w:val="center"/>
          </w:tcPr>
          <w:p w:rsidR="00DA34E1" w:rsidRDefault="00DA34E1" w:rsidP="008C4E7A">
            <w:r>
              <w:t>$554,460</w:t>
            </w:r>
          </w:p>
        </w:tc>
        <w:tc>
          <w:tcPr>
            <w:tcW w:w="1710" w:type="dxa"/>
            <w:vAlign w:val="center"/>
          </w:tcPr>
          <w:p w:rsidR="00DA34E1" w:rsidRDefault="00DA34E1" w:rsidP="008C4E7A">
            <w:r>
              <w:t>$439,484</w:t>
            </w:r>
            <w:r>
              <w:rPr>
                <w:rStyle w:val="FootnoteReference"/>
              </w:rPr>
              <w:footnoteReference w:id="9"/>
            </w:r>
          </w:p>
        </w:tc>
      </w:tr>
      <w:tr w:rsidR="00DA34E1" w:rsidTr="00DA34E1">
        <w:trPr>
          <w:cantSplit/>
        </w:trPr>
        <w:tc>
          <w:tcPr>
            <w:tcW w:w="738" w:type="dxa"/>
            <w:vAlign w:val="bottom"/>
          </w:tcPr>
          <w:p w:rsidR="00DA34E1" w:rsidRDefault="00DA34E1" w:rsidP="001956D2">
            <w:r>
              <w:t>20</w:t>
            </w:r>
          </w:p>
        </w:tc>
        <w:tc>
          <w:tcPr>
            <w:tcW w:w="3870" w:type="dxa"/>
          </w:tcPr>
          <w:p w:rsidR="00DA34E1" w:rsidRDefault="00DA34E1" w:rsidP="005679C2">
            <w:r>
              <w:t xml:space="preserve">Minimum Loading and </w:t>
            </w:r>
            <w:proofErr w:type="spellStart"/>
            <w:r>
              <w:t>Deration</w:t>
            </w:r>
            <w:proofErr w:type="spellEnd"/>
          </w:p>
          <w:p w:rsidR="00DA34E1" w:rsidRDefault="00DA34E1" w:rsidP="005679C2">
            <w:r>
              <w:t>(ICNU 19)</w:t>
            </w:r>
          </w:p>
        </w:tc>
        <w:tc>
          <w:tcPr>
            <w:tcW w:w="1530" w:type="dxa"/>
            <w:vAlign w:val="center"/>
          </w:tcPr>
          <w:p w:rsidR="00DA34E1" w:rsidRDefault="00DA34E1" w:rsidP="008C4E7A">
            <w:r w:rsidRPr="00074CAA">
              <w:t>N/A</w:t>
            </w:r>
          </w:p>
        </w:tc>
        <w:tc>
          <w:tcPr>
            <w:tcW w:w="1620" w:type="dxa"/>
            <w:vAlign w:val="center"/>
          </w:tcPr>
          <w:p w:rsidR="00DA34E1" w:rsidRDefault="00DA34E1" w:rsidP="008C4E7A">
            <w:r>
              <w:t>N/A</w:t>
            </w:r>
          </w:p>
        </w:tc>
        <w:tc>
          <w:tcPr>
            <w:tcW w:w="1710" w:type="dxa"/>
            <w:vAlign w:val="center"/>
          </w:tcPr>
          <w:p w:rsidR="00DA34E1" w:rsidRDefault="00DA34E1" w:rsidP="008C4E7A">
            <w:r>
              <w:t>$299,897</w:t>
            </w:r>
          </w:p>
        </w:tc>
      </w:tr>
    </w:tbl>
    <w:p w:rsidR="00674772" w:rsidRDefault="00674772" w:rsidP="00674772"/>
    <w:sectPr w:rsidR="00674772" w:rsidSect="005C105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33D" w:rsidRDefault="007F133D" w:rsidP="00064819">
      <w:r>
        <w:separator/>
      </w:r>
    </w:p>
  </w:endnote>
  <w:endnote w:type="continuationSeparator" w:id="0">
    <w:p w:rsidR="007F133D" w:rsidRDefault="007F133D" w:rsidP="00064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00" w:rsidRDefault="00167F00">
    <w:pPr>
      <w:pStyle w:val="Footer"/>
      <w:jc w:val="center"/>
    </w:pPr>
  </w:p>
  <w:p w:rsidR="00167F00" w:rsidRDefault="00167F00">
    <w:pPr>
      <w:pStyle w:val="Footer"/>
      <w:jc w:val="center"/>
    </w:pPr>
    <w:r>
      <w:t>Appendix B</w:t>
    </w:r>
  </w:p>
  <w:p w:rsidR="00167F00" w:rsidRPr="00167F00" w:rsidRDefault="00167F00">
    <w:pPr>
      <w:pStyle w:val="Footer"/>
      <w:jc w:val="center"/>
    </w:pPr>
    <w:sdt>
      <w:sdtPr>
        <w:id w:val="22913412"/>
        <w:docPartObj>
          <w:docPartGallery w:val="Page Numbers (Bottom of Page)"/>
          <w:docPartUnique/>
        </w:docPartObj>
      </w:sdtPr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Content>
            <w:r w:rsidRPr="00167F00">
              <w:t xml:space="preserve">Page </w:t>
            </w:r>
            <w:fldSimple w:instr=" PAGE ">
              <w:r>
                <w:rPr>
                  <w:noProof/>
                </w:rPr>
                <w:t>2</w:t>
              </w:r>
            </w:fldSimple>
            <w:r w:rsidRPr="00167F00">
              <w:t xml:space="preserve"> of </w:t>
            </w:r>
            <w:fldSimple w:instr=" NUMPAGES  ">
              <w:r>
                <w:rPr>
                  <w:noProof/>
                </w:rPr>
                <w:t>2</w:t>
              </w:r>
            </w:fldSimple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33D" w:rsidRDefault="007F133D" w:rsidP="00064819">
      <w:r>
        <w:separator/>
      </w:r>
    </w:p>
  </w:footnote>
  <w:footnote w:type="continuationSeparator" w:id="0">
    <w:p w:rsidR="007F133D" w:rsidRDefault="007F133D" w:rsidP="00064819">
      <w:r>
        <w:continuationSeparator/>
      </w:r>
    </w:p>
  </w:footnote>
  <w:footnote w:id="1">
    <w:p w:rsidR="00DA34E1" w:rsidRDefault="00DA34E1">
      <w:pPr>
        <w:pStyle w:val="FootnoteText"/>
      </w:pPr>
      <w:r>
        <w:rPr>
          <w:rStyle w:val="FootnoteReference"/>
        </w:rPr>
        <w:footnoteRef/>
      </w:r>
      <w:r>
        <w:t xml:space="preserve"> All amounts are Washington-allocated.</w:t>
      </w:r>
    </w:p>
  </w:footnote>
  <w:footnote w:id="2">
    <w:p w:rsidR="00DA34E1" w:rsidRDefault="00DA34E1">
      <w:pPr>
        <w:pStyle w:val="FootnoteText"/>
      </w:pPr>
      <w:r>
        <w:rPr>
          <w:rStyle w:val="FootnoteReference"/>
        </w:rPr>
        <w:footnoteRef/>
      </w:r>
      <w:r>
        <w:t xml:space="preserve"> ICNU 6 does not identify the impact of limiting the energy-take of SMUD to 346,400MWh/year.  As a result, the value is approximated from the Company’s run, given that the Company applied the same methodology as ICNU stated.</w:t>
      </w:r>
    </w:p>
  </w:footnote>
  <w:footnote w:id="3">
    <w:p w:rsidR="00DA34E1" w:rsidRDefault="00DA34E1">
      <w:pPr>
        <w:pStyle w:val="FootnoteText"/>
      </w:pPr>
      <w:r>
        <w:rPr>
          <w:rStyle w:val="FootnoteReference"/>
        </w:rPr>
        <w:footnoteRef/>
      </w:r>
      <w:r>
        <w:t xml:space="preserve"> The value is developed based on Staff Exhibit APB-6, by taking 22.18% of the total Inter-Hour Cost of $1,429,342.</w:t>
      </w:r>
    </w:p>
  </w:footnote>
  <w:footnote w:id="4">
    <w:p w:rsidR="00DA34E1" w:rsidRDefault="00DA34E1">
      <w:pPr>
        <w:pStyle w:val="FootnoteText"/>
      </w:pPr>
      <w:r>
        <w:rPr>
          <w:rStyle w:val="FootnoteReference"/>
        </w:rPr>
        <w:footnoteRef/>
      </w:r>
      <w:r>
        <w:t xml:space="preserve"> The value is developed based on the workpaper that supports ICNU 8.</w:t>
      </w:r>
    </w:p>
  </w:footnote>
  <w:footnote w:id="5">
    <w:p w:rsidR="00DA34E1" w:rsidRDefault="00DA34E1">
      <w:pPr>
        <w:pStyle w:val="FootnoteText"/>
      </w:pPr>
      <w:r>
        <w:rPr>
          <w:rStyle w:val="FootnoteReference"/>
        </w:rPr>
        <w:footnoteRef/>
      </w:r>
      <w:r>
        <w:t xml:space="preserve"> ICNU 16 does not identify the impact of moving planned outage schedule for Colstrip 4 only.  As a result, the value is approximated from the Company’s run, given that the Company applied the same methodology as ICNU stated.</w:t>
      </w:r>
    </w:p>
  </w:footnote>
  <w:footnote w:id="6">
    <w:p w:rsidR="00DA34E1" w:rsidRDefault="00DA34E1">
      <w:pPr>
        <w:pStyle w:val="FootnoteText"/>
      </w:pPr>
      <w:r>
        <w:rPr>
          <w:rStyle w:val="FootnoteReference"/>
        </w:rPr>
        <w:footnoteRef/>
      </w:r>
      <w:r>
        <w:t xml:space="preserve"> This is ICNU 8, excluding PACE Transmission Cost </w:t>
      </w:r>
      <w:r w:rsidR="00EE572F">
        <w:t xml:space="preserve">listed as item </w:t>
      </w:r>
      <w:r w:rsidR="00CF60A9">
        <w:t>5</w:t>
      </w:r>
      <w:r>
        <w:t>.</w:t>
      </w:r>
    </w:p>
  </w:footnote>
  <w:footnote w:id="7">
    <w:p w:rsidR="00DA34E1" w:rsidRDefault="00DA34E1">
      <w:pPr>
        <w:pStyle w:val="FootnoteText"/>
      </w:pPr>
      <w:r>
        <w:rPr>
          <w:rStyle w:val="FootnoteReference"/>
        </w:rPr>
        <w:footnoteRef/>
      </w:r>
      <w:r>
        <w:t xml:space="preserve"> This is Staff Exhibit APB-6, </w:t>
      </w:r>
      <w:r w:rsidR="001956D2">
        <w:t>excluding Inter-Hour Cost</w:t>
      </w:r>
      <w:r w:rsidR="00EE572F">
        <w:t xml:space="preserve"> </w:t>
      </w:r>
      <w:r w:rsidR="00D31F10">
        <w:t>listed</w:t>
      </w:r>
      <w:r w:rsidR="00EE572F">
        <w:t xml:space="preserve"> as item 3</w:t>
      </w:r>
      <w:r>
        <w:t>.</w:t>
      </w:r>
    </w:p>
  </w:footnote>
  <w:footnote w:id="8">
    <w:p w:rsidR="00DA34E1" w:rsidRDefault="00DA34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956D2">
        <w:t xml:space="preserve">This is </w:t>
      </w:r>
      <w:r>
        <w:t>ICNU 16</w:t>
      </w:r>
      <w:r w:rsidR="001956D2">
        <w:t xml:space="preserve">, excluding </w:t>
      </w:r>
      <w:r>
        <w:t>the impact of moving the planned outage for Colstrip 4</w:t>
      </w:r>
      <w:r w:rsidR="00EE572F">
        <w:t xml:space="preserve"> </w:t>
      </w:r>
      <w:r w:rsidR="00D31F10">
        <w:t>listed</w:t>
      </w:r>
      <w:r w:rsidR="00EE572F">
        <w:t xml:space="preserve"> as item 8</w:t>
      </w:r>
      <w:r>
        <w:t xml:space="preserve">. </w:t>
      </w:r>
    </w:p>
  </w:footnote>
  <w:footnote w:id="9">
    <w:p w:rsidR="00DA34E1" w:rsidRDefault="00DA34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956D2">
        <w:t xml:space="preserve">This is </w:t>
      </w:r>
      <w:r>
        <w:t>ICNU 6</w:t>
      </w:r>
      <w:r w:rsidR="001956D2">
        <w:t>, excluding</w:t>
      </w:r>
      <w:r>
        <w:t xml:space="preserve"> the impact of limiting SMUD energy-take to 350,400MWh/</w:t>
      </w:r>
      <w:proofErr w:type="gramStart"/>
      <w:r>
        <w:t xml:space="preserve">year </w:t>
      </w:r>
      <w:r w:rsidR="001956D2">
        <w:t xml:space="preserve"> listed</w:t>
      </w:r>
      <w:proofErr w:type="gramEnd"/>
      <w:r w:rsidR="001956D2">
        <w:t xml:space="preserve"> </w:t>
      </w:r>
      <w:r w:rsidR="00EE572F">
        <w:t>as item 2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15E5F"/>
    <w:multiLevelType w:val="hybridMultilevel"/>
    <w:tmpl w:val="A1AA9BD4"/>
    <w:lvl w:ilvl="0" w:tplc="959874D0">
      <w:start w:val="1"/>
      <w:numFmt w:val="decimal"/>
      <w:pStyle w:val="WashingtonParagraphs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772"/>
    <w:rsid w:val="00003CD2"/>
    <w:rsid w:val="000070E8"/>
    <w:rsid w:val="00011C7A"/>
    <w:rsid w:val="00064819"/>
    <w:rsid w:val="000A5C23"/>
    <w:rsid w:val="000D14B2"/>
    <w:rsid w:val="000E2DFB"/>
    <w:rsid w:val="001279D3"/>
    <w:rsid w:val="00167F00"/>
    <w:rsid w:val="00183ED9"/>
    <w:rsid w:val="001956D2"/>
    <w:rsid w:val="001C5236"/>
    <w:rsid w:val="00275F59"/>
    <w:rsid w:val="00283063"/>
    <w:rsid w:val="00283FE6"/>
    <w:rsid w:val="002D79DE"/>
    <w:rsid w:val="002E6742"/>
    <w:rsid w:val="004353F3"/>
    <w:rsid w:val="00485E9C"/>
    <w:rsid w:val="00494D45"/>
    <w:rsid w:val="004B1E49"/>
    <w:rsid w:val="004F2709"/>
    <w:rsid w:val="00517177"/>
    <w:rsid w:val="00550345"/>
    <w:rsid w:val="005679C2"/>
    <w:rsid w:val="005C105C"/>
    <w:rsid w:val="005C1439"/>
    <w:rsid w:val="005F0A57"/>
    <w:rsid w:val="006637DA"/>
    <w:rsid w:val="00674772"/>
    <w:rsid w:val="006E0E01"/>
    <w:rsid w:val="007A145C"/>
    <w:rsid w:val="007D00AE"/>
    <w:rsid w:val="007F133D"/>
    <w:rsid w:val="008A3F1D"/>
    <w:rsid w:val="008C4E7A"/>
    <w:rsid w:val="00920147"/>
    <w:rsid w:val="009D6CD3"/>
    <w:rsid w:val="009E68F8"/>
    <w:rsid w:val="00A2173E"/>
    <w:rsid w:val="00A269B4"/>
    <w:rsid w:val="00A53F4E"/>
    <w:rsid w:val="00A65CF7"/>
    <w:rsid w:val="00A7610E"/>
    <w:rsid w:val="00AA6CBE"/>
    <w:rsid w:val="00B73AD1"/>
    <w:rsid w:val="00BC5191"/>
    <w:rsid w:val="00BD0107"/>
    <w:rsid w:val="00C271AB"/>
    <w:rsid w:val="00C50196"/>
    <w:rsid w:val="00CB02CA"/>
    <w:rsid w:val="00CF60A9"/>
    <w:rsid w:val="00D17287"/>
    <w:rsid w:val="00D31F10"/>
    <w:rsid w:val="00D667B0"/>
    <w:rsid w:val="00D97C3F"/>
    <w:rsid w:val="00DA34E1"/>
    <w:rsid w:val="00E02570"/>
    <w:rsid w:val="00E73AC1"/>
    <w:rsid w:val="00E95DDB"/>
    <w:rsid w:val="00EA4F66"/>
    <w:rsid w:val="00EE572F"/>
    <w:rsid w:val="00EF3870"/>
    <w:rsid w:val="00F446D3"/>
    <w:rsid w:val="00F57E91"/>
    <w:rsid w:val="00F96118"/>
    <w:rsid w:val="00FC716D"/>
    <w:rsid w:val="00FE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3E"/>
    <w:pPr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494D45"/>
    <w:pPr>
      <w:spacing w:before="240"/>
    </w:pPr>
    <w:rPr>
      <w:rFonts w:cs="Times New Roman"/>
      <w:szCs w:val="24"/>
    </w:rPr>
  </w:style>
  <w:style w:type="paragraph" w:customStyle="1" w:styleId="WashingtonParagraphs">
    <w:name w:val="Washington Paragraphs"/>
    <w:basedOn w:val="ListParagraph"/>
    <w:qFormat/>
    <w:rsid w:val="001C5236"/>
    <w:pPr>
      <w:numPr>
        <w:numId w:val="1"/>
      </w:numPr>
      <w:tabs>
        <w:tab w:val="left" w:pos="1440"/>
      </w:tabs>
      <w:spacing w:line="480" w:lineRule="auto"/>
    </w:pPr>
    <w:rPr>
      <w:rFonts w:eastAsia="Times" w:cs="Times New Roman"/>
      <w:i/>
      <w:szCs w:val="20"/>
    </w:rPr>
  </w:style>
  <w:style w:type="paragraph" w:styleId="ListParagraph">
    <w:name w:val="List Paragraph"/>
    <w:basedOn w:val="Normal"/>
    <w:uiPriority w:val="34"/>
    <w:qFormat/>
    <w:rsid w:val="001C5236"/>
    <w:pPr>
      <w:ind w:left="720"/>
      <w:contextualSpacing/>
    </w:pPr>
  </w:style>
  <w:style w:type="table" w:styleId="TableGrid">
    <w:name w:val="Table Grid"/>
    <w:basedOn w:val="TableNormal"/>
    <w:uiPriority w:val="59"/>
    <w:rsid w:val="00674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34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48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481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48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53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F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F4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F4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67F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7F0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67F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F0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B832AC6-ED97-4E09-BB5A-C2369A2B4AD7}"/>
</file>

<file path=customXml/itemProps2.xml><?xml version="1.0" encoding="utf-8"?>
<ds:datastoreItem xmlns:ds="http://schemas.openxmlformats.org/officeDocument/2006/customXml" ds:itemID="{2A7ACA60-E579-44F6-80DF-23E6F3696F0A}"/>
</file>

<file path=customXml/itemProps3.xml><?xml version="1.0" encoding="utf-8"?>
<ds:datastoreItem xmlns:ds="http://schemas.openxmlformats.org/officeDocument/2006/customXml" ds:itemID="{34677A6F-3100-4854-A8DB-E3C68ED32028}"/>
</file>

<file path=customXml/itemProps4.xml><?xml version="1.0" encoding="utf-8"?>
<ds:datastoreItem xmlns:ds="http://schemas.openxmlformats.org/officeDocument/2006/customXml" ds:itemID="{3A10C733-1374-4B00-9703-429017287D0C}"/>
</file>

<file path=customXml/itemProps5.xml><?xml version="1.0" encoding="utf-8"?>
<ds:datastoreItem xmlns:ds="http://schemas.openxmlformats.org/officeDocument/2006/customXml" ds:itemID="{A480E7E3-8AEC-4252-BD86-008CCA6908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 Jamieson</dc:creator>
  <cp:lastModifiedBy>wendy</cp:lastModifiedBy>
  <cp:revision>2</cp:revision>
  <cp:lastPrinted>2011-02-11T21:57:00Z</cp:lastPrinted>
  <dcterms:created xsi:type="dcterms:W3CDTF">2011-02-11T21:58:00Z</dcterms:created>
  <dcterms:modified xsi:type="dcterms:W3CDTF">2011-02-11T21:58:00Z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