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customXml/itemProps3.xml" ContentType="application/vnd.openxmlformats-officedocument.customXmlProperties+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customXml/itemProps2.xml" ContentType="application/vnd.openxmlformats-officedocument.customXmlProperties+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footnotes.xml" ContentType="application/vnd.openxmlformats-officedocument.wordprocessingml.footnotes+xml"/>
  <Override PartName="/customXml/itemProps5.xml" ContentType="application/vnd.openxmlformats-officedocument.customXmlProperties+xml"/>
  <Override PartName="/word/footer1.xml" ContentType="application/vnd.openxmlformats-officedocument.wordprocessingml.footer+xml"/>
  <Override PartName="/word/webSettings.xml" ContentType="application/vnd.openxmlformats-officedocument.wordprocessingml.webSettings+xml"/>
  <Override PartName="/word/footer4.xml" ContentType="application/vnd.openxmlformats-officedocument.wordprocessingml.footer+xml"/>
  <Override PartName="/customXml/itemProps4.xml" ContentType="application/vnd.openxmlformats-officedocument.customXmlProperties+xml"/>
  <Override PartName="/word/settings.xml" ContentType="application/vnd.openxmlformats-officedocument.wordprocessingml.settings+xml"/>
  <Override PartName="/word/header2.xml" ContentType="application/vnd.openxmlformats-officedocument.wordprocessingml.header+xml"/>
  <Override PartName="/word/people.xml" ContentType="application/vnd.openxmlformats-officedocument.wordprocessingml.people+xml"/>
  <Override PartName="/docProps/custom.xml" ContentType="application/vnd.openxmlformats-officedocument.custom-propertie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F9C" w:rsidRPr="007E60D5" w:rsidRDefault="00F748D8" w:rsidP="00D64700">
      <w:pPr>
        <w:tabs>
          <w:tab w:val="center" w:pos="4680"/>
        </w:tabs>
        <w:ind w:right="18"/>
        <w:jc w:val="center"/>
        <w:rPr>
          <w:b/>
          <w:sz w:val="24"/>
        </w:rPr>
      </w:pPr>
      <w:bookmarkStart w:id="0" w:name="_GoBack"/>
      <w:bookmarkEnd w:id="0"/>
      <w:r w:rsidRPr="007E60D5">
        <w:rPr>
          <w:b/>
          <w:sz w:val="24"/>
        </w:rPr>
        <w:t xml:space="preserve">BEFORE THE WASHINGTON </w:t>
      </w:r>
    </w:p>
    <w:p w:rsidR="00F748D8" w:rsidRPr="007E60D5" w:rsidRDefault="00F748D8" w:rsidP="00D64700">
      <w:pPr>
        <w:tabs>
          <w:tab w:val="center" w:pos="4680"/>
        </w:tabs>
        <w:ind w:right="18"/>
        <w:jc w:val="center"/>
        <w:rPr>
          <w:b/>
          <w:sz w:val="24"/>
        </w:rPr>
      </w:pPr>
      <w:r w:rsidRPr="007E60D5">
        <w:rPr>
          <w:b/>
          <w:sz w:val="24"/>
        </w:rPr>
        <w:t>UTILITIES AND TRANSPORTATION COMMISSION</w:t>
      </w:r>
    </w:p>
    <w:p w:rsidR="00F748D8" w:rsidRPr="007E60D5" w:rsidRDefault="00F748D8" w:rsidP="00B7076C">
      <w:pPr>
        <w:rPr>
          <w:sz w:val="24"/>
        </w:rPr>
      </w:pPr>
    </w:p>
    <w:p w:rsidR="00F748D8" w:rsidRPr="007E60D5" w:rsidRDefault="00F748D8" w:rsidP="00B7076C">
      <w:pPr>
        <w:rPr>
          <w:sz w:val="24"/>
        </w:rPr>
      </w:pPr>
    </w:p>
    <w:tbl>
      <w:tblPr>
        <w:tblW w:w="9312" w:type="dxa"/>
        <w:tblInd w:w="124" w:type="dxa"/>
        <w:tblLayout w:type="fixed"/>
        <w:tblCellMar>
          <w:left w:w="124" w:type="dxa"/>
          <w:right w:w="124" w:type="dxa"/>
        </w:tblCellMar>
        <w:tblLook w:val="0000" w:firstRow="0" w:lastRow="0" w:firstColumn="0" w:lastColumn="0" w:noHBand="0" w:noVBand="0"/>
      </w:tblPr>
      <w:tblGrid>
        <w:gridCol w:w="4722"/>
        <w:gridCol w:w="4590"/>
      </w:tblGrid>
      <w:tr w:rsidR="00F748D8" w:rsidRPr="007E60D5" w:rsidTr="00383CA3">
        <w:tc>
          <w:tcPr>
            <w:tcW w:w="4722" w:type="dxa"/>
            <w:tcBorders>
              <w:top w:val="single" w:sz="6" w:space="0" w:color="FFFFFF"/>
              <w:left w:val="single" w:sz="6" w:space="0" w:color="FFFFFF"/>
              <w:bottom w:val="single" w:sz="7" w:space="0" w:color="000000"/>
              <w:right w:val="single" w:sz="6" w:space="0" w:color="FFFFFF"/>
            </w:tcBorders>
          </w:tcPr>
          <w:p w:rsidR="007A78B7" w:rsidRPr="007E60D5" w:rsidRDefault="007A78B7" w:rsidP="007A78B7">
            <w:pPr>
              <w:ind w:left="-124"/>
              <w:rPr>
                <w:sz w:val="24"/>
              </w:rPr>
            </w:pPr>
            <w:r w:rsidRPr="007E60D5">
              <w:rPr>
                <w:sz w:val="24"/>
              </w:rPr>
              <w:t>WASHINGTON UTILITIES AND TRANSPORTATION COMMISSION,</w:t>
            </w:r>
          </w:p>
          <w:p w:rsidR="007A78B7" w:rsidRPr="007E60D5" w:rsidRDefault="007A78B7" w:rsidP="007A78B7">
            <w:pPr>
              <w:ind w:left="-124"/>
              <w:rPr>
                <w:sz w:val="24"/>
              </w:rPr>
            </w:pPr>
          </w:p>
          <w:p w:rsidR="007A78B7" w:rsidRPr="007E60D5" w:rsidRDefault="007A78B7" w:rsidP="007A78B7">
            <w:pPr>
              <w:ind w:left="-124"/>
              <w:rPr>
                <w:sz w:val="24"/>
              </w:rPr>
            </w:pPr>
            <w:r w:rsidRPr="007E60D5">
              <w:rPr>
                <w:sz w:val="24"/>
              </w:rPr>
              <w:tab/>
            </w:r>
            <w:r w:rsidRPr="007E60D5">
              <w:rPr>
                <w:sz w:val="24"/>
              </w:rPr>
              <w:tab/>
              <w:t>Complainant,</w:t>
            </w:r>
          </w:p>
          <w:p w:rsidR="007A78B7" w:rsidRPr="007E60D5" w:rsidRDefault="007A78B7" w:rsidP="007A78B7">
            <w:pPr>
              <w:ind w:left="-124"/>
              <w:rPr>
                <w:sz w:val="24"/>
              </w:rPr>
            </w:pPr>
          </w:p>
          <w:p w:rsidR="007A78B7" w:rsidRPr="007E60D5" w:rsidRDefault="007A78B7" w:rsidP="007A78B7">
            <w:pPr>
              <w:ind w:left="-124"/>
              <w:rPr>
                <w:sz w:val="24"/>
              </w:rPr>
            </w:pPr>
            <w:r w:rsidRPr="007E60D5">
              <w:rPr>
                <w:sz w:val="24"/>
              </w:rPr>
              <w:t>v.</w:t>
            </w:r>
          </w:p>
          <w:p w:rsidR="007A78B7" w:rsidRPr="007E60D5" w:rsidRDefault="007A78B7" w:rsidP="007A78B7">
            <w:pPr>
              <w:ind w:left="-124"/>
              <w:rPr>
                <w:sz w:val="24"/>
              </w:rPr>
            </w:pPr>
          </w:p>
          <w:p w:rsidR="007A78B7" w:rsidRPr="007E60D5" w:rsidRDefault="00222C54" w:rsidP="007A78B7">
            <w:pPr>
              <w:ind w:left="-124"/>
              <w:rPr>
                <w:sz w:val="24"/>
              </w:rPr>
            </w:pPr>
            <w:r w:rsidRPr="007E60D5">
              <w:rPr>
                <w:sz w:val="24"/>
              </w:rPr>
              <w:t>PUGET SOUND ENERGY</w:t>
            </w:r>
            <w:r w:rsidR="007A78B7" w:rsidRPr="007E60D5">
              <w:rPr>
                <w:sz w:val="24"/>
              </w:rPr>
              <w:t>,</w:t>
            </w:r>
          </w:p>
          <w:p w:rsidR="007A78B7" w:rsidRPr="007E60D5" w:rsidRDefault="007A78B7" w:rsidP="007A78B7">
            <w:pPr>
              <w:ind w:left="-124"/>
              <w:rPr>
                <w:sz w:val="24"/>
              </w:rPr>
            </w:pPr>
          </w:p>
          <w:p w:rsidR="00871BDE" w:rsidRPr="007E60D5" w:rsidRDefault="007A78B7" w:rsidP="00383CA3">
            <w:pPr>
              <w:ind w:left="-172"/>
              <w:rPr>
                <w:sz w:val="24"/>
              </w:rPr>
            </w:pPr>
            <w:r w:rsidRPr="007E60D5">
              <w:rPr>
                <w:sz w:val="24"/>
              </w:rPr>
              <w:tab/>
            </w:r>
            <w:r w:rsidRPr="007E60D5">
              <w:rPr>
                <w:sz w:val="24"/>
              </w:rPr>
              <w:tab/>
              <w:t>Respondent.</w:t>
            </w:r>
          </w:p>
          <w:p w:rsidR="007A78B7" w:rsidRPr="007E60D5" w:rsidRDefault="007A78B7" w:rsidP="007A78B7">
            <w:pPr>
              <w:ind w:left="-124"/>
              <w:rPr>
                <w:sz w:val="24"/>
              </w:rPr>
            </w:pPr>
          </w:p>
        </w:tc>
        <w:tc>
          <w:tcPr>
            <w:tcW w:w="4590" w:type="dxa"/>
            <w:tcBorders>
              <w:top w:val="single" w:sz="6" w:space="0" w:color="FFFFFF"/>
              <w:left w:val="single" w:sz="7" w:space="0" w:color="000000"/>
              <w:bottom w:val="single" w:sz="6" w:space="0" w:color="FFFFFF"/>
              <w:right w:val="single" w:sz="6" w:space="0" w:color="FFFFFF"/>
            </w:tcBorders>
          </w:tcPr>
          <w:p w:rsidR="00F748D8" w:rsidRPr="007E60D5" w:rsidRDefault="004C3D65" w:rsidP="00871BDE">
            <w:pPr>
              <w:ind w:left="236"/>
              <w:rPr>
                <w:sz w:val="24"/>
              </w:rPr>
            </w:pPr>
            <w:r w:rsidRPr="007E60D5">
              <w:rPr>
                <w:sz w:val="24"/>
              </w:rPr>
              <w:t xml:space="preserve">DOCKET </w:t>
            </w:r>
            <w:r w:rsidR="007A78B7" w:rsidRPr="007E60D5">
              <w:rPr>
                <w:sz w:val="24"/>
              </w:rPr>
              <w:t>PG-1</w:t>
            </w:r>
            <w:r w:rsidR="00383CA3" w:rsidRPr="007E60D5">
              <w:rPr>
                <w:sz w:val="24"/>
              </w:rPr>
              <w:t>60924</w:t>
            </w:r>
          </w:p>
          <w:p w:rsidR="00F748D8" w:rsidRPr="007E60D5" w:rsidRDefault="00F748D8" w:rsidP="00871BDE">
            <w:pPr>
              <w:ind w:left="236"/>
              <w:rPr>
                <w:sz w:val="24"/>
              </w:rPr>
            </w:pPr>
          </w:p>
          <w:p w:rsidR="00871BDE" w:rsidRPr="007E60D5" w:rsidRDefault="0016417C" w:rsidP="00BC45BF">
            <w:pPr>
              <w:ind w:left="236"/>
              <w:rPr>
                <w:b/>
                <w:sz w:val="24"/>
              </w:rPr>
            </w:pPr>
            <w:r w:rsidRPr="007E60D5">
              <w:rPr>
                <w:sz w:val="24"/>
              </w:rPr>
              <w:t>SETTLEMENT AGREEMENT</w:t>
            </w:r>
          </w:p>
          <w:p w:rsidR="00871BDE" w:rsidRPr="007E60D5" w:rsidRDefault="00871BDE" w:rsidP="00871BDE">
            <w:pPr>
              <w:ind w:left="236"/>
              <w:rPr>
                <w:sz w:val="24"/>
              </w:rPr>
            </w:pPr>
          </w:p>
        </w:tc>
      </w:tr>
    </w:tbl>
    <w:p w:rsidR="00BA2E6D" w:rsidRPr="007E60D5" w:rsidRDefault="00BA2E6D" w:rsidP="00193BE4">
      <w:pPr>
        <w:widowControl/>
        <w:autoSpaceDE/>
        <w:autoSpaceDN/>
        <w:adjustRightInd/>
        <w:jc w:val="center"/>
        <w:rPr>
          <w:b/>
          <w:sz w:val="24"/>
        </w:rPr>
      </w:pPr>
    </w:p>
    <w:p w:rsidR="007A78B7" w:rsidRPr="007E60D5" w:rsidRDefault="007A78B7" w:rsidP="00193BE4">
      <w:pPr>
        <w:widowControl/>
        <w:autoSpaceDE/>
        <w:autoSpaceDN/>
        <w:adjustRightInd/>
        <w:spacing w:line="480" w:lineRule="auto"/>
        <w:jc w:val="center"/>
        <w:rPr>
          <w:b/>
          <w:sz w:val="24"/>
        </w:rPr>
      </w:pPr>
      <w:r w:rsidRPr="007E60D5">
        <w:rPr>
          <w:b/>
          <w:sz w:val="24"/>
        </w:rPr>
        <w:t>I.</w:t>
      </w:r>
      <w:r w:rsidRPr="007E60D5">
        <w:rPr>
          <w:b/>
          <w:sz w:val="24"/>
        </w:rPr>
        <w:tab/>
      </w:r>
      <w:r w:rsidR="00193BE4" w:rsidRPr="007E60D5">
        <w:rPr>
          <w:b/>
          <w:sz w:val="24"/>
        </w:rPr>
        <w:t>PARTIES</w:t>
      </w:r>
    </w:p>
    <w:p w:rsidR="00E558DC" w:rsidRPr="00E558DC" w:rsidRDefault="00193BE4" w:rsidP="00E558DC">
      <w:pPr>
        <w:widowControl/>
        <w:numPr>
          <w:ilvl w:val="0"/>
          <w:numId w:val="4"/>
        </w:numPr>
        <w:tabs>
          <w:tab w:val="clear" w:pos="1080"/>
          <w:tab w:val="left" w:pos="720"/>
        </w:tabs>
        <w:autoSpaceDE/>
        <w:autoSpaceDN/>
        <w:adjustRightInd/>
        <w:spacing w:line="480" w:lineRule="auto"/>
        <w:ind w:left="0" w:hanging="720"/>
        <w:rPr>
          <w:b/>
          <w:sz w:val="24"/>
        </w:rPr>
      </w:pPr>
      <w:r w:rsidRPr="00E558DC">
        <w:rPr>
          <w:sz w:val="24"/>
        </w:rPr>
        <w:tab/>
        <w:t xml:space="preserve">The parties to this settlement agreement (Agreement) are </w:t>
      </w:r>
      <w:r w:rsidR="007A78B7" w:rsidRPr="00E558DC">
        <w:rPr>
          <w:sz w:val="24"/>
        </w:rPr>
        <w:t xml:space="preserve">Staff of the Washington Utilities and Transportation Commission (Staff) and </w:t>
      </w:r>
      <w:r w:rsidR="00383CA3" w:rsidRPr="00E558DC">
        <w:rPr>
          <w:sz w:val="24"/>
        </w:rPr>
        <w:t xml:space="preserve">Puget Sound Energy </w:t>
      </w:r>
      <w:r w:rsidRPr="00E558DC">
        <w:rPr>
          <w:sz w:val="24"/>
        </w:rPr>
        <w:t>(</w:t>
      </w:r>
      <w:r w:rsidR="00383CA3" w:rsidRPr="00E558DC">
        <w:rPr>
          <w:sz w:val="24"/>
        </w:rPr>
        <w:t>PSE</w:t>
      </w:r>
      <w:r w:rsidRPr="00E558DC">
        <w:rPr>
          <w:sz w:val="24"/>
        </w:rPr>
        <w:t xml:space="preserve"> or Company)</w:t>
      </w:r>
      <w:r w:rsidR="00261117" w:rsidRPr="00E558DC">
        <w:rPr>
          <w:sz w:val="24"/>
        </w:rPr>
        <w:t xml:space="preserve">. </w:t>
      </w:r>
      <w:r w:rsidR="00383CA3" w:rsidRPr="00E558DC">
        <w:rPr>
          <w:sz w:val="24"/>
        </w:rPr>
        <w:t>This Agreement is a “</w:t>
      </w:r>
      <w:r w:rsidR="007156B6" w:rsidRPr="00E558DC">
        <w:rPr>
          <w:sz w:val="24"/>
        </w:rPr>
        <w:t>multiparty</w:t>
      </w:r>
      <w:r w:rsidR="00383CA3" w:rsidRPr="00E558DC">
        <w:rPr>
          <w:sz w:val="24"/>
        </w:rPr>
        <w:t xml:space="preserve">” </w:t>
      </w:r>
      <w:r w:rsidR="00E558DC" w:rsidRPr="00E558DC">
        <w:rPr>
          <w:sz w:val="24"/>
        </w:rPr>
        <w:t xml:space="preserve">settlement </w:t>
      </w:r>
      <w:r w:rsidR="00383CA3" w:rsidRPr="00E558DC">
        <w:rPr>
          <w:sz w:val="24"/>
        </w:rPr>
        <w:t>under WAC 480-07-730(</w:t>
      </w:r>
      <w:r w:rsidR="007156B6" w:rsidRPr="00E558DC">
        <w:rPr>
          <w:sz w:val="24"/>
        </w:rPr>
        <w:t>3</w:t>
      </w:r>
      <w:r w:rsidR="00383CA3" w:rsidRPr="00E558DC">
        <w:rPr>
          <w:sz w:val="24"/>
        </w:rPr>
        <w:t>).</w:t>
      </w:r>
      <w:r w:rsidR="007156B6" w:rsidRPr="00E558DC">
        <w:rPr>
          <w:sz w:val="24"/>
        </w:rPr>
        <w:t xml:space="preserve"> For purposes of this Agreement, </w:t>
      </w:r>
      <w:r w:rsidR="00E558DC">
        <w:rPr>
          <w:sz w:val="24"/>
        </w:rPr>
        <w:t>the term</w:t>
      </w:r>
      <w:r w:rsidR="007156B6" w:rsidRPr="00E558DC">
        <w:rPr>
          <w:sz w:val="24"/>
        </w:rPr>
        <w:t xml:space="preserve"> Parties</w:t>
      </w:r>
      <w:r w:rsidR="00E558DC">
        <w:rPr>
          <w:sz w:val="24"/>
        </w:rPr>
        <w:t xml:space="preserve"> means Staff and PSE</w:t>
      </w:r>
      <w:r w:rsidR="007156B6" w:rsidRPr="00E558DC">
        <w:rPr>
          <w:sz w:val="24"/>
        </w:rPr>
        <w:t>.</w:t>
      </w:r>
    </w:p>
    <w:p w:rsidR="007A78B7" w:rsidRPr="00E558DC" w:rsidRDefault="00E558DC" w:rsidP="00E558DC">
      <w:pPr>
        <w:widowControl/>
        <w:numPr>
          <w:ilvl w:val="0"/>
          <w:numId w:val="4"/>
        </w:numPr>
        <w:tabs>
          <w:tab w:val="clear" w:pos="1080"/>
          <w:tab w:val="left" w:pos="720"/>
        </w:tabs>
        <w:autoSpaceDE/>
        <w:autoSpaceDN/>
        <w:adjustRightInd/>
        <w:spacing w:line="480" w:lineRule="auto"/>
        <w:ind w:left="0" w:hanging="720"/>
        <w:rPr>
          <w:b/>
          <w:sz w:val="24"/>
        </w:rPr>
      </w:pPr>
      <w:r>
        <w:rPr>
          <w:sz w:val="24"/>
        </w:rPr>
        <w:tab/>
      </w:r>
      <w:r w:rsidRPr="00E558DC">
        <w:rPr>
          <w:sz w:val="24"/>
        </w:rPr>
        <w:t xml:space="preserve">The </w:t>
      </w:r>
      <w:r w:rsidR="007156B6" w:rsidRPr="00E558DC">
        <w:rPr>
          <w:sz w:val="24"/>
        </w:rPr>
        <w:t xml:space="preserve">Public Counsel </w:t>
      </w:r>
      <w:r w:rsidRPr="00E558DC">
        <w:rPr>
          <w:sz w:val="24"/>
        </w:rPr>
        <w:t xml:space="preserve">Unit of the Washington State Attorney General’s Office currently </w:t>
      </w:r>
      <w:r w:rsidR="007156B6" w:rsidRPr="00E558DC">
        <w:rPr>
          <w:sz w:val="24"/>
        </w:rPr>
        <w:t xml:space="preserve">has no formal position on the Agreement. The Parties acknowledge that Public Counsel may </w:t>
      </w:r>
      <w:r>
        <w:rPr>
          <w:sz w:val="24"/>
        </w:rPr>
        <w:t xml:space="preserve">seek to </w:t>
      </w:r>
      <w:r w:rsidR="007156B6" w:rsidRPr="00E558DC">
        <w:rPr>
          <w:sz w:val="24"/>
        </w:rPr>
        <w:t>join or oppose the Agreement at a later date.</w:t>
      </w:r>
    </w:p>
    <w:p w:rsidR="007A78B7" w:rsidRPr="007E60D5" w:rsidRDefault="007A78B7" w:rsidP="007A78B7">
      <w:pPr>
        <w:widowControl/>
        <w:tabs>
          <w:tab w:val="left" w:pos="720"/>
        </w:tabs>
        <w:autoSpaceDE/>
        <w:autoSpaceDN/>
        <w:adjustRightInd/>
        <w:spacing w:line="480" w:lineRule="auto"/>
        <w:jc w:val="center"/>
        <w:rPr>
          <w:b/>
          <w:sz w:val="24"/>
        </w:rPr>
      </w:pPr>
      <w:r w:rsidRPr="007E60D5">
        <w:rPr>
          <w:b/>
          <w:sz w:val="24"/>
        </w:rPr>
        <w:t>II.</w:t>
      </w:r>
      <w:r w:rsidRPr="007E60D5">
        <w:rPr>
          <w:b/>
          <w:sz w:val="24"/>
        </w:rPr>
        <w:tab/>
        <w:t>JURISDICTION</w:t>
      </w:r>
    </w:p>
    <w:p w:rsidR="007A78B7" w:rsidRPr="007E60D5" w:rsidRDefault="00193BE4" w:rsidP="007A78B7">
      <w:pPr>
        <w:widowControl/>
        <w:numPr>
          <w:ilvl w:val="0"/>
          <w:numId w:val="4"/>
        </w:numPr>
        <w:tabs>
          <w:tab w:val="clear" w:pos="1080"/>
          <w:tab w:val="left" w:pos="720"/>
        </w:tabs>
        <w:autoSpaceDE/>
        <w:autoSpaceDN/>
        <w:adjustRightInd/>
        <w:spacing w:line="480" w:lineRule="auto"/>
        <w:ind w:left="0" w:hanging="720"/>
        <w:rPr>
          <w:b/>
          <w:sz w:val="24"/>
        </w:rPr>
      </w:pPr>
      <w:r w:rsidRPr="007E60D5">
        <w:rPr>
          <w:sz w:val="24"/>
        </w:rPr>
        <w:tab/>
      </w:r>
      <w:r w:rsidR="007A78B7" w:rsidRPr="007E60D5">
        <w:rPr>
          <w:sz w:val="24"/>
        </w:rPr>
        <w:t>The Washington Utilities and Transportation Commission (Commission) has jurisdiction to approve and enforce this Agreement</w:t>
      </w:r>
      <w:r w:rsidR="00383CA3" w:rsidRPr="007E60D5">
        <w:rPr>
          <w:sz w:val="24"/>
        </w:rPr>
        <w:t xml:space="preserve">. </w:t>
      </w:r>
    </w:p>
    <w:p w:rsidR="00383CA3"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b/>
          <w:sz w:val="24"/>
        </w:rPr>
        <w:tab/>
      </w:r>
      <w:r w:rsidRPr="007E60D5">
        <w:rPr>
          <w:sz w:val="24"/>
        </w:rPr>
        <w:t>PSE is a corporation that owns, maintains, and operates natural gas pipelines and appurtenances in Washington State. PSE is a “pipeline company” and a “gas pipeline company” as those terms are used throughout RCW 81.88.</w:t>
      </w:r>
    </w:p>
    <w:p w:rsidR="0024362A" w:rsidRPr="007E60D5" w:rsidRDefault="0024362A" w:rsidP="0024362A">
      <w:pPr>
        <w:widowControl/>
        <w:numPr>
          <w:ilvl w:val="0"/>
          <w:numId w:val="4"/>
        </w:numPr>
        <w:tabs>
          <w:tab w:val="clear" w:pos="1080"/>
          <w:tab w:val="left" w:pos="720"/>
        </w:tabs>
        <w:autoSpaceDE/>
        <w:autoSpaceDN/>
        <w:adjustRightInd/>
        <w:spacing w:line="480" w:lineRule="auto"/>
        <w:ind w:left="0" w:hanging="720"/>
        <w:rPr>
          <w:sz w:val="24"/>
        </w:rPr>
      </w:pPr>
      <w:r>
        <w:rPr>
          <w:sz w:val="24"/>
        </w:rPr>
        <w:lastRenderedPageBreak/>
        <w:tab/>
        <w:t>WAC 480-93-007(3) provides, “If the gas pipeline company’</w:t>
      </w:r>
      <w:r w:rsidRPr="0024362A">
        <w:rPr>
          <w:sz w:val="24"/>
        </w:rPr>
        <w:t>s contractor (or any of its subcontractors) engages in conduct that violates commission rules applicable to the gas pipeline company, the gas pipeline company is subject to penalties and all other applicable remedies, as if the gas pipeline company itself engaged in that conduct.</w:t>
      </w:r>
      <w:r>
        <w:rPr>
          <w:sz w:val="24"/>
        </w:rPr>
        <w:t>”</w:t>
      </w:r>
    </w:p>
    <w:p w:rsidR="007A78B7" w:rsidRPr="007E60D5" w:rsidRDefault="007A78B7" w:rsidP="00193BE4">
      <w:pPr>
        <w:widowControl/>
        <w:autoSpaceDE/>
        <w:autoSpaceDN/>
        <w:adjustRightInd/>
        <w:spacing w:line="480" w:lineRule="auto"/>
        <w:jc w:val="center"/>
        <w:rPr>
          <w:b/>
          <w:sz w:val="24"/>
        </w:rPr>
      </w:pPr>
      <w:r w:rsidRPr="007E60D5">
        <w:rPr>
          <w:b/>
          <w:sz w:val="24"/>
        </w:rPr>
        <w:t>III.</w:t>
      </w:r>
      <w:r w:rsidRPr="007E60D5">
        <w:rPr>
          <w:b/>
          <w:sz w:val="24"/>
        </w:rPr>
        <w:tab/>
        <w:t>EFFECTIVE DATE</w:t>
      </w:r>
    </w:p>
    <w:p w:rsidR="007A78B7" w:rsidRPr="007E60D5" w:rsidRDefault="00193BE4" w:rsidP="007A78B7">
      <w:pPr>
        <w:widowControl/>
        <w:numPr>
          <w:ilvl w:val="0"/>
          <w:numId w:val="4"/>
        </w:numPr>
        <w:tabs>
          <w:tab w:val="clear" w:pos="1080"/>
          <w:tab w:val="left" w:pos="720"/>
        </w:tabs>
        <w:autoSpaceDE/>
        <w:autoSpaceDN/>
        <w:adjustRightInd/>
        <w:spacing w:line="480" w:lineRule="auto"/>
        <w:ind w:left="0" w:hanging="720"/>
        <w:rPr>
          <w:b/>
          <w:sz w:val="24"/>
        </w:rPr>
      </w:pPr>
      <w:r w:rsidRPr="007E60D5">
        <w:rPr>
          <w:sz w:val="24"/>
        </w:rPr>
        <w:tab/>
      </w:r>
      <w:r w:rsidR="00383CA3" w:rsidRPr="007E60D5">
        <w:rPr>
          <w:sz w:val="24"/>
        </w:rPr>
        <w:t>T</w:t>
      </w:r>
      <w:r w:rsidR="007A78B7" w:rsidRPr="007E60D5">
        <w:rPr>
          <w:sz w:val="24"/>
        </w:rPr>
        <w:t>his Agreement is effective on the service date of a final Commission order approving this Agreement, or on the date that an initial order approving this Agreement becomes a final order pursuant to WAC 480-07-825(7).</w:t>
      </w:r>
    </w:p>
    <w:p w:rsidR="0037254E" w:rsidRPr="007E60D5" w:rsidRDefault="0037254E" w:rsidP="0037254E">
      <w:pPr>
        <w:widowControl/>
        <w:autoSpaceDE/>
        <w:autoSpaceDN/>
        <w:adjustRightInd/>
        <w:spacing w:line="480" w:lineRule="auto"/>
        <w:jc w:val="center"/>
        <w:rPr>
          <w:b/>
          <w:sz w:val="24"/>
        </w:rPr>
      </w:pPr>
      <w:r w:rsidRPr="007E60D5">
        <w:rPr>
          <w:b/>
          <w:sz w:val="24"/>
        </w:rPr>
        <w:t>IV.</w:t>
      </w:r>
      <w:r w:rsidRPr="007E60D5">
        <w:rPr>
          <w:b/>
          <w:sz w:val="24"/>
        </w:rPr>
        <w:tab/>
      </w:r>
      <w:r w:rsidR="00383CA3" w:rsidRPr="007E60D5">
        <w:rPr>
          <w:b/>
          <w:sz w:val="24"/>
        </w:rPr>
        <w:t>STIPULATED FACTS</w:t>
      </w:r>
    </w:p>
    <w:p w:rsidR="00383CA3" w:rsidRPr="007E60D5" w:rsidRDefault="0003793C"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r>
      <w:r w:rsidR="00F847BB">
        <w:rPr>
          <w:sz w:val="24"/>
        </w:rPr>
        <w:t>On March 9, 2016, at approximately 1:43 </w:t>
      </w:r>
      <w:r w:rsidR="00383CA3" w:rsidRPr="007E60D5">
        <w:rPr>
          <w:sz w:val="24"/>
        </w:rPr>
        <w:t>a.m., a natural gas explosion occurred in the vicinity of 8411 Greenwood Avenue North, Seattle, Washington. The explosion caused property damage and injured first responders.</w:t>
      </w:r>
    </w:p>
    <w:p w:rsidR="0003599A" w:rsidRPr="007E60D5" w:rsidRDefault="00383CA3" w:rsidP="0003599A">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r>
      <w:r w:rsidR="0003599A" w:rsidRPr="007E60D5">
        <w:rPr>
          <w:sz w:val="24"/>
        </w:rPr>
        <w:t xml:space="preserve">Staff’s investigation found that the immediate structural cause of the </w:t>
      </w:r>
      <w:r w:rsidR="00CD6D1B">
        <w:rPr>
          <w:sz w:val="24"/>
        </w:rPr>
        <w:t xml:space="preserve">escaping gas </w:t>
      </w:r>
      <w:r w:rsidR="0003599A" w:rsidRPr="007E60D5">
        <w:rPr>
          <w:sz w:val="24"/>
        </w:rPr>
        <w:t>and resulting explosion was</w:t>
      </w:r>
      <w:r w:rsidRPr="007E60D5">
        <w:rPr>
          <w:sz w:val="24"/>
        </w:rPr>
        <w:t xml:space="preserve"> external</w:t>
      </w:r>
      <w:r w:rsidR="00B32572">
        <w:rPr>
          <w:sz w:val="24"/>
        </w:rPr>
        <w:t xml:space="preserve"> or “outside force”</w:t>
      </w:r>
      <w:r w:rsidRPr="007E60D5">
        <w:rPr>
          <w:sz w:val="24"/>
        </w:rPr>
        <w:t xml:space="preserve"> damage to a threaded coupling in the above-ground portion </w:t>
      </w:r>
      <w:r w:rsidR="00CD6D1B">
        <w:rPr>
          <w:sz w:val="24"/>
        </w:rPr>
        <w:t xml:space="preserve">of </w:t>
      </w:r>
      <w:r w:rsidR="0003599A" w:rsidRPr="007E60D5">
        <w:rPr>
          <w:sz w:val="24"/>
        </w:rPr>
        <w:t>a ¾</w:t>
      </w:r>
      <w:r w:rsidR="00F464F6">
        <w:rPr>
          <w:sz w:val="24"/>
        </w:rPr>
        <w:t>-inch</w:t>
      </w:r>
      <w:r w:rsidR="0003599A" w:rsidRPr="007E60D5">
        <w:rPr>
          <w:sz w:val="24"/>
        </w:rPr>
        <w:t xml:space="preserve"> service line attached to the north-facing wall of 8411 Greenwood Avenue North. </w:t>
      </w:r>
      <w:r w:rsidRPr="007E60D5">
        <w:rPr>
          <w:sz w:val="24"/>
        </w:rPr>
        <w:t xml:space="preserve">The damage allowed natural gas to escape and migrate into or under </w:t>
      </w:r>
      <w:r w:rsidR="0003599A" w:rsidRPr="007E60D5">
        <w:rPr>
          <w:sz w:val="24"/>
        </w:rPr>
        <w:t>the</w:t>
      </w:r>
      <w:r w:rsidRPr="007E60D5">
        <w:rPr>
          <w:sz w:val="24"/>
        </w:rPr>
        <w:t xml:space="preserve"> structure</w:t>
      </w:r>
      <w:r w:rsidR="0003599A" w:rsidRPr="007E60D5">
        <w:rPr>
          <w:sz w:val="24"/>
        </w:rPr>
        <w:t xml:space="preserve"> </w:t>
      </w:r>
      <w:r w:rsidR="007E60D5">
        <w:rPr>
          <w:sz w:val="24"/>
        </w:rPr>
        <w:t>at 8411 Greenwood Avenue North</w:t>
      </w:r>
      <w:r w:rsidR="0003599A" w:rsidRPr="007E60D5">
        <w:rPr>
          <w:sz w:val="24"/>
        </w:rPr>
        <w:t>,</w:t>
      </w:r>
      <w:r w:rsidRPr="007E60D5">
        <w:rPr>
          <w:sz w:val="24"/>
        </w:rPr>
        <w:t xml:space="preserve"> where it</w:t>
      </w:r>
      <w:r w:rsidR="009969FE">
        <w:rPr>
          <w:sz w:val="24"/>
        </w:rPr>
        <w:t xml:space="preserve"> subsequently</w:t>
      </w:r>
      <w:r w:rsidRPr="007E60D5">
        <w:rPr>
          <w:sz w:val="24"/>
        </w:rPr>
        <w:t xml:space="preserve"> ignited.</w:t>
      </w:r>
    </w:p>
    <w:p w:rsidR="00842C9D" w:rsidRDefault="00842C9D" w:rsidP="00842C9D">
      <w:pPr>
        <w:widowControl/>
        <w:numPr>
          <w:ilvl w:val="0"/>
          <w:numId w:val="4"/>
        </w:numPr>
        <w:tabs>
          <w:tab w:val="clear" w:pos="1080"/>
          <w:tab w:val="left" w:pos="720"/>
        </w:tabs>
        <w:autoSpaceDE/>
        <w:autoSpaceDN/>
        <w:adjustRightInd/>
        <w:spacing w:line="480" w:lineRule="auto"/>
        <w:ind w:left="0" w:hanging="720"/>
        <w:rPr>
          <w:sz w:val="24"/>
        </w:rPr>
      </w:pPr>
      <w:r w:rsidRPr="00261117">
        <w:rPr>
          <w:sz w:val="24"/>
        </w:rPr>
        <w:tab/>
      </w:r>
      <w:r w:rsidR="001C5C2C">
        <w:rPr>
          <w:sz w:val="24"/>
        </w:rPr>
        <w:t xml:space="preserve">One </w:t>
      </w:r>
      <w:r>
        <w:rPr>
          <w:sz w:val="24"/>
        </w:rPr>
        <w:t>factor</w:t>
      </w:r>
      <w:r w:rsidRPr="00261117">
        <w:rPr>
          <w:sz w:val="24"/>
        </w:rPr>
        <w:t xml:space="preserve"> </w:t>
      </w:r>
      <w:r w:rsidR="001C5C2C">
        <w:rPr>
          <w:sz w:val="24"/>
        </w:rPr>
        <w:t xml:space="preserve">in the explosion </w:t>
      </w:r>
      <w:r w:rsidRPr="00261117">
        <w:rPr>
          <w:sz w:val="24"/>
        </w:rPr>
        <w:t xml:space="preserve">was </w:t>
      </w:r>
      <w:r>
        <w:rPr>
          <w:sz w:val="24"/>
        </w:rPr>
        <w:t xml:space="preserve">PSE’s </w:t>
      </w:r>
      <w:r w:rsidRPr="00261117">
        <w:rPr>
          <w:sz w:val="24"/>
        </w:rPr>
        <w:t>improper a</w:t>
      </w:r>
      <w:r>
        <w:rPr>
          <w:sz w:val="24"/>
        </w:rPr>
        <w:t>bandonment of the service line</w:t>
      </w:r>
      <w:r w:rsidRPr="00261117">
        <w:rPr>
          <w:sz w:val="24"/>
        </w:rPr>
        <w:t>. PSE’s records indicate that the service line was retired and abandoned in</w:t>
      </w:r>
      <w:r>
        <w:rPr>
          <w:sz w:val="24"/>
        </w:rPr>
        <w:t xml:space="preserve"> </w:t>
      </w:r>
      <w:r w:rsidRPr="00261117">
        <w:rPr>
          <w:sz w:val="24"/>
        </w:rPr>
        <w:t xml:space="preserve">2004, as part of a plan to relocate certain gas services fed from the main under Greenwood Avenue North to the alley behind the 8411 and 8415 buildings. A </w:t>
      </w:r>
      <w:r w:rsidR="00F464F6">
        <w:rPr>
          <w:sz w:val="24"/>
        </w:rPr>
        <w:t xml:space="preserve">PSE </w:t>
      </w:r>
      <w:r w:rsidRPr="00261117">
        <w:rPr>
          <w:sz w:val="24"/>
        </w:rPr>
        <w:t>Gas Service Order (D-4 card) dated Sept</w:t>
      </w:r>
      <w:r>
        <w:rPr>
          <w:sz w:val="24"/>
        </w:rPr>
        <w:t>ember</w:t>
      </w:r>
      <w:r w:rsidR="00F847BB">
        <w:rPr>
          <w:sz w:val="24"/>
        </w:rPr>
        <w:t> </w:t>
      </w:r>
      <w:r w:rsidRPr="00261117">
        <w:rPr>
          <w:sz w:val="24"/>
        </w:rPr>
        <w:t>1, 2004, states that PSE’s contractor (Pilchuck Contractors Inc.) “cut and capped” (i.e., deactivated) the service line on that date.</w:t>
      </w:r>
      <w:r>
        <w:rPr>
          <w:sz w:val="24"/>
        </w:rPr>
        <w:t xml:space="preserve"> </w:t>
      </w:r>
      <w:r w:rsidRPr="00261117">
        <w:rPr>
          <w:sz w:val="24"/>
        </w:rPr>
        <w:t xml:space="preserve">During its investigation, Staff </w:t>
      </w:r>
      <w:r w:rsidRPr="00261117">
        <w:rPr>
          <w:sz w:val="24"/>
        </w:rPr>
        <w:lastRenderedPageBreak/>
        <w:t xml:space="preserve">located the below-ground portion of the service line </w:t>
      </w:r>
      <w:r w:rsidR="00F464F6">
        <w:rPr>
          <w:sz w:val="24"/>
        </w:rPr>
        <w:t>after PSE</w:t>
      </w:r>
      <w:r w:rsidRPr="00261117">
        <w:rPr>
          <w:sz w:val="24"/>
        </w:rPr>
        <w:t xml:space="preserve"> excavat</w:t>
      </w:r>
      <w:r w:rsidR="00F464F6">
        <w:rPr>
          <w:sz w:val="24"/>
        </w:rPr>
        <w:t>ed</w:t>
      </w:r>
      <w:r w:rsidRPr="00261117">
        <w:rPr>
          <w:sz w:val="24"/>
        </w:rPr>
        <w:t xml:space="preserve"> sections of the sidewalk and southbound lane of Greenwood Avenue North. Contrary to PSE’s </w:t>
      </w:r>
      <w:r w:rsidR="00F847BB">
        <w:rPr>
          <w:sz w:val="24"/>
        </w:rPr>
        <w:t>D</w:t>
      </w:r>
      <w:r w:rsidR="00F847BB">
        <w:rPr>
          <w:sz w:val="24"/>
        </w:rPr>
        <w:noBreakHyphen/>
      </w:r>
      <w:r w:rsidRPr="00261117">
        <w:rPr>
          <w:sz w:val="24"/>
        </w:rPr>
        <w:t>4 card, the</w:t>
      </w:r>
      <w:r>
        <w:rPr>
          <w:sz w:val="24"/>
        </w:rPr>
        <w:t xml:space="preserve"> </w:t>
      </w:r>
      <w:r w:rsidRPr="00261117">
        <w:rPr>
          <w:sz w:val="24"/>
        </w:rPr>
        <w:t>line had not been cut and capped.</w:t>
      </w:r>
      <w:r>
        <w:rPr>
          <w:sz w:val="24"/>
        </w:rPr>
        <w:t xml:space="preserve"> The line remained active until deactivated shortly after the explosion.</w:t>
      </w:r>
    </w:p>
    <w:p w:rsidR="007E60D5" w:rsidRDefault="007E60D5" w:rsidP="007E60D5">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1C5C2C">
        <w:rPr>
          <w:sz w:val="24"/>
        </w:rPr>
        <w:t xml:space="preserve">Another factor in the explosion </w:t>
      </w:r>
      <w:r w:rsidRPr="007E60D5">
        <w:rPr>
          <w:sz w:val="24"/>
        </w:rPr>
        <w:t>was</w:t>
      </w:r>
      <w:r w:rsidR="00383CA3" w:rsidRPr="007E60D5">
        <w:rPr>
          <w:sz w:val="24"/>
        </w:rPr>
        <w:t xml:space="preserve"> human activity.</w:t>
      </w:r>
      <w:r>
        <w:rPr>
          <w:sz w:val="24"/>
        </w:rPr>
        <w:t xml:space="preserve"> Witness interviews and physical evidence revealed that</w:t>
      </w:r>
      <w:r w:rsidR="00347881">
        <w:rPr>
          <w:sz w:val="24"/>
        </w:rPr>
        <w:t xml:space="preserve"> transient</w:t>
      </w:r>
      <w:r>
        <w:rPr>
          <w:sz w:val="24"/>
        </w:rPr>
        <w:t xml:space="preserve"> </w:t>
      </w:r>
      <w:r w:rsidR="00526304">
        <w:rPr>
          <w:sz w:val="24"/>
        </w:rPr>
        <w:t>trespassers</w:t>
      </w:r>
      <w:r>
        <w:rPr>
          <w:sz w:val="24"/>
        </w:rPr>
        <w:t xml:space="preserve"> regularly accessed the narrow space between </w:t>
      </w:r>
      <w:r w:rsidRPr="007E60D5">
        <w:rPr>
          <w:sz w:val="24"/>
        </w:rPr>
        <w:t>the 8411 and 8415</w:t>
      </w:r>
      <w:r>
        <w:rPr>
          <w:sz w:val="24"/>
        </w:rPr>
        <w:t xml:space="preserve"> </w:t>
      </w:r>
      <w:r w:rsidRPr="007E60D5">
        <w:rPr>
          <w:sz w:val="24"/>
        </w:rPr>
        <w:t>buildings of Greenwood Avenue North</w:t>
      </w:r>
      <w:r>
        <w:rPr>
          <w:sz w:val="24"/>
        </w:rPr>
        <w:t xml:space="preserve"> and </w:t>
      </w:r>
      <w:r w:rsidR="001C5C2C">
        <w:rPr>
          <w:sz w:val="24"/>
        </w:rPr>
        <w:t xml:space="preserve">had physical contact with the service line. </w:t>
      </w:r>
      <w:r w:rsidR="002B743C">
        <w:rPr>
          <w:sz w:val="24"/>
        </w:rPr>
        <w:t>I</w:t>
      </w:r>
      <w:r w:rsidR="001C5C2C">
        <w:rPr>
          <w:sz w:val="24"/>
        </w:rPr>
        <w:t xml:space="preserve">nterviewees acknowledged storing items on top of and/or </w:t>
      </w:r>
      <w:r>
        <w:rPr>
          <w:sz w:val="24"/>
        </w:rPr>
        <w:t xml:space="preserve">near the service line. </w:t>
      </w:r>
      <w:r w:rsidR="00050EB4">
        <w:rPr>
          <w:sz w:val="24"/>
        </w:rPr>
        <w:t>I</w:t>
      </w:r>
      <w:r>
        <w:rPr>
          <w:sz w:val="24"/>
        </w:rPr>
        <w:t>nterviewee</w:t>
      </w:r>
      <w:r w:rsidR="00050EB4">
        <w:rPr>
          <w:sz w:val="24"/>
        </w:rPr>
        <w:t>s also</w:t>
      </w:r>
      <w:r>
        <w:rPr>
          <w:sz w:val="24"/>
        </w:rPr>
        <w:t xml:space="preserve"> acknowledged that </w:t>
      </w:r>
      <w:r w:rsidR="00050EB4">
        <w:rPr>
          <w:sz w:val="24"/>
        </w:rPr>
        <w:t>t</w:t>
      </w:r>
      <w:r>
        <w:rPr>
          <w:sz w:val="24"/>
        </w:rPr>
        <w:t>he</w:t>
      </w:r>
      <w:r w:rsidR="00050EB4">
        <w:rPr>
          <w:sz w:val="24"/>
        </w:rPr>
        <w:t>y</w:t>
      </w:r>
      <w:r>
        <w:rPr>
          <w:sz w:val="24"/>
        </w:rPr>
        <w:t xml:space="preserve"> sometimes </w:t>
      </w:r>
      <w:r w:rsidRPr="007E60D5">
        <w:rPr>
          <w:sz w:val="24"/>
        </w:rPr>
        <w:t>tripp</w:t>
      </w:r>
      <w:r w:rsidR="00526304">
        <w:rPr>
          <w:sz w:val="24"/>
        </w:rPr>
        <w:t>ed on or bumped the service line.</w:t>
      </w:r>
    </w:p>
    <w:p w:rsidR="00383CA3" w:rsidRPr="00261117" w:rsidRDefault="00261117" w:rsidP="00430B6E">
      <w:pPr>
        <w:widowControl/>
        <w:numPr>
          <w:ilvl w:val="0"/>
          <w:numId w:val="4"/>
        </w:numPr>
        <w:tabs>
          <w:tab w:val="clear" w:pos="1080"/>
          <w:tab w:val="left" w:pos="720"/>
        </w:tabs>
        <w:autoSpaceDE/>
        <w:autoSpaceDN/>
        <w:adjustRightInd/>
        <w:spacing w:line="480" w:lineRule="auto"/>
        <w:ind w:left="0" w:hanging="720"/>
        <w:rPr>
          <w:sz w:val="24"/>
        </w:rPr>
      </w:pPr>
      <w:r w:rsidRPr="00261117">
        <w:rPr>
          <w:sz w:val="24"/>
        </w:rPr>
        <w:tab/>
      </w:r>
      <w:r w:rsidR="00F847BB">
        <w:rPr>
          <w:sz w:val="24"/>
        </w:rPr>
        <w:t>On September </w:t>
      </w:r>
      <w:r w:rsidR="00383CA3" w:rsidRPr="00261117">
        <w:rPr>
          <w:sz w:val="24"/>
        </w:rPr>
        <w:t>20, 2016, the Commission issued its Complaint in this docket. The Complaint alleged violations of gas pipeline safety rules with respect to improper deactivation of a pipeline, failure to follow internal procedures, and failure to conduct gas leak surveys and corrosion tests.</w:t>
      </w:r>
      <w:r>
        <w:rPr>
          <w:sz w:val="24"/>
        </w:rPr>
        <w:t xml:space="preserve"> The Commission found probable cause to issue the </w:t>
      </w:r>
      <w:r w:rsidR="0017138E">
        <w:rPr>
          <w:sz w:val="24"/>
        </w:rPr>
        <w:t>C</w:t>
      </w:r>
      <w:r>
        <w:rPr>
          <w:sz w:val="24"/>
        </w:rPr>
        <w:t>omplaint based on Staff’s Investigation R</w:t>
      </w:r>
      <w:r w:rsidR="00F847BB">
        <w:rPr>
          <w:sz w:val="24"/>
        </w:rPr>
        <w:t>eport, also issued on September </w:t>
      </w:r>
      <w:r>
        <w:rPr>
          <w:sz w:val="24"/>
        </w:rPr>
        <w:t>20, 2016.</w:t>
      </w:r>
    </w:p>
    <w:p w:rsidR="00383CA3" w:rsidRPr="007E60D5" w:rsidRDefault="00F847BB" w:rsidP="00383CA3">
      <w:pPr>
        <w:widowControl/>
        <w:numPr>
          <w:ilvl w:val="0"/>
          <w:numId w:val="4"/>
        </w:numPr>
        <w:tabs>
          <w:tab w:val="clear" w:pos="1080"/>
          <w:tab w:val="left" w:pos="720"/>
        </w:tabs>
        <w:autoSpaceDE/>
        <w:autoSpaceDN/>
        <w:adjustRightInd/>
        <w:spacing w:line="480" w:lineRule="auto"/>
        <w:ind w:left="0" w:hanging="720"/>
        <w:rPr>
          <w:sz w:val="24"/>
        </w:rPr>
      </w:pPr>
      <w:r>
        <w:rPr>
          <w:sz w:val="24"/>
        </w:rPr>
        <w:tab/>
        <w:t>On October </w:t>
      </w:r>
      <w:r w:rsidR="00383CA3" w:rsidRPr="007E60D5">
        <w:rPr>
          <w:sz w:val="24"/>
        </w:rPr>
        <w:t>3, 2016, PSE f</w:t>
      </w:r>
      <w:r w:rsidR="00261117">
        <w:rPr>
          <w:sz w:val="24"/>
        </w:rPr>
        <w:t>iled an Answer to the Complaint.</w:t>
      </w:r>
      <w:r w:rsidR="00383CA3" w:rsidRPr="007E60D5">
        <w:rPr>
          <w:sz w:val="24"/>
        </w:rPr>
        <w:t xml:space="preserve"> PSE admitted certain allegations and denied certain </w:t>
      </w:r>
      <w:r w:rsidR="00261117">
        <w:rPr>
          <w:sz w:val="24"/>
        </w:rPr>
        <w:t>allegations.</w:t>
      </w:r>
    </w:p>
    <w:p w:rsidR="00261117" w:rsidRPr="00261117" w:rsidRDefault="00383CA3" w:rsidP="00261117">
      <w:pPr>
        <w:widowControl/>
        <w:numPr>
          <w:ilvl w:val="0"/>
          <w:numId w:val="4"/>
        </w:numPr>
        <w:tabs>
          <w:tab w:val="clear" w:pos="1080"/>
          <w:tab w:val="left" w:pos="720"/>
        </w:tabs>
        <w:autoSpaceDE/>
        <w:autoSpaceDN/>
        <w:adjustRightInd/>
        <w:spacing w:line="480" w:lineRule="auto"/>
        <w:ind w:left="0" w:hanging="720"/>
        <w:rPr>
          <w:b/>
          <w:sz w:val="24"/>
        </w:rPr>
      </w:pPr>
      <w:r w:rsidRPr="00261117">
        <w:rPr>
          <w:sz w:val="24"/>
        </w:rPr>
        <w:tab/>
      </w:r>
      <w:r w:rsidR="00261117" w:rsidRPr="00261117">
        <w:rPr>
          <w:sz w:val="24"/>
        </w:rPr>
        <w:t>T</w:t>
      </w:r>
      <w:r w:rsidRPr="00261117">
        <w:rPr>
          <w:sz w:val="24"/>
        </w:rPr>
        <w:t>he Commission held a prehearing confer</w:t>
      </w:r>
      <w:r w:rsidR="00F847BB">
        <w:rPr>
          <w:sz w:val="24"/>
        </w:rPr>
        <w:t>ence in this docket on November </w:t>
      </w:r>
      <w:r w:rsidR="0017138E">
        <w:rPr>
          <w:sz w:val="24"/>
        </w:rPr>
        <w:t xml:space="preserve">1, 2016. </w:t>
      </w:r>
      <w:r w:rsidR="00261117" w:rsidRPr="00261117">
        <w:rPr>
          <w:sz w:val="24"/>
        </w:rPr>
        <w:t>Staff, Public Counsel, and PSE entered appearances</w:t>
      </w:r>
      <w:r w:rsidR="00261117">
        <w:rPr>
          <w:sz w:val="24"/>
        </w:rPr>
        <w:t>.</w:t>
      </w:r>
    </w:p>
    <w:p w:rsidR="00383CA3" w:rsidRPr="00261117" w:rsidRDefault="00D900E4" w:rsidP="00261117">
      <w:pPr>
        <w:widowControl/>
        <w:tabs>
          <w:tab w:val="left" w:pos="720"/>
        </w:tabs>
        <w:autoSpaceDE/>
        <w:autoSpaceDN/>
        <w:adjustRightInd/>
        <w:spacing w:line="480" w:lineRule="auto"/>
        <w:jc w:val="center"/>
        <w:rPr>
          <w:b/>
          <w:sz w:val="24"/>
        </w:rPr>
      </w:pPr>
      <w:r>
        <w:rPr>
          <w:b/>
          <w:sz w:val="24"/>
        </w:rPr>
        <w:t>V</w:t>
      </w:r>
      <w:r w:rsidR="00383CA3" w:rsidRPr="00261117">
        <w:rPr>
          <w:b/>
          <w:sz w:val="24"/>
        </w:rPr>
        <w:t>.</w:t>
      </w:r>
      <w:r w:rsidR="00383CA3" w:rsidRPr="00261117">
        <w:rPr>
          <w:b/>
          <w:sz w:val="24"/>
        </w:rPr>
        <w:tab/>
        <w:t>AGREEMENT</w:t>
      </w:r>
    </w:p>
    <w:p w:rsidR="009969FE" w:rsidRDefault="00383CA3" w:rsidP="001F487D">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The Parties have </w:t>
      </w:r>
      <w:r w:rsidR="00261117">
        <w:rPr>
          <w:sz w:val="24"/>
        </w:rPr>
        <w:t xml:space="preserve">settled </w:t>
      </w:r>
      <w:r w:rsidR="00261117" w:rsidRPr="007E60D5">
        <w:rPr>
          <w:sz w:val="24"/>
        </w:rPr>
        <w:t xml:space="preserve">all matters </w:t>
      </w:r>
      <w:r w:rsidR="00F847BB">
        <w:rPr>
          <w:sz w:val="24"/>
        </w:rPr>
        <w:t>related to the March </w:t>
      </w:r>
      <w:r w:rsidR="00261117" w:rsidRPr="007E60D5">
        <w:rPr>
          <w:sz w:val="24"/>
        </w:rPr>
        <w:t>9, 2016</w:t>
      </w:r>
      <w:r w:rsidR="00BE3488">
        <w:rPr>
          <w:sz w:val="24"/>
        </w:rPr>
        <w:t>,</w:t>
      </w:r>
      <w:r w:rsidR="00261117">
        <w:rPr>
          <w:sz w:val="24"/>
        </w:rPr>
        <w:t xml:space="preserve"> explosion</w:t>
      </w:r>
      <w:r w:rsidR="001F487D">
        <w:rPr>
          <w:sz w:val="24"/>
        </w:rPr>
        <w:t xml:space="preserve"> and now present their Agreement for the Commission’s consideration and approval under </w:t>
      </w:r>
      <w:r w:rsidR="00F847BB">
        <w:rPr>
          <w:sz w:val="24"/>
        </w:rPr>
        <w:t>WAC </w:t>
      </w:r>
      <w:r w:rsidR="001F487D" w:rsidRPr="001F487D">
        <w:rPr>
          <w:sz w:val="24"/>
        </w:rPr>
        <w:t>480-07-740</w:t>
      </w:r>
      <w:r w:rsidR="001F487D">
        <w:rPr>
          <w:sz w:val="24"/>
        </w:rPr>
        <w:t xml:space="preserve">. </w:t>
      </w:r>
      <w:r w:rsidRPr="007E60D5">
        <w:rPr>
          <w:sz w:val="24"/>
        </w:rPr>
        <w:t xml:space="preserve">The Parties voluntarily enter this Agreement without hearing or adjudication of any </w:t>
      </w:r>
      <w:r w:rsidRPr="007E60D5">
        <w:rPr>
          <w:sz w:val="24"/>
        </w:rPr>
        <w:lastRenderedPageBreak/>
        <w:t>issues of fact or law</w:t>
      </w:r>
      <w:r w:rsidR="00261117">
        <w:rPr>
          <w:sz w:val="24"/>
        </w:rPr>
        <w:t>,</w:t>
      </w:r>
      <w:r w:rsidRPr="007E60D5">
        <w:rPr>
          <w:sz w:val="24"/>
        </w:rPr>
        <w:t xml:space="preserve"> to resolve </w:t>
      </w:r>
      <w:r w:rsidR="009969FE">
        <w:rPr>
          <w:sz w:val="24"/>
        </w:rPr>
        <w:t>all disputed</w:t>
      </w:r>
      <w:r w:rsidRPr="007E60D5">
        <w:rPr>
          <w:sz w:val="24"/>
        </w:rPr>
        <w:t xml:space="preserve"> matters, </w:t>
      </w:r>
      <w:r w:rsidR="00261117">
        <w:rPr>
          <w:sz w:val="24"/>
        </w:rPr>
        <w:t xml:space="preserve">and </w:t>
      </w:r>
      <w:r w:rsidRPr="007E60D5">
        <w:rPr>
          <w:sz w:val="24"/>
        </w:rPr>
        <w:t xml:space="preserve">to avoid the expense, time </w:t>
      </w:r>
      <w:r w:rsidR="00261117">
        <w:rPr>
          <w:sz w:val="24"/>
        </w:rPr>
        <w:t>and uncertainty of litigation.</w:t>
      </w:r>
    </w:p>
    <w:p w:rsidR="00383CA3" w:rsidRPr="009969FE" w:rsidRDefault="009969FE" w:rsidP="008117AE">
      <w:pPr>
        <w:widowControl/>
        <w:numPr>
          <w:ilvl w:val="0"/>
          <w:numId w:val="4"/>
        </w:numPr>
        <w:tabs>
          <w:tab w:val="clear" w:pos="1080"/>
          <w:tab w:val="left" w:pos="720"/>
        </w:tabs>
        <w:autoSpaceDE/>
        <w:autoSpaceDN/>
        <w:adjustRightInd/>
        <w:spacing w:line="480" w:lineRule="auto"/>
        <w:ind w:left="0" w:hanging="720"/>
        <w:rPr>
          <w:sz w:val="24"/>
        </w:rPr>
      </w:pPr>
      <w:r w:rsidRPr="009969FE">
        <w:rPr>
          <w:sz w:val="24"/>
        </w:rPr>
        <w:tab/>
      </w:r>
      <w:r w:rsidR="001F487D" w:rsidRPr="009969FE">
        <w:rPr>
          <w:sz w:val="24"/>
        </w:rPr>
        <w:t>As a full resolution of the Complaint,</w:t>
      </w:r>
      <w:r>
        <w:rPr>
          <w:sz w:val="24"/>
        </w:rPr>
        <w:t xml:space="preserve"> the Parties agree to the following terms</w:t>
      </w:r>
      <w:r w:rsidR="00383CA3" w:rsidRPr="009969FE">
        <w:rPr>
          <w:sz w:val="24"/>
        </w:rPr>
        <w:t>:</w:t>
      </w:r>
    </w:p>
    <w:p w:rsidR="00383CA3" w:rsidRPr="005C544F" w:rsidRDefault="001F487D" w:rsidP="005C544F">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83CA3" w:rsidRPr="007E60D5">
        <w:rPr>
          <w:sz w:val="24"/>
        </w:rPr>
        <w:t>1.</w:t>
      </w:r>
      <w:r w:rsidR="00383CA3" w:rsidRPr="007E60D5">
        <w:rPr>
          <w:sz w:val="24"/>
        </w:rPr>
        <w:tab/>
        <w:t>PSE will implement a Deactivated Gas Line Inspection and Remediation Program, attac</w:t>
      </w:r>
      <w:r w:rsidR="00F847BB">
        <w:rPr>
          <w:sz w:val="24"/>
        </w:rPr>
        <w:t>hed hereto as Appendix </w:t>
      </w:r>
      <w:r w:rsidR="00383CA3" w:rsidRPr="007E60D5">
        <w:rPr>
          <w:sz w:val="24"/>
        </w:rPr>
        <w:t>A. The Inspection and Remediation Program represents a collaborative effort designed to identify and mitigate any other improperly deactivated service lines that may exist within PSE’s system.</w:t>
      </w:r>
    </w:p>
    <w:p w:rsidR="00383CA3" w:rsidRPr="007E60D5" w:rsidRDefault="005C544F" w:rsidP="00D900E4">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83CA3" w:rsidRPr="007E60D5">
        <w:rPr>
          <w:sz w:val="24"/>
        </w:rPr>
        <w:t>2.</w:t>
      </w:r>
      <w:r w:rsidR="00383CA3" w:rsidRPr="007E60D5">
        <w:rPr>
          <w:sz w:val="24"/>
        </w:rPr>
        <w:tab/>
      </w:r>
      <w:r>
        <w:rPr>
          <w:sz w:val="24"/>
        </w:rPr>
        <w:t xml:space="preserve">For settlement purposes, </w:t>
      </w:r>
      <w:r w:rsidR="00383CA3" w:rsidRPr="007E60D5">
        <w:rPr>
          <w:sz w:val="24"/>
        </w:rPr>
        <w:t xml:space="preserve">PSE </w:t>
      </w:r>
      <w:r w:rsidR="00D900E4">
        <w:rPr>
          <w:sz w:val="24"/>
        </w:rPr>
        <w:t>does</w:t>
      </w:r>
      <w:r>
        <w:rPr>
          <w:sz w:val="24"/>
        </w:rPr>
        <w:t xml:space="preserve"> not contest that </w:t>
      </w:r>
      <w:r w:rsidR="00D900E4">
        <w:rPr>
          <w:sz w:val="24"/>
        </w:rPr>
        <w:t>it committed the following violations, as alleged in the Complaint:</w:t>
      </w:r>
      <w:r w:rsidR="00F847BB">
        <w:rPr>
          <w:sz w:val="24"/>
        </w:rPr>
        <w:t xml:space="preserve"> 49 C.F.R. § </w:t>
      </w:r>
      <w:r w:rsidR="00383CA3" w:rsidRPr="007E60D5">
        <w:rPr>
          <w:sz w:val="24"/>
        </w:rPr>
        <w:t>192.727(b) (imp</w:t>
      </w:r>
      <w:r w:rsidR="00D900E4">
        <w:rPr>
          <w:sz w:val="24"/>
        </w:rPr>
        <w:t xml:space="preserve">roper deactivation of pipeline), </w:t>
      </w:r>
      <w:r w:rsidR="00F847BB">
        <w:rPr>
          <w:sz w:val="24"/>
        </w:rPr>
        <w:t>WAC </w:t>
      </w:r>
      <w:r w:rsidR="00383CA3" w:rsidRPr="007E60D5">
        <w:rPr>
          <w:sz w:val="24"/>
        </w:rPr>
        <w:t>480-93-180 (failure to follow internal procedures related to deactivation of pipeline)</w:t>
      </w:r>
      <w:r w:rsidR="00D900E4">
        <w:rPr>
          <w:sz w:val="24"/>
        </w:rPr>
        <w:t xml:space="preserve">, WAC 480-93-188 </w:t>
      </w:r>
      <w:r w:rsidR="00D900E4" w:rsidRPr="00D900E4">
        <w:rPr>
          <w:sz w:val="24"/>
        </w:rPr>
        <w:t>(failure to perform gas leak surveys)</w:t>
      </w:r>
      <w:r w:rsidR="00D900E4">
        <w:rPr>
          <w:sz w:val="24"/>
        </w:rPr>
        <w:t xml:space="preserve">; </w:t>
      </w:r>
      <w:r w:rsidR="00F847BB">
        <w:rPr>
          <w:sz w:val="24"/>
        </w:rPr>
        <w:t>49 C.F.R. § </w:t>
      </w:r>
      <w:r w:rsidR="00D900E4" w:rsidRPr="00D900E4">
        <w:rPr>
          <w:sz w:val="24"/>
        </w:rPr>
        <w:t>192.481(a)</w:t>
      </w:r>
      <w:r w:rsidR="00D900E4">
        <w:rPr>
          <w:sz w:val="24"/>
        </w:rPr>
        <w:t xml:space="preserve"> (failure to perform atmospheric co</w:t>
      </w:r>
      <w:r w:rsidR="00F847BB">
        <w:rPr>
          <w:sz w:val="24"/>
        </w:rPr>
        <w:t>rrosion tests); and 49 C.F.R. § </w:t>
      </w:r>
      <w:r w:rsidR="00D900E4">
        <w:rPr>
          <w:sz w:val="24"/>
        </w:rPr>
        <w:t>192.465(a) (failure to perform external corrosion tests). This acknowledgement is subject to the jurisdictional and evidentiary limitations described in the General Provisions below.</w:t>
      </w:r>
    </w:p>
    <w:p w:rsidR="00383CA3" w:rsidRPr="007E60D5" w:rsidRDefault="00D900E4" w:rsidP="00383CA3">
      <w:pPr>
        <w:widowControl/>
        <w:numPr>
          <w:ilvl w:val="0"/>
          <w:numId w:val="4"/>
        </w:numPr>
        <w:tabs>
          <w:tab w:val="clear" w:pos="1080"/>
          <w:tab w:val="left" w:pos="720"/>
        </w:tabs>
        <w:autoSpaceDE/>
        <w:autoSpaceDN/>
        <w:adjustRightInd/>
        <w:spacing w:line="480" w:lineRule="auto"/>
        <w:ind w:left="0" w:hanging="720"/>
        <w:rPr>
          <w:sz w:val="24"/>
        </w:rPr>
      </w:pPr>
      <w:r>
        <w:rPr>
          <w:sz w:val="24"/>
        </w:rPr>
        <w:tab/>
      </w:r>
      <w:r w:rsidR="00383CA3" w:rsidRPr="007E60D5">
        <w:rPr>
          <w:sz w:val="24"/>
        </w:rPr>
        <w:t>3.</w:t>
      </w:r>
      <w:r w:rsidR="00383CA3" w:rsidRPr="007E60D5">
        <w:rPr>
          <w:sz w:val="24"/>
        </w:rPr>
        <w:tab/>
        <w:t>PSE agrees to a total monetary penalty of $2,750,000, of which $1,</w:t>
      </w:r>
      <w:r>
        <w:rPr>
          <w:sz w:val="24"/>
        </w:rPr>
        <w:t>2</w:t>
      </w:r>
      <w:r w:rsidR="00383CA3" w:rsidRPr="007E60D5">
        <w:rPr>
          <w:sz w:val="24"/>
        </w:rPr>
        <w:t xml:space="preserve">50,000 will be suspended on the condition that PSE completes the </w:t>
      </w:r>
      <w:r w:rsidRPr="007E60D5">
        <w:rPr>
          <w:sz w:val="24"/>
        </w:rPr>
        <w:t>Deactivated Gas Line Inspection and Remediation Program, attached hereto as Appendix A</w:t>
      </w:r>
      <w:r w:rsidR="00383CA3" w:rsidRPr="007E60D5">
        <w:rPr>
          <w:sz w:val="24"/>
        </w:rPr>
        <w:t xml:space="preserve">. Within 10 days of </w:t>
      </w:r>
      <w:r>
        <w:rPr>
          <w:sz w:val="24"/>
        </w:rPr>
        <w:t>the Effective Date of this Agreement</w:t>
      </w:r>
      <w:r w:rsidR="00383CA3" w:rsidRPr="007E60D5">
        <w:rPr>
          <w:sz w:val="24"/>
        </w:rPr>
        <w:t>, PSE will pay $1,</w:t>
      </w:r>
      <w:r>
        <w:rPr>
          <w:sz w:val="24"/>
        </w:rPr>
        <w:t>5</w:t>
      </w:r>
      <w:r w:rsidR="00383CA3" w:rsidRPr="007E60D5">
        <w:rPr>
          <w:sz w:val="24"/>
        </w:rPr>
        <w:t xml:space="preserve">00,000 to the </w:t>
      </w:r>
      <w:r>
        <w:rPr>
          <w:sz w:val="24"/>
        </w:rPr>
        <w:t>Commission.</w:t>
      </w:r>
    </w:p>
    <w:p w:rsidR="00383CA3" w:rsidRPr="007E60D5" w:rsidRDefault="00383CA3" w:rsidP="00D900E4">
      <w:pPr>
        <w:widowControl/>
        <w:tabs>
          <w:tab w:val="left" w:pos="720"/>
        </w:tabs>
        <w:autoSpaceDE/>
        <w:autoSpaceDN/>
        <w:adjustRightInd/>
        <w:spacing w:line="480" w:lineRule="auto"/>
        <w:jc w:val="center"/>
        <w:rPr>
          <w:b/>
          <w:sz w:val="24"/>
        </w:rPr>
      </w:pPr>
      <w:r w:rsidRPr="007E60D5">
        <w:rPr>
          <w:b/>
          <w:sz w:val="24"/>
        </w:rPr>
        <w:t>V</w:t>
      </w:r>
      <w:r w:rsidR="00D900E4">
        <w:rPr>
          <w:b/>
          <w:sz w:val="24"/>
        </w:rPr>
        <w:t>I</w:t>
      </w:r>
      <w:r w:rsidRPr="007E60D5">
        <w:rPr>
          <w:b/>
          <w:sz w:val="24"/>
        </w:rPr>
        <w:t>.</w:t>
      </w:r>
      <w:r w:rsidRPr="007E60D5">
        <w:rPr>
          <w:b/>
          <w:sz w:val="24"/>
        </w:rPr>
        <w:tab/>
        <w:t>GENERAL PROVISIONS</w:t>
      </w:r>
    </w:p>
    <w:p w:rsidR="00383CA3" w:rsidRPr="007E60D5" w:rsidRDefault="00383CA3" w:rsidP="00D900E4">
      <w:pPr>
        <w:widowControl/>
        <w:tabs>
          <w:tab w:val="left" w:pos="720"/>
        </w:tabs>
        <w:autoSpaceDE/>
        <w:autoSpaceDN/>
        <w:adjustRightInd/>
        <w:spacing w:line="480" w:lineRule="auto"/>
        <w:rPr>
          <w:b/>
          <w:sz w:val="24"/>
        </w:rPr>
      </w:pPr>
      <w:r w:rsidRPr="007E60D5">
        <w:rPr>
          <w:b/>
          <w:sz w:val="24"/>
        </w:rPr>
        <w:t>Nature of the Agreement</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The Parties </w:t>
      </w:r>
      <w:r w:rsidR="009969FE">
        <w:rPr>
          <w:sz w:val="24"/>
        </w:rPr>
        <w:t>agree</w:t>
      </w:r>
      <w:r w:rsidRPr="007E60D5">
        <w:rPr>
          <w:sz w:val="24"/>
        </w:rPr>
        <w:t xml:space="preserve"> that this Agreement is an appropriate settlement of all issues in this proceeding. The Parties understand that this Agreement is subject to Commission approval and it is not effective unless and until it is approved by the Commission.</w:t>
      </w:r>
    </w:p>
    <w:p w:rsidR="00383CA3" w:rsidRPr="007E60D5" w:rsidRDefault="00383CA3" w:rsidP="00D900E4">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lastRenderedPageBreak/>
        <w:tab/>
      </w:r>
      <w:r w:rsidR="00D900E4" w:rsidRPr="00D900E4">
        <w:rPr>
          <w:sz w:val="24"/>
        </w:rPr>
        <w:t xml:space="preserve">Nothing in this Agreement is intended to limit or bar any other entity from pursuing legal claims, or to limit or bar PSE’s ability to assert defenses to such claims. </w:t>
      </w:r>
      <w:r w:rsidR="00842C9D">
        <w:rPr>
          <w:sz w:val="24"/>
        </w:rPr>
        <w:t>The P</w:t>
      </w:r>
      <w:r w:rsidR="00D900E4" w:rsidRPr="00D900E4">
        <w:rPr>
          <w:sz w:val="24"/>
        </w:rPr>
        <w:t xml:space="preserve">arties expressly acknowledge that the Commission’s jurisdiction regarding the Greenwood incident is limited to enforcement of its statutes and regulations regarding natural gas pipelines and pipeline safety (RCW 81.88, WAC 480-90, and WAC 480-93) and does not extend or create any new authority regarding laws outside its jurisdiction, including tort liability. </w:t>
      </w:r>
      <w:r w:rsidR="00842C9D">
        <w:rPr>
          <w:sz w:val="24"/>
        </w:rPr>
        <w:t>The P</w:t>
      </w:r>
      <w:r w:rsidR="00D900E4" w:rsidRPr="00D900E4">
        <w:rPr>
          <w:sz w:val="24"/>
        </w:rPr>
        <w:t>arties further acknowledge that, apart from evidence supporting this Agreement before this administrative tribunal, any evidence resulting from t</w:t>
      </w:r>
      <w:r w:rsidR="00F847BB">
        <w:rPr>
          <w:sz w:val="24"/>
        </w:rPr>
        <w:t>his proceeding is subject to ER 408/FR </w:t>
      </w:r>
      <w:r w:rsidR="00D900E4" w:rsidRPr="00D900E4">
        <w:rPr>
          <w:sz w:val="24"/>
        </w:rPr>
        <w:t>408. Any admission in this proceeding is limited for the purpose of settling this proceeding only and should not be construed as an admission in any context or proceeding outside t</w:t>
      </w:r>
      <w:r w:rsidR="00895900">
        <w:rPr>
          <w:sz w:val="24"/>
        </w:rPr>
        <w:t>he Commission’s jurisdiction.</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Nothing in this Agreement limits or bars the Commission from pursuing penalties for violations of Commission statutes </w:t>
      </w:r>
      <w:r w:rsidR="00D900E4">
        <w:rPr>
          <w:sz w:val="24"/>
        </w:rPr>
        <w:t>or</w:t>
      </w:r>
      <w:r w:rsidRPr="007E60D5">
        <w:rPr>
          <w:sz w:val="24"/>
        </w:rPr>
        <w:t xml:space="preserve"> rules unrelated to the sub</w:t>
      </w:r>
      <w:r w:rsidR="00D900E4">
        <w:rPr>
          <w:sz w:val="24"/>
        </w:rPr>
        <w:t>ject matter of this Agreement.</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The Parties have entered into this Agreement to avoid further expense, inconvenience, uncertainty, and delay. The Parties recognize that this Agreement represents a compromise of the Parties’ positions. As such, conduct, statements, and documents disclosed during negotiations of this Agreement shall not be admissible as evidence in this or </w:t>
      </w:r>
      <w:r w:rsidR="00895900">
        <w:rPr>
          <w:sz w:val="24"/>
        </w:rPr>
        <w:t xml:space="preserve">in </w:t>
      </w:r>
      <w:r w:rsidRPr="007E60D5">
        <w:rPr>
          <w:sz w:val="24"/>
        </w:rPr>
        <w:t>any other proceeding, except in any proceeding to enforce the terms of this Agreement or</w:t>
      </w:r>
      <w:r w:rsidR="00E77CAD">
        <w:rPr>
          <w:sz w:val="24"/>
        </w:rPr>
        <w:t xml:space="preserve"> in</w:t>
      </w:r>
      <w:r w:rsidRPr="007E60D5">
        <w:rPr>
          <w:sz w:val="24"/>
        </w:rPr>
        <w:t xml:space="preserve"> any Commission Order fully adopting those terms. This Agreement shall not be construed against any Party because it w</w:t>
      </w:r>
      <w:r w:rsidR="00E77CAD">
        <w:rPr>
          <w:sz w:val="24"/>
        </w:rPr>
        <w:t>as a drafter of this Agreement.</w:t>
      </w:r>
    </w:p>
    <w:p w:rsidR="00383CA3" w:rsidRPr="007E60D5" w:rsidRDefault="00383CA3" w:rsidP="00895900">
      <w:pPr>
        <w:widowControl/>
        <w:tabs>
          <w:tab w:val="left" w:pos="720"/>
        </w:tabs>
        <w:autoSpaceDE/>
        <w:autoSpaceDN/>
        <w:adjustRightInd/>
        <w:spacing w:line="480" w:lineRule="auto"/>
        <w:rPr>
          <w:b/>
          <w:sz w:val="24"/>
        </w:rPr>
      </w:pPr>
      <w:r w:rsidRPr="007E60D5">
        <w:rPr>
          <w:b/>
          <w:sz w:val="24"/>
        </w:rPr>
        <w:t>Integrated Terms of Settlement</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The Parties have negotiated this Agreement as an integrated document to be filed with the Commission only upon execution. Once the Agreement is executed, the Parties </w:t>
      </w:r>
      <w:r w:rsidRPr="007E60D5">
        <w:rPr>
          <w:sz w:val="24"/>
        </w:rPr>
        <w:lastRenderedPageBreak/>
        <w:t>agree to support the Agreement in its entirety. This Agreement supersedes all prior oral and written agreements on is</w:t>
      </w:r>
      <w:r w:rsidR="00895900">
        <w:rPr>
          <w:sz w:val="24"/>
        </w:rPr>
        <w:t>sues addressed herein, if any.</w:t>
      </w:r>
    </w:p>
    <w:p w:rsidR="00383CA3" w:rsidRPr="007E60D5" w:rsidRDefault="00383CA3" w:rsidP="00895900">
      <w:pPr>
        <w:widowControl/>
        <w:tabs>
          <w:tab w:val="left" w:pos="720"/>
        </w:tabs>
        <w:autoSpaceDE/>
        <w:autoSpaceDN/>
        <w:adjustRightInd/>
        <w:spacing w:line="480" w:lineRule="auto"/>
        <w:rPr>
          <w:b/>
          <w:sz w:val="24"/>
        </w:rPr>
      </w:pPr>
      <w:r w:rsidRPr="007E60D5">
        <w:rPr>
          <w:b/>
          <w:sz w:val="24"/>
        </w:rPr>
        <w:t>Manner of Execution</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 xml:space="preserve">This Agreement is considered executed when </w:t>
      </w:r>
      <w:r w:rsidR="00C56E8C">
        <w:rPr>
          <w:sz w:val="24"/>
        </w:rPr>
        <w:t xml:space="preserve">the </w:t>
      </w:r>
      <w:r w:rsidR="00793004">
        <w:rPr>
          <w:sz w:val="24"/>
        </w:rPr>
        <w:t>Parties sign the Agreement.</w:t>
      </w:r>
      <w:r w:rsidRPr="007E60D5">
        <w:rPr>
          <w:sz w:val="24"/>
        </w:rPr>
        <w:t xml:space="preserve"> A designated and authorized representative may sign the Agreement on a Party’s behalf. The Parties may execute this agreement in counterparts. If the Agreement is executed in counterparts, all counterparts s</w:t>
      </w:r>
      <w:r w:rsidR="00793004">
        <w:rPr>
          <w:sz w:val="24"/>
        </w:rPr>
        <w:t>hall constitute one agreement. A</w:t>
      </w:r>
      <w:r w:rsidRPr="007E60D5">
        <w:rPr>
          <w:sz w:val="24"/>
        </w:rPr>
        <w:t xml:space="preserve">n Agreement signed in counterpart and scanned and sent </w:t>
      </w:r>
      <w:r w:rsidR="00793004" w:rsidRPr="007E60D5">
        <w:rPr>
          <w:sz w:val="24"/>
        </w:rPr>
        <w:t xml:space="preserve">by email </w:t>
      </w:r>
      <w:r w:rsidRPr="007E60D5">
        <w:rPr>
          <w:sz w:val="24"/>
        </w:rPr>
        <w:t xml:space="preserve">as a </w:t>
      </w:r>
      <w:r w:rsidR="00793004">
        <w:rPr>
          <w:sz w:val="24"/>
        </w:rPr>
        <w:t>.</w:t>
      </w:r>
      <w:r w:rsidRPr="007E60D5">
        <w:rPr>
          <w:sz w:val="24"/>
        </w:rPr>
        <w:t>pdf is as effe</w:t>
      </w:r>
      <w:r w:rsidR="00793004">
        <w:rPr>
          <w:sz w:val="24"/>
        </w:rPr>
        <w:t xml:space="preserve">ctive as an original document. </w:t>
      </w:r>
      <w:r w:rsidRPr="007E60D5">
        <w:rPr>
          <w:sz w:val="24"/>
        </w:rPr>
        <w:t xml:space="preserve">A scanned signature page containing the signature of a Party is acceptable as an original signature page signed by that Party. Each Party shall indicate the date of its signature on the Agreement. The date of execution of the Agreement will be the latest </w:t>
      </w:r>
      <w:r w:rsidR="00793004">
        <w:rPr>
          <w:sz w:val="24"/>
        </w:rPr>
        <w:t>date indicated on the signature page(s)</w:t>
      </w:r>
      <w:r w:rsidRPr="007E60D5">
        <w:rPr>
          <w:sz w:val="24"/>
        </w:rPr>
        <w:t>.</w:t>
      </w:r>
    </w:p>
    <w:p w:rsidR="00383CA3" w:rsidRPr="007E60D5" w:rsidRDefault="00383CA3" w:rsidP="00793004">
      <w:pPr>
        <w:widowControl/>
        <w:tabs>
          <w:tab w:val="left" w:pos="720"/>
        </w:tabs>
        <w:autoSpaceDE/>
        <w:autoSpaceDN/>
        <w:adjustRightInd/>
        <w:spacing w:line="480" w:lineRule="auto"/>
        <w:rPr>
          <w:b/>
          <w:sz w:val="24"/>
        </w:rPr>
      </w:pPr>
      <w:r w:rsidRPr="007E60D5">
        <w:rPr>
          <w:b/>
          <w:sz w:val="24"/>
        </w:rPr>
        <w:t>Procedure</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Once this Agreement is executed, the Parties agree to cooperate in promptly filing this Agreement with the Commission for approval. The Parties agree to support approval of this Agreement in proceedings before the Commission, through a narrative statement and, if required by the Commission, with testimony and briefing. However, if there is an applicable provision of law (e.g., statute, ordinance, order, or rule), effective after the date this Agreement is executed but before it is approved, and that provision of law changes the posture of the Agreement in either Party’s view, comments may be made to the Commission as to how the Agreement should be viewed in light of that order, rule or policy statement.  The Parties understand that, for as long as this Agreement is effective, if an applicable provision of law imposes upon PSE a requirement more stringent than a requirement in this Agreement, the more stringent requirement applies.</w:t>
      </w:r>
    </w:p>
    <w:p w:rsidR="00383CA3" w:rsidRPr="007E60D5" w:rsidRDefault="00383CA3" w:rsidP="00383CA3">
      <w:pPr>
        <w:widowControl/>
        <w:numPr>
          <w:ilvl w:val="0"/>
          <w:numId w:val="4"/>
        </w:numPr>
        <w:tabs>
          <w:tab w:val="clear" w:pos="1080"/>
          <w:tab w:val="left" w:pos="720"/>
        </w:tabs>
        <w:autoSpaceDE/>
        <w:autoSpaceDN/>
        <w:adjustRightInd/>
        <w:spacing w:line="480" w:lineRule="auto"/>
        <w:ind w:left="0" w:hanging="720"/>
        <w:rPr>
          <w:sz w:val="24"/>
        </w:rPr>
      </w:pPr>
      <w:r w:rsidRPr="007E60D5">
        <w:rPr>
          <w:sz w:val="24"/>
        </w:rPr>
        <w:tab/>
        <w:t>The Parties understand that the Commission will decide the appropriate procedures for presentation and considerat</w:t>
      </w:r>
      <w:r w:rsidR="00E77CAD">
        <w:rPr>
          <w:sz w:val="24"/>
        </w:rPr>
        <w:t>ion of the Agreement.</w:t>
      </w:r>
    </w:p>
    <w:p w:rsidR="00CD6D1B" w:rsidRPr="00CD6D1B" w:rsidRDefault="00383CA3" w:rsidP="007F202E">
      <w:pPr>
        <w:widowControl/>
        <w:numPr>
          <w:ilvl w:val="0"/>
          <w:numId w:val="4"/>
        </w:numPr>
        <w:tabs>
          <w:tab w:val="clear" w:pos="1080"/>
        </w:tabs>
        <w:autoSpaceDE/>
        <w:autoSpaceDN/>
        <w:adjustRightInd/>
        <w:spacing w:line="480" w:lineRule="auto"/>
        <w:ind w:left="0" w:hanging="720"/>
        <w:rPr>
          <w:sz w:val="24"/>
        </w:rPr>
      </w:pPr>
      <w:r w:rsidRPr="007E60D5">
        <w:rPr>
          <w:sz w:val="24"/>
        </w:rPr>
        <w:tab/>
        <w:t>In the event that the Commission rejects all or any portion of this Agreement, each Party reserves the right to withdraw from this Agreement by w</w:t>
      </w:r>
      <w:r w:rsidR="00793004">
        <w:rPr>
          <w:sz w:val="24"/>
        </w:rPr>
        <w:t>ri</w:t>
      </w:r>
      <w:r w:rsidR="00BE3488">
        <w:rPr>
          <w:sz w:val="24"/>
        </w:rPr>
        <w:t>tten notice to the other Party</w:t>
      </w:r>
      <w:r w:rsidRPr="007E60D5">
        <w:rPr>
          <w:sz w:val="24"/>
        </w:rPr>
        <w:t xml:space="preserve"> and</w:t>
      </w:r>
      <w:r w:rsidR="00793004">
        <w:rPr>
          <w:sz w:val="24"/>
        </w:rPr>
        <w:t xml:space="preserve"> to</w:t>
      </w:r>
      <w:r w:rsidRPr="007E60D5">
        <w:rPr>
          <w:sz w:val="24"/>
        </w:rPr>
        <w:t xml:space="preserve"> the Commission. Written notice must be served within 10 business days of the Commission order rejecting all or any portion of this Agreement. In such event, neither Party will be bound or prejudiced b</w:t>
      </w:r>
      <w:r w:rsidR="00793004">
        <w:rPr>
          <w:sz w:val="24"/>
        </w:rPr>
        <w:t xml:space="preserve">y the terms of this Agreement. </w:t>
      </w:r>
      <w:r w:rsidRPr="007E60D5">
        <w:rPr>
          <w:sz w:val="24"/>
        </w:rPr>
        <w:t>The Parties will jointly request a prehearing conference for purposes of establishing a procedural</w:t>
      </w:r>
      <w:r w:rsidR="00793004">
        <w:rPr>
          <w:sz w:val="24"/>
        </w:rPr>
        <w:t xml:space="preserve"> schedule to complete the case.</w:t>
      </w:r>
    </w:p>
    <w:tbl>
      <w:tblPr>
        <w:tblStyle w:val="TableGrid"/>
        <w:tblW w:w="17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4"/>
        <w:gridCol w:w="4464"/>
        <w:gridCol w:w="4464"/>
        <w:gridCol w:w="4464"/>
      </w:tblGrid>
      <w:tr w:rsidR="00E558DC" w:rsidTr="00E558DC">
        <w:tc>
          <w:tcPr>
            <w:tcW w:w="4464" w:type="dxa"/>
          </w:tcPr>
          <w:p w:rsidR="00E558DC" w:rsidRPr="00C31AD0" w:rsidRDefault="00E558DC" w:rsidP="00E558DC">
            <w:pPr>
              <w:keepNext/>
              <w:widowControl/>
              <w:tabs>
                <w:tab w:val="left" w:pos="720"/>
              </w:tabs>
              <w:autoSpaceDE/>
              <w:autoSpaceDN/>
              <w:adjustRightInd/>
              <w:rPr>
                <w:i/>
                <w:iCs/>
                <w:sz w:val="24"/>
              </w:rPr>
            </w:pPr>
            <w:r>
              <w:rPr>
                <w:i/>
                <w:iCs/>
                <w:sz w:val="24"/>
              </w:rPr>
              <w:t>F</w:t>
            </w:r>
            <w:r w:rsidRPr="244AA3AB">
              <w:rPr>
                <w:i/>
                <w:iCs/>
                <w:sz w:val="24"/>
              </w:rPr>
              <w:t>or Staff:</w:t>
            </w:r>
          </w:p>
          <w:p w:rsidR="00E558DC" w:rsidRDefault="00E558DC" w:rsidP="00E558DC">
            <w:pPr>
              <w:keepNext/>
              <w:widowControl/>
              <w:tabs>
                <w:tab w:val="left" w:pos="720"/>
              </w:tabs>
              <w:autoSpaceDE/>
              <w:autoSpaceDN/>
              <w:adjustRightInd/>
              <w:rPr>
                <w:sz w:val="24"/>
              </w:rPr>
            </w:pPr>
          </w:p>
          <w:p w:rsidR="00E558DC" w:rsidRPr="00E611FC" w:rsidRDefault="00E558DC" w:rsidP="00E558DC">
            <w:pPr>
              <w:keepNext/>
              <w:widowControl/>
              <w:tabs>
                <w:tab w:val="left" w:pos="720"/>
              </w:tabs>
              <w:autoSpaceDE/>
              <w:autoSpaceDN/>
              <w:adjustRightInd/>
              <w:rPr>
                <w:b/>
                <w:bCs/>
                <w:sz w:val="24"/>
              </w:rPr>
            </w:pPr>
            <w:r w:rsidRPr="244AA3AB">
              <w:rPr>
                <w:b/>
                <w:bCs/>
                <w:sz w:val="24"/>
              </w:rPr>
              <w:t>ROBERT W. FERGUSON</w:t>
            </w:r>
          </w:p>
          <w:p w:rsidR="00E558DC" w:rsidRPr="00E611FC" w:rsidRDefault="00E558DC" w:rsidP="00E558DC">
            <w:pPr>
              <w:keepNext/>
              <w:widowControl/>
              <w:tabs>
                <w:tab w:val="left" w:pos="720"/>
              </w:tabs>
              <w:autoSpaceDE/>
              <w:autoSpaceDN/>
              <w:adjustRightInd/>
              <w:rPr>
                <w:b/>
                <w:bCs/>
                <w:sz w:val="24"/>
              </w:rPr>
            </w:pPr>
            <w:r w:rsidRPr="244AA3AB">
              <w:rPr>
                <w:b/>
                <w:bCs/>
                <w:sz w:val="24"/>
              </w:rPr>
              <w:t>Attorney General</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sidRPr="244AA3AB">
              <w:rPr>
                <w:sz w:val="24"/>
              </w:rPr>
              <w:t>_______________________________</w:t>
            </w:r>
          </w:p>
          <w:p w:rsidR="00E558DC" w:rsidRDefault="00E558DC" w:rsidP="00E558DC">
            <w:pPr>
              <w:keepNext/>
              <w:widowControl/>
              <w:tabs>
                <w:tab w:val="left" w:pos="720"/>
              </w:tabs>
              <w:autoSpaceDE/>
              <w:autoSpaceDN/>
              <w:adjustRightInd/>
              <w:rPr>
                <w:sz w:val="24"/>
              </w:rPr>
            </w:pPr>
            <w:r w:rsidRPr="244AA3AB">
              <w:rPr>
                <w:sz w:val="24"/>
              </w:rPr>
              <w:t>Julian H. Beattie, WSBA #45586</w:t>
            </w:r>
            <w:r>
              <w:br/>
            </w:r>
            <w:r w:rsidRPr="244AA3AB">
              <w:rPr>
                <w:sz w:val="24"/>
              </w:rPr>
              <w:t xml:space="preserve">Sally Brown, WSBA </w:t>
            </w:r>
            <w:r>
              <w:rPr>
                <w:sz w:val="24"/>
              </w:rPr>
              <w:t>#17094</w:t>
            </w:r>
          </w:p>
          <w:p w:rsidR="00E558DC" w:rsidRDefault="00E558DC" w:rsidP="00E558DC">
            <w:pPr>
              <w:keepNext/>
              <w:widowControl/>
              <w:tabs>
                <w:tab w:val="left" w:pos="720"/>
              </w:tabs>
              <w:autoSpaceDE/>
              <w:autoSpaceDN/>
              <w:adjustRightInd/>
              <w:rPr>
                <w:sz w:val="24"/>
              </w:rPr>
            </w:pPr>
            <w:r>
              <w:rPr>
                <w:sz w:val="24"/>
              </w:rPr>
              <w:t>Assistant Attorneys General</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sidRPr="244AA3AB">
              <w:rPr>
                <w:sz w:val="24"/>
              </w:rPr>
              <w:t>Date signed _________</w:t>
            </w:r>
          </w:p>
          <w:p w:rsidR="00E558DC" w:rsidRDefault="00E558DC" w:rsidP="00E558DC">
            <w:pPr>
              <w:keepNext/>
              <w:widowControl/>
              <w:tabs>
                <w:tab w:val="left" w:pos="720"/>
              </w:tabs>
              <w:autoSpaceDE/>
              <w:autoSpaceDN/>
              <w:adjustRightInd/>
              <w:rPr>
                <w:i/>
                <w:sz w:val="24"/>
              </w:rPr>
            </w:pPr>
          </w:p>
          <w:p w:rsidR="00E558DC" w:rsidRPr="00DB70F6" w:rsidRDefault="00E558DC" w:rsidP="00E558DC">
            <w:pPr>
              <w:keepNext/>
              <w:widowControl/>
              <w:tabs>
                <w:tab w:val="left" w:pos="720"/>
              </w:tabs>
              <w:autoSpaceDE/>
              <w:autoSpaceDN/>
              <w:adjustRightInd/>
              <w:rPr>
                <w:i/>
                <w:sz w:val="24"/>
              </w:rPr>
            </w:pPr>
          </w:p>
          <w:p w:rsidR="00E558DC" w:rsidRDefault="00E558DC" w:rsidP="00E558DC">
            <w:pPr>
              <w:keepNext/>
              <w:widowControl/>
              <w:tabs>
                <w:tab w:val="left" w:pos="720"/>
              </w:tabs>
              <w:autoSpaceDE/>
              <w:autoSpaceDN/>
              <w:adjustRightInd/>
              <w:rPr>
                <w:sz w:val="24"/>
              </w:rPr>
            </w:pPr>
          </w:p>
        </w:tc>
        <w:tc>
          <w:tcPr>
            <w:tcW w:w="4464" w:type="dxa"/>
          </w:tcPr>
          <w:p w:rsidR="00E558DC" w:rsidRPr="00C31AD0" w:rsidRDefault="00E558DC" w:rsidP="00E558DC">
            <w:pPr>
              <w:keepNext/>
              <w:widowControl/>
              <w:tabs>
                <w:tab w:val="left" w:pos="720"/>
              </w:tabs>
              <w:autoSpaceDE/>
              <w:autoSpaceDN/>
              <w:adjustRightInd/>
              <w:rPr>
                <w:i/>
                <w:iCs/>
                <w:sz w:val="24"/>
              </w:rPr>
            </w:pPr>
            <w:r w:rsidRPr="244AA3AB">
              <w:rPr>
                <w:i/>
                <w:iCs/>
                <w:sz w:val="24"/>
              </w:rPr>
              <w:t>For PSE:</w:t>
            </w:r>
          </w:p>
          <w:p w:rsidR="00E558DC" w:rsidRDefault="00E558DC" w:rsidP="00E558DC">
            <w:pPr>
              <w:keepNext/>
              <w:widowControl/>
              <w:tabs>
                <w:tab w:val="left" w:pos="720"/>
              </w:tabs>
              <w:autoSpaceDE/>
              <w:autoSpaceDN/>
              <w:adjustRightInd/>
              <w:rPr>
                <w:sz w:val="24"/>
              </w:rPr>
            </w:pPr>
          </w:p>
          <w:p w:rsidR="00E558DC" w:rsidRPr="00E611FC" w:rsidRDefault="00E558DC" w:rsidP="00E558DC">
            <w:pPr>
              <w:keepNext/>
              <w:widowControl/>
              <w:tabs>
                <w:tab w:val="left" w:pos="720"/>
              </w:tabs>
              <w:autoSpaceDE/>
              <w:autoSpaceDN/>
              <w:adjustRightInd/>
              <w:rPr>
                <w:b/>
                <w:bCs/>
                <w:sz w:val="24"/>
              </w:rPr>
            </w:pPr>
            <w:r w:rsidRPr="244AA3AB">
              <w:rPr>
                <w:b/>
                <w:bCs/>
                <w:sz w:val="24"/>
              </w:rPr>
              <w:t>PUGET SOUND ENERGY</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sidRPr="244AA3AB">
              <w:rPr>
                <w:sz w:val="24"/>
              </w:rPr>
              <w:t>_______________________________</w:t>
            </w:r>
          </w:p>
          <w:p w:rsidR="00E558DC" w:rsidRDefault="00E558DC" w:rsidP="00E558DC">
            <w:pPr>
              <w:keepNext/>
              <w:widowControl/>
              <w:tabs>
                <w:tab w:val="left" w:pos="720"/>
              </w:tabs>
              <w:autoSpaceDE/>
              <w:autoSpaceDN/>
              <w:adjustRightInd/>
              <w:rPr>
                <w:sz w:val="24"/>
              </w:rPr>
            </w:pPr>
            <w:r w:rsidRPr="244AA3AB">
              <w:rPr>
                <w:sz w:val="24"/>
              </w:rPr>
              <w:t xml:space="preserve">Kendall </w:t>
            </w:r>
            <w:r>
              <w:rPr>
                <w:sz w:val="24"/>
              </w:rPr>
              <w:t xml:space="preserve">J. </w:t>
            </w:r>
            <w:r w:rsidRPr="244AA3AB">
              <w:rPr>
                <w:sz w:val="24"/>
              </w:rPr>
              <w:t>Cammermeyer</w:t>
            </w:r>
            <w:r>
              <w:rPr>
                <w:sz w:val="24"/>
              </w:rPr>
              <w:t>, WSBA #28855</w:t>
            </w:r>
          </w:p>
          <w:p w:rsidR="00E558DC" w:rsidRDefault="00E558DC" w:rsidP="00E558DC">
            <w:pPr>
              <w:keepNext/>
              <w:widowControl/>
              <w:tabs>
                <w:tab w:val="left" w:pos="720"/>
              </w:tabs>
              <w:autoSpaceDE/>
              <w:autoSpaceDN/>
              <w:adjustRightInd/>
              <w:rPr>
                <w:sz w:val="24"/>
              </w:rPr>
            </w:pPr>
            <w:r w:rsidRPr="244AA3AB">
              <w:rPr>
                <w:sz w:val="24"/>
              </w:rPr>
              <w:t>Assistant General Counsel</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sidRPr="244AA3AB">
              <w:rPr>
                <w:sz w:val="24"/>
              </w:rPr>
              <w:t>Date signed _________</w:t>
            </w:r>
          </w:p>
          <w:p w:rsidR="00E558DC" w:rsidRDefault="00E558DC" w:rsidP="00E558DC">
            <w:pPr>
              <w:keepNext/>
              <w:widowControl/>
              <w:tabs>
                <w:tab w:val="left" w:pos="720"/>
              </w:tabs>
              <w:autoSpaceDE/>
              <w:autoSpaceDN/>
              <w:adjustRightInd/>
              <w:rPr>
                <w:sz w:val="24"/>
              </w:rPr>
            </w:pPr>
          </w:p>
          <w:p w:rsidR="00E558DC" w:rsidRPr="00E611FC" w:rsidRDefault="00E558DC" w:rsidP="00E558DC">
            <w:pPr>
              <w:keepNext/>
              <w:widowControl/>
              <w:tabs>
                <w:tab w:val="left" w:pos="720"/>
              </w:tabs>
              <w:autoSpaceDE/>
              <w:autoSpaceDN/>
              <w:adjustRightInd/>
              <w:rPr>
                <w:b/>
                <w:bCs/>
                <w:sz w:val="24"/>
              </w:rPr>
            </w:pPr>
            <w:r w:rsidRPr="244AA3AB">
              <w:rPr>
                <w:b/>
                <w:bCs/>
                <w:sz w:val="24"/>
              </w:rPr>
              <w:t>PERKINS COIE LLP</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sidRPr="244AA3AB">
              <w:rPr>
                <w:sz w:val="24"/>
              </w:rPr>
              <w:t>_______________________________</w:t>
            </w:r>
          </w:p>
          <w:p w:rsidR="00E558DC" w:rsidRDefault="00E558DC" w:rsidP="00E558DC">
            <w:pPr>
              <w:keepNext/>
              <w:widowControl/>
              <w:tabs>
                <w:tab w:val="left" w:pos="720"/>
              </w:tabs>
              <w:autoSpaceDE/>
              <w:autoSpaceDN/>
              <w:adjustRightInd/>
              <w:rPr>
                <w:sz w:val="24"/>
              </w:rPr>
            </w:pPr>
            <w:r w:rsidRPr="244AA3AB">
              <w:rPr>
                <w:sz w:val="24"/>
              </w:rPr>
              <w:t>James F. Williams, WSBA #23613</w:t>
            </w:r>
            <w:r>
              <w:br/>
            </w:r>
            <w:r w:rsidRPr="244AA3AB">
              <w:rPr>
                <w:sz w:val="24"/>
              </w:rPr>
              <w:t>Donna L. Barnett, WSBA #36794</w:t>
            </w:r>
            <w:r>
              <w:br/>
            </w:r>
            <w:r w:rsidRPr="244AA3AB">
              <w:rPr>
                <w:sz w:val="24"/>
              </w:rPr>
              <w:t>David S. Steele, WSBA #45640</w:t>
            </w:r>
          </w:p>
          <w:p w:rsidR="00E558DC" w:rsidRDefault="00E558DC" w:rsidP="00E558DC">
            <w:pPr>
              <w:keepNext/>
              <w:widowControl/>
              <w:tabs>
                <w:tab w:val="left" w:pos="720"/>
              </w:tabs>
              <w:autoSpaceDE/>
              <w:autoSpaceDN/>
              <w:adjustRightInd/>
              <w:rPr>
                <w:sz w:val="24"/>
              </w:rPr>
            </w:pPr>
          </w:p>
          <w:p w:rsidR="00E558DC" w:rsidRDefault="00E558DC" w:rsidP="00E558DC">
            <w:pPr>
              <w:keepNext/>
              <w:widowControl/>
              <w:tabs>
                <w:tab w:val="left" w:pos="720"/>
              </w:tabs>
              <w:autoSpaceDE/>
              <w:autoSpaceDN/>
              <w:adjustRightInd/>
              <w:rPr>
                <w:sz w:val="24"/>
              </w:rPr>
            </w:pPr>
            <w:r>
              <w:rPr>
                <w:sz w:val="24"/>
              </w:rPr>
              <w:t>Date signed __________</w:t>
            </w:r>
          </w:p>
          <w:p w:rsidR="00E558DC" w:rsidRDefault="00E558DC" w:rsidP="00E558DC">
            <w:pPr>
              <w:keepNext/>
              <w:widowControl/>
              <w:tabs>
                <w:tab w:val="left" w:pos="720"/>
              </w:tabs>
              <w:autoSpaceDE/>
              <w:autoSpaceDN/>
              <w:adjustRightInd/>
              <w:rPr>
                <w:sz w:val="24"/>
              </w:rPr>
            </w:pPr>
          </w:p>
        </w:tc>
        <w:tc>
          <w:tcPr>
            <w:tcW w:w="4464" w:type="dxa"/>
          </w:tcPr>
          <w:p w:rsidR="00E558DC" w:rsidRDefault="00E558DC" w:rsidP="00E558DC">
            <w:pPr>
              <w:keepNext/>
              <w:widowControl/>
              <w:tabs>
                <w:tab w:val="left" w:pos="720"/>
              </w:tabs>
              <w:autoSpaceDE/>
              <w:autoSpaceDN/>
              <w:adjustRightInd/>
              <w:rPr>
                <w:sz w:val="24"/>
              </w:rPr>
            </w:pPr>
          </w:p>
        </w:tc>
        <w:tc>
          <w:tcPr>
            <w:tcW w:w="4464" w:type="dxa"/>
          </w:tcPr>
          <w:p w:rsidR="00E558DC" w:rsidRPr="00C31AD0" w:rsidRDefault="00E558DC" w:rsidP="00E558DC">
            <w:pPr>
              <w:keepNext/>
              <w:widowControl/>
              <w:tabs>
                <w:tab w:val="left" w:pos="720"/>
              </w:tabs>
              <w:autoSpaceDE/>
              <w:autoSpaceDN/>
              <w:adjustRightInd/>
              <w:rPr>
                <w:sz w:val="24"/>
              </w:rPr>
            </w:pPr>
          </w:p>
        </w:tc>
      </w:tr>
    </w:tbl>
    <w:p w:rsidR="004B7EE6" w:rsidRDefault="004B7EE6" w:rsidP="00793004">
      <w:pPr>
        <w:widowControl/>
        <w:tabs>
          <w:tab w:val="left" w:pos="720"/>
        </w:tabs>
        <w:autoSpaceDE/>
        <w:autoSpaceDN/>
        <w:adjustRightInd/>
        <w:spacing w:line="480" w:lineRule="auto"/>
        <w:rPr>
          <w:sz w:val="24"/>
        </w:rPr>
      </w:pPr>
    </w:p>
    <w:p w:rsidR="001F487D" w:rsidRDefault="001F487D" w:rsidP="001F487D">
      <w:pPr>
        <w:widowControl/>
        <w:tabs>
          <w:tab w:val="left" w:pos="720"/>
        </w:tabs>
        <w:autoSpaceDE/>
        <w:autoSpaceDN/>
        <w:adjustRightInd/>
        <w:spacing w:line="480" w:lineRule="auto"/>
        <w:rPr>
          <w:sz w:val="24"/>
        </w:rPr>
        <w:sectPr w:rsidR="001F487D" w:rsidSect="00F748D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72" w:header="720" w:footer="720" w:gutter="0"/>
          <w:cols w:space="720"/>
          <w:docGrid w:linePitch="360"/>
        </w:sectPr>
      </w:pPr>
    </w:p>
    <w:p w:rsidR="005C544F" w:rsidRDefault="005C544F" w:rsidP="005C544F">
      <w:pPr>
        <w:spacing w:afterLines="60" w:after="144"/>
        <w:jc w:val="center"/>
        <w:rPr>
          <w:rFonts w:ascii="Calibri" w:hAnsi="Calibri" w:cs="Calibri"/>
          <w:b/>
          <w:sz w:val="28"/>
        </w:rPr>
      </w:pPr>
      <w:r>
        <w:rPr>
          <w:rFonts w:ascii="Calibri" w:hAnsi="Calibri" w:cs="Calibri"/>
          <w:b/>
          <w:sz w:val="28"/>
        </w:rPr>
        <w:t>APPENDIX A</w:t>
      </w:r>
    </w:p>
    <w:p w:rsidR="006642F9" w:rsidRPr="006642F9" w:rsidRDefault="006642F9" w:rsidP="006642F9">
      <w:pPr>
        <w:widowControl/>
        <w:autoSpaceDE/>
        <w:autoSpaceDN/>
        <w:adjustRightInd/>
        <w:spacing w:afterLines="60" w:after="144" w:line="276" w:lineRule="auto"/>
        <w:rPr>
          <w:rFonts w:ascii="Calibri" w:eastAsia="Calibri" w:hAnsi="Calibri"/>
          <w:b/>
          <w:sz w:val="28"/>
          <w:szCs w:val="22"/>
        </w:rPr>
      </w:pPr>
      <w:r w:rsidRPr="006642F9">
        <w:rPr>
          <w:rFonts w:ascii="Calibri" w:eastAsia="Calibri" w:hAnsi="Calibri"/>
          <w:b/>
          <w:sz w:val="28"/>
          <w:szCs w:val="22"/>
        </w:rPr>
        <w:t>Deactivated Gas Line Inspection and Remediation Program</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The objective of PSE’s Deactivated Gas Line Inspection and Remediation Program (“Inspection and Remediation Program”)</w:t>
      </w:r>
      <w:r w:rsidRPr="006642F9" w:rsidDel="00B25C54">
        <w:rPr>
          <w:rFonts w:ascii="Calibri" w:eastAsia="Calibri" w:hAnsi="Calibri"/>
          <w:sz w:val="22"/>
          <w:szCs w:val="22"/>
        </w:rPr>
        <w:t xml:space="preserve"> </w:t>
      </w:r>
      <w:r w:rsidRPr="006642F9">
        <w:rPr>
          <w:rFonts w:ascii="Calibri" w:eastAsia="Calibri" w:hAnsi="Calibri"/>
          <w:sz w:val="22"/>
          <w:szCs w:val="22"/>
        </w:rPr>
        <w:t>is to identify, inspect, and remediate two categories of gas service piping: (1) retired services that may still be active due to improper abandonment; and (2) active aboveground services that are susceptible to damage due to their location. For purposes of this Inspection and Remediation Program, “PSE” means PSE, or its contractor, or both.</w:t>
      </w:r>
      <w:r w:rsidRPr="006642F9">
        <w:rPr>
          <w:rFonts w:ascii="Calibri" w:eastAsia="Calibri" w:hAnsi="Calibri"/>
          <w:sz w:val="22"/>
          <w:szCs w:val="22"/>
          <w:vertAlign w:val="superscript"/>
        </w:rPr>
        <w:t xml:space="preserve"> </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DEFINITIONS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1.  “Business District” means an area where the public regularly congregates or where the majority of the buildings on either side of the street are regularly utilized for financial, commercial, industrial, religious, educational, health, or recreational purposes.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2. “High Occupancy Structure” or “HOS” means a building or an outside area (such as a playground, recreation area, outdoor theater, or other place of public assembly) that is occupied by 20 or more persons on at least 5 days a week for 10 weeks in any 12-month period. (The days and weeks need not be consecutive.)</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3. “Hard to Reach Location” or “H2RL” means a facility that requires special equipment to obtain access to complete the inspection required by Operating Standard 2600.1800, including (but not limited to) services or mains that are installed under docks/piers, services with rooftop meter set assemblies, inside services, and services or mains installed on bridges.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4. “GIS” means Geographic Information System.</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5. “DIMP” means PSE’s Distribution Integrity Management Program.</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 xml:space="preserve">6.  “Continuing Surveillance Annual Report” means the PSE report on inspection results and mitigation plans that </w:t>
      </w:r>
      <w:r w:rsidR="007743EC">
        <w:rPr>
          <w:rFonts w:ascii="Calibri" w:eastAsia="Calibri" w:hAnsi="Calibri"/>
          <w:sz w:val="22"/>
          <w:szCs w:val="22"/>
        </w:rPr>
        <w:t>is</w:t>
      </w:r>
      <w:r w:rsidRPr="006642F9">
        <w:rPr>
          <w:rFonts w:ascii="Calibri" w:eastAsia="Calibri" w:hAnsi="Calibri"/>
          <w:sz w:val="22"/>
          <w:szCs w:val="22"/>
        </w:rPr>
        <w:t xml:space="preserve"> submitted annually, no later than July 1, to WUTC staff.</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p>
    <w:p w:rsidR="006642F9" w:rsidRPr="006642F9" w:rsidRDefault="006642F9" w:rsidP="006642F9">
      <w:pPr>
        <w:widowControl/>
        <w:numPr>
          <w:ilvl w:val="0"/>
          <w:numId w:val="26"/>
        </w:numPr>
        <w:autoSpaceDE/>
        <w:autoSpaceDN/>
        <w:adjustRightInd/>
        <w:spacing w:afterLines="60" w:after="144" w:line="276" w:lineRule="auto"/>
        <w:ind w:left="720"/>
        <w:contextualSpacing/>
        <w:rPr>
          <w:rFonts w:ascii="Calibri" w:eastAsia="Calibri" w:hAnsi="Calibri"/>
          <w:b/>
          <w:sz w:val="28"/>
          <w:szCs w:val="22"/>
        </w:rPr>
      </w:pPr>
      <w:r w:rsidRPr="006642F9">
        <w:rPr>
          <w:rFonts w:ascii="Calibri" w:eastAsia="Calibri" w:hAnsi="Calibri"/>
          <w:b/>
          <w:sz w:val="28"/>
          <w:szCs w:val="22"/>
        </w:rPr>
        <w:t>Retired Service Pipe Inspections</w:t>
      </w:r>
    </w:p>
    <w:p w:rsidR="006642F9" w:rsidRPr="006642F9" w:rsidRDefault="006642F9" w:rsidP="006642F9">
      <w:pPr>
        <w:widowControl/>
        <w:autoSpaceDE/>
        <w:autoSpaceDN/>
        <w:adjustRightInd/>
        <w:spacing w:afterLines="60" w:after="144" w:line="276" w:lineRule="auto"/>
        <w:rPr>
          <w:rFonts w:ascii="Calibri" w:eastAsia="Calibri" w:hAnsi="Calibri"/>
          <w:b/>
          <w:sz w:val="22"/>
          <w:szCs w:val="22"/>
        </w:rPr>
      </w:pPr>
      <w:r w:rsidRPr="006642F9">
        <w:rPr>
          <w:rFonts w:ascii="Calibri" w:eastAsia="Calibri" w:hAnsi="Calibri"/>
          <w:sz w:val="22"/>
          <w:szCs w:val="22"/>
        </w:rPr>
        <w:t>PSE will identify, inspect, and remediate retired services that may still be active due to improper abandonment.</w:t>
      </w:r>
    </w:p>
    <w:p w:rsidR="006642F9" w:rsidRPr="006642F9" w:rsidRDefault="006642F9" w:rsidP="006642F9">
      <w:pPr>
        <w:widowControl/>
        <w:numPr>
          <w:ilvl w:val="0"/>
          <w:numId w:val="27"/>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 xml:space="preserve">Identification.  </w:t>
      </w:r>
      <w:r w:rsidRPr="006642F9">
        <w:rPr>
          <w:rFonts w:ascii="Calibri" w:eastAsia="Calibri" w:hAnsi="Calibri"/>
          <w:sz w:val="22"/>
          <w:szCs w:val="22"/>
        </w:rPr>
        <w:t>PSE has utilized GIS to identify a total population of 40,789 retired service pipe locations.</w:t>
      </w:r>
    </w:p>
    <w:p w:rsidR="006642F9" w:rsidRPr="006642F9" w:rsidRDefault="006642F9" w:rsidP="006642F9">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6642F9">
      <w:pPr>
        <w:widowControl/>
        <w:numPr>
          <w:ilvl w:val="0"/>
          <w:numId w:val="27"/>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 xml:space="preserve">Inspection.  </w:t>
      </w:r>
      <w:r w:rsidRPr="006642F9">
        <w:rPr>
          <w:rFonts w:ascii="Calibri" w:eastAsia="Calibri" w:hAnsi="Calibri"/>
          <w:sz w:val="22"/>
          <w:szCs w:val="22"/>
        </w:rPr>
        <w:t>PSE will prioritize and perform its inspections as follows:   Inspections will be performed by individuals specifically trained for the inspection of retired services that may still be active due to improper abandonment.  This inspection activity together with any necessary mitigation shall be reported to WUTC staff as part of the daily reports of construction and repair required in WAC 480-93-200(12), or other such mechanism, as mutually agreed, that facilitates the identification of where daily inspections are occurring for purposes of observation by WUTC pipeline safety staff.  This activity shall be identified in the daily report as “Retired Service Pipe Inspection.”</w:t>
      </w:r>
    </w:p>
    <w:p w:rsidR="006642F9" w:rsidRPr="006642F9" w:rsidRDefault="006642F9" w:rsidP="006642F9">
      <w:pPr>
        <w:widowControl/>
        <w:autoSpaceDE/>
        <w:autoSpaceDN/>
        <w:adjustRightInd/>
        <w:spacing w:afterLines="60" w:after="144" w:line="276" w:lineRule="auto"/>
        <w:ind w:left="1080"/>
        <w:contextualSpacing/>
        <w:rPr>
          <w:rFonts w:ascii="Calibri" w:eastAsia="Calibri" w:hAnsi="Calibri"/>
          <w:sz w:val="22"/>
          <w:szCs w:val="22"/>
        </w:rPr>
      </w:pPr>
    </w:p>
    <w:p w:rsidR="006642F9" w:rsidRPr="006642F9" w:rsidRDefault="006642F9" w:rsidP="006642F9">
      <w:pPr>
        <w:widowControl/>
        <w:numPr>
          <w:ilvl w:val="1"/>
          <w:numId w:val="27"/>
        </w:numPr>
        <w:autoSpaceDE/>
        <w:autoSpaceDN/>
        <w:adjustRightInd/>
        <w:spacing w:afterLines="60" w:after="144" w:line="276" w:lineRule="auto"/>
        <w:ind w:left="1080"/>
        <w:contextualSpacing/>
        <w:rPr>
          <w:rFonts w:ascii="Calibri" w:eastAsia="Calibri" w:hAnsi="Calibri"/>
          <w:sz w:val="22"/>
          <w:szCs w:val="22"/>
        </w:rPr>
      </w:pPr>
      <w:r w:rsidRPr="006642F9">
        <w:rPr>
          <w:rFonts w:ascii="Calibri" w:eastAsia="Calibri" w:hAnsi="Calibri"/>
          <w:b/>
          <w:sz w:val="22"/>
          <w:szCs w:val="22"/>
        </w:rPr>
        <w:t>Population 1:</w:t>
      </w:r>
      <w:r w:rsidRPr="006642F9">
        <w:rPr>
          <w:rFonts w:ascii="Calibri" w:eastAsia="Calibri" w:hAnsi="Calibri"/>
          <w:sz w:val="22"/>
          <w:szCs w:val="22"/>
        </w:rPr>
        <w:t xml:space="preserve">  Services retired by Pilchuck Contractors, Inc. (“Pilchuck”) during 2000-2010 and located in Business Districts where insertion into retired low-pressure gas facilities was common (3,060 Locations).</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Initial inspections will cover 100% of the population.</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PSE will complete initial inspections within 18 months of the Commission’s order approving the settlement agreement in WUTC Docket PG-160924.</w:t>
      </w:r>
    </w:p>
    <w:p w:rsidR="006642F9" w:rsidRPr="006642F9" w:rsidRDefault="006642F9" w:rsidP="006642F9">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6642F9">
      <w:pPr>
        <w:widowControl/>
        <w:numPr>
          <w:ilvl w:val="1"/>
          <w:numId w:val="27"/>
        </w:numPr>
        <w:autoSpaceDE/>
        <w:autoSpaceDN/>
        <w:adjustRightInd/>
        <w:spacing w:afterLines="60" w:after="144" w:line="276" w:lineRule="auto"/>
        <w:ind w:left="1080"/>
        <w:contextualSpacing/>
        <w:rPr>
          <w:rFonts w:ascii="Calibri" w:eastAsia="Calibri" w:hAnsi="Calibri"/>
          <w:sz w:val="22"/>
          <w:szCs w:val="22"/>
        </w:rPr>
      </w:pPr>
      <w:r w:rsidRPr="006642F9">
        <w:rPr>
          <w:rFonts w:ascii="Calibri" w:eastAsia="Calibri" w:hAnsi="Calibri"/>
          <w:b/>
          <w:sz w:val="22"/>
          <w:szCs w:val="22"/>
        </w:rPr>
        <w:t>Population 2:</w:t>
      </w:r>
      <w:r w:rsidRPr="006642F9">
        <w:rPr>
          <w:rFonts w:ascii="Calibri" w:eastAsia="Calibri" w:hAnsi="Calibri"/>
          <w:sz w:val="22"/>
          <w:szCs w:val="22"/>
        </w:rPr>
        <w:t xml:space="preserve">  Services retired by Pilchuck during 2000-2010, which includes facilities that may have served High Occupancy Structures, or Hard-to-Reach Locations, in all other locations (10,907 Locations).</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Initial inspections will cover locations identified for a sample size with a confidence level of 99%, population percentage of 50 % and precision or confidence interval of 1%.  The resulting sample size is 6578.  The sample selected will include all locations that may have served public schools and hospitals, with any remaining locations randomly selected.</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Inspection of the selected sample will prioritize schools and public buildings, followed by Business Districts.</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PSE will complete initial inspections within 24 months of the order approving the settlement agreement in WUTC Docket PG-160924.</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 xml:space="preserve">If PSE discovers a gas-carrying “retired” service, PSE will inspect all locations within Population 2.  PSE will file with the Commission in WUTC Docket PG-160924 an amended plan for completion of all inspections within the Population. </w:t>
      </w:r>
    </w:p>
    <w:p w:rsidR="006642F9" w:rsidRPr="006642F9" w:rsidRDefault="006642F9" w:rsidP="009E6C1F">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6642F9">
      <w:pPr>
        <w:widowControl/>
        <w:numPr>
          <w:ilvl w:val="1"/>
          <w:numId w:val="27"/>
        </w:numPr>
        <w:autoSpaceDE/>
        <w:autoSpaceDN/>
        <w:adjustRightInd/>
        <w:spacing w:afterLines="60" w:after="144" w:line="276" w:lineRule="auto"/>
        <w:ind w:left="1080"/>
        <w:contextualSpacing/>
        <w:rPr>
          <w:rFonts w:ascii="Calibri" w:eastAsia="Calibri" w:hAnsi="Calibri"/>
          <w:sz w:val="22"/>
          <w:szCs w:val="22"/>
        </w:rPr>
      </w:pPr>
      <w:r w:rsidRPr="006642F9">
        <w:rPr>
          <w:rFonts w:ascii="Calibri" w:eastAsia="Calibri" w:hAnsi="Calibri"/>
          <w:b/>
          <w:sz w:val="22"/>
          <w:szCs w:val="22"/>
        </w:rPr>
        <w:t>Population 3:</w:t>
      </w:r>
      <w:r w:rsidRPr="006642F9">
        <w:rPr>
          <w:rFonts w:ascii="Calibri" w:eastAsia="Calibri" w:hAnsi="Calibri"/>
          <w:sz w:val="22"/>
          <w:szCs w:val="22"/>
        </w:rPr>
        <w:t xml:space="preserve">  Services retired prior to 2000, which includes facilities that may have served High Occupancy Structures (15,131 Locations).</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Initial inspections will cover locations identified for a sample size with a confidence level of 99%, population percentage of 50% and precision or confidence interval of 2%.  The resulting Sample Size is 3263.  The sample selection will include all locations that may have served public schools and hospitals, with any remaining locations randomly selected.</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Inspection of the selected sample will prioritize schools and public buildings, followed by Business Districts.</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PSE will complete initial inspections within 36 months of the order approving the settlement agreement in WUTC Docket PG-160924.</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If PSE discovers a gas-carrying “retired” service, PSE will inspect all locations within Population 3.  PSE will file with the Commission in WUTC Docket PG-106924 an amended plan for completion of all inspections within the Population.</w:t>
      </w:r>
    </w:p>
    <w:p w:rsidR="006642F9" w:rsidRPr="006642F9" w:rsidRDefault="006642F9" w:rsidP="009E6C1F">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3B3BB9">
      <w:pPr>
        <w:widowControl/>
        <w:numPr>
          <w:ilvl w:val="1"/>
          <w:numId w:val="27"/>
        </w:numPr>
        <w:autoSpaceDE/>
        <w:autoSpaceDN/>
        <w:adjustRightInd/>
        <w:spacing w:afterLines="60" w:after="144" w:line="276" w:lineRule="auto"/>
        <w:ind w:left="1080"/>
        <w:contextualSpacing/>
        <w:rPr>
          <w:rFonts w:ascii="Calibri" w:eastAsia="Calibri" w:hAnsi="Calibri"/>
          <w:sz w:val="22"/>
          <w:szCs w:val="22"/>
        </w:rPr>
      </w:pPr>
      <w:r w:rsidRPr="006642F9">
        <w:rPr>
          <w:rFonts w:ascii="Calibri" w:eastAsia="Calibri" w:hAnsi="Calibri"/>
          <w:b/>
          <w:sz w:val="22"/>
          <w:szCs w:val="22"/>
        </w:rPr>
        <w:t>Population 4:</w:t>
      </w:r>
      <w:r w:rsidRPr="006642F9">
        <w:rPr>
          <w:rFonts w:ascii="Calibri" w:eastAsia="Calibri" w:hAnsi="Calibri"/>
          <w:sz w:val="22"/>
          <w:szCs w:val="22"/>
        </w:rPr>
        <w:t xml:space="preserve"> Services retired</w:t>
      </w:r>
      <w:r w:rsidR="001B27FA">
        <w:rPr>
          <w:rFonts w:ascii="Calibri" w:eastAsia="Calibri" w:hAnsi="Calibri"/>
          <w:sz w:val="22"/>
          <w:szCs w:val="22"/>
        </w:rPr>
        <w:t xml:space="preserve"> after 2010</w:t>
      </w:r>
      <w:r w:rsidRPr="006642F9">
        <w:rPr>
          <w:rFonts w:ascii="Calibri" w:eastAsia="Calibri" w:hAnsi="Calibri"/>
          <w:sz w:val="22"/>
          <w:szCs w:val="22"/>
        </w:rPr>
        <w:t xml:space="preserve">, which includes services that may have served High Occupancy Structures (11,691 Locations). PSE will inspect locations in Population 4. </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Initial inspections will cover locations identified for a sample size with a confidence level of 99%, population percentage of 50% and precision or confidence interval of 2%.  The resulting sample size is 3069.  The sample selection will include all locations that may have served public schools and hospitals, with any remaining locations randomly selected.</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PSE will begin inspections following the completion of inspections for populations 2 and 3 and complete the inspections within 36 months of initiation.</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If PSE discovers a gas-carrying “retired” service, PSE will inspect all locations within Population 4.  PSE will file with the Commission in WUTC Docket PG-160924 an amended plan for completion of all inspections within the Population.</w:t>
      </w:r>
    </w:p>
    <w:p w:rsidR="006642F9" w:rsidRPr="006642F9" w:rsidRDefault="006642F9" w:rsidP="006642F9">
      <w:pPr>
        <w:widowControl/>
        <w:autoSpaceDE/>
        <w:autoSpaceDN/>
        <w:adjustRightInd/>
        <w:spacing w:afterLines="60" w:after="144" w:line="276" w:lineRule="auto"/>
        <w:ind w:left="360"/>
        <w:contextualSpacing/>
        <w:rPr>
          <w:rFonts w:ascii="Calibri" w:eastAsia="Calibri" w:hAnsi="Calibri"/>
          <w:sz w:val="22"/>
          <w:szCs w:val="22"/>
        </w:rPr>
      </w:pPr>
    </w:p>
    <w:p w:rsidR="006642F9" w:rsidRPr="006642F9" w:rsidRDefault="006642F9" w:rsidP="006642F9">
      <w:pPr>
        <w:widowControl/>
        <w:numPr>
          <w:ilvl w:val="0"/>
          <w:numId w:val="27"/>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 xml:space="preserve">Remediation.  </w:t>
      </w:r>
      <w:r w:rsidRPr="006642F9">
        <w:rPr>
          <w:rFonts w:ascii="Calibri" w:eastAsia="Calibri" w:hAnsi="Calibri"/>
          <w:sz w:val="22"/>
          <w:szCs w:val="22"/>
        </w:rPr>
        <w:t xml:space="preserve">The type of remediation required, if any, will be determined by the characteristics of the identified facility.  Remediation will be determined based on the inspection results and could include excavation to confirm whether a facility is deactivated. </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 xml:space="preserve">Upon discovery of a gas-carrying “retired” service, the service will be properly deactivated in accordance with then-current rules, practices, policies, and procedures, as revised and in effect.  If one or more permits are required, PSE will apply for such permit(s) within ten (10) business days of identification. Within ten (10) business days after receiving such permit(s), PSE will begin required construction work. </w:t>
      </w:r>
    </w:p>
    <w:p w:rsidR="006642F9" w:rsidRPr="006642F9" w:rsidRDefault="006642F9" w:rsidP="006642F9">
      <w:pPr>
        <w:widowControl/>
        <w:numPr>
          <w:ilvl w:val="2"/>
          <w:numId w:val="27"/>
        </w:numPr>
        <w:autoSpaceDE/>
        <w:autoSpaceDN/>
        <w:adjustRightInd/>
        <w:spacing w:afterLines="60" w:after="144" w:line="276" w:lineRule="auto"/>
        <w:ind w:left="1800"/>
        <w:contextualSpacing/>
        <w:rPr>
          <w:rFonts w:ascii="Calibri" w:eastAsia="Calibri" w:hAnsi="Calibri"/>
          <w:sz w:val="22"/>
          <w:szCs w:val="22"/>
        </w:rPr>
      </w:pPr>
      <w:r w:rsidRPr="006642F9">
        <w:rPr>
          <w:rFonts w:ascii="Calibri" w:eastAsia="Calibri" w:hAnsi="Calibri"/>
          <w:sz w:val="22"/>
          <w:szCs w:val="22"/>
        </w:rPr>
        <w:t>Upon discovery of an aboveground, non-gas-carrying service pipe that was deactivated, but not removed, the deactivated aboveground pipe, including any risers, will be scheduled to be removed. Such removal will be performed within ninety (90) days of discovery. If one or more permits are required, PSE will apply for such permit(s) within ten (10) business days of identification. Within ninety (90) days after receiving such permit(s), PSE will begin required construction work.</w:t>
      </w:r>
    </w:p>
    <w:p w:rsidR="006642F9" w:rsidRPr="006642F9" w:rsidRDefault="006642F9" w:rsidP="009E6C1F">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6642F9">
      <w:pPr>
        <w:widowControl/>
        <w:numPr>
          <w:ilvl w:val="0"/>
          <w:numId w:val="27"/>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 xml:space="preserve">Documentation.  </w:t>
      </w:r>
      <w:r w:rsidRPr="006642F9">
        <w:rPr>
          <w:rFonts w:ascii="Calibri" w:eastAsia="Calibri" w:hAnsi="Calibri"/>
          <w:sz w:val="22"/>
          <w:szCs w:val="22"/>
        </w:rPr>
        <w:t>PSE will document inspection results and mitigation plans for each service such that the documentation can be reviewed to confirm the results.  PSE will also investigate to determine how the situation came to exist and evaluate any process and/or procedural deficiencies that need improvements to prevent future recurrences.  These improvements will follow PSE’s Change Management, Quality Management, or other management oversight structure to ensure no recurrences.</w:t>
      </w:r>
    </w:p>
    <w:p w:rsidR="006642F9" w:rsidRPr="006642F9" w:rsidRDefault="006642F9" w:rsidP="006642F9">
      <w:pPr>
        <w:widowControl/>
        <w:autoSpaceDE/>
        <w:autoSpaceDN/>
        <w:adjustRightInd/>
        <w:spacing w:afterLines="60" w:after="144" w:line="276" w:lineRule="auto"/>
        <w:ind w:left="1800"/>
        <w:contextualSpacing/>
        <w:rPr>
          <w:rFonts w:ascii="Calibri" w:eastAsia="Calibri" w:hAnsi="Calibri"/>
          <w:sz w:val="22"/>
          <w:szCs w:val="22"/>
        </w:rPr>
      </w:pPr>
    </w:p>
    <w:p w:rsidR="007743EC" w:rsidRPr="007743EC" w:rsidRDefault="006642F9" w:rsidP="00710203">
      <w:pPr>
        <w:widowControl/>
        <w:numPr>
          <w:ilvl w:val="0"/>
          <w:numId w:val="27"/>
        </w:numPr>
        <w:autoSpaceDE/>
        <w:autoSpaceDN/>
        <w:adjustRightInd/>
        <w:spacing w:afterLines="60" w:after="144" w:line="276" w:lineRule="auto"/>
        <w:ind w:left="360"/>
        <w:contextualSpacing/>
        <w:rPr>
          <w:rFonts w:ascii="Calibri" w:eastAsia="Calibri" w:hAnsi="Calibri"/>
          <w:sz w:val="22"/>
          <w:szCs w:val="22"/>
        </w:rPr>
      </w:pPr>
      <w:r w:rsidRPr="007743EC">
        <w:rPr>
          <w:rFonts w:ascii="Calibri" w:eastAsia="Calibri" w:hAnsi="Calibri"/>
          <w:b/>
          <w:sz w:val="22"/>
          <w:szCs w:val="22"/>
        </w:rPr>
        <w:t xml:space="preserve">Reporting.  </w:t>
      </w:r>
      <w:r w:rsidR="007743EC" w:rsidRPr="007743EC">
        <w:rPr>
          <w:rFonts w:ascii="Calibri" w:eastAsia="Calibri" w:hAnsi="Calibri"/>
          <w:sz w:val="22"/>
          <w:szCs w:val="22"/>
        </w:rPr>
        <w:t>PSE currently prepares a Continuing Surveillance Annual Report (“CSAR”).  P</w:t>
      </w:r>
      <w:r w:rsidR="007743EC">
        <w:rPr>
          <w:rFonts w:ascii="Calibri" w:eastAsia="Calibri" w:hAnsi="Calibri"/>
          <w:sz w:val="22"/>
          <w:szCs w:val="22"/>
        </w:rPr>
        <w:t xml:space="preserve">SE will include the Greenwood </w:t>
      </w:r>
      <w:r w:rsidR="007743EC" w:rsidRPr="007743EC">
        <w:rPr>
          <w:rFonts w:ascii="Calibri" w:eastAsia="Calibri" w:hAnsi="Calibri"/>
          <w:sz w:val="22"/>
          <w:szCs w:val="22"/>
        </w:rPr>
        <w:t>report on the inspection results and mitigation plans in its CSAR every year until the inspections are completed.</w:t>
      </w:r>
    </w:p>
    <w:p w:rsidR="00710203" w:rsidRPr="006642F9" w:rsidRDefault="00710203" w:rsidP="00BE3488">
      <w:pPr>
        <w:widowControl/>
        <w:autoSpaceDE/>
        <w:autoSpaceDN/>
        <w:adjustRightInd/>
        <w:spacing w:afterLines="60" w:after="144" w:line="276" w:lineRule="auto"/>
        <w:contextualSpacing/>
        <w:rPr>
          <w:rFonts w:ascii="Calibri" w:eastAsia="Calibri" w:hAnsi="Calibri"/>
          <w:sz w:val="22"/>
          <w:szCs w:val="22"/>
        </w:rPr>
      </w:pPr>
    </w:p>
    <w:p w:rsidR="006642F9" w:rsidRPr="00710203" w:rsidRDefault="006642F9" w:rsidP="00BE3488">
      <w:pPr>
        <w:widowControl/>
        <w:autoSpaceDE/>
        <w:autoSpaceDN/>
        <w:adjustRightInd/>
        <w:spacing w:afterLines="60" w:after="144" w:line="276" w:lineRule="auto"/>
        <w:contextualSpacing/>
        <w:rPr>
          <w:rFonts w:ascii="Calibri" w:eastAsia="Calibri" w:hAnsi="Calibri"/>
          <w:sz w:val="22"/>
          <w:szCs w:val="22"/>
        </w:rPr>
      </w:pPr>
    </w:p>
    <w:p w:rsidR="006642F9" w:rsidRPr="006642F9" w:rsidRDefault="006642F9" w:rsidP="006642F9">
      <w:pPr>
        <w:widowControl/>
        <w:autoSpaceDE/>
        <w:autoSpaceDN/>
        <w:adjustRightInd/>
        <w:spacing w:afterLines="60" w:after="144" w:line="276" w:lineRule="auto"/>
        <w:rPr>
          <w:rFonts w:ascii="Calibri" w:eastAsia="Calibri" w:hAnsi="Calibri"/>
          <w:b/>
          <w:sz w:val="28"/>
          <w:szCs w:val="22"/>
        </w:rPr>
      </w:pPr>
      <w:r w:rsidRPr="006642F9">
        <w:rPr>
          <w:rFonts w:ascii="Calibri" w:eastAsia="Calibri" w:hAnsi="Calibri"/>
          <w:b/>
          <w:sz w:val="28"/>
          <w:szCs w:val="22"/>
        </w:rPr>
        <w:t>ii.</w:t>
      </w:r>
      <w:r w:rsidRPr="006642F9">
        <w:rPr>
          <w:rFonts w:ascii="Calibri" w:eastAsia="Calibri" w:hAnsi="Calibri"/>
          <w:b/>
          <w:sz w:val="28"/>
          <w:szCs w:val="22"/>
        </w:rPr>
        <w:tab/>
        <w:t>PSE Quality Management</w:t>
      </w:r>
    </w:p>
    <w:p w:rsidR="006642F9" w:rsidRPr="006642F9" w:rsidRDefault="006642F9" w:rsidP="006642F9">
      <w:pPr>
        <w:widowControl/>
        <w:autoSpaceDE/>
        <w:autoSpaceDN/>
        <w:adjustRightInd/>
        <w:ind w:left="360"/>
        <w:rPr>
          <w:rFonts w:ascii="Calibri" w:eastAsia="Calibri" w:hAnsi="Calibri"/>
          <w:sz w:val="22"/>
          <w:szCs w:val="22"/>
        </w:rPr>
      </w:pPr>
    </w:p>
    <w:p w:rsidR="006642F9" w:rsidRPr="006642F9" w:rsidRDefault="006642F9" w:rsidP="006642F9">
      <w:pPr>
        <w:widowControl/>
        <w:numPr>
          <w:ilvl w:val="0"/>
          <w:numId w:val="29"/>
        </w:numPr>
        <w:autoSpaceDE/>
        <w:autoSpaceDN/>
        <w:adjustRightInd/>
        <w:spacing w:after="200" w:line="276" w:lineRule="auto"/>
        <w:ind w:left="360"/>
        <w:contextualSpacing/>
        <w:rPr>
          <w:rFonts w:ascii="Calibri" w:eastAsia="Calibri" w:hAnsi="Calibri"/>
          <w:sz w:val="22"/>
          <w:szCs w:val="22"/>
        </w:rPr>
      </w:pPr>
      <w:r w:rsidRPr="006642F9">
        <w:rPr>
          <w:rFonts w:ascii="Calibri" w:eastAsia="Calibri" w:hAnsi="Calibri"/>
          <w:sz w:val="22"/>
          <w:szCs w:val="22"/>
        </w:rPr>
        <w:t>PSE will review the following current standards and practices and update, as necessary, the required documentation by March 30, 2017:</w:t>
      </w:r>
    </w:p>
    <w:p w:rsidR="006642F9" w:rsidRPr="006642F9" w:rsidRDefault="006642F9" w:rsidP="006642F9">
      <w:pPr>
        <w:widowControl/>
        <w:numPr>
          <w:ilvl w:val="1"/>
          <w:numId w:val="29"/>
        </w:numPr>
        <w:autoSpaceDE/>
        <w:autoSpaceDN/>
        <w:adjustRightInd/>
        <w:spacing w:after="200" w:line="276" w:lineRule="auto"/>
        <w:ind w:left="1080"/>
        <w:contextualSpacing/>
        <w:rPr>
          <w:rFonts w:ascii="Calibri" w:eastAsia="Calibri" w:hAnsi="Calibri"/>
          <w:sz w:val="28"/>
          <w:szCs w:val="22"/>
        </w:rPr>
      </w:pPr>
      <w:r w:rsidRPr="006642F9">
        <w:rPr>
          <w:rFonts w:ascii="Calibri" w:eastAsia="Calibri" w:hAnsi="Calibri"/>
          <w:sz w:val="22"/>
          <w:szCs w:val="22"/>
        </w:rPr>
        <w:t xml:space="preserve">Job completion records responsibility such as D-4. </w:t>
      </w:r>
    </w:p>
    <w:p w:rsidR="006642F9" w:rsidRPr="006642F9" w:rsidRDefault="006642F9" w:rsidP="006642F9">
      <w:pPr>
        <w:widowControl/>
        <w:numPr>
          <w:ilvl w:val="1"/>
          <w:numId w:val="29"/>
        </w:numPr>
        <w:autoSpaceDE/>
        <w:autoSpaceDN/>
        <w:adjustRightInd/>
        <w:spacing w:after="200" w:line="276" w:lineRule="auto"/>
        <w:ind w:left="1080"/>
        <w:contextualSpacing/>
        <w:rPr>
          <w:rFonts w:ascii="Calibri" w:eastAsia="Calibri" w:hAnsi="Calibri"/>
          <w:sz w:val="28"/>
          <w:szCs w:val="22"/>
        </w:rPr>
      </w:pPr>
      <w:r w:rsidRPr="006642F9">
        <w:rPr>
          <w:rFonts w:ascii="Calibri" w:eastAsia="Calibri" w:hAnsi="Calibri"/>
          <w:sz w:val="22"/>
          <w:szCs w:val="22"/>
        </w:rPr>
        <w:t>Temporary and permanent deactivation of service lines considering the removal of all above ground pipe unless altered gas service agreement is in effect.</w:t>
      </w:r>
    </w:p>
    <w:p w:rsidR="006642F9" w:rsidRPr="006642F9" w:rsidRDefault="006642F9" w:rsidP="006642F9">
      <w:pPr>
        <w:widowControl/>
        <w:numPr>
          <w:ilvl w:val="1"/>
          <w:numId w:val="29"/>
        </w:numPr>
        <w:autoSpaceDE/>
        <w:autoSpaceDN/>
        <w:adjustRightInd/>
        <w:spacing w:after="200" w:line="276" w:lineRule="auto"/>
        <w:ind w:left="1080"/>
        <w:contextualSpacing/>
        <w:rPr>
          <w:rFonts w:ascii="Calibri" w:eastAsia="Calibri" w:hAnsi="Calibri"/>
          <w:sz w:val="28"/>
          <w:szCs w:val="22"/>
        </w:rPr>
      </w:pPr>
      <w:r w:rsidRPr="006642F9">
        <w:rPr>
          <w:rFonts w:ascii="Calibri" w:eastAsia="Calibri" w:hAnsi="Calibri"/>
          <w:sz w:val="22"/>
          <w:szCs w:val="22"/>
        </w:rPr>
        <w:t>Continuing surveillance.</w:t>
      </w:r>
    </w:p>
    <w:p w:rsidR="006642F9" w:rsidRPr="006642F9" w:rsidRDefault="006642F9" w:rsidP="006642F9">
      <w:pPr>
        <w:widowControl/>
        <w:autoSpaceDE/>
        <w:autoSpaceDN/>
        <w:adjustRightInd/>
        <w:spacing w:after="200" w:line="276" w:lineRule="auto"/>
        <w:ind w:left="360"/>
        <w:contextualSpacing/>
        <w:rPr>
          <w:rFonts w:ascii="Calibri" w:eastAsia="Calibri" w:hAnsi="Calibri"/>
          <w:sz w:val="22"/>
          <w:szCs w:val="22"/>
        </w:rPr>
      </w:pPr>
    </w:p>
    <w:p w:rsidR="006642F9" w:rsidRPr="006642F9" w:rsidRDefault="006642F9" w:rsidP="006642F9">
      <w:pPr>
        <w:widowControl/>
        <w:numPr>
          <w:ilvl w:val="0"/>
          <w:numId w:val="29"/>
        </w:numPr>
        <w:autoSpaceDE/>
        <w:autoSpaceDN/>
        <w:adjustRightInd/>
        <w:spacing w:after="200" w:line="276" w:lineRule="auto"/>
        <w:ind w:left="360"/>
        <w:contextualSpacing/>
        <w:rPr>
          <w:rFonts w:ascii="Calibri" w:eastAsia="Calibri" w:hAnsi="Calibri"/>
          <w:sz w:val="28"/>
          <w:szCs w:val="22"/>
        </w:rPr>
      </w:pPr>
      <w:r w:rsidRPr="006642F9">
        <w:rPr>
          <w:rFonts w:ascii="Calibri" w:eastAsia="Calibri" w:hAnsi="Calibri"/>
          <w:sz w:val="22"/>
          <w:szCs w:val="22"/>
        </w:rPr>
        <w:t>PSE will implement training of personnel on any changes made to the relevant standards.  Training to be completed by June 30, 2017.</w:t>
      </w:r>
    </w:p>
    <w:p w:rsidR="006642F9" w:rsidRPr="006642F9" w:rsidRDefault="006642F9" w:rsidP="006642F9">
      <w:pPr>
        <w:widowControl/>
        <w:autoSpaceDE/>
        <w:autoSpaceDN/>
        <w:adjustRightInd/>
        <w:spacing w:after="200" w:line="276" w:lineRule="auto"/>
        <w:rPr>
          <w:rFonts w:ascii="Calibri" w:eastAsia="Calibri" w:hAnsi="Calibri"/>
          <w:b/>
          <w:sz w:val="28"/>
          <w:szCs w:val="22"/>
        </w:rPr>
      </w:pPr>
    </w:p>
    <w:p w:rsidR="006642F9" w:rsidRPr="006642F9" w:rsidRDefault="006642F9" w:rsidP="006642F9">
      <w:pPr>
        <w:widowControl/>
        <w:autoSpaceDE/>
        <w:autoSpaceDN/>
        <w:adjustRightInd/>
        <w:spacing w:afterLines="60" w:after="144" w:line="276" w:lineRule="auto"/>
        <w:rPr>
          <w:rFonts w:ascii="Calibri" w:eastAsia="Calibri" w:hAnsi="Calibri"/>
          <w:b/>
          <w:sz w:val="28"/>
          <w:szCs w:val="22"/>
        </w:rPr>
      </w:pPr>
      <w:r w:rsidRPr="006642F9">
        <w:rPr>
          <w:rFonts w:ascii="Calibri" w:eastAsia="Calibri" w:hAnsi="Calibri"/>
          <w:b/>
          <w:sz w:val="28"/>
          <w:szCs w:val="22"/>
        </w:rPr>
        <w:t>iii.</w:t>
      </w:r>
      <w:r w:rsidRPr="006642F9">
        <w:rPr>
          <w:rFonts w:ascii="Calibri" w:eastAsia="Calibri" w:hAnsi="Calibri"/>
          <w:b/>
          <w:sz w:val="28"/>
          <w:szCs w:val="22"/>
        </w:rPr>
        <w:tab/>
        <w:t>Aboveground Service Pipe Inspections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Aboveground service piping will be evaluated as part of PSE’s DIMP.  PSE will continue to perform visual inspections in the course of construction, inspection, operation, and maintenance activities for conditions that may impact the serviceability of aboveground service piping, with an enhanced focus on susceptibility to outside force damage, including tampering and vandalism by unauthorized individuals.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p>
    <w:p w:rsidR="006642F9" w:rsidRPr="006642F9" w:rsidRDefault="006642F9" w:rsidP="006642F9">
      <w:pPr>
        <w:widowControl/>
        <w:numPr>
          <w:ilvl w:val="0"/>
          <w:numId w:val="24"/>
        </w:numPr>
        <w:autoSpaceDE/>
        <w:autoSpaceDN/>
        <w:adjustRightInd/>
        <w:spacing w:afterLines="60" w:after="144" w:line="276" w:lineRule="auto"/>
        <w:contextualSpacing/>
        <w:rPr>
          <w:rFonts w:ascii="Calibri" w:eastAsia="Calibri" w:hAnsi="Calibri"/>
          <w:b/>
          <w:sz w:val="22"/>
          <w:szCs w:val="22"/>
        </w:rPr>
      </w:pPr>
      <w:r w:rsidRPr="006642F9">
        <w:rPr>
          <w:rFonts w:ascii="Calibri" w:eastAsia="Calibri" w:hAnsi="Calibri"/>
          <w:b/>
          <w:sz w:val="22"/>
          <w:szCs w:val="22"/>
        </w:rPr>
        <w:t>Metered Services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 xml:space="preserve">PSE will inspect aboveground service piping for items stored around or activities occurring near gas pipe that PSE, in its sole discretion, determines may make the pipe susceptible to outside force damage and develop a remediation plan to address any unsatisfactory condition identified. </w:t>
      </w:r>
    </w:p>
    <w:p w:rsidR="006642F9" w:rsidRPr="006642F9" w:rsidRDefault="006642F9" w:rsidP="006642F9">
      <w:pPr>
        <w:widowControl/>
        <w:numPr>
          <w:ilvl w:val="0"/>
          <w:numId w:val="28"/>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Inspection.</w:t>
      </w:r>
      <w:r w:rsidRPr="006642F9">
        <w:rPr>
          <w:rFonts w:ascii="Calibri" w:eastAsia="Calibri" w:hAnsi="Calibri"/>
          <w:sz w:val="22"/>
          <w:szCs w:val="22"/>
        </w:rPr>
        <w:t xml:space="preserve">  PSE will conduct initial inspections in conjunction with routine survey and patrols consistent with the existing priority as established in the Gas Operating Standards. </w:t>
      </w:r>
    </w:p>
    <w:p w:rsidR="006642F9" w:rsidRPr="006642F9" w:rsidRDefault="006642F9" w:rsidP="006642F9">
      <w:pPr>
        <w:widowControl/>
        <w:numPr>
          <w:ilvl w:val="1"/>
          <w:numId w:val="28"/>
        </w:numPr>
        <w:tabs>
          <w:tab w:val="left" w:pos="630"/>
        </w:tabs>
        <w:autoSpaceDE/>
        <w:autoSpaceDN/>
        <w:adjustRightInd/>
        <w:spacing w:afterLines="60" w:after="144" w:line="276" w:lineRule="auto"/>
        <w:ind w:left="720"/>
        <w:contextualSpacing/>
        <w:rPr>
          <w:rFonts w:ascii="Calibri" w:eastAsia="Calibri" w:hAnsi="Calibri"/>
          <w:sz w:val="22"/>
          <w:szCs w:val="22"/>
        </w:rPr>
      </w:pPr>
      <w:r w:rsidRPr="006642F9">
        <w:rPr>
          <w:rFonts w:ascii="Calibri" w:eastAsia="Calibri" w:hAnsi="Calibri"/>
          <w:sz w:val="22"/>
          <w:szCs w:val="22"/>
        </w:rPr>
        <w:t>The following locations will be inspected within 12 months of the Commission’s order approving the settlement agreement in WUTC Docket PG-160924:</w:t>
      </w:r>
    </w:p>
    <w:p w:rsidR="006642F9" w:rsidRPr="006642F9" w:rsidRDefault="006642F9" w:rsidP="006642F9">
      <w:pPr>
        <w:widowControl/>
        <w:numPr>
          <w:ilvl w:val="2"/>
          <w:numId w:val="28"/>
        </w:numPr>
        <w:autoSpaceDE/>
        <w:autoSpaceDN/>
        <w:adjustRightInd/>
        <w:spacing w:afterLines="60" w:after="144" w:line="276" w:lineRule="auto"/>
        <w:ind w:left="900"/>
        <w:contextualSpacing/>
        <w:rPr>
          <w:rFonts w:ascii="Calibri" w:eastAsia="Calibri" w:hAnsi="Calibri"/>
          <w:sz w:val="22"/>
          <w:szCs w:val="22"/>
        </w:rPr>
      </w:pPr>
      <w:r w:rsidRPr="006642F9">
        <w:rPr>
          <w:rFonts w:ascii="Calibri" w:eastAsia="Calibri" w:hAnsi="Calibri"/>
          <w:sz w:val="22"/>
          <w:szCs w:val="22"/>
        </w:rPr>
        <w:t>Hard-to-Reach Locations (H2RL) sites</w:t>
      </w:r>
    </w:p>
    <w:p w:rsidR="006642F9" w:rsidRPr="006642F9" w:rsidRDefault="006642F9" w:rsidP="006642F9">
      <w:pPr>
        <w:widowControl/>
        <w:numPr>
          <w:ilvl w:val="2"/>
          <w:numId w:val="28"/>
        </w:numPr>
        <w:autoSpaceDE/>
        <w:autoSpaceDN/>
        <w:adjustRightInd/>
        <w:spacing w:afterLines="60" w:after="144" w:line="276" w:lineRule="auto"/>
        <w:ind w:left="900"/>
        <w:contextualSpacing/>
        <w:rPr>
          <w:rFonts w:ascii="Calibri" w:eastAsia="Calibri" w:hAnsi="Calibri"/>
          <w:sz w:val="22"/>
          <w:szCs w:val="22"/>
        </w:rPr>
      </w:pPr>
      <w:r w:rsidRPr="006642F9">
        <w:rPr>
          <w:rFonts w:ascii="Calibri" w:eastAsia="Calibri" w:hAnsi="Calibri"/>
          <w:sz w:val="22"/>
          <w:szCs w:val="22"/>
        </w:rPr>
        <w:t>Business Districts</w:t>
      </w:r>
    </w:p>
    <w:p w:rsidR="006642F9" w:rsidRPr="006642F9" w:rsidRDefault="006642F9" w:rsidP="006642F9">
      <w:pPr>
        <w:widowControl/>
        <w:numPr>
          <w:ilvl w:val="2"/>
          <w:numId w:val="28"/>
        </w:numPr>
        <w:autoSpaceDE/>
        <w:autoSpaceDN/>
        <w:adjustRightInd/>
        <w:spacing w:afterLines="60" w:after="144" w:line="276" w:lineRule="auto"/>
        <w:ind w:left="900"/>
        <w:contextualSpacing/>
        <w:rPr>
          <w:rFonts w:ascii="Calibri" w:eastAsia="Calibri" w:hAnsi="Calibri"/>
          <w:sz w:val="22"/>
          <w:szCs w:val="22"/>
        </w:rPr>
      </w:pPr>
      <w:r w:rsidRPr="006642F9">
        <w:rPr>
          <w:rFonts w:ascii="Calibri" w:eastAsia="Calibri" w:hAnsi="Calibri"/>
          <w:sz w:val="22"/>
          <w:szCs w:val="22"/>
        </w:rPr>
        <w:t>High Occupancy Structures (HOS) including schools and public buildings</w:t>
      </w:r>
    </w:p>
    <w:p w:rsidR="006642F9" w:rsidRPr="006642F9" w:rsidRDefault="006642F9" w:rsidP="006642F9">
      <w:pPr>
        <w:widowControl/>
        <w:numPr>
          <w:ilvl w:val="1"/>
          <w:numId w:val="28"/>
        </w:numPr>
        <w:autoSpaceDE/>
        <w:autoSpaceDN/>
        <w:adjustRightInd/>
        <w:spacing w:afterLines="60" w:after="144" w:line="276" w:lineRule="auto"/>
        <w:ind w:left="630" w:hanging="270"/>
        <w:contextualSpacing/>
        <w:rPr>
          <w:rFonts w:ascii="Calibri" w:eastAsia="Calibri" w:hAnsi="Calibri"/>
          <w:sz w:val="22"/>
          <w:szCs w:val="22"/>
        </w:rPr>
      </w:pPr>
      <w:r w:rsidRPr="006642F9">
        <w:rPr>
          <w:rFonts w:ascii="Calibri" w:eastAsia="Calibri" w:hAnsi="Calibri"/>
          <w:sz w:val="22"/>
          <w:szCs w:val="22"/>
        </w:rPr>
        <w:t>All other remaining locations will be inspected within 36 months of the Commission’s order approving the settlement agreement in WUTC Docket PG-160924</w:t>
      </w:r>
    </w:p>
    <w:p w:rsidR="006642F9" w:rsidRPr="006642F9" w:rsidRDefault="006642F9" w:rsidP="006642F9">
      <w:pPr>
        <w:widowControl/>
        <w:autoSpaceDE/>
        <w:autoSpaceDN/>
        <w:adjustRightInd/>
        <w:spacing w:afterLines="60" w:after="144" w:line="276" w:lineRule="auto"/>
        <w:ind w:left="360"/>
        <w:contextualSpacing/>
        <w:rPr>
          <w:rFonts w:ascii="Calibri" w:eastAsia="Calibri" w:hAnsi="Calibri"/>
          <w:sz w:val="22"/>
          <w:szCs w:val="22"/>
        </w:rPr>
      </w:pPr>
    </w:p>
    <w:p w:rsidR="006642F9" w:rsidRPr="006642F9" w:rsidRDefault="006642F9" w:rsidP="006642F9">
      <w:pPr>
        <w:widowControl/>
        <w:numPr>
          <w:ilvl w:val="0"/>
          <w:numId w:val="28"/>
        </w:numPr>
        <w:autoSpaceDE/>
        <w:autoSpaceDN/>
        <w:adjustRightInd/>
        <w:spacing w:afterLines="60" w:after="144" w:line="276" w:lineRule="auto"/>
        <w:ind w:left="360"/>
        <w:contextualSpacing/>
        <w:rPr>
          <w:rFonts w:ascii="Calibri" w:eastAsia="Calibri" w:hAnsi="Calibri"/>
          <w:b/>
          <w:sz w:val="22"/>
          <w:szCs w:val="22"/>
        </w:rPr>
      </w:pPr>
      <w:r w:rsidRPr="006642F9">
        <w:rPr>
          <w:rFonts w:ascii="Calibri" w:eastAsia="Calibri" w:hAnsi="Calibri"/>
          <w:b/>
          <w:sz w:val="22"/>
          <w:szCs w:val="22"/>
        </w:rPr>
        <w:t xml:space="preserve">Remediation.  </w:t>
      </w:r>
      <w:r w:rsidRPr="006642F9">
        <w:rPr>
          <w:rFonts w:ascii="Calibri" w:eastAsia="Calibri" w:hAnsi="Calibri"/>
          <w:sz w:val="22"/>
          <w:szCs w:val="22"/>
        </w:rPr>
        <w:t xml:space="preserve"> Results of initial inspections and any subsequent routine inspections will be routed to PSE’s Gas System Integrity department and will be evaluated for follow up using processes and methods established by DIMP.  PSE will evaluate the necessity to relocate above ground service piping to more suitable locations or install other protection measures responsive to the condition identified.</w:t>
      </w:r>
    </w:p>
    <w:p w:rsidR="006642F9" w:rsidRPr="006642F9" w:rsidRDefault="006642F9" w:rsidP="006642F9">
      <w:pPr>
        <w:widowControl/>
        <w:autoSpaceDE/>
        <w:autoSpaceDN/>
        <w:adjustRightInd/>
        <w:spacing w:afterLines="60" w:after="144" w:line="276" w:lineRule="auto"/>
        <w:ind w:left="360"/>
        <w:contextualSpacing/>
        <w:rPr>
          <w:rFonts w:ascii="Calibri" w:eastAsia="Calibri" w:hAnsi="Calibri"/>
          <w:b/>
          <w:sz w:val="22"/>
          <w:szCs w:val="22"/>
        </w:rPr>
      </w:pPr>
    </w:p>
    <w:p w:rsidR="006642F9" w:rsidRPr="006642F9" w:rsidRDefault="006642F9" w:rsidP="006642F9">
      <w:pPr>
        <w:widowControl/>
        <w:numPr>
          <w:ilvl w:val="0"/>
          <w:numId w:val="28"/>
        </w:numPr>
        <w:autoSpaceDE/>
        <w:autoSpaceDN/>
        <w:adjustRightInd/>
        <w:spacing w:afterLines="60" w:after="144" w:line="276" w:lineRule="auto"/>
        <w:ind w:left="360"/>
        <w:contextualSpacing/>
        <w:rPr>
          <w:rFonts w:ascii="Calibri" w:eastAsia="Calibri" w:hAnsi="Calibri"/>
          <w:sz w:val="22"/>
          <w:szCs w:val="22"/>
        </w:rPr>
      </w:pPr>
      <w:r w:rsidRPr="006642F9">
        <w:rPr>
          <w:rFonts w:ascii="Calibri" w:eastAsia="Calibri" w:hAnsi="Calibri"/>
          <w:b/>
          <w:sz w:val="22"/>
          <w:szCs w:val="22"/>
        </w:rPr>
        <w:t>Reporting</w:t>
      </w:r>
      <w:r w:rsidRPr="006642F9">
        <w:rPr>
          <w:rFonts w:ascii="Calibri" w:eastAsia="Calibri" w:hAnsi="Calibri"/>
          <w:sz w:val="22"/>
          <w:szCs w:val="22"/>
        </w:rPr>
        <w:t xml:space="preserve">.  </w:t>
      </w:r>
      <w:r w:rsidR="007743EC" w:rsidRPr="007743EC">
        <w:rPr>
          <w:rFonts w:ascii="Calibri" w:eastAsia="Calibri" w:hAnsi="Calibri"/>
          <w:sz w:val="22"/>
          <w:szCs w:val="22"/>
        </w:rPr>
        <w:t>P</w:t>
      </w:r>
      <w:r w:rsidR="007743EC">
        <w:rPr>
          <w:rFonts w:ascii="Calibri" w:eastAsia="Calibri" w:hAnsi="Calibri"/>
          <w:sz w:val="22"/>
          <w:szCs w:val="22"/>
        </w:rPr>
        <w:t xml:space="preserve">SE will include the Greenwood </w:t>
      </w:r>
      <w:r w:rsidR="007743EC" w:rsidRPr="007743EC">
        <w:rPr>
          <w:rFonts w:ascii="Calibri" w:eastAsia="Calibri" w:hAnsi="Calibri"/>
          <w:sz w:val="22"/>
          <w:szCs w:val="22"/>
        </w:rPr>
        <w:t>report on the inspection results and mitigation plans in its CSAR every year until the inspections are completed.</w:t>
      </w:r>
      <w:r w:rsidR="007743EC">
        <w:rPr>
          <w:rFonts w:ascii="Calibri" w:eastAsia="Calibri" w:hAnsi="Calibri"/>
          <w:sz w:val="22"/>
          <w:szCs w:val="22"/>
        </w:rPr>
        <w:t xml:space="preserve">  </w:t>
      </w:r>
      <w:r w:rsidRPr="006642F9">
        <w:rPr>
          <w:rFonts w:ascii="Calibri" w:eastAsia="Calibri" w:hAnsi="Calibri"/>
          <w:sz w:val="22"/>
          <w:szCs w:val="22"/>
        </w:rPr>
        <w:t>.  PSE will retain records of inspection results and mitigation plans for each service inspected.  Said records will be available for WUTC staff inspection at their convenience.</w:t>
      </w:r>
    </w:p>
    <w:p w:rsidR="006642F9" w:rsidRPr="006642F9" w:rsidRDefault="006642F9" w:rsidP="006642F9">
      <w:pPr>
        <w:widowControl/>
        <w:autoSpaceDE/>
        <w:autoSpaceDN/>
        <w:adjustRightInd/>
        <w:spacing w:after="200" w:line="276" w:lineRule="auto"/>
        <w:rPr>
          <w:rFonts w:ascii="Calibri" w:eastAsia="Calibri" w:hAnsi="Calibri"/>
          <w:sz w:val="22"/>
          <w:szCs w:val="22"/>
        </w:rPr>
      </w:pPr>
    </w:p>
    <w:p w:rsidR="006642F9" w:rsidRPr="006642F9" w:rsidRDefault="006642F9" w:rsidP="006642F9">
      <w:pPr>
        <w:widowControl/>
        <w:numPr>
          <w:ilvl w:val="0"/>
          <w:numId w:val="24"/>
        </w:numPr>
        <w:autoSpaceDE/>
        <w:autoSpaceDN/>
        <w:adjustRightInd/>
        <w:spacing w:afterLines="60" w:after="144" w:line="276" w:lineRule="auto"/>
        <w:contextualSpacing/>
        <w:rPr>
          <w:rFonts w:ascii="Calibri" w:eastAsia="Calibri" w:hAnsi="Calibri"/>
          <w:b/>
          <w:sz w:val="22"/>
          <w:szCs w:val="22"/>
        </w:rPr>
      </w:pPr>
      <w:r w:rsidRPr="006642F9">
        <w:rPr>
          <w:rFonts w:ascii="Calibri" w:eastAsia="Calibri" w:hAnsi="Calibri"/>
          <w:b/>
          <w:sz w:val="22"/>
          <w:szCs w:val="22"/>
        </w:rPr>
        <w:t>Unmetered Services</w:t>
      </w:r>
    </w:p>
    <w:p w:rsidR="006642F9" w:rsidRPr="006642F9" w:rsidRDefault="006642F9" w:rsidP="006642F9">
      <w:pPr>
        <w:widowControl/>
        <w:autoSpaceDE/>
        <w:autoSpaceDN/>
        <w:adjustRightInd/>
        <w:spacing w:afterLines="60" w:after="144" w:line="276" w:lineRule="auto"/>
        <w:rPr>
          <w:rFonts w:ascii="Calibri" w:eastAsia="Calibri" w:hAnsi="Calibri"/>
          <w:sz w:val="22"/>
          <w:szCs w:val="22"/>
        </w:rPr>
      </w:pPr>
      <w:r w:rsidRPr="006642F9">
        <w:rPr>
          <w:rFonts w:ascii="Calibri" w:eastAsia="Calibri" w:hAnsi="Calibri"/>
          <w:sz w:val="22"/>
          <w:szCs w:val="22"/>
        </w:rPr>
        <w:t>PSE will identify, inspect unmetered services for situations that PSE, in its sole discretion, determines may increase susceptibility to outside force damage, and remediate, as necessary, unmetered aboveground service piping (customer not yet connected, or previously-served customer not currently using gas).</w:t>
      </w:r>
    </w:p>
    <w:p w:rsidR="006642F9" w:rsidRPr="006642F9" w:rsidRDefault="006642F9" w:rsidP="006642F9">
      <w:pPr>
        <w:widowControl/>
        <w:numPr>
          <w:ilvl w:val="0"/>
          <w:numId w:val="25"/>
        </w:numPr>
        <w:autoSpaceDE/>
        <w:autoSpaceDN/>
        <w:adjustRightInd/>
        <w:spacing w:after="200" w:line="276" w:lineRule="auto"/>
        <w:contextualSpacing/>
        <w:rPr>
          <w:rFonts w:ascii="Calibri" w:eastAsia="Calibri" w:hAnsi="Calibri"/>
          <w:sz w:val="22"/>
          <w:szCs w:val="22"/>
        </w:rPr>
      </w:pPr>
      <w:r w:rsidRPr="006642F9">
        <w:rPr>
          <w:rFonts w:ascii="Calibri" w:eastAsia="Calibri" w:hAnsi="Calibri"/>
          <w:b/>
          <w:sz w:val="22"/>
          <w:szCs w:val="22"/>
        </w:rPr>
        <w:t>Identification</w:t>
      </w:r>
      <w:r w:rsidRPr="006642F9">
        <w:rPr>
          <w:rFonts w:ascii="Calibri" w:eastAsia="Calibri" w:hAnsi="Calibri"/>
          <w:sz w:val="22"/>
          <w:szCs w:val="22"/>
        </w:rPr>
        <w:t>.  PSE used GIS to identify 4,381 unmetered services. A records review is underway to confirm the population. PSE will complete this review by April 1, 2017.</w:t>
      </w:r>
    </w:p>
    <w:p w:rsidR="006642F9" w:rsidRPr="006642F9" w:rsidRDefault="006642F9" w:rsidP="006642F9">
      <w:pPr>
        <w:widowControl/>
        <w:autoSpaceDE/>
        <w:autoSpaceDN/>
        <w:adjustRightInd/>
        <w:spacing w:after="200" w:line="276" w:lineRule="auto"/>
        <w:ind w:left="360"/>
        <w:contextualSpacing/>
        <w:rPr>
          <w:rFonts w:ascii="Calibri" w:eastAsia="Calibri" w:hAnsi="Calibri"/>
          <w:sz w:val="22"/>
          <w:szCs w:val="22"/>
        </w:rPr>
      </w:pPr>
    </w:p>
    <w:p w:rsidR="006642F9" w:rsidRPr="006642F9" w:rsidRDefault="006642F9" w:rsidP="006642F9">
      <w:pPr>
        <w:widowControl/>
        <w:numPr>
          <w:ilvl w:val="0"/>
          <w:numId w:val="25"/>
        </w:numPr>
        <w:autoSpaceDE/>
        <w:autoSpaceDN/>
        <w:adjustRightInd/>
        <w:spacing w:after="200" w:line="276" w:lineRule="auto"/>
        <w:contextualSpacing/>
        <w:rPr>
          <w:rFonts w:ascii="Calibri" w:eastAsia="Calibri" w:hAnsi="Calibri"/>
          <w:sz w:val="22"/>
          <w:szCs w:val="22"/>
        </w:rPr>
      </w:pPr>
      <w:r w:rsidRPr="006642F9">
        <w:rPr>
          <w:rFonts w:ascii="Calibri" w:eastAsia="Calibri" w:hAnsi="Calibri"/>
          <w:b/>
          <w:sz w:val="22"/>
          <w:szCs w:val="22"/>
        </w:rPr>
        <w:t>Inspection</w:t>
      </w:r>
      <w:r w:rsidRPr="006642F9">
        <w:rPr>
          <w:rFonts w:ascii="Calibri" w:eastAsia="Calibri" w:hAnsi="Calibri"/>
          <w:sz w:val="22"/>
          <w:szCs w:val="22"/>
        </w:rPr>
        <w:t xml:space="preserve">.  PSE will conduct initial inspections in conjunction with routine survey and patrols consistent with the existing priority as established in the Gas Operating Standards. </w:t>
      </w:r>
    </w:p>
    <w:p w:rsidR="006642F9" w:rsidRPr="006642F9" w:rsidRDefault="006642F9" w:rsidP="006642F9">
      <w:pPr>
        <w:widowControl/>
        <w:numPr>
          <w:ilvl w:val="1"/>
          <w:numId w:val="25"/>
        </w:numPr>
        <w:tabs>
          <w:tab w:val="left" w:pos="630"/>
        </w:tabs>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sz w:val="22"/>
          <w:szCs w:val="22"/>
        </w:rPr>
        <w:t>The following locations will be inspected within 12 months of the Commission’s order approving the settlement agreement in WUTC Docket PG-160924:</w:t>
      </w:r>
    </w:p>
    <w:p w:rsidR="006642F9" w:rsidRPr="006642F9" w:rsidRDefault="006642F9" w:rsidP="006642F9">
      <w:pPr>
        <w:widowControl/>
        <w:numPr>
          <w:ilvl w:val="2"/>
          <w:numId w:val="25"/>
        </w:numPr>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sz w:val="22"/>
          <w:szCs w:val="22"/>
        </w:rPr>
        <w:t>Hard-to-Reach Locations (H2RL) sites</w:t>
      </w:r>
    </w:p>
    <w:p w:rsidR="006642F9" w:rsidRPr="006642F9" w:rsidRDefault="006642F9" w:rsidP="006642F9">
      <w:pPr>
        <w:widowControl/>
        <w:numPr>
          <w:ilvl w:val="2"/>
          <w:numId w:val="25"/>
        </w:numPr>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sz w:val="22"/>
          <w:szCs w:val="22"/>
        </w:rPr>
        <w:t>Business Districts</w:t>
      </w:r>
    </w:p>
    <w:p w:rsidR="006642F9" w:rsidRPr="006642F9" w:rsidRDefault="006642F9" w:rsidP="006642F9">
      <w:pPr>
        <w:widowControl/>
        <w:numPr>
          <w:ilvl w:val="2"/>
          <w:numId w:val="25"/>
        </w:numPr>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sz w:val="22"/>
          <w:szCs w:val="22"/>
        </w:rPr>
        <w:t>High Occupancy Structures (HOS) including schools and public buildings</w:t>
      </w:r>
    </w:p>
    <w:p w:rsidR="006642F9" w:rsidRPr="006642F9" w:rsidRDefault="006642F9" w:rsidP="006642F9">
      <w:pPr>
        <w:widowControl/>
        <w:numPr>
          <w:ilvl w:val="1"/>
          <w:numId w:val="25"/>
        </w:numPr>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sz w:val="22"/>
          <w:szCs w:val="22"/>
        </w:rPr>
        <w:t>All remaining locations will be inspected within 36 months of the Commission’s order approving the settlement agreement in WUTC Docket PG-160924</w:t>
      </w:r>
    </w:p>
    <w:p w:rsidR="006642F9" w:rsidRPr="006642F9" w:rsidRDefault="006642F9" w:rsidP="006642F9">
      <w:pPr>
        <w:widowControl/>
        <w:autoSpaceDE/>
        <w:autoSpaceDN/>
        <w:adjustRightInd/>
        <w:spacing w:after="200" w:line="276" w:lineRule="auto"/>
        <w:ind w:left="360"/>
        <w:contextualSpacing/>
        <w:rPr>
          <w:rFonts w:ascii="Calibri" w:eastAsia="Calibri" w:hAnsi="Calibri"/>
          <w:sz w:val="22"/>
          <w:szCs w:val="22"/>
        </w:rPr>
      </w:pPr>
    </w:p>
    <w:p w:rsidR="006642F9" w:rsidRPr="006642F9" w:rsidRDefault="006642F9" w:rsidP="006642F9">
      <w:pPr>
        <w:widowControl/>
        <w:numPr>
          <w:ilvl w:val="0"/>
          <w:numId w:val="25"/>
        </w:numPr>
        <w:autoSpaceDE/>
        <w:autoSpaceDN/>
        <w:adjustRightInd/>
        <w:spacing w:after="200" w:line="276" w:lineRule="auto"/>
        <w:contextualSpacing/>
        <w:rPr>
          <w:rFonts w:ascii="Calibri" w:eastAsia="Calibri" w:hAnsi="Calibri"/>
          <w:sz w:val="22"/>
          <w:szCs w:val="22"/>
        </w:rPr>
      </w:pPr>
      <w:r w:rsidRPr="006642F9">
        <w:rPr>
          <w:rFonts w:ascii="Calibri" w:eastAsia="Calibri" w:hAnsi="Calibri"/>
          <w:b/>
          <w:sz w:val="22"/>
          <w:szCs w:val="22"/>
        </w:rPr>
        <w:t>Remediation</w:t>
      </w:r>
      <w:r w:rsidRPr="006642F9">
        <w:rPr>
          <w:rFonts w:ascii="Calibri" w:eastAsia="Calibri" w:hAnsi="Calibri"/>
          <w:sz w:val="22"/>
          <w:szCs w:val="22"/>
        </w:rPr>
        <w:t xml:space="preserve">.  Results for the initial inspections and any subsequent routine inspections will be routed to PSE’s Gas System Integrity department and will be evaluated for disposition (including retirement) using methods established by PSE’s DIMP.  </w:t>
      </w:r>
    </w:p>
    <w:p w:rsidR="006642F9" w:rsidRPr="006642F9" w:rsidRDefault="006642F9" w:rsidP="006642F9">
      <w:pPr>
        <w:widowControl/>
        <w:autoSpaceDE/>
        <w:autoSpaceDN/>
        <w:adjustRightInd/>
        <w:spacing w:after="200" w:line="276" w:lineRule="auto"/>
        <w:contextualSpacing/>
        <w:rPr>
          <w:rFonts w:ascii="Calibri" w:eastAsia="Calibri" w:hAnsi="Calibri"/>
          <w:b/>
          <w:sz w:val="22"/>
          <w:szCs w:val="22"/>
        </w:rPr>
      </w:pPr>
    </w:p>
    <w:p w:rsidR="006642F9" w:rsidRPr="006642F9" w:rsidRDefault="006642F9" w:rsidP="006642F9">
      <w:pPr>
        <w:widowControl/>
        <w:numPr>
          <w:ilvl w:val="0"/>
          <w:numId w:val="25"/>
        </w:numPr>
        <w:autoSpaceDE/>
        <w:autoSpaceDN/>
        <w:adjustRightInd/>
        <w:spacing w:afterLines="60" w:after="144" w:line="276" w:lineRule="auto"/>
        <w:contextualSpacing/>
        <w:rPr>
          <w:rFonts w:ascii="Calibri" w:eastAsia="Calibri" w:hAnsi="Calibri"/>
          <w:sz w:val="22"/>
          <w:szCs w:val="22"/>
        </w:rPr>
      </w:pPr>
      <w:r w:rsidRPr="006642F9">
        <w:rPr>
          <w:rFonts w:ascii="Calibri" w:eastAsia="Calibri" w:hAnsi="Calibri"/>
          <w:b/>
          <w:sz w:val="22"/>
          <w:szCs w:val="22"/>
        </w:rPr>
        <w:t>Reporting</w:t>
      </w:r>
      <w:r w:rsidRPr="006642F9">
        <w:rPr>
          <w:rFonts w:ascii="Calibri" w:eastAsia="Calibri" w:hAnsi="Calibri"/>
          <w:sz w:val="22"/>
          <w:szCs w:val="22"/>
        </w:rPr>
        <w:t xml:space="preserve">.  </w:t>
      </w:r>
      <w:r w:rsidR="007743EC" w:rsidRPr="007743EC">
        <w:rPr>
          <w:rFonts w:ascii="Calibri" w:eastAsia="Calibri" w:hAnsi="Calibri"/>
          <w:sz w:val="22"/>
          <w:szCs w:val="22"/>
        </w:rPr>
        <w:t>P</w:t>
      </w:r>
      <w:r w:rsidR="007743EC">
        <w:rPr>
          <w:rFonts w:ascii="Calibri" w:eastAsia="Calibri" w:hAnsi="Calibri"/>
          <w:sz w:val="22"/>
          <w:szCs w:val="22"/>
        </w:rPr>
        <w:t xml:space="preserve">SE will include the Greenwood </w:t>
      </w:r>
      <w:r w:rsidR="007743EC" w:rsidRPr="007743EC">
        <w:rPr>
          <w:rFonts w:ascii="Calibri" w:eastAsia="Calibri" w:hAnsi="Calibri"/>
          <w:sz w:val="22"/>
          <w:szCs w:val="22"/>
        </w:rPr>
        <w:t>report on the inspection results and mitigation plans in its CSAR every year until the inspections are completed.</w:t>
      </w:r>
      <w:r w:rsidRPr="006642F9">
        <w:rPr>
          <w:rFonts w:ascii="Calibri" w:eastAsia="Calibri" w:hAnsi="Calibri"/>
          <w:sz w:val="22"/>
          <w:szCs w:val="22"/>
        </w:rPr>
        <w:t xml:space="preserve">PSE will retain records of inspection results and mitigation plans for each service inspected. </w:t>
      </w:r>
      <w:r w:rsidR="007743EC">
        <w:rPr>
          <w:rFonts w:ascii="Calibri" w:eastAsia="Calibri" w:hAnsi="Calibri"/>
          <w:sz w:val="22"/>
          <w:szCs w:val="22"/>
        </w:rPr>
        <w:t xml:space="preserve"> </w:t>
      </w:r>
      <w:r w:rsidRPr="006642F9">
        <w:rPr>
          <w:rFonts w:ascii="Calibri" w:eastAsia="Calibri" w:hAnsi="Calibri"/>
          <w:sz w:val="22"/>
          <w:szCs w:val="22"/>
        </w:rPr>
        <w:t>Said records will be available for WUTC staff inspection at their convenience.</w:t>
      </w:r>
    </w:p>
    <w:sectPr w:rsidR="006642F9" w:rsidRPr="006642F9" w:rsidSect="001F487D">
      <w:footerReference w:type="default" r:id="rId19"/>
      <w:pgSz w:w="12240" w:h="15840" w:code="1"/>
      <w:pgMar w:top="1440" w:right="1440" w:bottom="1440" w:left="187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DF" w:rsidRDefault="000355DF">
      <w:r>
        <w:separator/>
      </w:r>
    </w:p>
  </w:endnote>
  <w:endnote w:type="continuationSeparator" w:id="0">
    <w:p w:rsidR="000355DF" w:rsidRDefault="0003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CB" w:rsidRDefault="00F91CCB" w:rsidP="00F91CCB">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8B7" w:rsidRDefault="007A78B7" w:rsidP="007A78B7">
    <w:pPr>
      <w:pStyle w:val="Footer"/>
    </w:pPr>
    <w:r>
      <w:t>DOCKET PG-</w:t>
    </w:r>
    <w:r w:rsidR="00B32572">
      <w:t>160924</w:t>
    </w:r>
  </w:p>
  <w:p w:rsidR="00871BDE" w:rsidRDefault="007A78B7" w:rsidP="007A78B7">
    <w:pPr>
      <w:pStyle w:val="Footer"/>
      <w:rPr>
        <w:rStyle w:val="PageNumber"/>
      </w:rPr>
    </w:pPr>
    <w:r>
      <w:t>SETTLEMENT</w:t>
    </w:r>
    <w:r w:rsidR="00105EEB" w:rsidRPr="00105EEB">
      <w:t xml:space="preserve"> </w:t>
    </w:r>
    <w:r>
      <w:t>AGREEMENT</w:t>
    </w:r>
    <w:r w:rsidR="005B4C0B" w:rsidRPr="00737B08">
      <w:t xml:space="preserve">- </w:t>
    </w:r>
    <w:r w:rsidR="005B4C0B" w:rsidRPr="00737B08">
      <w:rPr>
        <w:rStyle w:val="PageNumber"/>
      </w:rPr>
      <w:fldChar w:fldCharType="begin"/>
    </w:r>
    <w:r w:rsidR="005B4C0B" w:rsidRPr="00737B08">
      <w:rPr>
        <w:rStyle w:val="PageNumber"/>
      </w:rPr>
      <w:instrText xml:space="preserve"> PAGE </w:instrText>
    </w:r>
    <w:r w:rsidR="005B4C0B" w:rsidRPr="00737B08">
      <w:rPr>
        <w:rStyle w:val="PageNumber"/>
      </w:rPr>
      <w:fldChar w:fldCharType="separate"/>
    </w:r>
    <w:r w:rsidR="00F762DE">
      <w:rPr>
        <w:rStyle w:val="PageNumber"/>
        <w:noProof/>
      </w:rPr>
      <w:t>1</w:t>
    </w:r>
    <w:r w:rsidR="005B4C0B" w:rsidRPr="00737B08">
      <w:rPr>
        <w:rStyle w:val="PageNumber"/>
      </w:rPr>
      <w:fldChar w:fldCharType="end"/>
    </w:r>
  </w:p>
  <w:p w:rsidR="00BE3488" w:rsidRDefault="00BE3488" w:rsidP="00BE3488">
    <w:pPr>
      <w:pStyle w:val="Footer"/>
      <w:spacing w:line="200" w:lineRule="exact"/>
      <w:rPr>
        <w:rStyle w:val="PageNumber"/>
      </w:rPr>
    </w:pPr>
    <w:r w:rsidRPr="00BE3488">
      <w:rPr>
        <w:rStyle w:val="zzmpTrailerItem"/>
      </w:rPr>
      <w:t>134940405.1</w:t>
    </w:r>
    <w:r w:rsidRPr="00BE348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DE" w:rsidRDefault="00F762D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87D" w:rsidRDefault="001F487D" w:rsidP="007A78B7">
    <w:pPr>
      <w:pStyle w:val="Footer"/>
    </w:pPr>
    <w:r>
      <w:t>DOCKET PG-160924</w:t>
    </w:r>
  </w:p>
  <w:p w:rsidR="001F487D" w:rsidRDefault="001F487D" w:rsidP="007A78B7">
    <w:pPr>
      <w:pStyle w:val="Footer"/>
      <w:rPr>
        <w:rStyle w:val="PageNumber"/>
      </w:rPr>
    </w:pPr>
    <w:r>
      <w:t xml:space="preserve">APPENDIX A </w:t>
    </w:r>
    <w:r w:rsidR="00892813">
      <w:t>– COMPLIANCE PLAN</w:t>
    </w:r>
    <w:r w:rsidR="006642F9">
      <w:t xml:space="preserve"> – </w:t>
    </w:r>
    <w:r w:rsidRPr="00737B08">
      <w:rPr>
        <w:rStyle w:val="PageNumber"/>
      </w:rPr>
      <w:fldChar w:fldCharType="begin"/>
    </w:r>
    <w:r w:rsidRPr="00737B08">
      <w:rPr>
        <w:rStyle w:val="PageNumber"/>
      </w:rPr>
      <w:instrText xml:space="preserve"> PAGE </w:instrText>
    </w:r>
    <w:r w:rsidRPr="00737B08">
      <w:rPr>
        <w:rStyle w:val="PageNumber"/>
      </w:rPr>
      <w:fldChar w:fldCharType="separate"/>
    </w:r>
    <w:r w:rsidR="00BE3488">
      <w:rPr>
        <w:rStyle w:val="PageNumber"/>
        <w:noProof/>
      </w:rPr>
      <w:t>1</w:t>
    </w:r>
    <w:r w:rsidRPr="00737B08">
      <w:rPr>
        <w:rStyle w:val="PageNumber"/>
      </w:rPr>
      <w:fldChar w:fldCharType="end"/>
    </w:r>
  </w:p>
  <w:p w:rsidR="00032DE7" w:rsidRDefault="00BE3488" w:rsidP="00BE3488">
    <w:pPr>
      <w:pStyle w:val="Footer"/>
      <w:spacing w:line="200" w:lineRule="exact"/>
    </w:pPr>
    <w:r w:rsidRPr="00BE3488">
      <w:rPr>
        <w:rStyle w:val="zzmpTrailerItem"/>
      </w:rPr>
      <w:t>134940405.1</w:t>
    </w:r>
    <w:r w:rsidRPr="00BE348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DF" w:rsidRDefault="000355DF">
      <w:r>
        <w:separator/>
      </w:r>
    </w:p>
  </w:footnote>
  <w:footnote w:type="continuationSeparator" w:id="0">
    <w:p w:rsidR="000355DF" w:rsidRDefault="0003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DE" w:rsidRDefault="00F76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DE" w:rsidRDefault="00F76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2DE" w:rsidRDefault="00F76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0B8"/>
    <w:multiLevelType w:val="hybridMultilevel"/>
    <w:tmpl w:val="F1062024"/>
    <w:lvl w:ilvl="0" w:tplc="0B003AE4">
      <w:start w:val="1"/>
      <w:numFmt w:val="lowerLetter"/>
      <w:lvlText w:val="%1."/>
      <w:lvlJc w:val="left"/>
      <w:pPr>
        <w:ind w:left="117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90416"/>
    <w:multiLevelType w:val="hybridMultilevel"/>
    <w:tmpl w:val="CC0EEA8A"/>
    <w:lvl w:ilvl="0" w:tplc="6958AEA6">
      <w:start w:val="1"/>
      <w:numFmt w:val="decimal"/>
      <w:lvlText w:val="%1"/>
      <w:lvlJc w:val="left"/>
      <w:pPr>
        <w:tabs>
          <w:tab w:val="num" w:pos="1080"/>
        </w:tabs>
        <w:ind w:left="1080" w:hanging="1080"/>
      </w:pPr>
      <w:rPr>
        <w:rFonts w:hint="default"/>
        <w:b w:val="0"/>
        <w:i/>
        <w:sz w:val="24"/>
        <w:szCs w:val="24"/>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4A27C4E"/>
    <w:multiLevelType w:val="hybridMultilevel"/>
    <w:tmpl w:val="0166167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C7831"/>
    <w:multiLevelType w:val="hybridMultilevel"/>
    <w:tmpl w:val="AA3C6030"/>
    <w:lvl w:ilvl="0" w:tplc="422A9E6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FBE0FDE">
      <w:start w:val="3"/>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4B1644"/>
    <w:multiLevelType w:val="hybridMultilevel"/>
    <w:tmpl w:val="26C26D5E"/>
    <w:lvl w:ilvl="0" w:tplc="0B003AE4">
      <w:start w:val="1"/>
      <w:numFmt w:val="lowerLetter"/>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444567"/>
    <w:multiLevelType w:val="hybridMultilevel"/>
    <w:tmpl w:val="FFC25ADA"/>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4204C"/>
    <w:multiLevelType w:val="hybridMultilevel"/>
    <w:tmpl w:val="85385DE6"/>
    <w:lvl w:ilvl="0" w:tplc="F1DE8E36">
      <w:start w:val="1"/>
      <w:numFmt w:val="decimal"/>
      <w:pStyle w:val="FindingsConclusions"/>
      <w:lvlText w:val="%1"/>
      <w:lvlJc w:val="left"/>
      <w:pPr>
        <w:tabs>
          <w:tab w:val="num" w:pos="0"/>
        </w:tabs>
        <w:ind w:left="0" w:hanging="1080"/>
      </w:pPr>
      <w:rPr>
        <w:rFonts w:hint="default"/>
        <w:b w:val="0"/>
        <w:i/>
        <w:sz w:val="20"/>
      </w:rPr>
    </w:lvl>
    <w:lvl w:ilvl="1" w:tplc="3F6ECA58">
      <w:start w:val="4"/>
      <w:numFmt w:val="decimal"/>
      <w:lvlText w:val="%2."/>
      <w:lvlJc w:val="left"/>
      <w:pPr>
        <w:tabs>
          <w:tab w:val="num" w:pos="1800"/>
        </w:tabs>
        <w:ind w:left="1800" w:hanging="720"/>
      </w:pPr>
      <w:rPr>
        <w:rFonts w:hint="default"/>
      </w:rPr>
    </w:lvl>
    <w:lvl w:ilvl="2" w:tplc="4AE23048">
      <w:start w:val="5"/>
      <w:numFmt w:val="bullet"/>
      <w:lvlText w:val=""/>
      <w:lvlJc w:val="left"/>
      <w:pPr>
        <w:tabs>
          <w:tab w:val="num" w:pos="2340"/>
        </w:tabs>
        <w:ind w:left="2340" w:hanging="360"/>
      </w:pPr>
      <w:rPr>
        <w:rFonts w:ascii="Symbol" w:eastAsia="Times New Roman" w:hAnsi="Symbol" w:cs="Times New Roman" w:hint="default"/>
      </w:rPr>
    </w:lvl>
    <w:lvl w:ilvl="3" w:tplc="A9140692" w:tentative="1">
      <w:start w:val="1"/>
      <w:numFmt w:val="decimal"/>
      <w:lvlText w:val="%4."/>
      <w:lvlJc w:val="left"/>
      <w:pPr>
        <w:tabs>
          <w:tab w:val="num" w:pos="2880"/>
        </w:tabs>
        <w:ind w:left="2880" w:hanging="360"/>
      </w:pPr>
    </w:lvl>
    <w:lvl w:ilvl="4" w:tplc="597439A2" w:tentative="1">
      <w:start w:val="1"/>
      <w:numFmt w:val="lowerLetter"/>
      <w:lvlText w:val="%5."/>
      <w:lvlJc w:val="left"/>
      <w:pPr>
        <w:tabs>
          <w:tab w:val="num" w:pos="3600"/>
        </w:tabs>
        <w:ind w:left="3600" w:hanging="360"/>
      </w:pPr>
    </w:lvl>
    <w:lvl w:ilvl="5" w:tplc="497804AC" w:tentative="1">
      <w:start w:val="1"/>
      <w:numFmt w:val="lowerRoman"/>
      <w:lvlText w:val="%6."/>
      <w:lvlJc w:val="right"/>
      <w:pPr>
        <w:tabs>
          <w:tab w:val="num" w:pos="4320"/>
        </w:tabs>
        <w:ind w:left="4320" w:hanging="180"/>
      </w:pPr>
    </w:lvl>
    <w:lvl w:ilvl="6" w:tplc="BC5CAB56" w:tentative="1">
      <w:start w:val="1"/>
      <w:numFmt w:val="decimal"/>
      <w:lvlText w:val="%7."/>
      <w:lvlJc w:val="left"/>
      <w:pPr>
        <w:tabs>
          <w:tab w:val="num" w:pos="5040"/>
        </w:tabs>
        <w:ind w:left="5040" w:hanging="360"/>
      </w:pPr>
    </w:lvl>
    <w:lvl w:ilvl="7" w:tplc="90DCE5F6" w:tentative="1">
      <w:start w:val="1"/>
      <w:numFmt w:val="lowerLetter"/>
      <w:lvlText w:val="%8."/>
      <w:lvlJc w:val="left"/>
      <w:pPr>
        <w:tabs>
          <w:tab w:val="num" w:pos="5760"/>
        </w:tabs>
        <w:ind w:left="5760" w:hanging="360"/>
      </w:pPr>
    </w:lvl>
    <w:lvl w:ilvl="8" w:tplc="A43043E0" w:tentative="1">
      <w:start w:val="1"/>
      <w:numFmt w:val="lowerRoman"/>
      <w:lvlText w:val="%9."/>
      <w:lvlJc w:val="right"/>
      <w:pPr>
        <w:tabs>
          <w:tab w:val="num" w:pos="6480"/>
        </w:tabs>
        <w:ind w:left="6480" w:hanging="180"/>
      </w:pPr>
    </w:lvl>
  </w:abstractNum>
  <w:abstractNum w:abstractNumId="7">
    <w:nsid w:val="25833C73"/>
    <w:multiLevelType w:val="hybridMultilevel"/>
    <w:tmpl w:val="E786B562"/>
    <w:lvl w:ilvl="0" w:tplc="F0C07F52">
      <w:start w:val="1"/>
      <w:numFmt w:val="decimal"/>
      <w:lvlText w:val="%1"/>
      <w:lvlJc w:val="left"/>
      <w:pPr>
        <w:tabs>
          <w:tab w:val="num" w:pos="720"/>
        </w:tabs>
        <w:ind w:left="0" w:hanging="720"/>
      </w:pPr>
      <w:rPr>
        <w:rFonts w:hint="default"/>
        <w:b w:val="0"/>
        <w:i/>
        <w:sz w:val="20"/>
        <w:vertAlign w:val="baseline"/>
      </w:rPr>
    </w:lvl>
    <w:lvl w:ilvl="1" w:tplc="D098E78E">
      <w:start w:val="38"/>
      <w:numFmt w:val="decimal"/>
      <w:lvlText w:val="%2"/>
      <w:lvlJc w:val="left"/>
      <w:pPr>
        <w:tabs>
          <w:tab w:val="num" w:pos="720"/>
        </w:tabs>
        <w:ind w:left="0" w:hanging="720"/>
      </w:pPr>
      <w:rPr>
        <w:rFonts w:ascii="Palatino Linotype" w:hAnsi="Palatino Linotype" w:hint="default"/>
        <w:b w:val="0"/>
        <w:i/>
        <w:sz w:val="20"/>
        <w:szCs w:val="20"/>
        <w:vertAlign w:val="baseline"/>
      </w:rPr>
    </w:lvl>
    <w:lvl w:ilvl="2" w:tplc="DC8C8740" w:tentative="1">
      <w:start w:val="1"/>
      <w:numFmt w:val="lowerRoman"/>
      <w:lvlText w:val="%3."/>
      <w:lvlJc w:val="right"/>
      <w:pPr>
        <w:tabs>
          <w:tab w:val="num" w:pos="3240"/>
        </w:tabs>
        <w:ind w:left="3240" w:hanging="180"/>
      </w:pPr>
    </w:lvl>
    <w:lvl w:ilvl="3" w:tplc="4878B3CE" w:tentative="1">
      <w:start w:val="1"/>
      <w:numFmt w:val="decimal"/>
      <w:lvlText w:val="%4."/>
      <w:lvlJc w:val="left"/>
      <w:pPr>
        <w:tabs>
          <w:tab w:val="num" w:pos="3960"/>
        </w:tabs>
        <w:ind w:left="3960" w:hanging="360"/>
      </w:pPr>
    </w:lvl>
    <w:lvl w:ilvl="4" w:tplc="94EA3BEE" w:tentative="1">
      <w:start w:val="1"/>
      <w:numFmt w:val="lowerLetter"/>
      <w:lvlText w:val="%5."/>
      <w:lvlJc w:val="left"/>
      <w:pPr>
        <w:tabs>
          <w:tab w:val="num" w:pos="4680"/>
        </w:tabs>
        <w:ind w:left="4680" w:hanging="360"/>
      </w:pPr>
    </w:lvl>
    <w:lvl w:ilvl="5" w:tplc="9A845452" w:tentative="1">
      <w:start w:val="1"/>
      <w:numFmt w:val="lowerRoman"/>
      <w:lvlText w:val="%6."/>
      <w:lvlJc w:val="right"/>
      <w:pPr>
        <w:tabs>
          <w:tab w:val="num" w:pos="5400"/>
        </w:tabs>
        <w:ind w:left="5400" w:hanging="180"/>
      </w:pPr>
    </w:lvl>
    <w:lvl w:ilvl="6" w:tplc="2336204A" w:tentative="1">
      <w:start w:val="1"/>
      <w:numFmt w:val="decimal"/>
      <w:lvlText w:val="%7."/>
      <w:lvlJc w:val="left"/>
      <w:pPr>
        <w:tabs>
          <w:tab w:val="num" w:pos="6120"/>
        </w:tabs>
        <w:ind w:left="6120" w:hanging="360"/>
      </w:pPr>
    </w:lvl>
    <w:lvl w:ilvl="7" w:tplc="119CE0A6" w:tentative="1">
      <w:start w:val="1"/>
      <w:numFmt w:val="lowerLetter"/>
      <w:lvlText w:val="%8."/>
      <w:lvlJc w:val="left"/>
      <w:pPr>
        <w:tabs>
          <w:tab w:val="num" w:pos="6840"/>
        </w:tabs>
        <w:ind w:left="6840" w:hanging="360"/>
      </w:pPr>
    </w:lvl>
    <w:lvl w:ilvl="8" w:tplc="D6146ACE" w:tentative="1">
      <w:start w:val="1"/>
      <w:numFmt w:val="lowerRoman"/>
      <w:lvlText w:val="%9."/>
      <w:lvlJc w:val="right"/>
      <w:pPr>
        <w:tabs>
          <w:tab w:val="num" w:pos="7560"/>
        </w:tabs>
        <w:ind w:left="7560" w:hanging="180"/>
      </w:pPr>
    </w:lvl>
  </w:abstractNum>
  <w:abstractNum w:abstractNumId="8">
    <w:nsid w:val="27AD6477"/>
    <w:multiLevelType w:val="hybridMultilevel"/>
    <w:tmpl w:val="DDC8F95C"/>
    <w:lvl w:ilvl="0" w:tplc="FB3E263E">
      <w:start w:val="1"/>
      <w:numFmt w:val="decimal"/>
      <w:lvlText w:val="%1)"/>
      <w:lvlJc w:val="left"/>
      <w:pPr>
        <w:ind w:left="720" w:hanging="360"/>
      </w:pPr>
      <w:rPr>
        <w:sz w:val="22"/>
        <w:szCs w:val="22"/>
      </w:rPr>
    </w:lvl>
    <w:lvl w:ilvl="1" w:tplc="1368DB7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A7B5913"/>
    <w:multiLevelType w:val="hybridMultilevel"/>
    <w:tmpl w:val="91946F0A"/>
    <w:lvl w:ilvl="0" w:tplc="42E4B3B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BA5C76"/>
    <w:multiLevelType w:val="hybridMultilevel"/>
    <w:tmpl w:val="64382ABE"/>
    <w:lvl w:ilvl="0" w:tplc="B0FA114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67E0338"/>
    <w:multiLevelType w:val="hybridMultilevel"/>
    <w:tmpl w:val="EE6C28F6"/>
    <w:lvl w:ilvl="0" w:tplc="E12604AE">
      <w:start w:val="1"/>
      <w:numFmt w:val="decimal"/>
      <w:lvlText w:val="%1"/>
      <w:lvlJc w:val="left"/>
      <w:pPr>
        <w:tabs>
          <w:tab w:val="num" w:pos="0"/>
        </w:tabs>
        <w:ind w:left="0" w:hanging="720"/>
      </w:pPr>
      <w:rPr>
        <w:rFonts w:ascii="Times New Roman" w:hAnsi="Times New Roman" w:cs="Times New Roman" w:hint="default"/>
        <w:b w:val="0"/>
        <w:i/>
        <w:sz w:val="22"/>
        <w:szCs w:val="2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BE113B"/>
    <w:multiLevelType w:val="hybridMultilevel"/>
    <w:tmpl w:val="A3B28058"/>
    <w:lvl w:ilvl="0" w:tplc="7EF023CC">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C580145"/>
    <w:multiLevelType w:val="hybridMultilevel"/>
    <w:tmpl w:val="0D501B6C"/>
    <w:lvl w:ilvl="0" w:tplc="5B068718">
      <w:start w:val="1"/>
      <w:numFmt w:val="lowerRoman"/>
      <w:lvlText w:val="%1."/>
      <w:lvlJc w:val="right"/>
      <w:pPr>
        <w:ind w:left="2340" w:hanging="360"/>
      </w:pPr>
      <w:rPr>
        <w:b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511732F1"/>
    <w:multiLevelType w:val="hybridMultilevel"/>
    <w:tmpl w:val="9BC0BF6A"/>
    <w:lvl w:ilvl="0" w:tplc="422A9E66">
      <w:start w:val="1"/>
      <w:numFmt w:val="decimal"/>
      <w:lvlText w:val="%1)"/>
      <w:lvlJc w:val="left"/>
      <w:pPr>
        <w:ind w:left="45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FBE0FDE">
      <w:start w:val="3"/>
      <w:numFmt w:val="decimal"/>
      <w:lvlText w:val="%4)"/>
      <w:lvlJc w:val="left"/>
      <w:pPr>
        <w:ind w:left="2520" w:hanging="360"/>
      </w:pPr>
      <w:rPr>
        <w:b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6B6135C6"/>
    <w:multiLevelType w:val="hybridMultilevel"/>
    <w:tmpl w:val="BE36D1AA"/>
    <w:lvl w:ilvl="0" w:tplc="0409000F">
      <w:start w:val="1"/>
      <w:numFmt w:val="decimal"/>
      <w:lvlText w:val="%1."/>
      <w:lvlJc w:val="left"/>
      <w:pPr>
        <w:ind w:left="720" w:hanging="360"/>
      </w:pPr>
      <w:rPr>
        <w:b w:val="0"/>
      </w:rPr>
    </w:lvl>
    <w:lvl w:ilvl="1" w:tplc="0B003AE4">
      <w:start w:val="1"/>
      <w:numFmt w:val="lowerLetter"/>
      <w:lvlText w:val="%2."/>
      <w:lvlJc w:val="left"/>
      <w:pPr>
        <w:ind w:left="117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861A91"/>
    <w:multiLevelType w:val="hybridMultilevel"/>
    <w:tmpl w:val="E8DA78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FE1DC6"/>
    <w:multiLevelType w:val="hybridMultilevel"/>
    <w:tmpl w:val="18E09CA0"/>
    <w:lvl w:ilvl="0" w:tplc="113C7700">
      <w:start w:val="1"/>
      <w:numFmt w:val="decimal"/>
      <w:lvlText w:val="%1"/>
      <w:lvlJc w:val="left"/>
      <w:pPr>
        <w:ind w:hanging="720"/>
      </w:pPr>
      <w:rPr>
        <w:rFonts w:cs="Times New Roman" w:hint="default"/>
        <w:b w:val="0"/>
        <w:i/>
      </w:rPr>
    </w:lvl>
    <w:lvl w:ilvl="1" w:tplc="04090019">
      <w:start w:val="1"/>
      <w:numFmt w:val="lowerLetter"/>
      <w:lvlText w:val="%2."/>
      <w:lvlJc w:val="left"/>
      <w:pPr>
        <w:ind w:left="4330" w:hanging="360"/>
      </w:pPr>
      <w:rPr>
        <w:rFonts w:cs="Times New Roman"/>
      </w:rPr>
    </w:lvl>
    <w:lvl w:ilvl="2" w:tplc="0409001B" w:tentative="1">
      <w:start w:val="1"/>
      <w:numFmt w:val="lowerRoman"/>
      <w:lvlText w:val="%3."/>
      <w:lvlJc w:val="right"/>
      <w:pPr>
        <w:ind w:left="5050" w:hanging="180"/>
      </w:pPr>
      <w:rPr>
        <w:rFonts w:cs="Times New Roman"/>
      </w:rPr>
    </w:lvl>
    <w:lvl w:ilvl="3" w:tplc="0409000F" w:tentative="1">
      <w:start w:val="1"/>
      <w:numFmt w:val="decimal"/>
      <w:lvlText w:val="%4."/>
      <w:lvlJc w:val="left"/>
      <w:pPr>
        <w:ind w:left="5770" w:hanging="360"/>
      </w:pPr>
      <w:rPr>
        <w:rFonts w:cs="Times New Roman"/>
      </w:rPr>
    </w:lvl>
    <w:lvl w:ilvl="4" w:tplc="04090019" w:tentative="1">
      <w:start w:val="1"/>
      <w:numFmt w:val="lowerLetter"/>
      <w:lvlText w:val="%5."/>
      <w:lvlJc w:val="left"/>
      <w:pPr>
        <w:ind w:left="6490" w:hanging="360"/>
      </w:pPr>
      <w:rPr>
        <w:rFonts w:cs="Times New Roman"/>
      </w:rPr>
    </w:lvl>
    <w:lvl w:ilvl="5" w:tplc="0409001B" w:tentative="1">
      <w:start w:val="1"/>
      <w:numFmt w:val="lowerRoman"/>
      <w:lvlText w:val="%6."/>
      <w:lvlJc w:val="right"/>
      <w:pPr>
        <w:ind w:left="7210" w:hanging="180"/>
      </w:pPr>
      <w:rPr>
        <w:rFonts w:cs="Times New Roman"/>
      </w:rPr>
    </w:lvl>
    <w:lvl w:ilvl="6" w:tplc="0409000F" w:tentative="1">
      <w:start w:val="1"/>
      <w:numFmt w:val="decimal"/>
      <w:lvlText w:val="%7."/>
      <w:lvlJc w:val="left"/>
      <w:pPr>
        <w:ind w:left="7930" w:hanging="360"/>
      </w:pPr>
      <w:rPr>
        <w:rFonts w:cs="Times New Roman"/>
      </w:rPr>
    </w:lvl>
    <w:lvl w:ilvl="7" w:tplc="04090019" w:tentative="1">
      <w:start w:val="1"/>
      <w:numFmt w:val="lowerLetter"/>
      <w:lvlText w:val="%8."/>
      <w:lvlJc w:val="left"/>
      <w:pPr>
        <w:ind w:left="8650" w:hanging="360"/>
      </w:pPr>
      <w:rPr>
        <w:rFonts w:cs="Times New Roman"/>
      </w:rPr>
    </w:lvl>
    <w:lvl w:ilvl="8" w:tplc="0409001B" w:tentative="1">
      <w:start w:val="1"/>
      <w:numFmt w:val="lowerRoman"/>
      <w:lvlText w:val="%9."/>
      <w:lvlJc w:val="right"/>
      <w:pPr>
        <w:ind w:left="9370" w:hanging="180"/>
      </w:pPr>
      <w:rPr>
        <w:rFonts w:cs="Times New Roman"/>
      </w:rPr>
    </w:lvl>
  </w:abstractNum>
  <w:abstractNum w:abstractNumId="19">
    <w:nsid w:val="76724A46"/>
    <w:multiLevelType w:val="hybridMultilevel"/>
    <w:tmpl w:val="7FC4F87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5"/>
  </w:num>
  <w:num w:numId="3">
    <w:abstractNumId w:val="13"/>
  </w:num>
  <w:num w:numId="4">
    <w:abstractNumId w:val="1"/>
  </w:num>
  <w:num w:numId="5">
    <w:abstractNumId w:val="16"/>
  </w:num>
  <w:num w:numId="6">
    <w:abstractNumId w:val="17"/>
  </w:num>
  <w:num w:numId="7">
    <w:abstractNumId w:val="4"/>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6"/>
  </w:num>
  <w:num w:numId="15">
    <w:abstractNumId w:val="7"/>
  </w:num>
  <w:num w:numId="16">
    <w:abstractNumId w:val="12"/>
  </w:num>
  <w:num w:numId="17">
    <w:abstractNumId w:val="1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 w:numId="26">
    <w:abstractNumId w:val="11"/>
  </w:num>
  <w:num w:numId="27">
    <w:abstractNumId w:val="3"/>
  </w:num>
  <w:num w:numId="28">
    <w:abstractNumId w:val="15"/>
  </w:num>
  <w:num w:numId="2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tie, Julian (UTC)">
    <w15:presenceInfo w15:providerId="AD" w15:userId="S-1-5-21-1844237615-1844823847-839522115-4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D8"/>
    <w:rsid w:val="00004F71"/>
    <w:rsid w:val="00007CC7"/>
    <w:rsid w:val="000150D3"/>
    <w:rsid w:val="000151F5"/>
    <w:rsid w:val="00020E4B"/>
    <w:rsid w:val="00020F15"/>
    <w:rsid w:val="0002279A"/>
    <w:rsid w:val="00025DB8"/>
    <w:rsid w:val="00026636"/>
    <w:rsid w:val="00026829"/>
    <w:rsid w:val="00026989"/>
    <w:rsid w:val="0003090F"/>
    <w:rsid w:val="00032DE7"/>
    <w:rsid w:val="00033E73"/>
    <w:rsid w:val="000355DF"/>
    <w:rsid w:val="0003599A"/>
    <w:rsid w:val="000360F8"/>
    <w:rsid w:val="00036D6D"/>
    <w:rsid w:val="0003793C"/>
    <w:rsid w:val="000440C8"/>
    <w:rsid w:val="00044686"/>
    <w:rsid w:val="0004790F"/>
    <w:rsid w:val="000503D9"/>
    <w:rsid w:val="000503E6"/>
    <w:rsid w:val="00050822"/>
    <w:rsid w:val="00050EB4"/>
    <w:rsid w:val="000531BD"/>
    <w:rsid w:val="0005473E"/>
    <w:rsid w:val="0005478B"/>
    <w:rsid w:val="0005674A"/>
    <w:rsid w:val="00057D80"/>
    <w:rsid w:val="00062161"/>
    <w:rsid w:val="00063148"/>
    <w:rsid w:val="00065672"/>
    <w:rsid w:val="000705C6"/>
    <w:rsid w:val="00071733"/>
    <w:rsid w:val="0007184C"/>
    <w:rsid w:val="00073457"/>
    <w:rsid w:val="00074A1C"/>
    <w:rsid w:val="000769DC"/>
    <w:rsid w:val="00082FAB"/>
    <w:rsid w:val="0008303B"/>
    <w:rsid w:val="0008387A"/>
    <w:rsid w:val="00084021"/>
    <w:rsid w:val="00095252"/>
    <w:rsid w:val="00095C69"/>
    <w:rsid w:val="000972C3"/>
    <w:rsid w:val="00097680"/>
    <w:rsid w:val="000A4A2C"/>
    <w:rsid w:val="000A4E2A"/>
    <w:rsid w:val="000A755E"/>
    <w:rsid w:val="000B338D"/>
    <w:rsid w:val="000B49A6"/>
    <w:rsid w:val="000B50A4"/>
    <w:rsid w:val="000B6E57"/>
    <w:rsid w:val="000C3CA8"/>
    <w:rsid w:val="000C70C7"/>
    <w:rsid w:val="000D48F4"/>
    <w:rsid w:val="000D63F3"/>
    <w:rsid w:val="000E18E3"/>
    <w:rsid w:val="000E3559"/>
    <w:rsid w:val="000E4569"/>
    <w:rsid w:val="000E48F6"/>
    <w:rsid w:val="000E4A44"/>
    <w:rsid w:val="000F2FAB"/>
    <w:rsid w:val="000F3C6F"/>
    <w:rsid w:val="000F445F"/>
    <w:rsid w:val="000F7993"/>
    <w:rsid w:val="000F7BB5"/>
    <w:rsid w:val="00105EEB"/>
    <w:rsid w:val="001076AF"/>
    <w:rsid w:val="00111524"/>
    <w:rsid w:val="00112E90"/>
    <w:rsid w:val="00115F57"/>
    <w:rsid w:val="00116211"/>
    <w:rsid w:val="00116E20"/>
    <w:rsid w:val="001209E0"/>
    <w:rsid w:val="00120C9F"/>
    <w:rsid w:val="00125AEB"/>
    <w:rsid w:val="001265CF"/>
    <w:rsid w:val="00131E36"/>
    <w:rsid w:val="001371F2"/>
    <w:rsid w:val="00150F38"/>
    <w:rsid w:val="001513F0"/>
    <w:rsid w:val="00151CE3"/>
    <w:rsid w:val="00152738"/>
    <w:rsid w:val="00152AEF"/>
    <w:rsid w:val="00156088"/>
    <w:rsid w:val="0016417C"/>
    <w:rsid w:val="00165959"/>
    <w:rsid w:val="0017024A"/>
    <w:rsid w:val="001706EF"/>
    <w:rsid w:val="0017138E"/>
    <w:rsid w:val="00173668"/>
    <w:rsid w:val="00176681"/>
    <w:rsid w:val="001813D4"/>
    <w:rsid w:val="00181515"/>
    <w:rsid w:val="00183C7F"/>
    <w:rsid w:val="00184AB0"/>
    <w:rsid w:val="00184CCA"/>
    <w:rsid w:val="00193BE4"/>
    <w:rsid w:val="0019604C"/>
    <w:rsid w:val="00196DDD"/>
    <w:rsid w:val="001A05E8"/>
    <w:rsid w:val="001A0AA0"/>
    <w:rsid w:val="001A15FB"/>
    <w:rsid w:val="001A1957"/>
    <w:rsid w:val="001A33A7"/>
    <w:rsid w:val="001A3B82"/>
    <w:rsid w:val="001A3E51"/>
    <w:rsid w:val="001A4764"/>
    <w:rsid w:val="001A495D"/>
    <w:rsid w:val="001A5F9C"/>
    <w:rsid w:val="001A6BB0"/>
    <w:rsid w:val="001A6CF3"/>
    <w:rsid w:val="001B1ED6"/>
    <w:rsid w:val="001B27FA"/>
    <w:rsid w:val="001B71D4"/>
    <w:rsid w:val="001C1656"/>
    <w:rsid w:val="001C3F85"/>
    <w:rsid w:val="001C5C2C"/>
    <w:rsid w:val="001C68BD"/>
    <w:rsid w:val="001D29C8"/>
    <w:rsid w:val="001D5D07"/>
    <w:rsid w:val="001D6D4D"/>
    <w:rsid w:val="001D7AF7"/>
    <w:rsid w:val="001E49B2"/>
    <w:rsid w:val="001E5E9E"/>
    <w:rsid w:val="001E6269"/>
    <w:rsid w:val="001F061D"/>
    <w:rsid w:val="001F070F"/>
    <w:rsid w:val="001F332D"/>
    <w:rsid w:val="001F487D"/>
    <w:rsid w:val="001F4EF9"/>
    <w:rsid w:val="001F5010"/>
    <w:rsid w:val="001F6716"/>
    <w:rsid w:val="00200EAC"/>
    <w:rsid w:val="002030EA"/>
    <w:rsid w:val="002037CC"/>
    <w:rsid w:val="002038CD"/>
    <w:rsid w:val="002040AC"/>
    <w:rsid w:val="002057C8"/>
    <w:rsid w:val="002061F2"/>
    <w:rsid w:val="002069EB"/>
    <w:rsid w:val="0021431A"/>
    <w:rsid w:val="00216E13"/>
    <w:rsid w:val="00216E84"/>
    <w:rsid w:val="00216EAE"/>
    <w:rsid w:val="0022059B"/>
    <w:rsid w:val="00220D16"/>
    <w:rsid w:val="00222C54"/>
    <w:rsid w:val="0022331C"/>
    <w:rsid w:val="00224642"/>
    <w:rsid w:val="00225344"/>
    <w:rsid w:val="0022744A"/>
    <w:rsid w:val="0023198D"/>
    <w:rsid w:val="00232E44"/>
    <w:rsid w:val="00237E76"/>
    <w:rsid w:val="0024362A"/>
    <w:rsid w:val="00246BF5"/>
    <w:rsid w:val="00251934"/>
    <w:rsid w:val="00251F75"/>
    <w:rsid w:val="002527EE"/>
    <w:rsid w:val="00255923"/>
    <w:rsid w:val="00256EE6"/>
    <w:rsid w:val="00257C2B"/>
    <w:rsid w:val="0026098F"/>
    <w:rsid w:val="00261117"/>
    <w:rsid w:val="00261BA8"/>
    <w:rsid w:val="00262273"/>
    <w:rsid w:val="00267B39"/>
    <w:rsid w:val="002717B2"/>
    <w:rsid w:val="002724E8"/>
    <w:rsid w:val="002807E9"/>
    <w:rsid w:val="0028104D"/>
    <w:rsid w:val="0028425D"/>
    <w:rsid w:val="00285DAF"/>
    <w:rsid w:val="00287AEE"/>
    <w:rsid w:val="00290507"/>
    <w:rsid w:val="00290C55"/>
    <w:rsid w:val="002913FF"/>
    <w:rsid w:val="002931EB"/>
    <w:rsid w:val="00293595"/>
    <w:rsid w:val="002A26FB"/>
    <w:rsid w:val="002A35D9"/>
    <w:rsid w:val="002A3800"/>
    <w:rsid w:val="002A4747"/>
    <w:rsid w:val="002A56E9"/>
    <w:rsid w:val="002A58C3"/>
    <w:rsid w:val="002A621E"/>
    <w:rsid w:val="002A7DE2"/>
    <w:rsid w:val="002B073A"/>
    <w:rsid w:val="002B2722"/>
    <w:rsid w:val="002B285A"/>
    <w:rsid w:val="002B650E"/>
    <w:rsid w:val="002B6FA6"/>
    <w:rsid w:val="002B743C"/>
    <w:rsid w:val="002C1B4C"/>
    <w:rsid w:val="002C1F67"/>
    <w:rsid w:val="002C74C4"/>
    <w:rsid w:val="002D1A20"/>
    <w:rsid w:val="002D2F1E"/>
    <w:rsid w:val="002E3084"/>
    <w:rsid w:val="002E39B9"/>
    <w:rsid w:val="002E67CB"/>
    <w:rsid w:val="002E745E"/>
    <w:rsid w:val="002F0E16"/>
    <w:rsid w:val="002F4226"/>
    <w:rsid w:val="002F42E8"/>
    <w:rsid w:val="002F7225"/>
    <w:rsid w:val="002F76D3"/>
    <w:rsid w:val="002F7B8F"/>
    <w:rsid w:val="00300D69"/>
    <w:rsid w:val="00301085"/>
    <w:rsid w:val="00301413"/>
    <w:rsid w:val="00301503"/>
    <w:rsid w:val="0030255A"/>
    <w:rsid w:val="003036FC"/>
    <w:rsid w:val="00305631"/>
    <w:rsid w:val="0030689C"/>
    <w:rsid w:val="00307F3E"/>
    <w:rsid w:val="003200B6"/>
    <w:rsid w:val="00320B15"/>
    <w:rsid w:val="0032251A"/>
    <w:rsid w:val="00325C71"/>
    <w:rsid w:val="00327DE5"/>
    <w:rsid w:val="00330D57"/>
    <w:rsid w:val="00332357"/>
    <w:rsid w:val="003368EC"/>
    <w:rsid w:val="00341D66"/>
    <w:rsid w:val="00341F52"/>
    <w:rsid w:val="00347881"/>
    <w:rsid w:val="0035078C"/>
    <w:rsid w:val="003509F1"/>
    <w:rsid w:val="00352A71"/>
    <w:rsid w:val="0036095B"/>
    <w:rsid w:val="00360AD1"/>
    <w:rsid w:val="00360ECD"/>
    <w:rsid w:val="00363451"/>
    <w:rsid w:val="00364119"/>
    <w:rsid w:val="003702CC"/>
    <w:rsid w:val="00371ED6"/>
    <w:rsid w:val="0037254E"/>
    <w:rsid w:val="00373CD2"/>
    <w:rsid w:val="00374FEB"/>
    <w:rsid w:val="003819A3"/>
    <w:rsid w:val="0038263B"/>
    <w:rsid w:val="00383CA3"/>
    <w:rsid w:val="003921DD"/>
    <w:rsid w:val="00392715"/>
    <w:rsid w:val="0039300F"/>
    <w:rsid w:val="00394F4C"/>
    <w:rsid w:val="00397BB7"/>
    <w:rsid w:val="003A1ECB"/>
    <w:rsid w:val="003A4BF9"/>
    <w:rsid w:val="003B2A5B"/>
    <w:rsid w:val="003B3BB9"/>
    <w:rsid w:val="003B5A24"/>
    <w:rsid w:val="003B6AEC"/>
    <w:rsid w:val="003B7983"/>
    <w:rsid w:val="003C1246"/>
    <w:rsid w:val="003C1A71"/>
    <w:rsid w:val="003C5344"/>
    <w:rsid w:val="003C5390"/>
    <w:rsid w:val="003C6CF3"/>
    <w:rsid w:val="003C70FE"/>
    <w:rsid w:val="003D2394"/>
    <w:rsid w:val="003D4350"/>
    <w:rsid w:val="003D5324"/>
    <w:rsid w:val="003D76B6"/>
    <w:rsid w:val="003D7CBB"/>
    <w:rsid w:val="003E14DB"/>
    <w:rsid w:val="003E1E1A"/>
    <w:rsid w:val="003E39C7"/>
    <w:rsid w:val="003E3B7E"/>
    <w:rsid w:val="003F1945"/>
    <w:rsid w:val="003F21FB"/>
    <w:rsid w:val="003F4171"/>
    <w:rsid w:val="003F417C"/>
    <w:rsid w:val="003F5E6B"/>
    <w:rsid w:val="0040038F"/>
    <w:rsid w:val="004013EB"/>
    <w:rsid w:val="00401DB6"/>
    <w:rsid w:val="00402763"/>
    <w:rsid w:val="00402DE5"/>
    <w:rsid w:val="004036D2"/>
    <w:rsid w:val="00403A63"/>
    <w:rsid w:val="00403C6E"/>
    <w:rsid w:val="004070E9"/>
    <w:rsid w:val="00410A21"/>
    <w:rsid w:val="004149D7"/>
    <w:rsid w:val="00417BE2"/>
    <w:rsid w:val="00420F5F"/>
    <w:rsid w:val="00422E32"/>
    <w:rsid w:val="00424718"/>
    <w:rsid w:val="00424EA6"/>
    <w:rsid w:val="004301D3"/>
    <w:rsid w:val="00431CF3"/>
    <w:rsid w:val="00435A10"/>
    <w:rsid w:val="00436753"/>
    <w:rsid w:val="00437068"/>
    <w:rsid w:val="00440814"/>
    <w:rsid w:val="00445F85"/>
    <w:rsid w:val="004470DD"/>
    <w:rsid w:val="0044723A"/>
    <w:rsid w:val="00447ABC"/>
    <w:rsid w:val="004513E6"/>
    <w:rsid w:val="00453C61"/>
    <w:rsid w:val="00455AB6"/>
    <w:rsid w:val="00462C2D"/>
    <w:rsid w:val="00466894"/>
    <w:rsid w:val="004674E7"/>
    <w:rsid w:val="00472B83"/>
    <w:rsid w:val="00473D82"/>
    <w:rsid w:val="004753AE"/>
    <w:rsid w:val="004753F7"/>
    <w:rsid w:val="00475D47"/>
    <w:rsid w:val="00475DE9"/>
    <w:rsid w:val="00483FB8"/>
    <w:rsid w:val="004846DC"/>
    <w:rsid w:val="00484786"/>
    <w:rsid w:val="00484AC2"/>
    <w:rsid w:val="004864A5"/>
    <w:rsid w:val="00492B7A"/>
    <w:rsid w:val="0049536E"/>
    <w:rsid w:val="0049713D"/>
    <w:rsid w:val="004A428B"/>
    <w:rsid w:val="004A4F64"/>
    <w:rsid w:val="004A792E"/>
    <w:rsid w:val="004A7CBD"/>
    <w:rsid w:val="004B0236"/>
    <w:rsid w:val="004B0EE8"/>
    <w:rsid w:val="004B0FD5"/>
    <w:rsid w:val="004B25E8"/>
    <w:rsid w:val="004B6A97"/>
    <w:rsid w:val="004B7092"/>
    <w:rsid w:val="004B73E7"/>
    <w:rsid w:val="004B7EE6"/>
    <w:rsid w:val="004C14D5"/>
    <w:rsid w:val="004C2991"/>
    <w:rsid w:val="004C2E9F"/>
    <w:rsid w:val="004C39DA"/>
    <w:rsid w:val="004C3D65"/>
    <w:rsid w:val="004C46A5"/>
    <w:rsid w:val="004C4B5E"/>
    <w:rsid w:val="004C4E7E"/>
    <w:rsid w:val="004C6FE4"/>
    <w:rsid w:val="004D14F9"/>
    <w:rsid w:val="004D19DD"/>
    <w:rsid w:val="004D437D"/>
    <w:rsid w:val="004D7CC1"/>
    <w:rsid w:val="004E1311"/>
    <w:rsid w:val="004E1EB8"/>
    <w:rsid w:val="004F3857"/>
    <w:rsid w:val="004F4D58"/>
    <w:rsid w:val="004F5AF1"/>
    <w:rsid w:val="004F6899"/>
    <w:rsid w:val="004F69A5"/>
    <w:rsid w:val="00500322"/>
    <w:rsid w:val="005007CC"/>
    <w:rsid w:val="00501099"/>
    <w:rsid w:val="005014C7"/>
    <w:rsid w:val="00501FFC"/>
    <w:rsid w:val="0050268E"/>
    <w:rsid w:val="005031AD"/>
    <w:rsid w:val="005063EC"/>
    <w:rsid w:val="00507424"/>
    <w:rsid w:val="00510658"/>
    <w:rsid w:val="005144A4"/>
    <w:rsid w:val="00517D27"/>
    <w:rsid w:val="00521F2B"/>
    <w:rsid w:val="00526304"/>
    <w:rsid w:val="00531FE0"/>
    <w:rsid w:val="00533114"/>
    <w:rsid w:val="005357B9"/>
    <w:rsid w:val="0053735C"/>
    <w:rsid w:val="0054238B"/>
    <w:rsid w:val="005447BB"/>
    <w:rsid w:val="005450ED"/>
    <w:rsid w:val="005452F0"/>
    <w:rsid w:val="005455EE"/>
    <w:rsid w:val="005465C8"/>
    <w:rsid w:val="005471F6"/>
    <w:rsid w:val="00547821"/>
    <w:rsid w:val="00547C1A"/>
    <w:rsid w:val="0055076A"/>
    <w:rsid w:val="00551562"/>
    <w:rsid w:val="00553E6D"/>
    <w:rsid w:val="00562B78"/>
    <w:rsid w:val="00565878"/>
    <w:rsid w:val="00565C62"/>
    <w:rsid w:val="00570C9A"/>
    <w:rsid w:val="00572E8D"/>
    <w:rsid w:val="0057355E"/>
    <w:rsid w:val="0057472B"/>
    <w:rsid w:val="00575868"/>
    <w:rsid w:val="0058060F"/>
    <w:rsid w:val="00581299"/>
    <w:rsid w:val="00583EAB"/>
    <w:rsid w:val="005875A8"/>
    <w:rsid w:val="00595D41"/>
    <w:rsid w:val="005966DE"/>
    <w:rsid w:val="005A24D1"/>
    <w:rsid w:val="005A569D"/>
    <w:rsid w:val="005B1106"/>
    <w:rsid w:val="005B2D4B"/>
    <w:rsid w:val="005B4C0B"/>
    <w:rsid w:val="005B755D"/>
    <w:rsid w:val="005C0E78"/>
    <w:rsid w:val="005C27FE"/>
    <w:rsid w:val="005C4EA3"/>
    <w:rsid w:val="005C544F"/>
    <w:rsid w:val="005C65E0"/>
    <w:rsid w:val="005C68A2"/>
    <w:rsid w:val="005E07C2"/>
    <w:rsid w:val="005E1D4B"/>
    <w:rsid w:val="005E20AC"/>
    <w:rsid w:val="005E3556"/>
    <w:rsid w:val="005E51C2"/>
    <w:rsid w:val="005E5FB0"/>
    <w:rsid w:val="005E67AC"/>
    <w:rsid w:val="005F573B"/>
    <w:rsid w:val="005F573F"/>
    <w:rsid w:val="005F5B22"/>
    <w:rsid w:val="006003B1"/>
    <w:rsid w:val="00600B66"/>
    <w:rsid w:val="006056DE"/>
    <w:rsid w:val="00611F62"/>
    <w:rsid w:val="0061209C"/>
    <w:rsid w:val="00616FBA"/>
    <w:rsid w:val="00621EA7"/>
    <w:rsid w:val="00622289"/>
    <w:rsid w:val="006241BD"/>
    <w:rsid w:val="00624908"/>
    <w:rsid w:val="0063272B"/>
    <w:rsid w:val="00634B5A"/>
    <w:rsid w:val="0064024B"/>
    <w:rsid w:val="00641F98"/>
    <w:rsid w:val="006509BB"/>
    <w:rsid w:val="006510D8"/>
    <w:rsid w:val="00651AB5"/>
    <w:rsid w:val="00653E53"/>
    <w:rsid w:val="0065484A"/>
    <w:rsid w:val="0065561B"/>
    <w:rsid w:val="006558A6"/>
    <w:rsid w:val="00656E01"/>
    <w:rsid w:val="00656EE5"/>
    <w:rsid w:val="006634A7"/>
    <w:rsid w:val="006642F9"/>
    <w:rsid w:val="00664DF6"/>
    <w:rsid w:val="0067645C"/>
    <w:rsid w:val="0068016D"/>
    <w:rsid w:val="006802BB"/>
    <w:rsid w:val="00683A17"/>
    <w:rsid w:val="00690224"/>
    <w:rsid w:val="00690729"/>
    <w:rsid w:val="00690C73"/>
    <w:rsid w:val="0069128D"/>
    <w:rsid w:val="006923D9"/>
    <w:rsid w:val="00694140"/>
    <w:rsid w:val="006951F3"/>
    <w:rsid w:val="00696BFC"/>
    <w:rsid w:val="006A3EA3"/>
    <w:rsid w:val="006A7B1C"/>
    <w:rsid w:val="006B003A"/>
    <w:rsid w:val="006B227F"/>
    <w:rsid w:val="006C0FDA"/>
    <w:rsid w:val="006C2093"/>
    <w:rsid w:val="006C2BE3"/>
    <w:rsid w:val="006C36B1"/>
    <w:rsid w:val="006C4809"/>
    <w:rsid w:val="006C485F"/>
    <w:rsid w:val="006C5B6D"/>
    <w:rsid w:val="006C5C63"/>
    <w:rsid w:val="006C5E3A"/>
    <w:rsid w:val="006C681E"/>
    <w:rsid w:val="006D75B8"/>
    <w:rsid w:val="006E1D08"/>
    <w:rsid w:val="006E2E7E"/>
    <w:rsid w:val="006E6E13"/>
    <w:rsid w:val="006F0101"/>
    <w:rsid w:val="006F6681"/>
    <w:rsid w:val="007011FE"/>
    <w:rsid w:val="0070359C"/>
    <w:rsid w:val="007058D1"/>
    <w:rsid w:val="00707B26"/>
    <w:rsid w:val="00710203"/>
    <w:rsid w:val="00712B72"/>
    <w:rsid w:val="00712D97"/>
    <w:rsid w:val="00713531"/>
    <w:rsid w:val="00713B37"/>
    <w:rsid w:val="007156B6"/>
    <w:rsid w:val="00716A03"/>
    <w:rsid w:val="00716F0E"/>
    <w:rsid w:val="007241E1"/>
    <w:rsid w:val="00727DB6"/>
    <w:rsid w:val="00730D1A"/>
    <w:rsid w:val="00737B08"/>
    <w:rsid w:val="00737B83"/>
    <w:rsid w:val="0074026C"/>
    <w:rsid w:val="00744C0C"/>
    <w:rsid w:val="00745F1D"/>
    <w:rsid w:val="007464F1"/>
    <w:rsid w:val="00752B20"/>
    <w:rsid w:val="00755A0D"/>
    <w:rsid w:val="00756529"/>
    <w:rsid w:val="00756B26"/>
    <w:rsid w:val="00757C66"/>
    <w:rsid w:val="00761736"/>
    <w:rsid w:val="007634E6"/>
    <w:rsid w:val="00765719"/>
    <w:rsid w:val="007661FD"/>
    <w:rsid w:val="0076699B"/>
    <w:rsid w:val="00766B21"/>
    <w:rsid w:val="0076703C"/>
    <w:rsid w:val="00767D4F"/>
    <w:rsid w:val="007701D7"/>
    <w:rsid w:val="007743EC"/>
    <w:rsid w:val="007772FC"/>
    <w:rsid w:val="00777A4F"/>
    <w:rsid w:val="007804C9"/>
    <w:rsid w:val="00781D1E"/>
    <w:rsid w:val="00782FA9"/>
    <w:rsid w:val="007905BB"/>
    <w:rsid w:val="00790D98"/>
    <w:rsid w:val="007910C1"/>
    <w:rsid w:val="00793004"/>
    <w:rsid w:val="007934DB"/>
    <w:rsid w:val="007965BA"/>
    <w:rsid w:val="00797650"/>
    <w:rsid w:val="007A11F6"/>
    <w:rsid w:val="007A17BF"/>
    <w:rsid w:val="007A6428"/>
    <w:rsid w:val="007A78B7"/>
    <w:rsid w:val="007B6F44"/>
    <w:rsid w:val="007C01D9"/>
    <w:rsid w:val="007C09D8"/>
    <w:rsid w:val="007C1BA6"/>
    <w:rsid w:val="007C331B"/>
    <w:rsid w:val="007C7842"/>
    <w:rsid w:val="007C7D1E"/>
    <w:rsid w:val="007D3390"/>
    <w:rsid w:val="007D4062"/>
    <w:rsid w:val="007D410B"/>
    <w:rsid w:val="007D4400"/>
    <w:rsid w:val="007E0E3D"/>
    <w:rsid w:val="007E60D5"/>
    <w:rsid w:val="007F0464"/>
    <w:rsid w:val="007F202E"/>
    <w:rsid w:val="007F2CF8"/>
    <w:rsid w:val="008002CA"/>
    <w:rsid w:val="00801429"/>
    <w:rsid w:val="00811AE1"/>
    <w:rsid w:val="00814675"/>
    <w:rsid w:val="0081522F"/>
    <w:rsid w:val="008165AD"/>
    <w:rsid w:val="0081788F"/>
    <w:rsid w:val="008278BF"/>
    <w:rsid w:val="008308F5"/>
    <w:rsid w:val="008313F2"/>
    <w:rsid w:val="00831461"/>
    <w:rsid w:val="00831617"/>
    <w:rsid w:val="00831CFC"/>
    <w:rsid w:val="00831D09"/>
    <w:rsid w:val="00834969"/>
    <w:rsid w:val="00835BD3"/>
    <w:rsid w:val="00842C9D"/>
    <w:rsid w:val="008430FC"/>
    <w:rsid w:val="00843845"/>
    <w:rsid w:val="0084711F"/>
    <w:rsid w:val="0085277C"/>
    <w:rsid w:val="00854AD6"/>
    <w:rsid w:val="00855914"/>
    <w:rsid w:val="008567EE"/>
    <w:rsid w:val="0086173A"/>
    <w:rsid w:val="00861ECC"/>
    <w:rsid w:val="00864F3C"/>
    <w:rsid w:val="00865F0B"/>
    <w:rsid w:val="00867616"/>
    <w:rsid w:val="00871BDE"/>
    <w:rsid w:val="0088278B"/>
    <w:rsid w:val="0089062F"/>
    <w:rsid w:val="00892813"/>
    <w:rsid w:val="00894945"/>
    <w:rsid w:val="00895062"/>
    <w:rsid w:val="00895900"/>
    <w:rsid w:val="008A0347"/>
    <w:rsid w:val="008A5182"/>
    <w:rsid w:val="008A5853"/>
    <w:rsid w:val="008A6401"/>
    <w:rsid w:val="008A7DB3"/>
    <w:rsid w:val="008B4C53"/>
    <w:rsid w:val="008B5266"/>
    <w:rsid w:val="008B5C9C"/>
    <w:rsid w:val="008B60A3"/>
    <w:rsid w:val="008B65C2"/>
    <w:rsid w:val="008C4DB3"/>
    <w:rsid w:val="008C7B03"/>
    <w:rsid w:val="008D06BE"/>
    <w:rsid w:val="008D0A3C"/>
    <w:rsid w:val="008D1A59"/>
    <w:rsid w:val="008D21C9"/>
    <w:rsid w:val="008D25BA"/>
    <w:rsid w:val="008D3AAD"/>
    <w:rsid w:val="008D5279"/>
    <w:rsid w:val="008D5742"/>
    <w:rsid w:val="008D7B63"/>
    <w:rsid w:val="008E06A3"/>
    <w:rsid w:val="008E1111"/>
    <w:rsid w:val="008E11FF"/>
    <w:rsid w:val="008E214D"/>
    <w:rsid w:val="008E22C8"/>
    <w:rsid w:val="008E2B6A"/>
    <w:rsid w:val="008E56C3"/>
    <w:rsid w:val="008E5C92"/>
    <w:rsid w:val="008F14B8"/>
    <w:rsid w:val="008F18CD"/>
    <w:rsid w:val="008F1C60"/>
    <w:rsid w:val="008F2FDE"/>
    <w:rsid w:val="008F49C5"/>
    <w:rsid w:val="008F7A49"/>
    <w:rsid w:val="00901FD3"/>
    <w:rsid w:val="0091035F"/>
    <w:rsid w:val="00911AA4"/>
    <w:rsid w:val="00913AF8"/>
    <w:rsid w:val="00914FCB"/>
    <w:rsid w:val="00920A96"/>
    <w:rsid w:val="00922199"/>
    <w:rsid w:val="00931FB1"/>
    <w:rsid w:val="00937B68"/>
    <w:rsid w:val="009404A3"/>
    <w:rsid w:val="00942442"/>
    <w:rsid w:val="009446D6"/>
    <w:rsid w:val="00953936"/>
    <w:rsid w:val="00953F75"/>
    <w:rsid w:val="00955650"/>
    <w:rsid w:val="00955E32"/>
    <w:rsid w:val="00955F38"/>
    <w:rsid w:val="009603F3"/>
    <w:rsid w:val="00961ACE"/>
    <w:rsid w:val="00962B6E"/>
    <w:rsid w:val="00962F24"/>
    <w:rsid w:val="0096684F"/>
    <w:rsid w:val="00970C9E"/>
    <w:rsid w:val="009726CB"/>
    <w:rsid w:val="00973D0C"/>
    <w:rsid w:val="00973F8D"/>
    <w:rsid w:val="00974AA1"/>
    <w:rsid w:val="00976D4F"/>
    <w:rsid w:val="0098065F"/>
    <w:rsid w:val="00983ABB"/>
    <w:rsid w:val="00987322"/>
    <w:rsid w:val="009902D6"/>
    <w:rsid w:val="00992D8A"/>
    <w:rsid w:val="009936E6"/>
    <w:rsid w:val="00994727"/>
    <w:rsid w:val="009969FE"/>
    <w:rsid w:val="009A2238"/>
    <w:rsid w:val="009A2C13"/>
    <w:rsid w:val="009A2C70"/>
    <w:rsid w:val="009A30F9"/>
    <w:rsid w:val="009A5AE7"/>
    <w:rsid w:val="009B0EE2"/>
    <w:rsid w:val="009B10F1"/>
    <w:rsid w:val="009B3518"/>
    <w:rsid w:val="009B4DA2"/>
    <w:rsid w:val="009B719D"/>
    <w:rsid w:val="009C2DB0"/>
    <w:rsid w:val="009C4950"/>
    <w:rsid w:val="009D6057"/>
    <w:rsid w:val="009E2B70"/>
    <w:rsid w:val="009E2E50"/>
    <w:rsid w:val="009E3DC4"/>
    <w:rsid w:val="009E408B"/>
    <w:rsid w:val="009E6C1F"/>
    <w:rsid w:val="009F0DD8"/>
    <w:rsid w:val="009F40FE"/>
    <w:rsid w:val="009F668E"/>
    <w:rsid w:val="00A03EF4"/>
    <w:rsid w:val="00A078C1"/>
    <w:rsid w:val="00A15518"/>
    <w:rsid w:val="00A2032E"/>
    <w:rsid w:val="00A22136"/>
    <w:rsid w:val="00A22B44"/>
    <w:rsid w:val="00A239E8"/>
    <w:rsid w:val="00A2565F"/>
    <w:rsid w:val="00A264A5"/>
    <w:rsid w:val="00A27368"/>
    <w:rsid w:val="00A300BE"/>
    <w:rsid w:val="00A306AF"/>
    <w:rsid w:val="00A35178"/>
    <w:rsid w:val="00A355CB"/>
    <w:rsid w:val="00A35AFA"/>
    <w:rsid w:val="00A3778E"/>
    <w:rsid w:val="00A43990"/>
    <w:rsid w:val="00A45216"/>
    <w:rsid w:val="00A4698C"/>
    <w:rsid w:val="00A477D7"/>
    <w:rsid w:val="00A51B9E"/>
    <w:rsid w:val="00A57F3F"/>
    <w:rsid w:val="00A62485"/>
    <w:rsid w:val="00A62D51"/>
    <w:rsid w:val="00A652FF"/>
    <w:rsid w:val="00A71173"/>
    <w:rsid w:val="00A74623"/>
    <w:rsid w:val="00A75318"/>
    <w:rsid w:val="00A771A1"/>
    <w:rsid w:val="00A80028"/>
    <w:rsid w:val="00A832C4"/>
    <w:rsid w:val="00A91822"/>
    <w:rsid w:val="00A918DE"/>
    <w:rsid w:val="00A92584"/>
    <w:rsid w:val="00AA1206"/>
    <w:rsid w:val="00AA2169"/>
    <w:rsid w:val="00AA304F"/>
    <w:rsid w:val="00AA6C68"/>
    <w:rsid w:val="00AA75C5"/>
    <w:rsid w:val="00AB057A"/>
    <w:rsid w:val="00AB1CDE"/>
    <w:rsid w:val="00AC05CE"/>
    <w:rsid w:val="00AC12A1"/>
    <w:rsid w:val="00AC1781"/>
    <w:rsid w:val="00AC5144"/>
    <w:rsid w:val="00AC63D4"/>
    <w:rsid w:val="00AD196B"/>
    <w:rsid w:val="00AD1A9B"/>
    <w:rsid w:val="00AD2181"/>
    <w:rsid w:val="00AD3F60"/>
    <w:rsid w:val="00AD514B"/>
    <w:rsid w:val="00AD7892"/>
    <w:rsid w:val="00AE1DF2"/>
    <w:rsid w:val="00AE27C9"/>
    <w:rsid w:val="00AE5760"/>
    <w:rsid w:val="00AE6F1C"/>
    <w:rsid w:val="00AF1BE3"/>
    <w:rsid w:val="00AF2E9F"/>
    <w:rsid w:val="00AF48E0"/>
    <w:rsid w:val="00B000EC"/>
    <w:rsid w:val="00B066EA"/>
    <w:rsid w:val="00B07186"/>
    <w:rsid w:val="00B210E2"/>
    <w:rsid w:val="00B232E6"/>
    <w:rsid w:val="00B23464"/>
    <w:rsid w:val="00B32572"/>
    <w:rsid w:val="00B34BBD"/>
    <w:rsid w:val="00B35A7C"/>
    <w:rsid w:val="00B4121F"/>
    <w:rsid w:val="00B42871"/>
    <w:rsid w:val="00B512D5"/>
    <w:rsid w:val="00B53D41"/>
    <w:rsid w:val="00B568DB"/>
    <w:rsid w:val="00B66E04"/>
    <w:rsid w:val="00B7076C"/>
    <w:rsid w:val="00B70799"/>
    <w:rsid w:val="00B72573"/>
    <w:rsid w:val="00B737DF"/>
    <w:rsid w:val="00B73973"/>
    <w:rsid w:val="00B73E83"/>
    <w:rsid w:val="00B74470"/>
    <w:rsid w:val="00B836CB"/>
    <w:rsid w:val="00B854A9"/>
    <w:rsid w:val="00B8575C"/>
    <w:rsid w:val="00B91684"/>
    <w:rsid w:val="00B95A44"/>
    <w:rsid w:val="00BA19B1"/>
    <w:rsid w:val="00BA2E6D"/>
    <w:rsid w:val="00BA2FCA"/>
    <w:rsid w:val="00BA35C5"/>
    <w:rsid w:val="00BA7598"/>
    <w:rsid w:val="00BB2AB6"/>
    <w:rsid w:val="00BB378B"/>
    <w:rsid w:val="00BB43FE"/>
    <w:rsid w:val="00BB452F"/>
    <w:rsid w:val="00BB5A56"/>
    <w:rsid w:val="00BB63F1"/>
    <w:rsid w:val="00BB69C7"/>
    <w:rsid w:val="00BB7550"/>
    <w:rsid w:val="00BB7AFB"/>
    <w:rsid w:val="00BC0C30"/>
    <w:rsid w:val="00BC14DB"/>
    <w:rsid w:val="00BC23FD"/>
    <w:rsid w:val="00BC45BF"/>
    <w:rsid w:val="00BE051D"/>
    <w:rsid w:val="00BE3488"/>
    <w:rsid w:val="00BE391C"/>
    <w:rsid w:val="00BE48BF"/>
    <w:rsid w:val="00BF1252"/>
    <w:rsid w:val="00BF3CD1"/>
    <w:rsid w:val="00BF45B5"/>
    <w:rsid w:val="00BF5A13"/>
    <w:rsid w:val="00C02C2F"/>
    <w:rsid w:val="00C14692"/>
    <w:rsid w:val="00C14B13"/>
    <w:rsid w:val="00C1596F"/>
    <w:rsid w:val="00C273D4"/>
    <w:rsid w:val="00C31FBB"/>
    <w:rsid w:val="00C3360A"/>
    <w:rsid w:val="00C34BC7"/>
    <w:rsid w:val="00C35202"/>
    <w:rsid w:val="00C360A4"/>
    <w:rsid w:val="00C36D6F"/>
    <w:rsid w:val="00C36EA6"/>
    <w:rsid w:val="00C37964"/>
    <w:rsid w:val="00C4379C"/>
    <w:rsid w:val="00C45BBC"/>
    <w:rsid w:val="00C46CB9"/>
    <w:rsid w:val="00C52622"/>
    <w:rsid w:val="00C5478B"/>
    <w:rsid w:val="00C56E8C"/>
    <w:rsid w:val="00C62F6F"/>
    <w:rsid w:val="00C66519"/>
    <w:rsid w:val="00C70471"/>
    <w:rsid w:val="00C709F7"/>
    <w:rsid w:val="00C80570"/>
    <w:rsid w:val="00C82318"/>
    <w:rsid w:val="00C8671D"/>
    <w:rsid w:val="00C86A39"/>
    <w:rsid w:val="00C9153E"/>
    <w:rsid w:val="00C91C3F"/>
    <w:rsid w:val="00C91EA3"/>
    <w:rsid w:val="00C9217A"/>
    <w:rsid w:val="00C935E7"/>
    <w:rsid w:val="00C93801"/>
    <w:rsid w:val="00C96001"/>
    <w:rsid w:val="00CA357E"/>
    <w:rsid w:val="00CA61E5"/>
    <w:rsid w:val="00CA646C"/>
    <w:rsid w:val="00CB3C27"/>
    <w:rsid w:val="00CB74DF"/>
    <w:rsid w:val="00CC0B34"/>
    <w:rsid w:val="00CC0BA2"/>
    <w:rsid w:val="00CC1912"/>
    <w:rsid w:val="00CC4EBF"/>
    <w:rsid w:val="00CC5716"/>
    <w:rsid w:val="00CD0A16"/>
    <w:rsid w:val="00CD1BEE"/>
    <w:rsid w:val="00CD3CEA"/>
    <w:rsid w:val="00CD3D8C"/>
    <w:rsid w:val="00CD5153"/>
    <w:rsid w:val="00CD6D1B"/>
    <w:rsid w:val="00CE19CA"/>
    <w:rsid w:val="00CE26AE"/>
    <w:rsid w:val="00CE401C"/>
    <w:rsid w:val="00CE4C27"/>
    <w:rsid w:val="00CE5688"/>
    <w:rsid w:val="00CF48B9"/>
    <w:rsid w:val="00D01AB9"/>
    <w:rsid w:val="00D046F9"/>
    <w:rsid w:val="00D04866"/>
    <w:rsid w:val="00D06164"/>
    <w:rsid w:val="00D111B6"/>
    <w:rsid w:val="00D113C1"/>
    <w:rsid w:val="00D137A4"/>
    <w:rsid w:val="00D13B6F"/>
    <w:rsid w:val="00D148DF"/>
    <w:rsid w:val="00D16D6D"/>
    <w:rsid w:val="00D17FE9"/>
    <w:rsid w:val="00D22173"/>
    <w:rsid w:val="00D22816"/>
    <w:rsid w:val="00D3439C"/>
    <w:rsid w:val="00D34981"/>
    <w:rsid w:val="00D40341"/>
    <w:rsid w:val="00D440A6"/>
    <w:rsid w:val="00D53AC2"/>
    <w:rsid w:val="00D547F0"/>
    <w:rsid w:val="00D5645F"/>
    <w:rsid w:val="00D57888"/>
    <w:rsid w:val="00D64700"/>
    <w:rsid w:val="00D65730"/>
    <w:rsid w:val="00D70F04"/>
    <w:rsid w:val="00D72F70"/>
    <w:rsid w:val="00D745DE"/>
    <w:rsid w:val="00D759C6"/>
    <w:rsid w:val="00D75D95"/>
    <w:rsid w:val="00D7685F"/>
    <w:rsid w:val="00D77799"/>
    <w:rsid w:val="00D80AC4"/>
    <w:rsid w:val="00D81BFB"/>
    <w:rsid w:val="00D8321E"/>
    <w:rsid w:val="00D834CF"/>
    <w:rsid w:val="00D835BE"/>
    <w:rsid w:val="00D85291"/>
    <w:rsid w:val="00D8727F"/>
    <w:rsid w:val="00D873BB"/>
    <w:rsid w:val="00D900E4"/>
    <w:rsid w:val="00DA06C9"/>
    <w:rsid w:val="00DA41A3"/>
    <w:rsid w:val="00DA492F"/>
    <w:rsid w:val="00DA6DC5"/>
    <w:rsid w:val="00DB6555"/>
    <w:rsid w:val="00DC1B26"/>
    <w:rsid w:val="00DD0A3B"/>
    <w:rsid w:val="00DD100F"/>
    <w:rsid w:val="00DD4ABF"/>
    <w:rsid w:val="00DE1CAA"/>
    <w:rsid w:val="00DE2055"/>
    <w:rsid w:val="00DE27FD"/>
    <w:rsid w:val="00DE3351"/>
    <w:rsid w:val="00DE4595"/>
    <w:rsid w:val="00DE63F4"/>
    <w:rsid w:val="00DF1E7D"/>
    <w:rsid w:val="00DF37CE"/>
    <w:rsid w:val="00E033F9"/>
    <w:rsid w:val="00E03677"/>
    <w:rsid w:val="00E06421"/>
    <w:rsid w:val="00E07DE8"/>
    <w:rsid w:val="00E125E1"/>
    <w:rsid w:val="00E13376"/>
    <w:rsid w:val="00E141DC"/>
    <w:rsid w:val="00E167C8"/>
    <w:rsid w:val="00E17C9F"/>
    <w:rsid w:val="00E2090E"/>
    <w:rsid w:val="00E22CC0"/>
    <w:rsid w:val="00E247CF"/>
    <w:rsid w:val="00E26701"/>
    <w:rsid w:val="00E2766A"/>
    <w:rsid w:val="00E323DF"/>
    <w:rsid w:val="00E35346"/>
    <w:rsid w:val="00E45CBF"/>
    <w:rsid w:val="00E505BE"/>
    <w:rsid w:val="00E52C65"/>
    <w:rsid w:val="00E558DC"/>
    <w:rsid w:val="00E5783A"/>
    <w:rsid w:val="00E57FAF"/>
    <w:rsid w:val="00E621D0"/>
    <w:rsid w:val="00E6475C"/>
    <w:rsid w:val="00E65091"/>
    <w:rsid w:val="00E67A1A"/>
    <w:rsid w:val="00E67C50"/>
    <w:rsid w:val="00E72B5B"/>
    <w:rsid w:val="00E72C93"/>
    <w:rsid w:val="00E76984"/>
    <w:rsid w:val="00E77CAD"/>
    <w:rsid w:val="00E77F57"/>
    <w:rsid w:val="00E8106C"/>
    <w:rsid w:val="00E84CCF"/>
    <w:rsid w:val="00E87C49"/>
    <w:rsid w:val="00E90059"/>
    <w:rsid w:val="00E92843"/>
    <w:rsid w:val="00E93B97"/>
    <w:rsid w:val="00E9492A"/>
    <w:rsid w:val="00EA1D75"/>
    <w:rsid w:val="00EA350E"/>
    <w:rsid w:val="00EA76D8"/>
    <w:rsid w:val="00EB1151"/>
    <w:rsid w:val="00EB1744"/>
    <w:rsid w:val="00EB1951"/>
    <w:rsid w:val="00EB3263"/>
    <w:rsid w:val="00EB6E4E"/>
    <w:rsid w:val="00EB77B6"/>
    <w:rsid w:val="00EC3875"/>
    <w:rsid w:val="00EC4665"/>
    <w:rsid w:val="00ED0A73"/>
    <w:rsid w:val="00ED20B3"/>
    <w:rsid w:val="00ED2E82"/>
    <w:rsid w:val="00ED57B0"/>
    <w:rsid w:val="00ED75AD"/>
    <w:rsid w:val="00EE2C87"/>
    <w:rsid w:val="00EE4521"/>
    <w:rsid w:val="00EF0E01"/>
    <w:rsid w:val="00EF1FDD"/>
    <w:rsid w:val="00EF2FBD"/>
    <w:rsid w:val="00EF50A1"/>
    <w:rsid w:val="00EF77C7"/>
    <w:rsid w:val="00EF7C1C"/>
    <w:rsid w:val="00F00ABA"/>
    <w:rsid w:val="00F01CC0"/>
    <w:rsid w:val="00F03C8B"/>
    <w:rsid w:val="00F11986"/>
    <w:rsid w:val="00F11D4F"/>
    <w:rsid w:val="00F12B5E"/>
    <w:rsid w:val="00F1524F"/>
    <w:rsid w:val="00F15256"/>
    <w:rsid w:val="00F1545F"/>
    <w:rsid w:val="00F223BA"/>
    <w:rsid w:val="00F22E5B"/>
    <w:rsid w:val="00F22E97"/>
    <w:rsid w:val="00F23BB1"/>
    <w:rsid w:val="00F25511"/>
    <w:rsid w:val="00F27045"/>
    <w:rsid w:val="00F30943"/>
    <w:rsid w:val="00F3392A"/>
    <w:rsid w:val="00F352E1"/>
    <w:rsid w:val="00F364BF"/>
    <w:rsid w:val="00F36C11"/>
    <w:rsid w:val="00F37B26"/>
    <w:rsid w:val="00F410EE"/>
    <w:rsid w:val="00F41400"/>
    <w:rsid w:val="00F42778"/>
    <w:rsid w:val="00F42F52"/>
    <w:rsid w:val="00F4336E"/>
    <w:rsid w:val="00F45BE8"/>
    <w:rsid w:val="00F464F6"/>
    <w:rsid w:val="00F46A39"/>
    <w:rsid w:val="00F47A67"/>
    <w:rsid w:val="00F50856"/>
    <w:rsid w:val="00F5449B"/>
    <w:rsid w:val="00F5481A"/>
    <w:rsid w:val="00F60F49"/>
    <w:rsid w:val="00F61797"/>
    <w:rsid w:val="00F6496D"/>
    <w:rsid w:val="00F709A6"/>
    <w:rsid w:val="00F73BBB"/>
    <w:rsid w:val="00F74386"/>
    <w:rsid w:val="00F748D8"/>
    <w:rsid w:val="00F75AA1"/>
    <w:rsid w:val="00F75BB6"/>
    <w:rsid w:val="00F762DE"/>
    <w:rsid w:val="00F77C60"/>
    <w:rsid w:val="00F801F3"/>
    <w:rsid w:val="00F816B6"/>
    <w:rsid w:val="00F8318B"/>
    <w:rsid w:val="00F83CF1"/>
    <w:rsid w:val="00F847BB"/>
    <w:rsid w:val="00F864FC"/>
    <w:rsid w:val="00F91350"/>
    <w:rsid w:val="00F91CCB"/>
    <w:rsid w:val="00F963B7"/>
    <w:rsid w:val="00F9775D"/>
    <w:rsid w:val="00FA02A5"/>
    <w:rsid w:val="00FA4897"/>
    <w:rsid w:val="00FA7BF1"/>
    <w:rsid w:val="00FB00FD"/>
    <w:rsid w:val="00FB2340"/>
    <w:rsid w:val="00FB351D"/>
    <w:rsid w:val="00FB3C37"/>
    <w:rsid w:val="00FC24AB"/>
    <w:rsid w:val="00FC50C9"/>
    <w:rsid w:val="00FC5371"/>
    <w:rsid w:val="00FC7C2D"/>
    <w:rsid w:val="00FD36CF"/>
    <w:rsid w:val="00FD3FCE"/>
    <w:rsid w:val="00FD6DE5"/>
    <w:rsid w:val="00FE097F"/>
    <w:rsid w:val="00FE209F"/>
    <w:rsid w:val="00FE4D47"/>
    <w:rsid w:val="00FE5E9E"/>
    <w:rsid w:val="00FF2E4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semiHidden/>
    <w:rsid w:val="0003793C"/>
  </w:style>
  <w:style w:type="paragraph" w:styleId="BodyText">
    <w:name w:val="Body Text"/>
    <w:basedOn w:val="Normal"/>
    <w:link w:val="BodyTextChar"/>
    <w:semiHidden/>
    <w:unhideWhenUsed/>
    <w:rsid w:val="00383CA3"/>
    <w:pPr>
      <w:spacing w:after="120"/>
    </w:pPr>
  </w:style>
  <w:style w:type="character" w:customStyle="1" w:styleId="BodyTextChar">
    <w:name w:val="Body Text Char"/>
    <w:basedOn w:val="DefaultParagraphFont"/>
    <w:link w:val="BodyText"/>
    <w:semiHidden/>
    <w:rsid w:val="00383CA3"/>
    <w:rPr>
      <w:szCs w:val="24"/>
    </w:rPr>
  </w:style>
  <w:style w:type="table" w:styleId="TableGrid">
    <w:name w:val="Table Grid"/>
    <w:basedOn w:val="TableNormal"/>
    <w:rsid w:val="0054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BE348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063148"/>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54E"/>
    <w:pPr>
      <w:widowControl w:val="0"/>
      <w:autoSpaceDE w:val="0"/>
      <w:autoSpaceDN w:val="0"/>
      <w:adjustRightInd w:val="0"/>
    </w:pPr>
    <w:rPr>
      <w:szCs w:val="24"/>
    </w:rPr>
  </w:style>
  <w:style w:type="paragraph" w:styleId="Heading2">
    <w:name w:val="heading 2"/>
    <w:basedOn w:val="Normal"/>
    <w:next w:val="Normal"/>
    <w:link w:val="Heading2Char"/>
    <w:semiHidden/>
    <w:unhideWhenUsed/>
    <w:qFormat/>
    <w:rsid w:val="00AB1CD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rsid w:val="00F748D8"/>
    <w:pPr>
      <w:keepNext/>
      <w:numPr>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748D8"/>
    <w:pPr>
      <w:widowControl/>
      <w:autoSpaceDE/>
      <w:autoSpaceDN/>
      <w:adjustRightInd/>
      <w:ind w:left="686"/>
    </w:pPr>
    <w:rPr>
      <w:rFonts w:ascii="Palatino Linotype" w:hAnsi="Palatino Linotype"/>
      <w:sz w:val="24"/>
    </w:rPr>
  </w:style>
  <w:style w:type="paragraph" w:styleId="FootnoteText">
    <w:name w:val="footnote text"/>
    <w:basedOn w:val="Normal"/>
    <w:link w:val="FootnoteTextChar"/>
    <w:semiHidden/>
    <w:rsid w:val="00F748D8"/>
    <w:rPr>
      <w:szCs w:val="20"/>
    </w:rPr>
  </w:style>
  <w:style w:type="character" w:styleId="FootnoteReference">
    <w:name w:val="footnote reference"/>
    <w:rsid w:val="00F748D8"/>
    <w:rPr>
      <w:vertAlign w:val="superscript"/>
    </w:rPr>
  </w:style>
  <w:style w:type="paragraph" w:styleId="Header">
    <w:name w:val="header"/>
    <w:basedOn w:val="Normal"/>
    <w:link w:val="HeaderChar"/>
    <w:rsid w:val="00F748D8"/>
    <w:pPr>
      <w:tabs>
        <w:tab w:val="center" w:pos="4320"/>
        <w:tab w:val="right" w:pos="8640"/>
      </w:tabs>
    </w:pPr>
  </w:style>
  <w:style w:type="paragraph" w:styleId="Footer">
    <w:name w:val="footer"/>
    <w:basedOn w:val="Normal"/>
    <w:rsid w:val="00F748D8"/>
    <w:pPr>
      <w:tabs>
        <w:tab w:val="center" w:pos="4320"/>
        <w:tab w:val="right" w:pos="8640"/>
      </w:tabs>
    </w:pPr>
  </w:style>
  <w:style w:type="character" w:styleId="PageNumber">
    <w:name w:val="page number"/>
    <w:basedOn w:val="DefaultParagraphFont"/>
    <w:rsid w:val="00F748D8"/>
  </w:style>
  <w:style w:type="paragraph" w:styleId="HTMLPreformatted">
    <w:name w:val="HTML Preformatted"/>
    <w:basedOn w:val="Normal"/>
    <w:link w:val="HTMLPreformattedChar"/>
    <w:uiPriority w:val="99"/>
    <w:unhideWhenUsed/>
    <w:rsid w:val="00F96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Cs w:val="20"/>
    </w:rPr>
  </w:style>
  <w:style w:type="character" w:customStyle="1" w:styleId="HTMLPreformattedChar">
    <w:name w:val="HTML Preformatted Char"/>
    <w:link w:val="HTMLPreformatted"/>
    <w:uiPriority w:val="99"/>
    <w:rsid w:val="00F963B7"/>
    <w:rPr>
      <w:rFonts w:ascii="Courier New" w:hAnsi="Courier New" w:cs="Courier New"/>
      <w:color w:val="000000"/>
    </w:rPr>
  </w:style>
  <w:style w:type="character" w:styleId="Hyperlink">
    <w:name w:val="Hyperlink"/>
    <w:rsid w:val="00FD6DE5"/>
    <w:rPr>
      <w:color w:val="0000FF"/>
      <w:u w:val="single"/>
    </w:rPr>
  </w:style>
  <w:style w:type="character" w:customStyle="1" w:styleId="informationalsmall4">
    <w:name w:val="informationalsmall4"/>
    <w:rsid w:val="0055076A"/>
    <w:rPr>
      <w:rFonts w:ascii="Verdana" w:hAnsi="Verdana" w:hint="default"/>
      <w:sz w:val="14"/>
      <w:szCs w:val="14"/>
    </w:rPr>
  </w:style>
  <w:style w:type="paragraph" w:styleId="BalloonText">
    <w:name w:val="Balloon Text"/>
    <w:basedOn w:val="Normal"/>
    <w:link w:val="BalloonTextChar"/>
    <w:rsid w:val="005B4C0B"/>
    <w:rPr>
      <w:rFonts w:ascii="Segoe UI" w:hAnsi="Segoe UI" w:cs="Segoe UI"/>
      <w:sz w:val="18"/>
      <w:szCs w:val="18"/>
    </w:rPr>
  </w:style>
  <w:style w:type="character" w:customStyle="1" w:styleId="BalloonTextChar">
    <w:name w:val="Balloon Text Char"/>
    <w:link w:val="BalloonText"/>
    <w:rsid w:val="005B4C0B"/>
    <w:rPr>
      <w:rFonts w:ascii="Segoe UI" w:hAnsi="Segoe UI" w:cs="Segoe UI"/>
      <w:sz w:val="18"/>
      <w:szCs w:val="18"/>
    </w:rPr>
  </w:style>
  <w:style w:type="character" w:customStyle="1" w:styleId="Heading2Char">
    <w:name w:val="Heading 2 Char"/>
    <w:link w:val="Heading2"/>
    <w:semiHidden/>
    <w:rsid w:val="00AB1CDE"/>
    <w:rPr>
      <w:rFonts w:ascii="Calibri Light" w:eastAsia="Times New Roman" w:hAnsi="Calibri Light" w:cs="Times New Roman"/>
      <w:b/>
      <w:bCs/>
      <w:i/>
      <w:iCs/>
      <w:sz w:val="28"/>
      <w:szCs w:val="28"/>
    </w:rPr>
  </w:style>
  <w:style w:type="character" w:styleId="CommentReference">
    <w:name w:val="annotation reference"/>
    <w:rsid w:val="003A4BF9"/>
    <w:rPr>
      <w:sz w:val="16"/>
      <w:szCs w:val="16"/>
    </w:rPr>
  </w:style>
  <w:style w:type="paragraph" w:styleId="CommentText">
    <w:name w:val="annotation text"/>
    <w:basedOn w:val="Normal"/>
    <w:link w:val="CommentTextChar"/>
    <w:rsid w:val="003A4BF9"/>
    <w:rPr>
      <w:szCs w:val="20"/>
    </w:rPr>
  </w:style>
  <w:style w:type="character" w:customStyle="1" w:styleId="CommentTextChar">
    <w:name w:val="Comment Text Char"/>
    <w:basedOn w:val="DefaultParagraphFont"/>
    <w:link w:val="CommentText"/>
    <w:rsid w:val="003A4BF9"/>
  </w:style>
  <w:style w:type="paragraph" w:styleId="CommentSubject">
    <w:name w:val="annotation subject"/>
    <w:basedOn w:val="CommentText"/>
    <w:next w:val="CommentText"/>
    <w:link w:val="CommentSubjectChar"/>
    <w:rsid w:val="003A4BF9"/>
    <w:rPr>
      <w:b/>
      <w:bCs/>
    </w:rPr>
  </w:style>
  <w:style w:type="character" w:customStyle="1" w:styleId="CommentSubjectChar">
    <w:name w:val="Comment Subject Char"/>
    <w:link w:val="CommentSubject"/>
    <w:rsid w:val="003A4BF9"/>
    <w:rPr>
      <w:b/>
      <w:bCs/>
    </w:rPr>
  </w:style>
  <w:style w:type="paragraph" w:styleId="Revision">
    <w:name w:val="Revision"/>
    <w:hidden/>
    <w:uiPriority w:val="99"/>
    <w:semiHidden/>
    <w:rsid w:val="003A4BF9"/>
    <w:rPr>
      <w:szCs w:val="24"/>
    </w:rPr>
  </w:style>
  <w:style w:type="paragraph" w:styleId="EndnoteText">
    <w:name w:val="endnote text"/>
    <w:basedOn w:val="Normal"/>
    <w:link w:val="EndnoteTextChar"/>
    <w:rsid w:val="00360AD1"/>
    <w:rPr>
      <w:szCs w:val="20"/>
    </w:rPr>
  </w:style>
  <w:style w:type="character" w:customStyle="1" w:styleId="EndnoteTextChar">
    <w:name w:val="Endnote Text Char"/>
    <w:basedOn w:val="DefaultParagraphFont"/>
    <w:link w:val="EndnoteText"/>
    <w:rsid w:val="00360AD1"/>
  </w:style>
  <w:style w:type="character" w:styleId="EndnoteReference">
    <w:name w:val="endnote reference"/>
    <w:rsid w:val="00360AD1"/>
    <w:rPr>
      <w:vertAlign w:val="superscript"/>
    </w:rPr>
  </w:style>
  <w:style w:type="paragraph" w:styleId="ListParagraph">
    <w:name w:val="List Paragraph"/>
    <w:basedOn w:val="Normal"/>
    <w:uiPriority w:val="34"/>
    <w:qFormat/>
    <w:rsid w:val="00193BE4"/>
    <w:pPr>
      <w:widowControl/>
      <w:autoSpaceDE/>
      <w:autoSpaceDN/>
      <w:adjustRightInd/>
      <w:ind w:left="720"/>
      <w:contextualSpacing/>
    </w:pPr>
    <w:rPr>
      <w:rFonts w:asciiTheme="minorHAnsi" w:eastAsiaTheme="minorHAnsi" w:hAnsiTheme="minorHAnsi" w:cstheme="minorBidi"/>
      <w:sz w:val="22"/>
      <w:szCs w:val="22"/>
    </w:rPr>
  </w:style>
  <w:style w:type="paragraph" w:customStyle="1" w:styleId="FindingsConclusions">
    <w:name w:val="Findings &amp; Conclusions"/>
    <w:basedOn w:val="Normal"/>
    <w:rsid w:val="0003793C"/>
    <w:pPr>
      <w:widowControl/>
      <w:numPr>
        <w:numId w:val="14"/>
      </w:numPr>
      <w:autoSpaceDE/>
      <w:autoSpaceDN/>
      <w:adjustRightInd/>
    </w:pPr>
    <w:rPr>
      <w:sz w:val="24"/>
    </w:rPr>
  </w:style>
  <w:style w:type="character" w:customStyle="1" w:styleId="FootnoteTextChar">
    <w:name w:val="Footnote Text Char"/>
    <w:basedOn w:val="DefaultParagraphFont"/>
    <w:link w:val="FootnoteText"/>
    <w:semiHidden/>
    <w:rsid w:val="0003793C"/>
  </w:style>
  <w:style w:type="paragraph" w:styleId="BodyText">
    <w:name w:val="Body Text"/>
    <w:basedOn w:val="Normal"/>
    <w:link w:val="BodyTextChar"/>
    <w:semiHidden/>
    <w:unhideWhenUsed/>
    <w:rsid w:val="00383CA3"/>
    <w:pPr>
      <w:spacing w:after="120"/>
    </w:pPr>
  </w:style>
  <w:style w:type="character" w:customStyle="1" w:styleId="BodyTextChar">
    <w:name w:val="Body Text Char"/>
    <w:basedOn w:val="DefaultParagraphFont"/>
    <w:link w:val="BodyText"/>
    <w:semiHidden/>
    <w:rsid w:val="00383CA3"/>
    <w:rPr>
      <w:szCs w:val="24"/>
    </w:rPr>
  </w:style>
  <w:style w:type="table" w:styleId="TableGrid">
    <w:name w:val="Table Grid"/>
    <w:basedOn w:val="TableNormal"/>
    <w:rsid w:val="0054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rsid w:val="00BE348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06314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0815">
      <w:bodyDiv w:val="1"/>
      <w:marLeft w:val="0"/>
      <w:marRight w:val="0"/>
      <w:marTop w:val="0"/>
      <w:marBottom w:val="0"/>
      <w:divBdr>
        <w:top w:val="none" w:sz="0" w:space="0" w:color="auto"/>
        <w:left w:val="none" w:sz="0" w:space="0" w:color="auto"/>
        <w:bottom w:val="none" w:sz="0" w:space="0" w:color="auto"/>
        <w:right w:val="none" w:sz="0" w:space="0" w:color="auto"/>
      </w:divBdr>
    </w:div>
    <w:div w:id="104233669">
      <w:bodyDiv w:val="1"/>
      <w:marLeft w:val="0"/>
      <w:marRight w:val="0"/>
      <w:marTop w:val="0"/>
      <w:marBottom w:val="0"/>
      <w:divBdr>
        <w:top w:val="none" w:sz="0" w:space="0" w:color="auto"/>
        <w:left w:val="none" w:sz="0" w:space="0" w:color="auto"/>
        <w:bottom w:val="none" w:sz="0" w:space="0" w:color="auto"/>
        <w:right w:val="none" w:sz="0" w:space="0" w:color="auto"/>
      </w:divBdr>
    </w:div>
    <w:div w:id="152766038">
      <w:bodyDiv w:val="1"/>
      <w:marLeft w:val="0"/>
      <w:marRight w:val="0"/>
      <w:marTop w:val="0"/>
      <w:marBottom w:val="0"/>
      <w:divBdr>
        <w:top w:val="none" w:sz="0" w:space="0" w:color="auto"/>
        <w:left w:val="none" w:sz="0" w:space="0" w:color="auto"/>
        <w:bottom w:val="none" w:sz="0" w:space="0" w:color="auto"/>
        <w:right w:val="none" w:sz="0" w:space="0" w:color="auto"/>
      </w:divBdr>
    </w:div>
    <w:div w:id="399444380">
      <w:bodyDiv w:val="1"/>
      <w:marLeft w:val="0"/>
      <w:marRight w:val="0"/>
      <w:marTop w:val="0"/>
      <w:marBottom w:val="0"/>
      <w:divBdr>
        <w:top w:val="none" w:sz="0" w:space="0" w:color="auto"/>
        <w:left w:val="none" w:sz="0" w:space="0" w:color="auto"/>
        <w:bottom w:val="none" w:sz="0" w:space="0" w:color="auto"/>
        <w:right w:val="none" w:sz="0" w:space="0" w:color="auto"/>
      </w:divBdr>
    </w:div>
    <w:div w:id="476848833">
      <w:bodyDiv w:val="1"/>
      <w:marLeft w:val="0"/>
      <w:marRight w:val="0"/>
      <w:marTop w:val="0"/>
      <w:marBottom w:val="0"/>
      <w:divBdr>
        <w:top w:val="none" w:sz="0" w:space="0" w:color="auto"/>
        <w:left w:val="none" w:sz="0" w:space="0" w:color="auto"/>
        <w:bottom w:val="none" w:sz="0" w:space="0" w:color="auto"/>
        <w:right w:val="none" w:sz="0" w:space="0" w:color="auto"/>
      </w:divBdr>
    </w:div>
    <w:div w:id="483618821">
      <w:bodyDiv w:val="1"/>
      <w:marLeft w:val="0"/>
      <w:marRight w:val="0"/>
      <w:marTop w:val="0"/>
      <w:marBottom w:val="0"/>
      <w:divBdr>
        <w:top w:val="none" w:sz="0" w:space="0" w:color="auto"/>
        <w:left w:val="none" w:sz="0" w:space="0" w:color="auto"/>
        <w:bottom w:val="none" w:sz="0" w:space="0" w:color="auto"/>
        <w:right w:val="none" w:sz="0" w:space="0" w:color="auto"/>
      </w:divBdr>
      <w:divsChild>
        <w:div w:id="1590506584">
          <w:marLeft w:val="0"/>
          <w:marRight w:val="0"/>
          <w:marTop w:val="0"/>
          <w:marBottom w:val="0"/>
          <w:divBdr>
            <w:top w:val="none" w:sz="0" w:space="0" w:color="auto"/>
            <w:left w:val="none" w:sz="0" w:space="0" w:color="auto"/>
            <w:bottom w:val="none" w:sz="0" w:space="0" w:color="auto"/>
            <w:right w:val="none" w:sz="0" w:space="0" w:color="auto"/>
          </w:divBdr>
          <w:divsChild>
            <w:div w:id="8076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4433">
      <w:bodyDiv w:val="1"/>
      <w:marLeft w:val="0"/>
      <w:marRight w:val="0"/>
      <w:marTop w:val="0"/>
      <w:marBottom w:val="0"/>
      <w:divBdr>
        <w:top w:val="none" w:sz="0" w:space="0" w:color="auto"/>
        <w:left w:val="none" w:sz="0" w:space="0" w:color="auto"/>
        <w:bottom w:val="none" w:sz="0" w:space="0" w:color="auto"/>
        <w:right w:val="none" w:sz="0" w:space="0" w:color="auto"/>
      </w:divBdr>
      <w:divsChild>
        <w:div w:id="1230069314">
          <w:marLeft w:val="0"/>
          <w:marRight w:val="0"/>
          <w:marTop w:val="0"/>
          <w:marBottom w:val="0"/>
          <w:divBdr>
            <w:top w:val="none" w:sz="0" w:space="0" w:color="auto"/>
            <w:left w:val="none" w:sz="0" w:space="0" w:color="auto"/>
            <w:bottom w:val="none" w:sz="0" w:space="0" w:color="auto"/>
            <w:right w:val="none" w:sz="0" w:space="0" w:color="auto"/>
          </w:divBdr>
          <w:divsChild>
            <w:div w:id="832914822">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696154345">
      <w:bodyDiv w:val="1"/>
      <w:marLeft w:val="0"/>
      <w:marRight w:val="0"/>
      <w:marTop w:val="0"/>
      <w:marBottom w:val="0"/>
      <w:divBdr>
        <w:top w:val="none" w:sz="0" w:space="0" w:color="auto"/>
        <w:left w:val="none" w:sz="0" w:space="0" w:color="auto"/>
        <w:bottom w:val="none" w:sz="0" w:space="0" w:color="auto"/>
        <w:right w:val="none" w:sz="0" w:space="0" w:color="auto"/>
      </w:divBdr>
    </w:div>
    <w:div w:id="1045789361">
      <w:bodyDiv w:val="1"/>
      <w:marLeft w:val="30"/>
      <w:marRight w:val="30"/>
      <w:marTop w:val="30"/>
      <w:marBottom w:val="30"/>
      <w:divBdr>
        <w:top w:val="none" w:sz="0" w:space="0" w:color="auto"/>
        <w:left w:val="none" w:sz="0" w:space="0" w:color="auto"/>
        <w:bottom w:val="none" w:sz="0" w:space="0" w:color="auto"/>
        <w:right w:val="none" w:sz="0" w:space="0" w:color="auto"/>
      </w:divBdr>
      <w:divsChild>
        <w:div w:id="1747068909">
          <w:marLeft w:val="0"/>
          <w:marRight w:val="0"/>
          <w:marTop w:val="0"/>
          <w:marBottom w:val="0"/>
          <w:divBdr>
            <w:top w:val="none" w:sz="0" w:space="0" w:color="auto"/>
            <w:left w:val="none" w:sz="0" w:space="0" w:color="auto"/>
            <w:bottom w:val="none" w:sz="0" w:space="0" w:color="auto"/>
            <w:right w:val="none" w:sz="0" w:space="0" w:color="auto"/>
          </w:divBdr>
          <w:divsChild>
            <w:div w:id="976880820">
              <w:marLeft w:val="45"/>
              <w:marRight w:val="45"/>
              <w:marTop w:val="45"/>
              <w:marBottom w:val="45"/>
              <w:divBdr>
                <w:top w:val="none" w:sz="0" w:space="0" w:color="auto"/>
                <w:left w:val="none" w:sz="0" w:space="0" w:color="auto"/>
                <w:bottom w:val="none" w:sz="0" w:space="0" w:color="auto"/>
                <w:right w:val="none" w:sz="0" w:space="0" w:color="auto"/>
              </w:divBdr>
              <w:divsChild>
                <w:div w:id="1589079289">
                  <w:marLeft w:val="0"/>
                  <w:marRight w:val="0"/>
                  <w:marTop w:val="0"/>
                  <w:marBottom w:val="0"/>
                  <w:divBdr>
                    <w:top w:val="none" w:sz="0" w:space="0" w:color="auto"/>
                    <w:left w:val="none" w:sz="0" w:space="0" w:color="auto"/>
                    <w:bottom w:val="none" w:sz="0" w:space="0" w:color="auto"/>
                    <w:right w:val="none" w:sz="0" w:space="0" w:color="auto"/>
                  </w:divBdr>
                  <w:divsChild>
                    <w:div w:id="794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71902">
      <w:bodyDiv w:val="1"/>
      <w:marLeft w:val="0"/>
      <w:marRight w:val="0"/>
      <w:marTop w:val="0"/>
      <w:marBottom w:val="0"/>
      <w:divBdr>
        <w:top w:val="none" w:sz="0" w:space="0" w:color="auto"/>
        <w:left w:val="none" w:sz="0" w:space="0" w:color="auto"/>
        <w:bottom w:val="none" w:sz="0" w:space="0" w:color="auto"/>
        <w:right w:val="none" w:sz="0" w:space="0" w:color="auto"/>
      </w:divBdr>
    </w:div>
    <w:div w:id="1662614428">
      <w:bodyDiv w:val="1"/>
      <w:marLeft w:val="0"/>
      <w:marRight w:val="0"/>
      <w:marTop w:val="0"/>
      <w:marBottom w:val="0"/>
      <w:divBdr>
        <w:top w:val="none" w:sz="0" w:space="0" w:color="auto"/>
        <w:left w:val="none" w:sz="0" w:space="0" w:color="auto"/>
        <w:bottom w:val="none" w:sz="0" w:space="0" w:color="auto"/>
        <w:right w:val="none" w:sz="0" w:space="0" w:color="auto"/>
      </w:divBdr>
    </w:div>
    <w:div w:id="19860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ustomXml" Target="../customXml/item6.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Agreement</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2017-03-28T21:51:40+00:00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9CC6BED-75E4-4D1E-BEEB-1A4857C3379E}"/>
</file>

<file path=customXml/itemProps2.xml><?xml version="1.0" encoding="utf-8"?>
<ds:datastoreItem xmlns:ds="http://schemas.openxmlformats.org/officeDocument/2006/customXml" ds:itemID="{EA12DA4A-7B73-4A57-BE14-55DE555B66E0}">
  <ds:schemaRefs>
    <ds:schemaRef ds:uri="http://purl.org/dc/elements/1.1/"/>
    <ds:schemaRef ds:uri="http://schemas.microsoft.com/office/infopath/2007/PartnerControls"/>
    <ds:schemaRef ds:uri="http://www.w3.org/XML/1998/namespace"/>
    <ds:schemaRef ds:uri="dde7b3f8-6eac-457b-bc2a-336d890ae149"/>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C8783A8-31CF-47AC-B7FD-58CFC4720892}">
  <ds:schemaRefs>
    <ds:schemaRef ds:uri="http://schemas.microsoft.com/office/2006/metadata/longProperties"/>
  </ds:schemaRefs>
</ds:datastoreItem>
</file>

<file path=customXml/itemProps4.xml><?xml version="1.0" encoding="utf-8"?>
<ds:datastoreItem xmlns:ds="http://schemas.openxmlformats.org/officeDocument/2006/customXml" ds:itemID="{E6E0D5C2-A8FA-4A83-B898-AA5D6BB93E63}">
  <ds:schemaRefs>
    <ds:schemaRef ds:uri="http://schemas.microsoft.com/sharepoint/v3/contenttype/forms"/>
  </ds:schemaRefs>
</ds:datastoreItem>
</file>

<file path=customXml/itemProps5.xml><?xml version="1.0" encoding="utf-8"?>
<ds:datastoreItem xmlns:ds="http://schemas.openxmlformats.org/officeDocument/2006/customXml" ds:itemID="{C3AE1E76-15C5-45F4-B24E-06777F9D0558}">
  <ds:schemaRefs>
    <ds:schemaRef ds:uri="http://schemas.openxmlformats.org/officeDocument/2006/bibliography"/>
  </ds:schemaRefs>
</ds:datastoreItem>
</file>

<file path=customXml/itemProps6.xml><?xml version="1.0" encoding="utf-8"?>
<ds:datastoreItem xmlns:ds="http://schemas.openxmlformats.org/officeDocument/2006/customXml" ds:itemID="{6698E355-6A2C-4C68-8CBB-B0DC09010D61}"/>
</file>

<file path=docProps/app.xml><?xml version="1.0" encoding="utf-8"?>
<Properties xmlns="http://schemas.openxmlformats.org/officeDocument/2006/extended-properties" xmlns:vt="http://schemas.openxmlformats.org/officeDocument/2006/docPropsVTypes">
  <Pages>6</Pages>
  <Words>3556</Words>
  <Characters>20091</Characters>
  <Application>Microsoft Office Word</Application>
  <DocSecurity>0</DocSecurity>
  <Lines>394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