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Default="00182994" w:rsidP="00B86298">
      <w:pPr>
        <w:tabs>
          <w:tab w:val="left" w:pos="1260"/>
        </w:tabs>
        <w:spacing w:line="480" w:lineRule="auto"/>
        <w:jc w:val="center"/>
      </w:pPr>
    </w:p>
    <w:p w:rsidR="00182994" w:rsidRDefault="00182994" w:rsidP="00B86298">
      <w:pPr>
        <w:tabs>
          <w:tab w:val="left" w:pos="1260"/>
        </w:tabs>
        <w:spacing w:line="480" w:lineRule="auto"/>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rsidP="00B86298">
      <w:pPr>
        <w:tabs>
          <w:tab w:val="left" w:pos="1260"/>
        </w:tabs>
        <w:spacing w:line="480" w:lineRule="auto"/>
        <w:jc w:val="center"/>
      </w:pPr>
    </w:p>
    <w:p w:rsidR="00182994" w:rsidRDefault="000773D0" w:rsidP="00182994">
      <w:pPr>
        <w:tabs>
          <w:tab w:val="left" w:pos="1260"/>
        </w:tabs>
        <w:jc w:val="center"/>
      </w:pPr>
      <w:r>
        <w:t>DOCKET NO</w:t>
      </w:r>
      <w:r w:rsidR="00182994">
        <w:t>. UE-</w:t>
      </w:r>
      <w:r w:rsidR="00876525">
        <w:t>1</w:t>
      </w:r>
      <w:r w:rsidR="00BC154E">
        <w:t>2</w:t>
      </w:r>
      <w:r w:rsidR="00182994">
        <w:t>______</w:t>
      </w:r>
    </w:p>
    <w:p w:rsidR="00182994" w:rsidRDefault="00182994" w:rsidP="00B86298">
      <w:pPr>
        <w:tabs>
          <w:tab w:val="left" w:pos="1260"/>
        </w:tabs>
        <w:spacing w:line="480" w:lineRule="auto"/>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C52BC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William G. Johnson.  My business address is </w:t>
      </w:r>
      <w:smartTag w:uri="urn:schemas-microsoft-com:office:smarttags" w:element="Street">
        <w:r w:rsidRPr="00BE21E7">
          <w:rPr>
            <w:rFonts w:ascii="Times New Roman" w:hAnsi="Times New Roman" w:cs="Times New Roman"/>
          </w:rPr>
          <w:t>1411 East Mission Avenue</w:t>
        </w:r>
      </w:smartTag>
      <w:r w:rsidRPr="00BE21E7">
        <w:rPr>
          <w:rFonts w:ascii="Times New Roman" w:hAnsi="Times New Roman" w:cs="Times New Roman"/>
        </w:rPr>
        <w:t xml:space="preserve">, </w:t>
      </w:r>
      <w:smartTag w:uri="urn:schemas-microsoft-com:office:smarttags" w:element="City">
        <w:r w:rsidRPr="00BE21E7">
          <w:rPr>
            <w:rFonts w:ascii="Times New Roman" w:hAnsi="Times New Roman" w:cs="Times New Roman"/>
          </w:rPr>
          <w:t>Spokane</w:t>
        </w:r>
      </w:smartTag>
      <w:r w:rsidRPr="00BE21E7">
        <w:rPr>
          <w:rFonts w:ascii="Times New Roman" w:hAnsi="Times New Roman" w:cs="Times New Roman"/>
        </w:rPr>
        <w:t xml:space="preserve">, </w:t>
      </w:r>
      <w:smartTag w:uri="urn:schemas-microsoft-com:office:smarttags" w:element="State">
        <w:r w:rsidRPr="00BE21E7">
          <w:rPr>
            <w:rFonts w:ascii="Times New Roman" w:hAnsi="Times New Roman" w:cs="Times New Roman"/>
          </w:rPr>
          <w:t>Washington</w:t>
        </w:r>
      </w:smartTag>
      <w:r w:rsidRPr="00BE21E7">
        <w:rPr>
          <w:rFonts w:ascii="Times New Roman" w:hAnsi="Times New Roman" w:cs="Times New Roman"/>
        </w:rPr>
        <w:t>,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t>
      </w:r>
      <w:r w:rsidR="005A7619" w:rsidRPr="00BE21E7">
        <w:rPr>
          <w:rFonts w:ascii="Times New Roman" w:hAnsi="Times New Roman" w:cs="Times New Roman"/>
        </w:rPr>
        <w:t xml:space="preserve">will 1) identify and explain the proposed normalizing and pro forma adjustments to the </w:t>
      </w:r>
      <w:r w:rsidR="005A7619">
        <w:rPr>
          <w:rFonts w:ascii="Times New Roman" w:hAnsi="Times New Roman" w:cs="Times New Roman"/>
        </w:rPr>
        <w:t>January 2011</w:t>
      </w:r>
      <w:r w:rsidR="005A7619" w:rsidRPr="00BE21E7">
        <w:rPr>
          <w:rFonts w:ascii="Times New Roman" w:hAnsi="Times New Roman" w:cs="Times New Roman"/>
        </w:rPr>
        <w:t xml:space="preserve"> through </w:t>
      </w:r>
      <w:r w:rsidR="005A7619">
        <w:rPr>
          <w:rFonts w:ascii="Times New Roman" w:hAnsi="Times New Roman" w:cs="Times New Roman"/>
        </w:rPr>
        <w:t>December</w:t>
      </w:r>
      <w:r w:rsidR="005A7619" w:rsidRPr="00BE21E7">
        <w:rPr>
          <w:rFonts w:ascii="Times New Roman" w:hAnsi="Times New Roman" w:cs="Times New Roman"/>
        </w:rPr>
        <w:t xml:space="preserve"> 20</w:t>
      </w:r>
      <w:r w:rsidR="005A7619">
        <w:rPr>
          <w:rFonts w:ascii="Times New Roman" w:hAnsi="Times New Roman" w:cs="Times New Roman"/>
        </w:rPr>
        <w:t>11</w:t>
      </w:r>
      <w:r w:rsidR="005A7619" w:rsidRPr="00BE21E7">
        <w:rPr>
          <w:rFonts w:ascii="Times New Roman" w:hAnsi="Times New Roman" w:cs="Times New Roman"/>
        </w:rPr>
        <w:t xml:space="preserve"> test period power s</w:t>
      </w:r>
      <w:r w:rsidR="005A7619">
        <w:rPr>
          <w:rFonts w:ascii="Times New Roman" w:hAnsi="Times New Roman" w:cs="Times New Roman"/>
        </w:rPr>
        <w:t>upply revenues and expenses, 2) identify and explain proposed modifications to the Energy Recovery Mechanism (ERM) and 3</w:t>
      </w:r>
      <w:r w:rsidR="005A7619" w:rsidRPr="00BE21E7">
        <w:rPr>
          <w:rFonts w:ascii="Times New Roman" w:hAnsi="Times New Roman" w:cs="Times New Roman"/>
        </w:rPr>
        <w:t xml:space="preserve">) describe the proposed level of expense and retail revenue credit for ERM purposes, using the pro forma costs proposed by the </w:t>
      </w:r>
      <w:r w:rsidR="005A7619">
        <w:rPr>
          <w:rFonts w:ascii="Times New Roman" w:hAnsi="Times New Roman" w:cs="Times New Roman"/>
        </w:rPr>
        <w:t>Company in this filing.</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945166">
        <w:rPr>
          <w:rFonts w:ascii="Times New Roman" w:hAnsi="Times New Roman" w:cs="Times New Roman"/>
        </w:rPr>
        <w:t>5</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WGJ-2) identifies the power supply expense and revenue items that fall within the scope of my testimony. A brief description of each adjustment is provided in Exhibit No.</w:t>
      </w:r>
      <w:r w:rsidR="005F4F7A" w:rsidRPr="00A774E3">
        <w:rPr>
          <w:rFonts w:ascii="Times New Roman" w:hAnsi="Times New Roman" w:cs="Times New Roman"/>
        </w:rPr>
        <w:t xml:space="preserve"> </w:t>
      </w:r>
      <w:proofErr w:type="gramStart"/>
      <w:r w:rsidR="005F4F7A" w:rsidRPr="00A774E3">
        <w:rPr>
          <w:rFonts w:ascii="Times New Roman" w:hAnsi="Times New Roman" w:cs="Times New Roman"/>
        </w:rPr>
        <w:t>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w:t>
      </w:r>
      <w:proofErr w:type="gramEnd"/>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F22C09" w:rsidRPr="00A774E3">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WGJ-5).</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proofErr w:type="gramStart"/>
      <w:r>
        <w:rPr>
          <w:rFonts w:ascii="Times New Roman" w:hAnsi="Times New Roman" w:cs="Times New Roman"/>
          <w:b/>
          <w:bCs/>
        </w:rPr>
        <w:t>other</w:t>
      </w:r>
      <w:proofErr w:type="gramEnd"/>
      <w:r>
        <w:rPr>
          <w:rFonts w:ascii="Times New Roman" w:hAnsi="Times New Roman" w:cs="Times New Roman"/>
          <w:b/>
          <w:bCs/>
        </w:rPr>
        <w:t xml:space="preserve"> C</w:t>
      </w:r>
      <w:r w:rsidR="00BE21E7" w:rsidRPr="00BE21E7">
        <w:rPr>
          <w:rFonts w:ascii="Times New Roman" w:hAnsi="Times New Roman" w:cs="Times New Roman"/>
          <w:b/>
          <w:bCs/>
        </w:rPr>
        <w:t>ompany witnesses providing testimony regarding issues you are addressing?</w:t>
      </w:r>
    </w:p>
    <w:p w:rsidR="00BE21E7" w:rsidRDefault="00BE21E7" w:rsidP="007D09A6">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Yes.  Company witness Mr. Kalich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p>
    <w:p w:rsidR="00CC1C97" w:rsidRPr="00BE21E7" w:rsidRDefault="00CC1C97" w:rsidP="007D09A6">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P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period 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 xml:space="preserve">test period and the pro forma period.  The table below shows total net power supply expense during the </w:t>
      </w:r>
      <w:r w:rsidRPr="00BE21E7">
        <w:rPr>
          <w:rFonts w:ascii="Times New Roman" w:hAnsi="Times New Roman" w:cs="Times New Roman"/>
        </w:rPr>
        <w:lastRenderedPageBreak/>
        <w:t>test period and the pro forma period.  For information purposes only, the power supply expense</w:t>
      </w:r>
      <w:r w:rsidR="00431EB0">
        <w:rPr>
          <w:rStyle w:val="FootnoteReference"/>
          <w:rFonts w:ascii="Times New Roman" w:hAnsi="Times New Roman"/>
        </w:rPr>
        <w:footnoteReference w:id="1"/>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proofErr w:type="gramStart"/>
      <w:r w:rsidR="006D5BF7">
        <w:rPr>
          <w:rFonts w:ascii="Times New Roman" w:hAnsi="Times New Roman" w:cs="Times New Roman"/>
        </w:rPr>
        <w:t>rates, which</w:t>
      </w:r>
      <w:r w:rsidRPr="00BE21E7">
        <w:rPr>
          <w:rFonts w:ascii="Times New Roman" w:hAnsi="Times New Roman" w:cs="Times New Roman"/>
        </w:rPr>
        <w:t xml:space="preserve"> is</w:t>
      </w:r>
      <w:proofErr w:type="gramEnd"/>
      <w:r w:rsidRPr="00BE21E7">
        <w:rPr>
          <w:rFonts w:ascii="Times New Roman" w:hAnsi="Times New Roman" w:cs="Times New Roman"/>
        </w:rPr>
        <w:t xml:space="preserve"> based on a calendar 20</w:t>
      </w:r>
      <w:r w:rsidR="00876525">
        <w:rPr>
          <w:rFonts w:ascii="Times New Roman" w:hAnsi="Times New Roman" w:cs="Times New Roman"/>
        </w:rPr>
        <w:t>1</w:t>
      </w:r>
      <w:r w:rsidR="008A0A47">
        <w:rPr>
          <w:rFonts w:ascii="Times New Roman" w:hAnsi="Times New Roman" w:cs="Times New Roman"/>
        </w:rPr>
        <w:t>2</w:t>
      </w:r>
      <w:r w:rsidRPr="00BE21E7">
        <w:rPr>
          <w:rFonts w:ascii="Times New Roman" w:hAnsi="Times New Roman" w:cs="Times New Roman"/>
        </w:rPr>
        <w:t xml:space="preserve"> pro forma period, is also shown.</w:t>
      </w:r>
    </w:p>
    <w:p w:rsidR="00BE21E7" w:rsidRPr="00C03549" w:rsidRDefault="006A7727" w:rsidP="0072665A">
      <w:pPr>
        <w:pStyle w:val="TestBody"/>
        <w:spacing w:line="480" w:lineRule="auto"/>
        <w:ind w:left="0" w:firstLine="0"/>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8" editas="canvas" style="width:417.75pt;height:173.25pt;mso-position-horizontal-relative:char;mso-position-vertical-relative:line" coordorigin="-15,-15" coordsize="8355,34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top:-15;width:8355;height:3465" o:preferrelative="f">
              <v:fill o:detectmouseclick="t"/>
              <v:path o:extrusionok="t" o:connecttype="none"/>
              <o:lock v:ext="edit" text="t"/>
            </v:shape>
            <v:rect id="_x0000_s1029" style="position:absolute;width:8340;height:330" fillcolor="#d7e4bc" stroked="f"/>
            <v:rect id="_x0000_s1030" style="position:absolute;left:2475;top:30;width:2641;height:276;mso-wrap-style:none;v-text-anchor:top" filled="f" stroked="f">
              <v:textbox style="mso-fit-shape-to-text:t" inset="0,0,0,0">
                <w:txbxContent>
                  <w:p w:rsidR="00B86298" w:rsidRDefault="00B86298">
                    <w:r>
                      <w:rPr>
                        <w:rFonts w:ascii="Arial" w:hAnsi="Arial" w:cs="Arial"/>
                        <w:b/>
                        <w:bCs/>
                        <w:color w:val="000000"/>
                      </w:rPr>
                      <w:t>Power Supply Expense</w:t>
                    </w:r>
                  </w:p>
                </w:txbxContent>
              </v:textbox>
            </v:rect>
            <v:rect id="_x0000_s1031" style="position:absolute;left:7215;top:750;width:667;height:230;mso-wrap-style:none;v-text-anchor:top" filled="f" stroked="f">
              <v:textbox style="mso-fit-shape-to-text:t" inset="0,0,0,0">
                <w:txbxContent>
                  <w:p w:rsidR="00B86298" w:rsidRDefault="00B86298">
                    <w:r>
                      <w:rPr>
                        <w:rFonts w:ascii="Arial" w:hAnsi="Arial" w:cs="Arial"/>
                        <w:color w:val="000000"/>
                        <w:sz w:val="20"/>
                        <w:szCs w:val="20"/>
                      </w:rPr>
                      <w:t>System</w:t>
                    </w:r>
                  </w:p>
                </w:txbxContent>
              </v:textbox>
            </v:rect>
            <v:rect id="_x0000_s1032" style="position:absolute;left:7215;top:960;width:675;height:15" fillcolor="black" stroked="f"/>
            <v:rect id="_x0000_s1033" style="position:absolute;left:45;top:1125;width:5125;height:230;mso-wrap-style:none;v-text-anchor:top" filled="f" stroked="f">
              <v:textbox style="mso-fit-shape-to-text:t" inset="0,0,0,0">
                <w:txbxContent>
                  <w:p w:rsidR="00B86298" w:rsidRDefault="00B86298">
                    <w:r>
                      <w:rPr>
                        <w:rFonts w:ascii="Arial" w:hAnsi="Arial" w:cs="Arial"/>
                        <w:color w:val="000000"/>
                        <w:sz w:val="20"/>
                        <w:szCs w:val="20"/>
                      </w:rPr>
                      <w:t>Power Supply Expense in Current Rates (2012 pro forma)</w:t>
                    </w:r>
                  </w:p>
                </w:txbxContent>
              </v:textbox>
            </v:rect>
            <v:rect id="_x0000_s1034" style="position:absolute;left:6975;top:1125;width:1224;height:230;mso-wrap-style:none;v-text-anchor:top" filled="f" stroked="f">
              <v:textbox style="mso-fit-shape-to-text:t" inset="0,0,0,0">
                <w:txbxContent>
                  <w:p w:rsidR="00B86298" w:rsidRDefault="00B86298">
                    <w:r>
                      <w:rPr>
                        <w:rFonts w:ascii="Arial" w:hAnsi="Arial" w:cs="Arial"/>
                        <w:color w:val="000000"/>
                        <w:sz w:val="20"/>
                        <w:szCs w:val="20"/>
                      </w:rPr>
                      <w:t>$213,676,000</w:t>
                    </w:r>
                  </w:p>
                </w:txbxContent>
              </v:textbox>
            </v:rect>
            <v:rect id="_x0000_s1035" style="position:absolute;left:45;top:1635;width:3180;height:230;mso-wrap-style:none;v-text-anchor:top" filled="f" stroked="f">
              <v:textbox style="mso-fit-shape-to-text:t" inset="0,0,0,0">
                <w:txbxContent>
                  <w:p w:rsidR="00B86298" w:rsidRDefault="00B86298">
                    <w:r>
                      <w:rPr>
                        <w:rFonts w:ascii="Arial" w:hAnsi="Arial" w:cs="Arial"/>
                        <w:color w:val="000000"/>
                        <w:sz w:val="20"/>
                        <w:szCs w:val="20"/>
                      </w:rPr>
                      <w:t>Actual 2011 Power Supply Expense</w:t>
                    </w:r>
                  </w:p>
                </w:txbxContent>
              </v:textbox>
            </v:rect>
            <v:rect id="_x0000_s1036" style="position:absolute;left:6975;top:1635;width:1224;height:230;mso-wrap-style:none;v-text-anchor:top" filled="f" stroked="f">
              <v:textbox style="mso-fit-shape-to-text:t" inset="0,0,0,0">
                <w:txbxContent>
                  <w:p w:rsidR="00B86298" w:rsidRDefault="00B86298">
                    <w:r>
                      <w:rPr>
                        <w:rFonts w:ascii="Arial" w:hAnsi="Arial" w:cs="Arial"/>
                        <w:color w:val="000000"/>
                        <w:sz w:val="20"/>
                        <w:szCs w:val="20"/>
                      </w:rPr>
                      <w:t>$203,655,000</w:t>
                    </w:r>
                  </w:p>
                </w:txbxContent>
              </v:textbox>
            </v:rect>
            <v:rect id="_x0000_s1037" style="position:absolute;left:45;top:2145;width:4414;height:230;mso-wrap-style:none;v-text-anchor:top" filled="f" stroked="f">
              <v:textbox style="mso-fit-shape-to-text:t" inset="0,0,0,0">
                <w:txbxContent>
                  <w:p w:rsidR="00B86298" w:rsidRDefault="00B86298">
                    <w:r>
                      <w:rPr>
                        <w:rFonts w:ascii="Arial" w:hAnsi="Arial" w:cs="Arial"/>
                        <w:color w:val="000000"/>
                        <w:sz w:val="20"/>
                        <w:szCs w:val="20"/>
                      </w:rPr>
                      <w:t>Proposed 2013 Pro forma Power Supply Expense</w:t>
                    </w:r>
                  </w:p>
                </w:txbxContent>
              </v:textbox>
            </v:rect>
            <v:rect id="_x0000_s1038" style="position:absolute;left:6975;top:2145;width:1224;height:230;mso-wrap-style:none;v-text-anchor:top" filled="f" stroked="f">
              <v:textbox style="mso-fit-shape-to-text:t" inset="0,0,0,0">
                <w:txbxContent>
                  <w:p w:rsidR="00B86298" w:rsidRDefault="00B86298">
                    <w:r>
                      <w:rPr>
                        <w:rFonts w:ascii="Arial" w:hAnsi="Arial" w:cs="Arial"/>
                        <w:color w:val="000000"/>
                        <w:sz w:val="20"/>
                        <w:szCs w:val="20"/>
                      </w:rPr>
                      <w:t>$196,610,000</w:t>
                    </w:r>
                  </w:p>
                </w:txbxContent>
              </v:textbox>
            </v:rect>
            <v:rect id="_x0000_s1039" style="position:absolute;left:45;top:2655;width:3414;height:230;mso-wrap-style:none;v-text-anchor:top" filled="f" stroked="f">
              <v:textbox style="mso-fit-shape-to-text:t" inset="0,0,0,0">
                <w:txbxContent>
                  <w:p w:rsidR="00B86298" w:rsidRDefault="00B86298">
                    <w:r>
                      <w:rPr>
                        <w:rFonts w:ascii="Arial" w:hAnsi="Arial" w:cs="Arial"/>
                        <w:color w:val="000000"/>
                        <w:sz w:val="20"/>
                        <w:szCs w:val="20"/>
                      </w:rPr>
                      <w:t xml:space="preserve">    Proposed 2013 </w:t>
                    </w:r>
                    <w:proofErr w:type="spellStart"/>
                    <w:r>
                      <w:rPr>
                        <w:rFonts w:ascii="Arial" w:hAnsi="Arial" w:cs="Arial"/>
                        <w:color w:val="000000"/>
                        <w:sz w:val="20"/>
                        <w:szCs w:val="20"/>
                      </w:rPr>
                      <w:t>vs</w:t>
                    </w:r>
                    <w:proofErr w:type="spellEnd"/>
                    <w:r>
                      <w:rPr>
                        <w:rFonts w:ascii="Arial" w:hAnsi="Arial" w:cs="Arial"/>
                        <w:color w:val="000000"/>
                        <w:sz w:val="20"/>
                        <w:szCs w:val="20"/>
                      </w:rPr>
                      <w:t xml:space="preserve"> 2011 Test Period</w:t>
                    </w:r>
                  </w:p>
                </w:txbxContent>
              </v:textbox>
            </v:rect>
            <v:rect id="_x0000_s1040" style="position:absolute;left:7050;top:2655;width:1068;height:230;mso-wrap-style:none;v-text-anchor:top" filled="f" stroked="f">
              <v:textbox style="mso-fit-shape-to-text:t" inset="0,0,0,0">
                <w:txbxContent>
                  <w:p w:rsidR="00B86298" w:rsidRDefault="00B86298">
                    <w:r>
                      <w:rPr>
                        <w:rFonts w:ascii="Arial" w:hAnsi="Arial" w:cs="Arial"/>
                        <w:color w:val="000000"/>
                        <w:sz w:val="20"/>
                        <w:szCs w:val="20"/>
                      </w:rPr>
                      <w:t>-$7,045,000</w:t>
                    </w:r>
                  </w:p>
                </w:txbxContent>
              </v:textbox>
            </v:rect>
            <v:rect id="_x0000_s1041" style="position:absolute;left:45;top:3165;width:3080;height:230;mso-wrap-style:none;v-text-anchor:top" filled="f" stroked="f">
              <v:textbox style="mso-fit-shape-to-text:t" inset="0,0,0,0">
                <w:txbxContent>
                  <w:p w:rsidR="00B86298" w:rsidRDefault="00B86298">
                    <w:r>
                      <w:rPr>
                        <w:rFonts w:ascii="Arial" w:hAnsi="Arial" w:cs="Arial"/>
                        <w:color w:val="000000"/>
                        <w:sz w:val="20"/>
                        <w:szCs w:val="20"/>
                      </w:rPr>
                      <w:t xml:space="preserve">   Proposed 2013 </w:t>
                    </w:r>
                    <w:proofErr w:type="spellStart"/>
                    <w:r>
                      <w:rPr>
                        <w:rFonts w:ascii="Arial" w:hAnsi="Arial" w:cs="Arial"/>
                        <w:color w:val="000000"/>
                        <w:sz w:val="20"/>
                        <w:szCs w:val="20"/>
                      </w:rPr>
                      <w:t>vs</w:t>
                    </w:r>
                    <w:proofErr w:type="spellEnd"/>
                    <w:r>
                      <w:rPr>
                        <w:rFonts w:ascii="Arial" w:hAnsi="Arial" w:cs="Arial"/>
                        <w:color w:val="000000"/>
                        <w:sz w:val="20"/>
                        <w:szCs w:val="20"/>
                      </w:rPr>
                      <w:t xml:space="preserve"> Current Rates</w:t>
                    </w:r>
                  </w:p>
                </w:txbxContent>
              </v:textbox>
            </v:rect>
            <v:rect id="_x0000_s1042" style="position:absolute;left:6990;top:3165;width:1179;height:230;mso-wrap-style:none;v-text-anchor:top" filled="f" stroked="f">
              <v:textbox style="mso-fit-shape-to-text:t" inset="0,0,0,0">
                <w:txbxContent>
                  <w:p w:rsidR="00B86298" w:rsidRDefault="00B86298">
                    <w:r>
                      <w:rPr>
                        <w:rFonts w:ascii="Arial" w:hAnsi="Arial" w:cs="Arial"/>
                        <w:color w:val="000000"/>
                        <w:sz w:val="20"/>
                        <w:szCs w:val="20"/>
                      </w:rPr>
                      <w:t>-$17,066,000</w:t>
                    </w:r>
                  </w:p>
                </w:txbxContent>
              </v:textbox>
            </v:rect>
            <v:rect id="_x0000_s1043" style="position:absolute;left:-15;top:-15;width:30;height:3450" fillcolor="black" stroked="f"/>
            <v:rect id="_x0000_s1044" style="position:absolute;left:8310;top:15;width:30;height:3420" fillcolor="black" stroked="f"/>
            <v:rect id="_x0000_s1045" style="position:absolute;left:15;top:-15;width:8325;height:30" fillcolor="black" stroked="f"/>
            <v:rect id="_x0000_s1046" style="position:absolute;left:15;top:3405;width:8325;height:30" fillcolor="black" stroked="f"/>
            <w10:wrap type="none"/>
            <w10:anchorlock/>
          </v:group>
        </w:pict>
      </w:r>
    </w:p>
    <w:p w:rsidR="00BE21E7" w:rsidRPr="00BE21E7" w:rsidRDefault="00BE21E7" w:rsidP="008A45E4">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 decrease</w:t>
      </w:r>
      <w:r w:rsidRPr="00BE21E7">
        <w:rPr>
          <w:rFonts w:ascii="Times New Roman" w:hAnsi="Times New Roman" w:cs="Times New Roman"/>
        </w:rPr>
        <w:t xml:space="preserve"> of </w:t>
      </w:r>
      <w:r w:rsidRPr="0072665A">
        <w:rPr>
          <w:rFonts w:ascii="Times New Roman" w:hAnsi="Times New Roman" w:cs="Times New Roman"/>
        </w:rPr>
        <w:t>$</w:t>
      </w:r>
      <w:r w:rsidR="00DB55EE">
        <w:rPr>
          <w:rFonts w:ascii="Times New Roman" w:hAnsi="Times New Roman" w:cs="Times New Roman"/>
        </w:rPr>
        <w:t>7,</w:t>
      </w:r>
      <w:r w:rsidR="005A6D43">
        <w:rPr>
          <w:rFonts w:ascii="Times New Roman" w:hAnsi="Times New Roman" w:cs="Times New Roman"/>
        </w:rPr>
        <w:t>045</w:t>
      </w:r>
      <w:r w:rsidR="0072665A" w:rsidRPr="0072665A">
        <w:rPr>
          <w:rFonts w:ascii="Times New Roman" w:hAnsi="Times New Roman" w:cs="Times New Roman"/>
        </w:rPr>
        <w:t>,00</w:t>
      </w:r>
      <w:r w:rsidRPr="0072665A">
        <w:rPr>
          <w:rFonts w:ascii="Times New Roman" w:hAnsi="Times New Roman" w:cs="Times New Roman"/>
        </w:rPr>
        <w:t>0 ($</w:t>
      </w:r>
      <w:r w:rsidR="00DB55EE">
        <w:rPr>
          <w:rFonts w:ascii="Times New Roman" w:hAnsi="Times New Roman" w:cs="Times New Roman"/>
        </w:rPr>
        <w:t>196,610,000</w:t>
      </w:r>
      <w:r w:rsidRPr="0072665A">
        <w:rPr>
          <w:rFonts w:ascii="Times New Roman" w:hAnsi="Times New Roman" w:cs="Times New Roman"/>
        </w:rPr>
        <w:t xml:space="preserve"> - $</w:t>
      </w:r>
      <w:r w:rsidR="00DB55EE">
        <w:rPr>
          <w:rFonts w:ascii="Times New Roman" w:hAnsi="Times New Roman" w:cs="Times New Roman"/>
        </w:rPr>
        <w:t>203,</w:t>
      </w:r>
      <w:r w:rsidR="005A6D43">
        <w:rPr>
          <w:rFonts w:ascii="Times New Roman" w:hAnsi="Times New Roman" w:cs="Times New Roman"/>
        </w:rPr>
        <w:t>655</w:t>
      </w:r>
      <w:r w:rsidRPr="0072665A">
        <w:rPr>
          <w:rFonts w:ascii="Times New Roman" w:hAnsi="Times New Roman" w:cs="Times New Roman"/>
        </w:rPr>
        <w:t>,000)</w:t>
      </w:r>
      <w:r w:rsidR="00407CC1">
        <w:rPr>
          <w:rFonts w:ascii="Times New Roman" w:hAnsi="Times New Roman" w:cs="Times New Roman"/>
        </w:rPr>
        <w:t xml:space="preserve"> on a system basis</w:t>
      </w:r>
      <w:r w:rsidRPr="00BE21E7">
        <w:rPr>
          <w:rFonts w:ascii="Times New Roman" w:hAnsi="Times New Roman" w:cs="Times New Roman"/>
        </w:rPr>
        <w:t xml:space="preserve">. The </w:t>
      </w:r>
      <w:r w:rsidR="00DB55EE">
        <w:rPr>
          <w:rFonts w:ascii="Times New Roman" w:hAnsi="Times New Roman" w:cs="Times New Roman"/>
        </w:rPr>
        <w:t>decrease</w:t>
      </w:r>
      <w:r w:rsidRPr="00BE21E7">
        <w:rPr>
          <w:rFonts w:ascii="Times New Roman" w:hAnsi="Times New Roman" w:cs="Times New Roman"/>
        </w:rPr>
        <w:t xml:space="preserve"> in power supply expense compared to the </w:t>
      </w:r>
      <w:r w:rsidR="00431EB0">
        <w:rPr>
          <w:rFonts w:ascii="Times New Roman" w:hAnsi="Times New Roman" w:cs="Times New Roman"/>
        </w:rPr>
        <w:t>authorized</w:t>
      </w:r>
      <w:r w:rsidRPr="00BE21E7">
        <w:rPr>
          <w:rFonts w:ascii="Times New Roman" w:hAnsi="Times New Roman" w:cs="Times New Roman"/>
        </w:rPr>
        <w:t xml:space="preserve"> level in current base rates </w:t>
      </w:r>
      <w:r w:rsidR="00200197">
        <w:rPr>
          <w:rFonts w:ascii="Times New Roman" w:hAnsi="Times New Roman" w:cs="Times New Roman"/>
        </w:rPr>
        <w:t>is</w:t>
      </w:r>
      <w:r w:rsidRPr="00BE21E7">
        <w:rPr>
          <w:rFonts w:ascii="Times New Roman" w:hAnsi="Times New Roman" w:cs="Times New Roman"/>
        </w:rPr>
        <w:t xml:space="preserve"> </w:t>
      </w:r>
      <w:r w:rsidRPr="0072665A">
        <w:rPr>
          <w:rFonts w:ascii="Times New Roman" w:hAnsi="Times New Roman" w:cs="Times New Roman"/>
        </w:rPr>
        <w:t>$</w:t>
      </w:r>
      <w:r w:rsidR="00DB55EE">
        <w:rPr>
          <w:rFonts w:ascii="Times New Roman" w:hAnsi="Times New Roman" w:cs="Times New Roman"/>
        </w:rPr>
        <w:t>17</w:t>
      </w:r>
      <w:r w:rsidR="00817F2D">
        <w:rPr>
          <w:rFonts w:ascii="Times New Roman" w:hAnsi="Times New Roman" w:cs="Times New Roman"/>
        </w:rPr>
        <w:t>,</w:t>
      </w:r>
      <w:r w:rsidR="007D09A6">
        <w:rPr>
          <w:rFonts w:ascii="Times New Roman" w:hAnsi="Times New Roman" w:cs="Times New Roman"/>
        </w:rPr>
        <w:t>0</w:t>
      </w:r>
      <w:r w:rsidR="00DB55EE">
        <w:rPr>
          <w:rFonts w:ascii="Times New Roman" w:hAnsi="Times New Roman" w:cs="Times New Roman"/>
        </w:rPr>
        <w:t>66</w:t>
      </w:r>
      <w:r w:rsidRPr="0072665A">
        <w:rPr>
          <w:rFonts w:ascii="Times New Roman" w:hAnsi="Times New Roman" w:cs="Times New Roman"/>
        </w:rPr>
        <w:t>,</w:t>
      </w:r>
      <w:r w:rsidR="00817F2D">
        <w:rPr>
          <w:rFonts w:ascii="Times New Roman" w:hAnsi="Times New Roman" w:cs="Times New Roman"/>
        </w:rPr>
        <w:t>000</w:t>
      </w:r>
      <w:r w:rsidRPr="0072665A">
        <w:rPr>
          <w:rFonts w:ascii="Times New Roman" w:hAnsi="Times New Roman" w:cs="Times New Roman"/>
        </w:rPr>
        <w:t xml:space="preserve"> (system) and </w:t>
      </w:r>
      <w:r w:rsidRPr="008A35A7">
        <w:rPr>
          <w:rFonts w:ascii="Times New Roman" w:hAnsi="Times New Roman" w:cs="Times New Roman"/>
        </w:rPr>
        <w:t>$</w:t>
      </w:r>
      <w:r w:rsidR="008A35A7" w:rsidRPr="008A35A7">
        <w:rPr>
          <w:rFonts w:ascii="Times New Roman" w:hAnsi="Times New Roman" w:cs="Times New Roman"/>
        </w:rPr>
        <w:t>11</w:t>
      </w:r>
      <w:r w:rsidRPr="008A35A7">
        <w:rPr>
          <w:rFonts w:ascii="Times New Roman" w:hAnsi="Times New Roman" w:cs="Times New Roman"/>
        </w:rPr>
        <w:t>,</w:t>
      </w:r>
      <w:r w:rsidR="008A35A7" w:rsidRPr="008A35A7">
        <w:rPr>
          <w:rFonts w:ascii="Times New Roman" w:hAnsi="Times New Roman" w:cs="Times New Roman"/>
        </w:rPr>
        <w:t>133</w:t>
      </w:r>
      <w:r w:rsidR="00E273CB" w:rsidRPr="008A35A7">
        <w:rPr>
          <w:rFonts w:ascii="Times New Roman" w:hAnsi="Times New Roman" w:cs="Times New Roman"/>
        </w:rPr>
        <w:t>,</w:t>
      </w:r>
      <w:r w:rsidR="008A35A7">
        <w:rPr>
          <w:rFonts w:ascii="Times New Roman" w:hAnsi="Times New Roman" w:cs="Times New Roman"/>
        </w:rPr>
        <w:t>858</w:t>
      </w:r>
      <w:r w:rsidR="00200197">
        <w:rPr>
          <w:rFonts w:ascii="Times New Roman" w:hAnsi="Times New Roman" w:cs="Times New Roman"/>
        </w:rPr>
        <w:t xml:space="preserve"> (Washington allocation).  </w:t>
      </w:r>
    </w:p>
    <w:p w:rsidR="00BE21E7" w:rsidRPr="00BE21E7" w:rsidRDefault="000A2769" w:rsidP="00BE21E7">
      <w:pPr>
        <w:pStyle w:val="TestBody"/>
        <w:numPr>
          <w:ilvl w:val="0"/>
          <w:numId w:val="10"/>
        </w:numPr>
        <w:tabs>
          <w:tab w:val="clear" w:pos="720"/>
          <w:tab w:val="num" w:pos="0"/>
        </w:tabs>
        <w:spacing w:line="480" w:lineRule="auto"/>
        <w:ind w:left="0" w:firstLine="720"/>
        <w:rPr>
          <w:rFonts w:ascii="Times New Roman" w:hAnsi="Times New Roman" w:cs="Times New Roman"/>
          <w:b/>
          <w:bCs/>
        </w:rPr>
      </w:pPr>
      <w:r>
        <w:rPr>
          <w:rFonts w:ascii="Times New Roman" w:hAnsi="Times New Roman" w:cs="Times New Roman"/>
          <w:b/>
          <w:bCs/>
        </w:rPr>
        <w:t xml:space="preserve">Why is the </w:t>
      </w:r>
      <w:r w:rsidR="008A45E4">
        <w:rPr>
          <w:rFonts w:ascii="Times New Roman" w:hAnsi="Times New Roman" w:cs="Times New Roman"/>
          <w:b/>
          <w:bCs/>
        </w:rPr>
        <w:t>power supply expense for</w:t>
      </w:r>
      <w:r w:rsidR="00BE21E7" w:rsidRPr="00BE21E7">
        <w:rPr>
          <w:rFonts w:ascii="Times New Roman" w:hAnsi="Times New Roman" w:cs="Times New Roman"/>
          <w:b/>
          <w:bCs/>
        </w:rPr>
        <w:t xml:space="preserve"> the pro forma year </w:t>
      </w:r>
      <w:r w:rsidR="008A45E4">
        <w:rPr>
          <w:rFonts w:ascii="Times New Roman" w:hAnsi="Times New Roman" w:cs="Times New Roman"/>
          <w:b/>
          <w:bCs/>
        </w:rPr>
        <w:t>lower than</w:t>
      </w:r>
      <w:r>
        <w:rPr>
          <w:rFonts w:ascii="Times New Roman" w:hAnsi="Times New Roman" w:cs="Times New Roman"/>
          <w:b/>
          <w:bCs/>
        </w:rPr>
        <w:t xml:space="preserve"> </w:t>
      </w:r>
      <w:r w:rsidR="00BE21E7" w:rsidRPr="00BE21E7">
        <w:rPr>
          <w:rFonts w:ascii="Times New Roman" w:hAnsi="Times New Roman" w:cs="Times New Roman"/>
          <w:b/>
          <w:bCs/>
        </w:rPr>
        <w:t>the level of power supply expense currently in base rates?</w:t>
      </w:r>
    </w:p>
    <w:p w:rsidR="00BE21E7" w:rsidRPr="00BE21E7" w:rsidRDefault="008A35A7" w:rsidP="008A35A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de</w:t>
      </w:r>
      <w:r w:rsidR="00BE21E7" w:rsidRPr="00BE21E7">
        <w:rPr>
          <w:rFonts w:ascii="Times New Roman" w:hAnsi="Times New Roman" w:cs="Times New Roman"/>
        </w:rPr>
        <w:t xml:space="preserve">crease in pro forma power supply expense </w:t>
      </w:r>
      <w:r w:rsidR="000A2769">
        <w:rPr>
          <w:rFonts w:ascii="Times New Roman" w:hAnsi="Times New Roman" w:cs="Times New Roman"/>
        </w:rPr>
        <w:t>from</w:t>
      </w:r>
      <w:r w:rsidR="00BE21E7" w:rsidRPr="00BE21E7">
        <w:rPr>
          <w:rFonts w:ascii="Times New Roman" w:hAnsi="Times New Roman" w:cs="Times New Roman"/>
        </w:rPr>
        <w:t xml:space="preserve"> the expense currently in base rates is</w:t>
      </w:r>
      <w:r w:rsidR="001973DE">
        <w:rPr>
          <w:rFonts w:ascii="Times New Roman" w:hAnsi="Times New Roman" w:cs="Times New Roman"/>
        </w:rPr>
        <w:t xml:space="preserve"> primarily </w:t>
      </w:r>
      <w:r w:rsidR="00972518">
        <w:rPr>
          <w:rFonts w:ascii="Times New Roman" w:hAnsi="Times New Roman" w:cs="Times New Roman"/>
        </w:rPr>
        <w:t>a result of lower natural gas and power prices</w:t>
      </w:r>
      <w:r w:rsidR="00BE21E7" w:rsidRPr="00BE21E7">
        <w:rPr>
          <w:rFonts w:ascii="Times New Roman" w:hAnsi="Times New Roman" w:cs="Times New Roman"/>
        </w:rPr>
        <w:t>.</w:t>
      </w:r>
      <w:r w:rsidR="001973DE">
        <w:rPr>
          <w:rFonts w:ascii="Times New Roman" w:hAnsi="Times New Roman" w:cs="Times New Roman"/>
        </w:rPr>
        <w:t xml:space="preserve">  The natural gas price </w:t>
      </w:r>
      <w:r w:rsidR="008A45E4">
        <w:rPr>
          <w:rFonts w:ascii="Times New Roman" w:hAnsi="Times New Roman" w:cs="Times New Roman"/>
        </w:rPr>
        <w:t xml:space="preserve">included in the AURORA model </w:t>
      </w:r>
      <w:r w:rsidR="001973DE">
        <w:rPr>
          <w:rFonts w:ascii="Times New Roman" w:hAnsi="Times New Roman" w:cs="Times New Roman"/>
        </w:rPr>
        <w:t>has decreased from an annual average of $4.34/</w:t>
      </w:r>
      <w:proofErr w:type="spellStart"/>
      <w:r w:rsidR="001973DE">
        <w:rPr>
          <w:rFonts w:ascii="Times New Roman" w:hAnsi="Times New Roman" w:cs="Times New Roman"/>
        </w:rPr>
        <w:t>dth</w:t>
      </w:r>
      <w:proofErr w:type="spellEnd"/>
      <w:r w:rsidR="001973DE">
        <w:rPr>
          <w:rFonts w:ascii="Times New Roman" w:hAnsi="Times New Roman" w:cs="Times New Roman"/>
        </w:rPr>
        <w:t xml:space="preserve"> to 4.10/</w:t>
      </w:r>
      <w:proofErr w:type="spellStart"/>
      <w:r w:rsidR="001973DE">
        <w:rPr>
          <w:rFonts w:ascii="Times New Roman" w:hAnsi="Times New Roman" w:cs="Times New Roman"/>
        </w:rPr>
        <w:t>dth</w:t>
      </w:r>
      <w:proofErr w:type="spellEnd"/>
      <w:r w:rsidR="001973DE">
        <w:rPr>
          <w:rFonts w:ascii="Times New Roman" w:hAnsi="Times New Roman" w:cs="Times New Roman"/>
        </w:rPr>
        <w:t xml:space="preserve">.   The average modeled power purchase price has decreased from $35.87/MWh to </w:t>
      </w:r>
      <w:r w:rsidR="001973DE">
        <w:rPr>
          <w:rFonts w:ascii="Times New Roman" w:hAnsi="Times New Roman" w:cs="Times New Roman"/>
        </w:rPr>
        <w:lastRenderedPageBreak/>
        <w:t>$33.90/MWh</w:t>
      </w:r>
      <w:r w:rsidR="008A45E4">
        <w:rPr>
          <w:rStyle w:val="FootnoteReference"/>
          <w:rFonts w:ascii="Times New Roman" w:hAnsi="Times New Roman"/>
        </w:rPr>
        <w:footnoteReference w:id="2"/>
      </w:r>
      <w:r w:rsidR="001973DE">
        <w:rPr>
          <w:rFonts w:ascii="Times New Roman" w:hAnsi="Times New Roman" w:cs="Times New Roman"/>
        </w:rPr>
        <w:t xml:space="preserve">.  </w:t>
      </w:r>
      <w:r w:rsidR="00B527F3">
        <w:rPr>
          <w:rFonts w:ascii="Times New Roman" w:hAnsi="Times New Roman" w:cs="Times New Roman"/>
        </w:rPr>
        <w:t>Also contributing to lower power prices is less forward power purchases</w:t>
      </w:r>
      <w:r w:rsidR="005A6D43">
        <w:rPr>
          <w:rFonts w:ascii="Times New Roman" w:hAnsi="Times New Roman" w:cs="Times New Roman"/>
        </w:rPr>
        <w:t xml:space="preserve"> for 2013 compared to purchases</w:t>
      </w:r>
      <w:r w:rsidR="00B527F3">
        <w:rPr>
          <w:rFonts w:ascii="Times New Roman" w:hAnsi="Times New Roman" w:cs="Times New Roman"/>
        </w:rPr>
        <w:t xml:space="preserve"> for 2</w:t>
      </w:r>
      <w:r w:rsidR="007105B1">
        <w:rPr>
          <w:rFonts w:ascii="Times New Roman" w:hAnsi="Times New Roman" w:cs="Times New Roman"/>
        </w:rPr>
        <w:t>01</w:t>
      </w:r>
      <w:r w:rsidR="00B527F3">
        <w:rPr>
          <w:rFonts w:ascii="Times New Roman" w:hAnsi="Times New Roman" w:cs="Times New Roman"/>
        </w:rPr>
        <w:t>2 included in current base rat</w:t>
      </w:r>
      <w:r w:rsidR="007105B1">
        <w:rPr>
          <w:rFonts w:ascii="Times New Roman" w:hAnsi="Times New Roman" w:cs="Times New Roman"/>
        </w:rPr>
        <w:t>es.  Because energy</w:t>
      </w:r>
      <w:r w:rsidR="00B527F3">
        <w:rPr>
          <w:rFonts w:ascii="Times New Roman" w:hAnsi="Times New Roman" w:cs="Times New Roman"/>
        </w:rPr>
        <w:t xml:space="preserve"> prices have been </w:t>
      </w:r>
      <w:r w:rsidR="00E86EAC">
        <w:rPr>
          <w:rFonts w:ascii="Times New Roman" w:hAnsi="Times New Roman" w:cs="Times New Roman"/>
        </w:rPr>
        <w:t>on a downward traj</w:t>
      </w:r>
      <w:r w:rsidR="00B527F3">
        <w:rPr>
          <w:rFonts w:ascii="Times New Roman" w:hAnsi="Times New Roman" w:cs="Times New Roman"/>
        </w:rPr>
        <w:t xml:space="preserve">ectory for several years, the Company’s hedging program, which layers in power purchases </w:t>
      </w:r>
      <w:r w:rsidR="007105B1">
        <w:rPr>
          <w:rFonts w:ascii="Times New Roman" w:hAnsi="Times New Roman" w:cs="Times New Roman"/>
        </w:rPr>
        <w:t xml:space="preserve">and fuel purchases </w:t>
      </w:r>
      <w:r w:rsidR="00B527F3">
        <w:rPr>
          <w:rFonts w:ascii="Times New Roman" w:hAnsi="Times New Roman" w:cs="Times New Roman"/>
        </w:rPr>
        <w:t xml:space="preserve">over time, has purchased </w:t>
      </w:r>
      <w:r w:rsidR="007105B1">
        <w:rPr>
          <w:rFonts w:ascii="Times New Roman" w:hAnsi="Times New Roman" w:cs="Times New Roman"/>
        </w:rPr>
        <w:t>energy</w:t>
      </w:r>
      <w:r w:rsidR="00B527F3">
        <w:rPr>
          <w:rFonts w:ascii="Times New Roman" w:hAnsi="Times New Roman" w:cs="Times New Roman"/>
        </w:rPr>
        <w:t xml:space="preserve"> at </w:t>
      </w:r>
      <w:r w:rsidR="007105B1">
        <w:rPr>
          <w:rFonts w:ascii="Times New Roman" w:hAnsi="Times New Roman" w:cs="Times New Roman"/>
        </w:rPr>
        <w:t>prices</w:t>
      </w:r>
      <w:r w:rsidR="00B527F3">
        <w:rPr>
          <w:rFonts w:ascii="Times New Roman" w:hAnsi="Times New Roman" w:cs="Times New Roman"/>
        </w:rPr>
        <w:t xml:space="preserve"> greater than the subsequent spot market prices.  </w:t>
      </w:r>
      <w:r w:rsidR="00E86EAC">
        <w:rPr>
          <w:rFonts w:ascii="Times New Roman" w:hAnsi="Times New Roman" w:cs="Times New Roman"/>
        </w:rPr>
        <w:t>The 2013 pro forma</w:t>
      </w:r>
      <w:r w:rsidR="005A6D43">
        <w:rPr>
          <w:rFonts w:ascii="Times New Roman" w:hAnsi="Times New Roman" w:cs="Times New Roman"/>
        </w:rPr>
        <w:t>,</w:t>
      </w:r>
      <w:r w:rsidR="00E86EAC">
        <w:rPr>
          <w:rFonts w:ascii="Times New Roman" w:hAnsi="Times New Roman" w:cs="Times New Roman"/>
        </w:rPr>
        <w:t xml:space="preserve"> in this case</w:t>
      </w:r>
      <w:r w:rsidR="005A6D43">
        <w:rPr>
          <w:rFonts w:ascii="Times New Roman" w:hAnsi="Times New Roman" w:cs="Times New Roman"/>
        </w:rPr>
        <w:t>,</w:t>
      </w:r>
      <w:r w:rsidR="00E86EAC">
        <w:rPr>
          <w:rFonts w:ascii="Times New Roman" w:hAnsi="Times New Roman" w:cs="Times New Roman"/>
        </w:rPr>
        <w:t xml:space="preserve"> has a lower level </w:t>
      </w:r>
      <w:r w:rsidR="007105B1">
        <w:rPr>
          <w:rFonts w:ascii="Times New Roman" w:hAnsi="Times New Roman" w:cs="Times New Roman"/>
        </w:rPr>
        <w:t>of</w:t>
      </w:r>
      <w:r w:rsidR="00E86EAC">
        <w:rPr>
          <w:rFonts w:ascii="Times New Roman" w:hAnsi="Times New Roman" w:cs="Times New Roman"/>
        </w:rPr>
        <w:t xml:space="preserve"> </w:t>
      </w:r>
      <w:r w:rsidR="007105B1">
        <w:rPr>
          <w:rFonts w:ascii="Times New Roman" w:hAnsi="Times New Roman" w:cs="Times New Roman"/>
        </w:rPr>
        <w:t xml:space="preserve">net </w:t>
      </w:r>
      <w:r w:rsidR="00E86EAC">
        <w:rPr>
          <w:rFonts w:ascii="Times New Roman" w:hAnsi="Times New Roman" w:cs="Times New Roman"/>
        </w:rPr>
        <w:t>forward purchases than the 2012 pro forma and therefore there is a smaller impact from these forward purchase</w:t>
      </w:r>
      <w:r w:rsidR="00BC154E">
        <w:rPr>
          <w:rFonts w:ascii="Times New Roman" w:hAnsi="Times New Roman" w:cs="Times New Roman"/>
        </w:rPr>
        <w:t>s</w:t>
      </w:r>
      <w:r w:rsidR="00E86EAC">
        <w:rPr>
          <w:rFonts w:ascii="Times New Roman" w:hAnsi="Times New Roman" w:cs="Times New Roman"/>
        </w:rPr>
        <w:t xml:space="preserve"> in the 2013 pro forma.</w:t>
      </w:r>
    </w:p>
    <w:p w:rsidR="00AA2ED4" w:rsidRDefault="00FB6544" w:rsidP="00AA2ED4">
      <w:pPr>
        <w:pStyle w:val="BodyText"/>
        <w:spacing w:line="480" w:lineRule="auto"/>
        <w:ind w:firstLine="720"/>
        <w:jc w:val="both"/>
        <w:rPr>
          <w:b w:val="0"/>
        </w:rPr>
      </w:pPr>
      <w:r w:rsidRPr="00FB6544">
        <w:rPr>
          <w:b w:val="0"/>
        </w:rPr>
        <w:t>Pro forma loads</w:t>
      </w:r>
      <w:r w:rsidR="000A2769">
        <w:rPr>
          <w:b w:val="0"/>
        </w:rPr>
        <w:t xml:space="preserve"> (2011 weather adjusted load</w:t>
      </w:r>
      <w:r w:rsidR="007105B1">
        <w:rPr>
          <w:b w:val="0"/>
        </w:rPr>
        <w:t>s</w:t>
      </w:r>
      <w:r w:rsidR="000A2769">
        <w:rPr>
          <w:b w:val="0"/>
        </w:rPr>
        <w:t xml:space="preserve">) </w:t>
      </w:r>
      <w:r w:rsidRPr="00FB6544">
        <w:rPr>
          <w:b w:val="0"/>
        </w:rPr>
        <w:t xml:space="preserve">are </w:t>
      </w:r>
      <w:r w:rsidR="000A2769">
        <w:rPr>
          <w:b w:val="0"/>
        </w:rPr>
        <w:t>3.9</w:t>
      </w:r>
      <w:r w:rsidRPr="00FB6544">
        <w:rPr>
          <w:b w:val="0"/>
        </w:rPr>
        <w:t xml:space="preserve"> </w:t>
      </w:r>
      <w:r w:rsidR="00876319">
        <w:rPr>
          <w:b w:val="0"/>
        </w:rPr>
        <w:t>average megawatts (</w:t>
      </w:r>
      <w:r w:rsidRPr="00FB6544">
        <w:rPr>
          <w:b w:val="0"/>
        </w:rPr>
        <w:t>aMW</w:t>
      </w:r>
      <w:r w:rsidR="00876319">
        <w:rPr>
          <w:b w:val="0"/>
        </w:rPr>
        <w:t>)</w:t>
      </w:r>
      <w:r w:rsidRPr="00FB6544">
        <w:rPr>
          <w:b w:val="0"/>
        </w:rPr>
        <w:t xml:space="preserve"> </w:t>
      </w:r>
      <w:r w:rsidR="000A2769">
        <w:rPr>
          <w:b w:val="0"/>
        </w:rPr>
        <w:t>higher</w:t>
      </w:r>
      <w:r w:rsidRPr="00FB6544">
        <w:rPr>
          <w:b w:val="0"/>
        </w:rPr>
        <w:t xml:space="preserve"> than loads </w:t>
      </w:r>
      <w:proofErr w:type="gramStart"/>
      <w:r w:rsidRPr="00FB6544">
        <w:rPr>
          <w:b w:val="0"/>
        </w:rPr>
        <w:t>that current rates</w:t>
      </w:r>
      <w:proofErr w:type="gramEnd"/>
      <w:r w:rsidRPr="00FB6544">
        <w:rPr>
          <w:b w:val="0"/>
        </w:rPr>
        <w:t xml:space="preserve"> are </w:t>
      </w:r>
      <w:r w:rsidRPr="006D5BF7">
        <w:rPr>
          <w:b w:val="0"/>
        </w:rPr>
        <w:t>based</w:t>
      </w:r>
      <w:r w:rsidRPr="00FB6544">
        <w:rPr>
          <w:b w:val="0"/>
        </w:rPr>
        <w:t xml:space="preserve"> </w:t>
      </w:r>
      <w:r w:rsidR="007105B1">
        <w:rPr>
          <w:b w:val="0"/>
        </w:rPr>
        <w:t xml:space="preserve">on </w:t>
      </w:r>
      <w:r w:rsidR="000A2769">
        <w:rPr>
          <w:b w:val="0"/>
        </w:rPr>
        <w:t>(2010 weather adjusted load</w:t>
      </w:r>
      <w:r w:rsidR="007105B1">
        <w:rPr>
          <w:b w:val="0"/>
        </w:rPr>
        <w:t>s</w:t>
      </w:r>
      <w:r w:rsidR="000A2769">
        <w:rPr>
          <w:b w:val="0"/>
        </w:rPr>
        <w:t>).</w:t>
      </w:r>
    </w:p>
    <w:p w:rsidR="00945166" w:rsidRDefault="00A61E60" w:rsidP="00945166">
      <w:pPr>
        <w:pStyle w:val="BodyText"/>
        <w:spacing w:line="480" w:lineRule="auto"/>
        <w:ind w:firstLine="720"/>
        <w:jc w:val="both"/>
        <w:rPr>
          <w:b w:val="0"/>
        </w:rPr>
      </w:pPr>
      <w:r>
        <w:rPr>
          <w:b w:val="0"/>
        </w:rPr>
        <w:t xml:space="preserve">Other than the addition of the power purchase from the Palouse </w:t>
      </w:r>
      <w:r w:rsidR="007105B1">
        <w:rPr>
          <w:b w:val="0"/>
        </w:rPr>
        <w:t>W</w:t>
      </w:r>
      <w:r>
        <w:rPr>
          <w:b w:val="0"/>
        </w:rPr>
        <w:t xml:space="preserve">ind project and the Spokane Waste to Energy plant the contracts and resources in this </w:t>
      </w:r>
      <w:r w:rsidR="00822FCE">
        <w:rPr>
          <w:b w:val="0"/>
        </w:rPr>
        <w:t>pro forma</w:t>
      </w:r>
      <w:r>
        <w:rPr>
          <w:b w:val="0"/>
        </w:rPr>
        <w:t xml:space="preserve"> are the same as in current base rates.</w:t>
      </w:r>
    </w:p>
    <w:p w:rsidR="00E331D1" w:rsidRDefault="00E331D1" w:rsidP="00945166">
      <w:pPr>
        <w:pStyle w:val="BodyText"/>
        <w:spacing w:line="480" w:lineRule="auto"/>
        <w:ind w:firstLine="720"/>
        <w:jc w:val="both"/>
        <w:rPr>
          <w:b w:val="0"/>
        </w:rPr>
      </w:pPr>
    </w:p>
    <w:p w:rsidR="00BE21E7" w:rsidRPr="00945166" w:rsidRDefault="00BE21E7" w:rsidP="00945166">
      <w:pPr>
        <w:pStyle w:val="BodyText"/>
        <w:spacing w:line="480" w:lineRule="auto"/>
        <w:ind w:firstLine="720"/>
        <w:rPr>
          <w:bCs w:val="0"/>
          <w:u w:val="single"/>
        </w:rPr>
      </w:pPr>
      <w:r w:rsidRPr="00945166">
        <w:rPr>
          <w:bCs w:val="0"/>
          <w:u w:val="single"/>
        </w:rPr>
        <w:t>III.</w:t>
      </w:r>
      <w:r w:rsidRPr="00945166">
        <w:rPr>
          <w:bCs w:val="0"/>
          <w:u w:val="single"/>
        </w:rPr>
        <w:tab/>
        <w:t>PRO FORMA POWER SUPPLY ADJUSTMENTS</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Overview</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The AURORA Model</w:t>
      </w:r>
      <w:r w:rsidR="007A6DE3">
        <w:rPr>
          <w:rFonts w:ascii="Times New Roman" w:hAnsi="Times New Roman" w:cs="Times New Roman"/>
        </w:rPr>
        <w:t>, as explained by Mr. Kalich,</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00A55DD3">
        <w:rPr>
          <w:rFonts w:ascii="Times New Roman" w:hAnsi="Times New Roman" w:cs="Times New Roman"/>
          <w:b/>
        </w:rPr>
        <w:tab/>
      </w:r>
      <w:r w:rsidRPr="00BE21E7">
        <w:rPr>
          <w:rFonts w:ascii="Times New Roman" w:hAnsi="Times New Roman" w:cs="Times New Roman"/>
          <w:b/>
        </w:rPr>
        <w:t xml:space="preserve"> Are there any changes in how the pro forma in this case was develo</w:t>
      </w:r>
      <w:r w:rsidR="00A040D3">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No.  </w:t>
      </w:r>
      <w:r w:rsidR="008A35A7">
        <w:rPr>
          <w:rFonts w:ascii="Times New Roman" w:hAnsi="Times New Roman" w:cs="Times New Roman"/>
        </w:rPr>
        <w:t>T</w:t>
      </w:r>
      <w:r w:rsidRPr="00BE21E7">
        <w:rPr>
          <w:rFonts w:ascii="Times New Roman" w:hAnsi="Times New Roman" w:cs="Times New Roman"/>
        </w:rPr>
        <w:t>he process to develop the pro forma net power supply expense in th</w:t>
      </w:r>
      <w:r w:rsidR="00A040D3">
        <w:rPr>
          <w:rFonts w:ascii="Times New Roman" w:hAnsi="Times New Roman" w:cs="Times New Roman"/>
        </w:rPr>
        <w:t>is case is th</w:t>
      </w:r>
      <w:r w:rsidR="00E00851">
        <w:rPr>
          <w:rFonts w:ascii="Times New Roman" w:hAnsi="Times New Roman" w:cs="Times New Roman"/>
        </w:rPr>
        <w:t>e</w:t>
      </w:r>
      <w:r w:rsidR="00A040D3">
        <w:rPr>
          <w:rFonts w:ascii="Times New Roman" w:hAnsi="Times New Roman" w:cs="Times New Roman"/>
        </w:rPr>
        <w:t xml:space="preserve"> same as the process used to develop authorized power supply expense in current base rates</w:t>
      </w:r>
      <w:r w:rsidRPr="00BE21E7">
        <w:rPr>
          <w:rFonts w:ascii="Times New Roman" w:hAnsi="Times New Roman" w:cs="Times New Roman"/>
        </w:rPr>
        <w:t>.</w:t>
      </w:r>
      <w:r w:rsidR="0003296D">
        <w:rPr>
          <w:rFonts w:ascii="Times New Roman" w:hAnsi="Times New Roman" w:cs="Times New Roman"/>
        </w:rPr>
        <w:t xml:space="preserve">  </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w:t>
      </w:r>
      <w:proofErr w:type="gramStart"/>
      <w:r w:rsidR="00A55DD3">
        <w:rPr>
          <w:rFonts w:ascii="Times New Roman" w:hAnsi="Times New Roman" w:cs="Times New Roman"/>
        </w:rPr>
        <w:t>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w:t>
      </w:r>
      <w:proofErr w:type="gramEnd"/>
      <w:r w:rsidRPr="00BE21E7">
        <w:rPr>
          <w:rFonts w:ascii="Times New Roman" w:hAnsi="Times New Roman" w:cs="Times New Roman"/>
        </w:rPr>
        <w:t xml:space="preserve">  Detailed workpapers have been provided to the Commission coincident to this filing to support each of the pro forma revenues and expenses.  The detailed workpapers for each adjustment show the actual revenue or expense in the test period, and the pro forma revenue or expense.</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611611" w:rsidP="00611611">
      <w:pPr>
        <w:pStyle w:val="TestBody"/>
        <w:tabs>
          <w:tab w:val="num" w:pos="1530"/>
        </w:tabs>
        <w:spacing w:line="480" w:lineRule="auto"/>
        <w:ind w:firstLine="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BE21E7" w:rsidRPr="00BE21E7">
        <w:rPr>
          <w:rFonts w:ascii="Times New Roman" w:hAnsi="Times New Roman" w:cs="Times New Roman"/>
          <w:b/>
          <w:bCs/>
        </w:rPr>
        <w:t xml:space="preserve">How </w:t>
      </w:r>
      <w:proofErr w:type="gramStart"/>
      <w:r w:rsidR="00BE21E7" w:rsidRPr="00BE21E7">
        <w:rPr>
          <w:rFonts w:ascii="Times New Roman" w:hAnsi="Times New Roman" w:cs="Times New Roman"/>
          <w:b/>
          <w:bCs/>
        </w:rPr>
        <w:t>are</w:t>
      </w:r>
      <w:proofErr w:type="gramEnd"/>
      <w:r w:rsidR="00BE21E7" w:rsidRPr="00BE21E7">
        <w:rPr>
          <w:rFonts w:ascii="Times New Roman" w:hAnsi="Times New Roman" w:cs="Times New Roman"/>
          <w:b/>
          <w:bCs/>
        </w:rPr>
        <w:t xml:space="preserv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C86BD0" w:rsidRDefault="00BE21E7" w:rsidP="008A35A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This pro forma includes the </w:t>
      </w:r>
      <w:r w:rsidR="00B53214">
        <w:rPr>
          <w:rFonts w:ascii="Times New Roman" w:hAnsi="Times New Roman" w:cs="Times New Roman"/>
        </w:rPr>
        <w:t xml:space="preserve">expenses and </w:t>
      </w:r>
      <w:r w:rsidR="008F3931">
        <w:rPr>
          <w:rFonts w:ascii="Times New Roman" w:hAnsi="Times New Roman" w:cs="Times New Roman"/>
        </w:rPr>
        <w:t>generation</w:t>
      </w:r>
      <w:r w:rsidR="00B53214">
        <w:rPr>
          <w:rFonts w:ascii="Times New Roman" w:hAnsi="Times New Roman" w:cs="Times New Roman"/>
        </w:rPr>
        <w:t xml:space="preserve"> related to the</w:t>
      </w:r>
      <w:r w:rsidR="008F3931">
        <w:rPr>
          <w:rFonts w:ascii="Times New Roman" w:hAnsi="Times New Roman" w:cs="Times New Roman"/>
        </w:rPr>
        <w:t xml:space="preserve"> purchase </w:t>
      </w:r>
      <w:r w:rsidR="008A35A7">
        <w:rPr>
          <w:rFonts w:ascii="Times New Roman" w:hAnsi="Times New Roman" w:cs="Times New Roman"/>
        </w:rPr>
        <w:t xml:space="preserve">from the Palouse Wind </w:t>
      </w:r>
      <w:proofErr w:type="gramStart"/>
      <w:r w:rsidR="008A35A7">
        <w:rPr>
          <w:rFonts w:ascii="Times New Roman" w:hAnsi="Times New Roman" w:cs="Times New Roman"/>
        </w:rPr>
        <w:t>project,</w:t>
      </w:r>
      <w:proofErr w:type="gramEnd"/>
      <w:r w:rsidR="008A35A7">
        <w:rPr>
          <w:rFonts w:ascii="Times New Roman" w:hAnsi="Times New Roman" w:cs="Times New Roman"/>
        </w:rPr>
        <w:t xml:space="preserve"> a 105 MW</w:t>
      </w:r>
      <w:r w:rsidR="00A61E60">
        <w:rPr>
          <w:rFonts w:ascii="Times New Roman" w:hAnsi="Times New Roman" w:cs="Times New Roman"/>
        </w:rPr>
        <w:t xml:space="preserve"> </w:t>
      </w:r>
      <w:r w:rsidR="00822FCE">
        <w:rPr>
          <w:rFonts w:ascii="Times New Roman" w:hAnsi="Times New Roman" w:cs="Times New Roman"/>
        </w:rPr>
        <w:t>capacity (</w:t>
      </w:r>
      <w:r w:rsidR="00A61E60">
        <w:rPr>
          <w:rFonts w:ascii="Times New Roman" w:hAnsi="Times New Roman" w:cs="Times New Roman"/>
        </w:rPr>
        <w:t>39 aMW energy)</w:t>
      </w:r>
      <w:r w:rsidR="008A35A7">
        <w:rPr>
          <w:rFonts w:ascii="Times New Roman" w:hAnsi="Times New Roman" w:cs="Times New Roman"/>
        </w:rPr>
        <w:t xml:space="preserve"> win</w:t>
      </w:r>
      <w:r w:rsidR="00A61E60">
        <w:rPr>
          <w:rFonts w:ascii="Times New Roman" w:hAnsi="Times New Roman" w:cs="Times New Roman"/>
        </w:rPr>
        <w:t>d facility located</w:t>
      </w:r>
      <w:r w:rsidR="008A35A7">
        <w:rPr>
          <w:rFonts w:ascii="Times New Roman" w:hAnsi="Times New Roman" w:cs="Times New Roman"/>
        </w:rPr>
        <w:t xml:space="preserve"> 30 miles south of Spokane.  </w:t>
      </w:r>
      <w:r w:rsidR="00127C1C">
        <w:rPr>
          <w:rFonts w:ascii="Times New Roman" w:hAnsi="Times New Roman" w:cs="Times New Roman"/>
        </w:rPr>
        <w:t xml:space="preserve">Additional information regarding this purchase is contained in Mr. Lafferty’s testimony.  </w:t>
      </w:r>
      <w:r w:rsidR="008A35A7">
        <w:rPr>
          <w:rFonts w:ascii="Times New Roman" w:hAnsi="Times New Roman" w:cs="Times New Roman"/>
        </w:rPr>
        <w:t>The pro forma also includes a purch</w:t>
      </w:r>
      <w:r w:rsidR="00A61E60">
        <w:rPr>
          <w:rFonts w:ascii="Times New Roman" w:hAnsi="Times New Roman" w:cs="Times New Roman"/>
        </w:rPr>
        <w:t>a</w:t>
      </w:r>
      <w:r w:rsidR="008A35A7">
        <w:rPr>
          <w:rFonts w:ascii="Times New Roman" w:hAnsi="Times New Roman" w:cs="Times New Roman"/>
        </w:rPr>
        <w:t xml:space="preserve">se from the Spokane Waste-to-Energy plant located on the west side of Spokane.  The plant produces approximately 15 aMW of energy. </w:t>
      </w:r>
    </w:p>
    <w:p w:rsidR="00C86BD0" w:rsidRPr="00BE21E7" w:rsidRDefault="00611611" w:rsidP="00611611">
      <w:pPr>
        <w:pStyle w:val="TestBody"/>
        <w:spacing w:line="480" w:lineRule="auto"/>
        <w:ind w:firstLine="0"/>
        <w:rPr>
          <w:rFonts w:ascii="Times New Roman" w:hAnsi="Times New Roman" w:cs="Times New Roman"/>
          <w:b/>
        </w:rPr>
      </w:pPr>
      <w:r w:rsidRPr="00611611">
        <w:rPr>
          <w:rFonts w:ascii="Times New Roman" w:hAnsi="Times New Roman" w:cs="Times New Roman"/>
          <w:b/>
        </w:rPr>
        <w:t>Q.</w:t>
      </w:r>
      <w:r w:rsidRPr="00611611">
        <w:rPr>
          <w:rFonts w:ascii="Times New Roman" w:hAnsi="Times New Roman" w:cs="Times New Roman"/>
          <w:b/>
        </w:rPr>
        <w:tab/>
      </w:r>
      <w:r w:rsidR="00C86BD0">
        <w:rPr>
          <w:rFonts w:ascii="Times New Roman" w:hAnsi="Times New Roman" w:cs="Times New Roman"/>
          <w:b/>
        </w:rPr>
        <w:t xml:space="preserve">Why did the Company </w:t>
      </w:r>
      <w:proofErr w:type="gramStart"/>
      <w:r w:rsidR="00C86BD0">
        <w:rPr>
          <w:rFonts w:ascii="Times New Roman" w:hAnsi="Times New Roman" w:cs="Times New Roman"/>
          <w:b/>
        </w:rPr>
        <w:t>enter</w:t>
      </w:r>
      <w:proofErr w:type="gramEnd"/>
      <w:r w:rsidR="00C86BD0">
        <w:rPr>
          <w:rFonts w:ascii="Times New Roman" w:hAnsi="Times New Roman" w:cs="Times New Roman"/>
          <w:b/>
        </w:rPr>
        <w:t xml:space="preserve"> into a power purchase agreement with the City of Spokane’s Waste-to-Energy plant</w:t>
      </w:r>
      <w:r w:rsidR="00C86BD0" w:rsidRPr="00BE21E7">
        <w:rPr>
          <w:rFonts w:ascii="Times New Roman" w:hAnsi="Times New Roman" w:cs="Times New Roman"/>
          <w:b/>
        </w:rPr>
        <w:t>?</w:t>
      </w:r>
    </w:p>
    <w:p w:rsidR="0065453C" w:rsidRPr="00BE21E7" w:rsidRDefault="00C86BD0" w:rsidP="00C86BD0">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Pr>
          <w:rFonts w:ascii="Times New Roman" w:hAnsi="Times New Roman" w:cs="Times New Roman"/>
        </w:rPr>
        <w:t xml:space="preserve">The output from the Waste-to-Energy plant had been purchased by Puget Sound Energy for the past 20 years.  That contract with Puget expired December 31, 2012.  As a </w:t>
      </w:r>
      <w:proofErr w:type="spellStart"/>
      <w:r>
        <w:rPr>
          <w:rFonts w:ascii="Times New Roman" w:hAnsi="Times New Roman" w:cs="Times New Roman"/>
        </w:rPr>
        <w:t>Purpa</w:t>
      </w:r>
      <w:proofErr w:type="spellEnd"/>
      <w:r>
        <w:rPr>
          <w:rFonts w:ascii="Times New Roman" w:hAnsi="Times New Roman" w:cs="Times New Roman"/>
        </w:rPr>
        <w:t xml:space="preserve"> resource, Avista is required to purchase the output if the generator so requests, which they did.  The purchase price is at the avoided cost rates in Avista’s 2011 Integrated Resource Plan.</w:t>
      </w:r>
    </w:p>
    <w:p w:rsidR="00BE21E7" w:rsidRPr="00BE21E7" w:rsidRDefault="00611611" w:rsidP="00611611">
      <w:pPr>
        <w:pStyle w:val="TestBody"/>
        <w:spacing w:line="480" w:lineRule="auto"/>
        <w:ind w:firstLine="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r>
      <w:r w:rsidR="006A26AD">
        <w:rPr>
          <w:rFonts w:ascii="Times New Roman" w:hAnsi="Times New Roman" w:cs="Times New Roman"/>
          <w:b/>
        </w:rPr>
        <w:t xml:space="preserve">Are there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sidR="006652C4">
        <w:rPr>
          <w:rFonts w:ascii="Times New Roman" w:hAnsi="Times New Roman" w:cs="Times New Roman"/>
        </w:rPr>
        <w:t>No</w:t>
      </w:r>
      <w:r w:rsidRPr="00BE21E7">
        <w:rPr>
          <w:rFonts w:ascii="Times New Roman" w:hAnsi="Times New Roman" w:cs="Times New Roman"/>
        </w:rPr>
        <w:t xml:space="preserve">.  </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financial electric and </w:t>
      </w:r>
      <w:r w:rsidR="0075076D">
        <w:rPr>
          <w:rFonts w:ascii="Times New Roman" w:hAnsi="Times New Roman" w:cs="Times New Roman"/>
        </w:rPr>
        <w:t xml:space="preserve">all </w:t>
      </w:r>
      <w:r w:rsidR="00095636">
        <w:rPr>
          <w:rFonts w:ascii="Times New Roman" w:hAnsi="Times New Roman" w:cs="Times New Roman"/>
        </w:rPr>
        <w:t>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line item in the pro forma and are not included as inputs in the A</w:t>
      </w:r>
      <w:r w:rsidR="004C0725">
        <w:rPr>
          <w:rFonts w:ascii="Times New Roman" w:hAnsi="Times New Roman" w:cs="Times New Roman"/>
        </w:rPr>
        <w:t>U</w:t>
      </w:r>
      <w:r w:rsidR="00095636">
        <w:rPr>
          <w:rFonts w:ascii="Times New Roman" w:hAnsi="Times New Roman" w:cs="Times New Roman"/>
        </w:rPr>
        <w:t>RORA model.</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5A6D43">
        <w:rPr>
          <w:rFonts w:ascii="Times New Roman" w:hAnsi="Times New Roman" w:cs="Times New Roman"/>
        </w:rPr>
        <w:t>January 20, 2012</w:t>
      </w:r>
      <w:r w:rsidR="007C4511">
        <w:rPr>
          <w:rFonts w:ascii="Times New Roman" w:hAnsi="Times New Roman" w:cs="Times New Roman"/>
        </w:rPr>
        <w:t xml:space="preserve"> for the 201</w:t>
      </w:r>
      <w:r w:rsidR="005A6D43">
        <w:rPr>
          <w:rFonts w:ascii="Times New Roman" w:hAnsi="Times New Roman" w:cs="Times New Roman"/>
        </w:rPr>
        <w:t>3</w:t>
      </w:r>
      <w:r w:rsidR="007C4511">
        <w:rPr>
          <w:rFonts w:ascii="Times New Roman" w:hAnsi="Times New Roman" w:cs="Times New Roman"/>
        </w:rPr>
        <w:t xml:space="preserve"> pro forma period.  These transactions include </w:t>
      </w:r>
      <w:r w:rsidR="005A6D43">
        <w:rPr>
          <w:rFonts w:ascii="Times New Roman" w:hAnsi="Times New Roman" w:cs="Times New Roman"/>
        </w:rPr>
        <w:t>2</w:t>
      </w:r>
      <w:r w:rsidR="007C4511">
        <w:rPr>
          <w:rFonts w:ascii="Times New Roman" w:hAnsi="Times New Roman" w:cs="Times New Roman"/>
        </w:rPr>
        <w:t xml:space="preserve"> physical electric </w:t>
      </w:r>
      <w:r w:rsidR="00095636">
        <w:rPr>
          <w:rFonts w:ascii="Times New Roman" w:hAnsi="Times New Roman" w:cs="Times New Roman"/>
        </w:rPr>
        <w:t>transactions</w:t>
      </w:r>
      <w:r w:rsidR="007C4511">
        <w:rPr>
          <w:rFonts w:ascii="Times New Roman" w:hAnsi="Times New Roman" w:cs="Times New Roman"/>
        </w:rPr>
        <w:t xml:space="preserve">, </w:t>
      </w:r>
      <w:r w:rsidR="005A6D43">
        <w:rPr>
          <w:rFonts w:ascii="Times New Roman" w:hAnsi="Times New Roman" w:cs="Times New Roman"/>
        </w:rPr>
        <w:t>31</w:t>
      </w:r>
      <w:r w:rsidR="007C4511">
        <w:rPr>
          <w:rFonts w:ascii="Times New Roman" w:hAnsi="Times New Roman" w:cs="Times New Roman"/>
        </w:rPr>
        <w:t xml:space="preserve"> financial electric </w:t>
      </w:r>
      <w:r w:rsidR="00095636">
        <w:rPr>
          <w:rFonts w:ascii="Times New Roman" w:hAnsi="Times New Roman" w:cs="Times New Roman"/>
        </w:rPr>
        <w:t>transaction</w:t>
      </w:r>
      <w:r w:rsidR="0075076D">
        <w:rPr>
          <w:rFonts w:ascii="Times New Roman" w:hAnsi="Times New Roman" w:cs="Times New Roman"/>
        </w:rPr>
        <w:t>s</w:t>
      </w:r>
      <w:r w:rsidR="00095636">
        <w:rPr>
          <w:rFonts w:ascii="Times New Roman" w:hAnsi="Times New Roman" w:cs="Times New Roman"/>
        </w:rPr>
        <w:t xml:space="preserve">, </w:t>
      </w:r>
      <w:r w:rsidR="005A6D43">
        <w:rPr>
          <w:rFonts w:ascii="Times New Roman" w:hAnsi="Times New Roman" w:cs="Times New Roman"/>
        </w:rPr>
        <w:t>9</w:t>
      </w:r>
      <w:r w:rsidR="00095636">
        <w:rPr>
          <w:rFonts w:ascii="Times New Roman" w:hAnsi="Times New Roman" w:cs="Times New Roman"/>
        </w:rPr>
        <w:t xml:space="preserve"> physical natural gas transactions</w:t>
      </w:r>
      <w:r w:rsidR="007C4511">
        <w:rPr>
          <w:rFonts w:ascii="Times New Roman" w:hAnsi="Times New Roman" w:cs="Times New Roman"/>
        </w:rPr>
        <w:t xml:space="preserve"> and </w:t>
      </w:r>
      <w:r w:rsidR="005A6D43">
        <w:rPr>
          <w:rFonts w:ascii="Times New Roman" w:hAnsi="Times New Roman" w:cs="Times New Roman"/>
        </w:rPr>
        <w:t>33</w:t>
      </w:r>
      <w:r w:rsidR="007C4511">
        <w:rPr>
          <w:rFonts w:ascii="Times New Roman" w:hAnsi="Times New Roman" w:cs="Times New Roman"/>
        </w:rPr>
        <w:t xml:space="preserve"> </w:t>
      </w:r>
      <w:r w:rsidR="00095636">
        <w:rPr>
          <w:rFonts w:ascii="Times New Roman" w:hAnsi="Times New Roman" w:cs="Times New Roman"/>
        </w:rPr>
        <w:t>financial</w:t>
      </w:r>
      <w:r w:rsidR="007C4511">
        <w:rPr>
          <w:rFonts w:ascii="Times New Roman" w:hAnsi="Times New Roman" w:cs="Times New Roman"/>
        </w:rPr>
        <w:t xml:space="preserve"> natural gas </w:t>
      </w:r>
      <w:r w:rsidR="00095636">
        <w:rPr>
          <w:rFonts w:ascii="Times New Roman" w:hAnsi="Times New Roman" w:cs="Times New Roman"/>
        </w:rPr>
        <w:t>transactions</w:t>
      </w:r>
      <w:r w:rsidR="007C4511">
        <w:rPr>
          <w:rFonts w:ascii="Times New Roman" w:hAnsi="Times New Roman" w:cs="Times New Roman"/>
        </w:rPr>
        <w:t>.</w:t>
      </w:r>
      <w:r w:rsidR="00AA1E96">
        <w:rPr>
          <w:rFonts w:ascii="Times New Roman" w:hAnsi="Times New Roman" w:cs="Times New Roman"/>
        </w:rPr>
        <w:t xml:space="preserve">  The details of these transactions are provided in workpapers.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Thermal fuel expenses include Colstrip coal costs, </w:t>
      </w:r>
      <w:proofErr w:type="gramStart"/>
      <w:r w:rsidRPr="00BE21E7">
        <w:rPr>
          <w:rFonts w:ascii="Times New Roman" w:hAnsi="Times New Roman" w:cs="Times New Roman"/>
        </w:rPr>
        <w:t>Kettle Falls</w:t>
      </w:r>
      <w:proofErr w:type="gramEnd"/>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w:t>
      </w:r>
      <w:r w:rsidRPr="00BE21E7">
        <w:rPr>
          <w:rFonts w:ascii="Times New Roman" w:hAnsi="Times New Roman" w:cs="Times New Roman"/>
        </w:rPr>
        <w:lastRenderedPageBreak/>
        <w:t xml:space="preserve">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9C2006" w:rsidP="00BE21E7">
      <w:pPr>
        <w:pStyle w:val="TestBody"/>
        <w:numPr>
          <w:ilvl w:val="0"/>
          <w:numId w:val="6"/>
        </w:numPr>
        <w:tabs>
          <w:tab w:val="num" w:pos="1260"/>
        </w:tabs>
        <w:spacing w:line="480" w:lineRule="auto"/>
        <w:ind w:left="0" w:firstLine="720"/>
        <w:rPr>
          <w:rFonts w:ascii="Times New Roman" w:hAnsi="Times New Roman" w:cs="Times New Roman"/>
          <w:b/>
          <w:bCs/>
        </w:rPr>
      </w:pPr>
      <w:r>
        <w:rPr>
          <w:rFonts w:ascii="Times New Roman" w:hAnsi="Times New Roman" w:cs="Times New Roman"/>
          <w:b/>
          <w:bCs/>
        </w:rPr>
        <w:tab/>
      </w:r>
      <w:r w:rsidR="00BE21E7"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expense in current </w:t>
      </w:r>
      <w:r w:rsidR="00C026FD">
        <w:rPr>
          <w:rFonts w:ascii="Times New Roman" w:hAnsi="Times New Roman" w:cs="Times New Roman"/>
          <w:b/>
          <w:bCs/>
        </w:rPr>
        <w:t>base rates</w:t>
      </w:r>
      <w:r w:rsidR="00BE21E7" w:rsidRPr="00BE21E7">
        <w:rPr>
          <w:rFonts w:ascii="Times New Roman" w:hAnsi="Times New Roman" w:cs="Times New Roman"/>
          <w:b/>
          <w:bCs/>
        </w:rPr>
        <w:t>?</w:t>
      </w:r>
    </w:p>
    <w:p w:rsidR="00BE21E7" w:rsidRDefault="009C2006" w:rsidP="00BE21E7">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095636">
        <w:rPr>
          <w:rFonts w:ascii="Times New Roman" w:hAnsi="Times New Roman" w:cs="Times New Roman"/>
        </w:rPr>
        <w:t>only change in transmission expense is the elimination of the Black Cr</w:t>
      </w:r>
      <w:r w:rsidR="005A6D43">
        <w:rPr>
          <w:rFonts w:ascii="Times New Roman" w:hAnsi="Times New Roman" w:cs="Times New Roman"/>
        </w:rPr>
        <w:t>eek wheeling expense since the final deliveries under that contract ended in 2011</w:t>
      </w:r>
      <w:r w:rsidR="00BE21E7" w:rsidRPr="00BE21E7">
        <w:rPr>
          <w:rFonts w:ascii="Times New Roman" w:hAnsi="Times New Roman" w:cs="Times New Roman"/>
        </w:rPr>
        <w:t>.</w:t>
      </w:r>
      <w:r w:rsidR="005A6D43">
        <w:rPr>
          <w:rFonts w:ascii="Times New Roman" w:hAnsi="Times New Roman" w:cs="Times New Roman"/>
        </w:rPr>
        <w:t xml:space="preserve">  There are also some increases in all BPA transmission expenses beginning October, 1, 2013 based on BPA’s proposed rate increases.</w:t>
      </w: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 xml:space="preserve">Please summarize your proposed pro forma power supply </w:t>
      </w:r>
      <w:proofErr w:type="gramStart"/>
      <w:r>
        <w:rPr>
          <w:rFonts w:ascii="Times New Roman" w:hAnsi="Times New Roman" w:cs="Times New Roman"/>
          <w:b/>
          <w:bCs/>
        </w:rPr>
        <w:t>expense</w:t>
      </w:r>
      <w:r w:rsidR="00F54F39">
        <w:rPr>
          <w:rFonts w:ascii="Times New Roman" w:hAnsi="Times New Roman" w:cs="Times New Roman"/>
          <w:b/>
          <w:bCs/>
        </w:rPr>
        <w:t xml:space="preserve"> that are</w:t>
      </w:r>
      <w:proofErr w:type="gramEnd"/>
      <w:r w:rsidR="00F54F39">
        <w:rPr>
          <w:rFonts w:ascii="Times New Roman" w:hAnsi="Times New Roman" w:cs="Times New Roman"/>
          <w:b/>
          <w:bCs/>
        </w:rPr>
        <w:t xml:space="preserve"> provided to witness Andrews</w:t>
      </w:r>
      <w:r>
        <w:rPr>
          <w:rFonts w:ascii="Times New Roman" w:hAnsi="Times New Roman" w:cs="Times New Roman"/>
          <w:b/>
          <w:bCs/>
        </w:rPr>
        <w:t>.</w:t>
      </w:r>
    </w:p>
    <w:p w:rsidR="00904869" w:rsidRDefault="00904869" w:rsidP="00904869">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proposed pro forma power supply expense as shown in Exhibit No. __</w:t>
      </w:r>
      <w:proofErr w:type="gramStart"/>
      <w:r>
        <w:rPr>
          <w:rFonts w:ascii="Times New Roman" w:hAnsi="Times New Roman" w:cs="Times New Roman"/>
        </w:rPr>
        <w:t>_(</w:t>
      </w:r>
      <w:proofErr w:type="gramEnd"/>
      <w:r>
        <w:rPr>
          <w:rFonts w:ascii="Times New Roman" w:hAnsi="Times New Roman" w:cs="Times New Roman"/>
        </w:rPr>
        <w:t xml:space="preserve">WGJ-2) is a $7,045,000 reduction in expense on a system basis ($4,596,158 Washington allocation) from 2011 actual test-year expense and a $17,066,000 </w:t>
      </w:r>
      <w:r w:rsidR="00F54F39">
        <w:rPr>
          <w:rFonts w:ascii="Times New Roman" w:hAnsi="Times New Roman" w:cs="Times New Roman"/>
        </w:rPr>
        <w:t xml:space="preserve">(system)/$11,133,858 (Washington allocation) </w:t>
      </w:r>
      <w:r>
        <w:rPr>
          <w:rFonts w:ascii="Times New Roman" w:hAnsi="Times New Roman" w:cs="Times New Roman"/>
        </w:rPr>
        <w:t>reduction in expense</w:t>
      </w:r>
      <w:r w:rsidR="00F54F39">
        <w:rPr>
          <w:rFonts w:ascii="Times New Roman" w:hAnsi="Times New Roman" w:cs="Times New Roman"/>
        </w:rPr>
        <w:t xml:space="preserve"> from the power supply expense in current rates.  </w:t>
      </w:r>
    </w:p>
    <w:p w:rsidR="00E331D1" w:rsidRPr="00BE21E7" w:rsidRDefault="00E331D1" w:rsidP="00904869">
      <w:pPr>
        <w:pStyle w:val="TestBody"/>
        <w:spacing w:line="480" w:lineRule="auto"/>
        <w:ind w:left="0" w:firstLine="720"/>
        <w:rPr>
          <w:rFonts w:ascii="Times New Roman" w:hAnsi="Times New Roman" w:cs="Times New Roman"/>
        </w:rPr>
      </w:pPr>
    </w:p>
    <w:p w:rsidR="00212289" w:rsidRPr="00BE21E7" w:rsidRDefault="00212289" w:rsidP="00212289">
      <w:pPr>
        <w:pStyle w:val="TestBody"/>
        <w:tabs>
          <w:tab w:val="num" w:pos="0"/>
          <w:tab w:val="num" w:pos="720"/>
        </w:tabs>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IV.</w:t>
      </w:r>
      <w:r w:rsidRPr="00BE21E7">
        <w:rPr>
          <w:rFonts w:ascii="Times New Roman" w:hAnsi="Times New Roman" w:cs="Times New Roman"/>
          <w:b/>
          <w:bCs/>
          <w:u w:val="single"/>
        </w:rPr>
        <w:tab/>
      </w:r>
      <w:r>
        <w:rPr>
          <w:rFonts w:ascii="Times New Roman" w:hAnsi="Times New Roman" w:cs="Times New Roman"/>
          <w:b/>
          <w:bCs/>
          <w:u w:val="single"/>
        </w:rPr>
        <w:t>PROPOSED MODIFICATIONS TO THE ERM</w:t>
      </w:r>
    </w:p>
    <w:p w:rsidR="00212289" w:rsidRPr="00BE21E7" w:rsidRDefault="00212289" w:rsidP="00212289">
      <w:pPr>
        <w:pStyle w:val="BodyText"/>
        <w:numPr>
          <w:ilvl w:val="0"/>
          <w:numId w:val="7"/>
        </w:numPr>
        <w:tabs>
          <w:tab w:val="num" w:pos="0"/>
        </w:tabs>
        <w:spacing w:line="480" w:lineRule="auto"/>
        <w:ind w:left="0" w:firstLine="720"/>
        <w:jc w:val="both"/>
      </w:pPr>
      <w:r>
        <w:lastRenderedPageBreak/>
        <w:t xml:space="preserve">Would you please identify the Order that authorizes the review of the ERM, and allows </w:t>
      </w:r>
      <w:r w:rsidRPr="00BE21E7">
        <w:t xml:space="preserve">the Company </w:t>
      </w:r>
      <w:r>
        <w:t>and other parties to propose modifications to</w:t>
      </w:r>
      <w:r w:rsidRPr="00BE21E7">
        <w:t xml:space="preserve"> the ERM?</w:t>
      </w:r>
    </w:p>
    <w:p w:rsidR="00212289" w:rsidRDefault="00212289" w:rsidP="00212289">
      <w:pPr>
        <w:pStyle w:val="BodyText"/>
        <w:tabs>
          <w:tab w:val="num" w:pos="0"/>
          <w:tab w:val="left" w:pos="810"/>
        </w:tabs>
        <w:spacing w:line="480" w:lineRule="auto"/>
        <w:ind w:firstLine="720"/>
        <w:jc w:val="both"/>
        <w:rPr>
          <w:b w:val="0"/>
          <w:bCs w:val="0"/>
        </w:rPr>
      </w:pPr>
      <w:r w:rsidRPr="00BE21E7">
        <w:rPr>
          <w:b w:val="0"/>
          <w:bCs w:val="0"/>
        </w:rPr>
        <w:t>A.</w:t>
      </w:r>
      <w:r w:rsidRPr="00BE21E7">
        <w:tab/>
      </w:r>
      <w:r>
        <w:rPr>
          <w:b w:val="0"/>
          <w:bCs w:val="0"/>
        </w:rPr>
        <w:t xml:space="preserve">Yes.  </w:t>
      </w:r>
      <w:proofErr w:type="gramStart"/>
      <w:r>
        <w:rPr>
          <w:b w:val="0"/>
          <w:bCs w:val="0"/>
        </w:rPr>
        <w:t>Order 03 in Docket No.</w:t>
      </w:r>
      <w:proofErr w:type="gramEnd"/>
      <w:r>
        <w:rPr>
          <w:b w:val="0"/>
          <w:bCs w:val="0"/>
        </w:rPr>
        <w:t xml:space="preserve"> UE-060181 dated June 16, 2006, approved the Settlement Agreement in that case.  Paragraph (H) of the Settlement Agreement provides that “Avista will initiate a filing not sooner than five (5) years from the date this Settlement is approved, to allow all interested parties the opportunity to review the ERM, and make recommendations to the Commission related to the continuation, modification or elimination of the mechanism.”</w:t>
      </w:r>
    </w:p>
    <w:p w:rsidR="00212289" w:rsidRPr="00243D57" w:rsidRDefault="00212289" w:rsidP="00212289">
      <w:pPr>
        <w:pStyle w:val="BodyText"/>
        <w:tabs>
          <w:tab w:val="num" w:pos="0"/>
          <w:tab w:val="left" w:pos="810"/>
        </w:tabs>
        <w:spacing w:line="480" w:lineRule="auto"/>
        <w:ind w:firstLine="720"/>
        <w:jc w:val="both"/>
        <w:rPr>
          <w:bCs w:val="0"/>
        </w:rPr>
      </w:pPr>
      <w:proofErr w:type="gramStart"/>
      <w:r w:rsidRPr="00243D57">
        <w:rPr>
          <w:bCs w:val="0"/>
        </w:rPr>
        <w:t>Q.</w:t>
      </w:r>
      <w:r w:rsidRPr="00243D57">
        <w:rPr>
          <w:bCs w:val="0"/>
        </w:rPr>
        <w:tab/>
        <w:t>What are the Company’s recommendations regarding the ERM?</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recommends continuation of the ERM, and proposes modifications to 1) the deadband and sharing bands, 2) the way the retail revenue credit is calculated, and 3) the way rate adjustments are triggered and structured.</w:t>
      </w:r>
    </w:p>
    <w:p w:rsidR="00212289" w:rsidRPr="00FF4C1C" w:rsidRDefault="00212289" w:rsidP="008527AD">
      <w:pPr>
        <w:pStyle w:val="BodyText"/>
        <w:tabs>
          <w:tab w:val="num" w:pos="0"/>
          <w:tab w:val="left" w:pos="810"/>
        </w:tabs>
        <w:spacing w:line="480" w:lineRule="auto"/>
        <w:jc w:val="both"/>
        <w:rPr>
          <w:bCs w:val="0"/>
          <w:u w:val="single"/>
        </w:rPr>
      </w:pPr>
      <w:r w:rsidRPr="00FF4C1C">
        <w:rPr>
          <w:bCs w:val="0"/>
          <w:u w:val="single"/>
        </w:rPr>
        <w:t>Continuation of the ERM</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Pr>
          <w:bCs w:val="0"/>
        </w:rPr>
        <w:t>What is the ERM designed to do, and why should it be continued?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Actual net power supply costs will vary from the level of costs reflected in base retail rates.  Avista’s ERM is designed to defer, for future recovery or rebate, variations in revenues and costs associated</w:t>
      </w:r>
      <w:r w:rsidR="005F5256">
        <w:rPr>
          <w:b w:val="0"/>
          <w:bCs w:val="0"/>
        </w:rPr>
        <w:t xml:space="preserve"> primarily</w:t>
      </w:r>
      <w:r>
        <w:rPr>
          <w:b w:val="0"/>
          <w:bCs w:val="0"/>
        </w:rPr>
        <w:t xml:space="preserve"> with hydroelectric generation, wholesale elect</w:t>
      </w:r>
      <w:r w:rsidR="005F5256">
        <w:rPr>
          <w:b w:val="0"/>
          <w:bCs w:val="0"/>
        </w:rPr>
        <w:t xml:space="preserve">ric prices, thermal fuel costs and </w:t>
      </w:r>
      <w:r>
        <w:rPr>
          <w:b w:val="0"/>
          <w:bCs w:val="0"/>
        </w:rPr>
        <w:t>changes in power contract revenues and expenses.  The ERM is designed to both recover increased net power s</w:t>
      </w:r>
      <w:r w:rsidR="00876319">
        <w:rPr>
          <w:b w:val="0"/>
          <w:bCs w:val="0"/>
        </w:rPr>
        <w:t xml:space="preserve">upply costs, as well as to pass </w:t>
      </w:r>
      <w:r>
        <w:rPr>
          <w:b w:val="0"/>
          <w:bCs w:val="0"/>
        </w:rPr>
        <w:t>through reductions in costs from those embedded in base retail rates.  The ERM helps to stabilize the Company’s earnings, as well as cash flows, and provides benefits to customers in the form of lower financin</w:t>
      </w:r>
      <w:r w:rsidR="00876319">
        <w:rPr>
          <w:b w:val="0"/>
          <w:bCs w:val="0"/>
        </w:rPr>
        <w:t xml:space="preserve">g costs that the utility incurs as well as providing the opportunity for </w:t>
      </w:r>
      <w:r w:rsidR="00876319">
        <w:rPr>
          <w:b w:val="0"/>
          <w:bCs w:val="0"/>
        </w:rPr>
        <w:lastRenderedPageBreak/>
        <w:t xml:space="preserve">rebates to </w:t>
      </w:r>
      <w:proofErr w:type="gramStart"/>
      <w:r w:rsidR="00876319">
        <w:rPr>
          <w:b w:val="0"/>
          <w:bCs w:val="0"/>
        </w:rPr>
        <w:t>customers</w:t>
      </w:r>
      <w:r>
        <w:rPr>
          <w:b w:val="0"/>
          <w:bCs w:val="0"/>
        </w:rPr>
        <w:t xml:space="preserve"> </w:t>
      </w:r>
      <w:r w:rsidR="00876319">
        <w:rPr>
          <w:b w:val="0"/>
          <w:bCs w:val="0"/>
        </w:rPr>
        <w:t xml:space="preserve"> when</w:t>
      </w:r>
      <w:proofErr w:type="gramEnd"/>
      <w:r w:rsidR="00876319">
        <w:rPr>
          <w:b w:val="0"/>
          <w:bCs w:val="0"/>
        </w:rPr>
        <w:t xml:space="preserve"> power supply costs are lower than those included in retail rates. </w:t>
      </w:r>
      <w:r>
        <w:rPr>
          <w:b w:val="0"/>
          <w:bCs w:val="0"/>
        </w:rPr>
        <w:t xml:space="preserve"> The ERM also results in retail rates to customers over time that more closely reflect the actual power supply costs to serve customers.  Customers will experience ERM surcharges, but will also experience rebates when actual power supply costs are lower than those embedded in base retail rates.</w:t>
      </w:r>
    </w:p>
    <w:p w:rsidR="00212289" w:rsidRDefault="00212289" w:rsidP="00212289">
      <w:pPr>
        <w:pStyle w:val="BodyText"/>
        <w:tabs>
          <w:tab w:val="num" w:pos="0"/>
          <w:tab w:val="left" w:pos="810"/>
        </w:tabs>
        <w:spacing w:line="480" w:lineRule="auto"/>
        <w:ind w:firstLine="720"/>
        <w:jc w:val="both"/>
        <w:rPr>
          <w:b w:val="0"/>
          <w:bCs w:val="0"/>
        </w:rPr>
      </w:pPr>
      <w:r>
        <w:rPr>
          <w:b w:val="0"/>
          <w:bCs w:val="0"/>
        </w:rPr>
        <w:t>The variability in net power supply costs can be quite substantial and the Company’s increased reliance on natural gas-fired generation has added to the variability.  However, in cases when market prices are above the cost of gas generation, and the Company does not need the gas-fired generation to serve its retail load, the generation can be sold on the secondary market at a profit, with that profit being reflected in the ERM and passed on to customers.  Further, when market prices are above the cost of gas-fired generation, and the Company needs the gas generation or secondary purchases to serve its retail load, there is a savings from serving the load from gas generation that is reflected in the ERM.  In certain circumstances</w:t>
      </w:r>
      <w:r w:rsidR="00876319">
        <w:rPr>
          <w:b w:val="0"/>
          <w:bCs w:val="0"/>
        </w:rPr>
        <w:t>,</w:t>
      </w:r>
      <w:r>
        <w:rPr>
          <w:b w:val="0"/>
          <w:bCs w:val="0"/>
        </w:rPr>
        <w:t xml:space="preserve"> forward purchases of natural gas may later be sold at a loss when 1) power is needed to serve retail load and the wholesale electric prices are such that it is cheaper to purchase the power and sell the gas, rather than to use the gas for generation, or 2) power is not needed to serve retail load, and the loss on the sale of the gas is less than the loss associated with using the gas to fuel generation that is sold in the wholesale market.</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To illustrate the issue of variability, as an example, with wholesale electric prices averaging approximately $40/MWH, only a 10% reduction in Avista’s hydro generation would reduce the Company’s Washington electric pre-tax operating results by approximately $12.3 million (hydroelectric generation of 538 </w:t>
      </w:r>
      <w:r w:rsidR="00876319">
        <w:rPr>
          <w:b w:val="0"/>
          <w:bCs w:val="0"/>
        </w:rPr>
        <w:t>a</w:t>
      </w:r>
      <w:r>
        <w:rPr>
          <w:b w:val="0"/>
          <w:bCs w:val="0"/>
        </w:rPr>
        <w:t>MW x 10% x 8760 hours x $40/MWH x the 65% WA jurisdictional share = $12.3 M).</w:t>
      </w:r>
    </w:p>
    <w:p w:rsidR="00212289" w:rsidRPr="00547BE8" w:rsidRDefault="00212289" w:rsidP="00212289">
      <w:pPr>
        <w:pStyle w:val="BodyText"/>
        <w:tabs>
          <w:tab w:val="num" w:pos="0"/>
          <w:tab w:val="left" w:pos="810"/>
        </w:tabs>
        <w:spacing w:line="480" w:lineRule="auto"/>
        <w:ind w:firstLine="720"/>
        <w:jc w:val="both"/>
        <w:rPr>
          <w:b w:val="0"/>
          <w:bCs w:val="0"/>
        </w:rPr>
      </w:pPr>
      <w:r>
        <w:rPr>
          <w:b w:val="0"/>
          <w:bCs w:val="0"/>
        </w:rPr>
        <w:lastRenderedPageBreak/>
        <w:t>Avista believes the ERM needs to be continued to provide for the recovery or rebate of power supply related costs, and</w:t>
      </w:r>
      <w:r w:rsidR="00876319">
        <w:rPr>
          <w:b w:val="0"/>
          <w:bCs w:val="0"/>
        </w:rPr>
        <w:t xml:space="preserve"> so that it will continue to provide benefits to both customers and shareholders</w:t>
      </w:r>
      <w:r>
        <w:rPr>
          <w:b w:val="0"/>
          <w:bCs w:val="0"/>
        </w:rPr>
        <w:t>.</w:t>
      </w:r>
    </w:p>
    <w:p w:rsidR="00212289" w:rsidRPr="00F774EE" w:rsidRDefault="00212289" w:rsidP="008527AD">
      <w:pPr>
        <w:pStyle w:val="BodyText"/>
        <w:tabs>
          <w:tab w:val="num" w:pos="0"/>
          <w:tab w:val="left" w:pos="810"/>
        </w:tabs>
        <w:spacing w:line="480" w:lineRule="auto"/>
        <w:jc w:val="both"/>
        <w:rPr>
          <w:bCs w:val="0"/>
          <w:u w:val="single"/>
        </w:rPr>
      </w:pPr>
      <w:r w:rsidRPr="00F774EE">
        <w:rPr>
          <w:bCs w:val="0"/>
          <w:u w:val="single"/>
        </w:rPr>
        <w:t>Deadband and Sharing Bands</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Pr>
          <w:bCs w:val="0"/>
        </w:rPr>
        <w:t>Would you please describe the existing ERM deadband and sharing bands, and when they were approved?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Yes.  On an annual (calendar-year) basis the Company absorbs the first $4 million of the difference between certain actual and authorized power supply related costs, either in the surcharge or rebate direction.  This is referred to as the “deadband,” since no costs are deferred until this band is exceeded.  When actual costs exceed authorized costs by more than $4 million (surcharge direction), 50% of the next $6 million of difference in costs is absorbed by the Company, and 50% is deferred for future recovery from customers.  When actual costs are less than authorized costs (rebate direction), 25% of the next $6 million of difference above the $4 million deadband is absorbed by the Company, and 75% is deferred for rebate to customers.  If the difference in costs exceeds $10 million, either in the surcharge or rebate direction, 10% of the amount above $10 million is absorbed by the Company, and 90% is deferred.</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In Order 03 in Docket UE-060181, dated June 16, 2006, the Commission approved the $4 million deadband, a 50/50 sharing of the next $6 million in either the rebate or surcharge direction, and a 90/10 sharing beyond the $10 million threshold.  In Order 08 in Docket UE-080416, dated December 29, 2008, the Commission approved a </w:t>
      </w:r>
      <w:r w:rsidR="00743E18">
        <w:rPr>
          <w:b w:val="0"/>
          <w:bCs w:val="0"/>
        </w:rPr>
        <w:t xml:space="preserve">settlement agreement that included a </w:t>
      </w:r>
      <w:r>
        <w:rPr>
          <w:b w:val="0"/>
          <w:bCs w:val="0"/>
        </w:rPr>
        <w:t xml:space="preserve">modification to the sharing level in the second ERM band ($4 </w:t>
      </w:r>
      <w:r>
        <w:rPr>
          <w:b w:val="0"/>
          <w:bCs w:val="0"/>
        </w:rPr>
        <w:lastRenderedPageBreak/>
        <w:t>million to $10 million) to 75% customer/25% Company when the cost difference is in the rebate direction.</w:t>
      </w:r>
    </w:p>
    <w:p w:rsidR="00212289" w:rsidRPr="00E33277" w:rsidRDefault="00212289" w:rsidP="00212289">
      <w:pPr>
        <w:pStyle w:val="BodyText"/>
        <w:tabs>
          <w:tab w:val="num" w:pos="0"/>
          <w:tab w:val="left" w:pos="810"/>
        </w:tabs>
        <w:spacing w:line="480" w:lineRule="auto"/>
        <w:ind w:firstLine="720"/>
        <w:jc w:val="both"/>
        <w:rPr>
          <w:bCs w:val="0"/>
        </w:rPr>
      </w:pPr>
      <w:proofErr w:type="gramStart"/>
      <w:r w:rsidRPr="00E33277">
        <w:rPr>
          <w:bCs w:val="0"/>
        </w:rPr>
        <w:t>Q.</w:t>
      </w:r>
      <w:r w:rsidRPr="00E33277">
        <w:rPr>
          <w:bCs w:val="0"/>
        </w:rPr>
        <w:tab/>
      </w:r>
      <w:r>
        <w:rPr>
          <w:bCs w:val="0"/>
        </w:rPr>
        <w:t>What is the Company’s proposal to modify the deadband and sharing bands?</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proposes to eliminate the $4 million deadband, eliminate the $4 million to $10 million sharing bands, and go strictly to a 90% customer/10% Company sharing level that would be applied to the entire difference between actual and authorized power supply related costs that are included in the ERM.</w:t>
      </w:r>
    </w:p>
    <w:p w:rsidR="00212289" w:rsidRPr="00C37D0F" w:rsidRDefault="00212289" w:rsidP="00212289">
      <w:pPr>
        <w:pStyle w:val="BodyText"/>
        <w:tabs>
          <w:tab w:val="num" w:pos="0"/>
          <w:tab w:val="left" w:pos="810"/>
        </w:tabs>
        <w:spacing w:line="480" w:lineRule="auto"/>
        <w:ind w:firstLine="720"/>
        <w:jc w:val="both"/>
        <w:rPr>
          <w:bCs w:val="0"/>
        </w:rPr>
      </w:pPr>
      <w:proofErr w:type="gramStart"/>
      <w:r w:rsidRPr="00C37D0F">
        <w:rPr>
          <w:bCs w:val="0"/>
        </w:rPr>
        <w:t>Q.</w:t>
      </w:r>
      <w:r w:rsidRPr="00C37D0F">
        <w:rPr>
          <w:bCs w:val="0"/>
        </w:rPr>
        <w:tab/>
        <w:t>Why is the Company propos</w:t>
      </w:r>
      <w:r>
        <w:rPr>
          <w:bCs w:val="0"/>
        </w:rPr>
        <w:t>ing</w:t>
      </w:r>
      <w:r w:rsidRPr="00C37D0F">
        <w:rPr>
          <w:bCs w:val="0"/>
        </w:rPr>
        <w:t xml:space="preserve"> to eliminate the $4 million deadband, and the $4 million to $10 million sharing band?</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In theory, the deadband and the sharing band are intended to motivate the Company to manage its power supply costs by making sure it has some “skin in the game.”  The reality is that the outcome is driven almost entirely by factors beyond the Company’s control.</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The primary drivers of changes in power supply expense are stream flow conditions, natural gas prices, market power prices, forced outages, and retail load variations.  The Company does not </w:t>
      </w:r>
      <w:r w:rsidR="00743E18">
        <w:rPr>
          <w:b w:val="0"/>
          <w:bCs w:val="0"/>
        </w:rPr>
        <w:t xml:space="preserve">have direct </w:t>
      </w:r>
      <w:r>
        <w:rPr>
          <w:b w:val="0"/>
          <w:bCs w:val="0"/>
        </w:rPr>
        <w:t xml:space="preserve">control </w:t>
      </w:r>
      <w:r w:rsidR="00743E18">
        <w:rPr>
          <w:b w:val="0"/>
          <w:bCs w:val="0"/>
        </w:rPr>
        <w:t xml:space="preserve">of </w:t>
      </w:r>
      <w:r>
        <w:rPr>
          <w:b w:val="0"/>
          <w:bCs w:val="0"/>
        </w:rPr>
        <w:t>any of these factors.  So the amount Company absorbs with the dead band and sharing band ultimately results in a random variation that the Company cannot control.  The incurrence of power costs to serve electric customers is similar to the Company’s purchase of natural gas for distribution to its natural gas customers.  The Company’s Purchased Gas Adjustment (PGA) mechanism provides for the recovery of 100% of the variation in purchased gas costs.  The PGA has no deadband or sharing bands.</w:t>
      </w:r>
    </w:p>
    <w:p w:rsidR="00212289" w:rsidRDefault="00212289" w:rsidP="00212289">
      <w:pPr>
        <w:pStyle w:val="BodyText"/>
        <w:tabs>
          <w:tab w:val="num" w:pos="0"/>
          <w:tab w:val="left" w:pos="810"/>
        </w:tabs>
        <w:spacing w:line="480" w:lineRule="auto"/>
        <w:ind w:firstLine="720"/>
        <w:jc w:val="both"/>
        <w:rPr>
          <w:bCs w:val="0"/>
        </w:rPr>
      </w:pPr>
      <w:r>
        <w:rPr>
          <w:bCs w:val="0"/>
        </w:rPr>
        <w:lastRenderedPageBreak/>
        <w:t>Q.</w:t>
      </w:r>
      <w:r>
        <w:rPr>
          <w:bCs w:val="0"/>
        </w:rPr>
        <w:tab/>
        <w:t xml:space="preserve">How do financial rating agencies view the ERM, and the $4 million deadband and </w:t>
      </w:r>
      <w:r w:rsidRPr="00C37D0F">
        <w:rPr>
          <w:bCs w:val="0"/>
        </w:rPr>
        <w:t>$4 million to $10 million sharing band</w:t>
      </w:r>
      <w:r>
        <w:rPr>
          <w:bCs w:val="0"/>
        </w:rPr>
        <w:t xml:space="preserve">s that the Company is proposing </w:t>
      </w:r>
      <w:proofErr w:type="gramStart"/>
      <w:r>
        <w:rPr>
          <w:bCs w:val="0"/>
        </w:rPr>
        <w:t>be</w:t>
      </w:r>
      <w:proofErr w:type="gramEnd"/>
      <w:r>
        <w:rPr>
          <w:bCs w:val="0"/>
        </w:rPr>
        <w:t xml:space="preserve"> eliminated?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Generally, the ERM is viewed positively by the rating agencies, while the deadband and first sharing bands are not.  Moody’s credit opinion of Avista dated March 17, 2011, states:</w:t>
      </w:r>
    </w:p>
    <w:p w:rsidR="00212289" w:rsidRDefault="00212289" w:rsidP="00212289">
      <w:pPr>
        <w:pStyle w:val="BodyText"/>
        <w:tabs>
          <w:tab w:val="left" w:pos="810"/>
        </w:tabs>
        <w:spacing w:after="240" w:line="240" w:lineRule="auto"/>
        <w:ind w:left="1080" w:right="720"/>
        <w:jc w:val="both"/>
        <w:rPr>
          <w:b w:val="0"/>
          <w:bCs w:val="0"/>
        </w:rPr>
      </w:pPr>
      <w:r>
        <w:rPr>
          <w:b w:val="0"/>
          <w:bCs w:val="0"/>
        </w:rPr>
        <w:t>“In addition to the rate approvals in Washington, Idaho and Oregon, each commission allows for cost recovery mechanisms that factor significantly into Moody’s credit assessment.  As the inherent volatility of commodity costs comprises one of the most significant risk factors to the industry, Moody’s views the existence of commodity cost recovery mechanisms as a significant credit benefit.”</w:t>
      </w:r>
    </w:p>
    <w:p w:rsidR="00212289" w:rsidRDefault="00212289" w:rsidP="00212289">
      <w:pPr>
        <w:pStyle w:val="BodyText"/>
        <w:tabs>
          <w:tab w:val="num" w:pos="0"/>
          <w:tab w:val="left" w:pos="810"/>
        </w:tabs>
        <w:spacing w:line="480" w:lineRule="auto"/>
        <w:ind w:firstLine="720"/>
        <w:jc w:val="both"/>
        <w:rPr>
          <w:b w:val="0"/>
          <w:bCs w:val="0"/>
        </w:rPr>
      </w:pPr>
      <w:r>
        <w:rPr>
          <w:b w:val="0"/>
          <w:bCs w:val="0"/>
        </w:rPr>
        <w:t>Standard &amp; Poor’s rating of Avista dated January 26, 2012, states:</w:t>
      </w:r>
    </w:p>
    <w:p w:rsidR="00212289" w:rsidRDefault="00212289" w:rsidP="00212289">
      <w:pPr>
        <w:pStyle w:val="BodyText"/>
        <w:tabs>
          <w:tab w:val="left" w:pos="810"/>
        </w:tabs>
        <w:spacing w:after="240" w:line="240" w:lineRule="auto"/>
        <w:ind w:left="1080" w:right="720"/>
        <w:jc w:val="both"/>
        <w:rPr>
          <w:b w:val="0"/>
          <w:bCs w:val="0"/>
        </w:rPr>
      </w:pPr>
      <w:r>
        <w:rPr>
          <w:b w:val="0"/>
          <w:bCs w:val="0"/>
        </w:rPr>
        <w:t xml:space="preserve">“The company also has flexibility in implementing rate changes through its energy recovery mechanism in Washington and the power cost adjustment in Idaho, but the recovery of excess power costs in Washington is not complete due to minimum thresholds and progressive and asymmetrical deferral bands.  Each year, uncollected costs are subject to defined sharing bands, which allow the company to potentially defer certain portions for collection from customers.  </w:t>
      </w:r>
      <w:r w:rsidRPr="00F422D1">
        <w:rPr>
          <w:b w:val="0"/>
          <w:bCs w:val="0"/>
          <w:u w:val="single"/>
        </w:rPr>
        <w:t>This mechanism is weaker than for some utilities with high hydrological or significant gas generation exposure</w:t>
      </w:r>
      <w:r>
        <w:rPr>
          <w:b w:val="0"/>
          <w:bCs w:val="0"/>
          <w:u w:val="single"/>
        </w:rPr>
        <w:t xml:space="preserve"> in western states</w:t>
      </w:r>
      <w:r w:rsidRPr="003D3771">
        <w:rPr>
          <w:b w:val="0"/>
          <w:bCs w:val="0"/>
          <w:u w:val="single"/>
        </w:rPr>
        <w:t>.</w:t>
      </w:r>
      <w:r>
        <w:rPr>
          <w:b w:val="0"/>
          <w:bCs w:val="0"/>
        </w:rPr>
        <w:t xml:space="preserve"> [</w:t>
      </w:r>
      <w:r w:rsidRPr="00F422D1">
        <w:rPr>
          <w:b w:val="0"/>
          <w:bCs w:val="0"/>
        </w:rPr>
        <w:t>Emphasis added</w:t>
      </w:r>
      <w:r>
        <w:rPr>
          <w:b w:val="0"/>
          <w:bCs w:val="0"/>
        </w:rPr>
        <w:t>.]  Purchased gas adjustments for gas distribution units in all three jurisdictions, along with hedging, mitigate gas supply risk.  We view these as important in averting large cost adjustment requests and, thus, they continue to support the rating.”</w:t>
      </w:r>
    </w:p>
    <w:p w:rsidR="00212289" w:rsidRDefault="00212289" w:rsidP="00212289">
      <w:pPr>
        <w:pStyle w:val="BodyText"/>
        <w:tabs>
          <w:tab w:val="num" w:pos="0"/>
          <w:tab w:val="left" w:pos="810"/>
        </w:tabs>
        <w:spacing w:line="480" w:lineRule="auto"/>
        <w:ind w:firstLine="720"/>
        <w:jc w:val="both"/>
        <w:rPr>
          <w:b w:val="0"/>
          <w:bCs w:val="0"/>
        </w:rPr>
      </w:pPr>
      <w:r>
        <w:rPr>
          <w:b w:val="0"/>
          <w:bCs w:val="0"/>
        </w:rPr>
        <w:t>Regulatory Research Associates’ rating dated December 22, 2011, in discussing regulation in Washington states:</w:t>
      </w:r>
    </w:p>
    <w:p w:rsidR="00212289" w:rsidRDefault="00212289" w:rsidP="00212289">
      <w:pPr>
        <w:pStyle w:val="BodyText"/>
        <w:spacing w:after="240" w:line="240" w:lineRule="auto"/>
        <w:ind w:left="1080" w:right="720"/>
        <w:jc w:val="both"/>
        <w:rPr>
          <w:b w:val="0"/>
          <w:bCs w:val="0"/>
        </w:rPr>
      </w:pPr>
      <w:r>
        <w:rPr>
          <w:b w:val="0"/>
          <w:bCs w:val="0"/>
        </w:rPr>
        <w:t xml:space="preserve">“The regulatory environment in Washington is somewhat restrictive from an investor viewpoint.  Recent equity return authorizations, some of which were approved following settlements, were below prevailing industry averages.  The state’s electric utilities remain vertically integrated and are regulated under a traditional regulatory paradigm.  Power-cost adjustment mechanisms are in effect for most of the state’s electric utilities.  </w:t>
      </w:r>
      <w:r w:rsidRPr="003D3771">
        <w:rPr>
          <w:b w:val="0"/>
          <w:bCs w:val="0"/>
          <w:u w:val="single"/>
        </w:rPr>
        <w:t xml:space="preserve">However, while significantly reducing the companies’ </w:t>
      </w:r>
      <w:r w:rsidRPr="003D3771">
        <w:rPr>
          <w:b w:val="0"/>
          <w:bCs w:val="0"/>
          <w:u w:val="single"/>
        </w:rPr>
        <w:lastRenderedPageBreak/>
        <w:t xml:space="preserve">exposure to power price volatility, these mechanisms contain </w:t>
      </w:r>
      <w:proofErr w:type="spellStart"/>
      <w:r w:rsidRPr="003D3771">
        <w:rPr>
          <w:b w:val="0"/>
          <w:bCs w:val="0"/>
          <w:u w:val="single"/>
        </w:rPr>
        <w:t>deadbands</w:t>
      </w:r>
      <w:proofErr w:type="spellEnd"/>
      <w:r w:rsidRPr="003D3771">
        <w:rPr>
          <w:b w:val="0"/>
          <w:bCs w:val="0"/>
          <w:u w:val="single"/>
        </w:rPr>
        <w:t xml:space="preserve"> and sharing mechanisms that, while allowing the company to receive a benefit, also limit the costs that may be recovered from ratepayers.</w:t>
      </w:r>
      <w:r>
        <w:rPr>
          <w:b w:val="0"/>
          <w:bCs w:val="0"/>
        </w:rPr>
        <w:t>”[</w:t>
      </w:r>
      <w:r w:rsidRPr="00F422D1">
        <w:rPr>
          <w:b w:val="0"/>
          <w:bCs w:val="0"/>
        </w:rPr>
        <w:t>Emphasis added</w:t>
      </w:r>
      <w:r>
        <w:rPr>
          <w:b w:val="0"/>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Fitch’s rating dated September 6, 2007, in discussing the ERM states:</w:t>
      </w:r>
    </w:p>
    <w:p w:rsidR="00212289" w:rsidRDefault="00212289" w:rsidP="00212289">
      <w:pPr>
        <w:pStyle w:val="BodyText"/>
        <w:spacing w:after="240" w:line="240" w:lineRule="auto"/>
        <w:ind w:left="1080" w:right="720"/>
        <w:jc w:val="both"/>
        <w:rPr>
          <w:b w:val="0"/>
          <w:bCs w:val="0"/>
        </w:rPr>
      </w:pPr>
      <w:r>
        <w:rPr>
          <w:b w:val="0"/>
          <w:bCs w:val="0"/>
        </w:rPr>
        <w:t xml:space="preserve">“Adopted by the WUTC in July 2002, AVA’s energy recovery mechanism (ERM) facilitates the deferral and pass-through of the lion’s share of power supply cost deviations from amounts reflected in base rates to ratepayers.  </w:t>
      </w:r>
      <w:r w:rsidRPr="009A0EDA">
        <w:rPr>
          <w:b w:val="0"/>
          <w:bCs w:val="0"/>
          <w:u w:val="single"/>
        </w:rPr>
        <w:t>Nonetheless, the negative effect of the portion of power supply costs borne by the utility under its power cost adjustment mechanisms can be significant during prolonged periods of below-normal water conditions and high demand.  This factor, combined with timing differences between when power supply costs are incurred and recovered in rates, can cause significant stress on a utility’s creditworthiness</w:t>
      </w:r>
      <w:r>
        <w:rPr>
          <w:b w:val="0"/>
          <w:bCs w:val="0"/>
        </w:rPr>
        <w:t>.”[</w:t>
      </w:r>
      <w:r w:rsidRPr="00F422D1">
        <w:rPr>
          <w:b w:val="0"/>
          <w:bCs w:val="0"/>
        </w:rPr>
        <w:t>Emphasis added</w:t>
      </w:r>
      <w:r>
        <w:rPr>
          <w:b w:val="0"/>
          <w:bCs w:val="0"/>
        </w:rPr>
        <w:t>.]</w:t>
      </w:r>
    </w:p>
    <w:p w:rsidR="00212289" w:rsidRDefault="00212289" w:rsidP="00212289">
      <w:pPr>
        <w:pStyle w:val="BodyText"/>
        <w:tabs>
          <w:tab w:val="num" w:pos="0"/>
          <w:tab w:val="left" w:pos="810"/>
        </w:tabs>
        <w:spacing w:line="480" w:lineRule="auto"/>
        <w:ind w:firstLine="720"/>
        <w:jc w:val="both"/>
        <w:rPr>
          <w:b w:val="0"/>
          <w:bCs w:val="0"/>
        </w:rPr>
      </w:pP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Would the Company still have some “skin in the game” if the deadband and sharing bands, other than the 90%/10% sharing band, were eliminated</w:t>
      </w:r>
      <w:r w:rsidRPr="00C37D0F">
        <w:rPr>
          <w:bCs w:val="0"/>
        </w:rPr>
        <w:t>?</w:t>
      </w:r>
    </w:p>
    <w:p w:rsidR="00212289" w:rsidRDefault="00212289" w:rsidP="00212289">
      <w:pPr>
        <w:pStyle w:val="BodyText"/>
        <w:tabs>
          <w:tab w:val="num" w:pos="0"/>
          <w:tab w:val="left" w:pos="1440"/>
        </w:tabs>
        <w:spacing w:line="480" w:lineRule="auto"/>
        <w:ind w:firstLine="720"/>
        <w:jc w:val="both"/>
        <w:rPr>
          <w:b w:val="0"/>
          <w:bCs w:val="0"/>
        </w:rPr>
      </w:pPr>
      <w:r w:rsidRPr="007B66EA">
        <w:rPr>
          <w:b w:val="0"/>
          <w:bCs w:val="0"/>
        </w:rPr>
        <w:t>A.</w:t>
      </w:r>
      <w:r w:rsidRPr="007B66EA">
        <w:rPr>
          <w:b w:val="0"/>
          <w:bCs w:val="0"/>
        </w:rPr>
        <w:tab/>
        <w:t>Yes.</w:t>
      </w:r>
      <w:r>
        <w:rPr>
          <w:bCs w:val="0"/>
        </w:rPr>
        <w:t xml:space="preserve">  </w:t>
      </w:r>
      <w:r>
        <w:rPr>
          <w:b w:val="0"/>
          <w:bCs w:val="0"/>
        </w:rPr>
        <w:t xml:space="preserve">Under the current ERM the Company has to absorb $7 million of the first $10 million of actual power supply related costs that exceed the level authorized for recovery in base rates ($4 million deadband plus 50% of the next $6 million = $7 million).  Under the Company’s proposal to do away with the $4 million deadband, and the $4 million to $10 million sharing band, the Company would still absorb $1 million of the first $10 million of additional cost ($10 million times 10% = $1 million).  When actual costs are less than authorized costs (rebate direction), the Company currently keeps $5.5 million of the first $10 million of the difference in costs ($4 million deadband plus 25% of the next $6 million = $5.5 million).  Without the deadband, and the $4 million to $10 million sharing band, the Company would keep $1 million of the first $10 million of cost difference in the rebate direction instead of $5.5 million.  Under the Company’s proposal for the first $10 </w:t>
      </w:r>
      <w:r>
        <w:rPr>
          <w:b w:val="0"/>
          <w:bCs w:val="0"/>
        </w:rPr>
        <w:lastRenderedPageBreak/>
        <w:t>million of cost difference there would be a 90% customer/10% Company sharing level, and there would continue to be a 90% customer/10% Company sharing above $10 million of cost difference.  So, under the Company’s proposal, the Company would still have some “skin in the game.”</w:t>
      </w:r>
    </w:p>
    <w:p w:rsidR="00212289" w:rsidRPr="008C07CC" w:rsidRDefault="00212289" w:rsidP="00212289">
      <w:pPr>
        <w:pStyle w:val="BodyText"/>
        <w:tabs>
          <w:tab w:val="num" w:pos="0"/>
          <w:tab w:val="left" w:pos="1440"/>
        </w:tabs>
        <w:spacing w:line="480" w:lineRule="auto"/>
        <w:ind w:firstLine="720"/>
        <w:jc w:val="both"/>
        <w:rPr>
          <w:bCs w:val="0"/>
        </w:rPr>
      </w:pPr>
      <w:r>
        <w:rPr>
          <w:b w:val="0"/>
          <w:bCs w:val="0"/>
        </w:rPr>
        <w:t xml:space="preserve">Having the Company sharing at 10% of changes in power supply costs, </w:t>
      </w:r>
      <w:r w:rsidR="00743E18">
        <w:rPr>
          <w:b w:val="0"/>
          <w:bCs w:val="0"/>
        </w:rPr>
        <w:t xml:space="preserve">as well as </w:t>
      </w:r>
      <w:r>
        <w:rPr>
          <w:b w:val="0"/>
          <w:bCs w:val="0"/>
        </w:rPr>
        <w:t>having all of the Company’s power supply decisions and costs subject to thorough review in general rate cases and in the annual ERM review filings, is sufficient incentive for Avista to pay particular attention to all power supply decisions.</w:t>
      </w: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How much does power supply expense vary</w:t>
      </w:r>
      <w:r w:rsidRPr="00C37D0F">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Company’s Integrated Resource Plan (IRP) provides a useful tool to estimate how much power supply expense can vary.  The IRP evaluates power supply costs using Monte Carlo simulations that vary hydro conditions, natural gas and market power prices, loads and forced outages.  It produces a range of power supply expenses for 500 simulations for the year 2013.  The absolute range of power supply expense is over $200 million on a system basis, roughly equal to the mean level of power supply expense.  In comparison to the ERM dead band and sharing band of $10 million, 60 percent (301 out of 500 simulations) of the variations in power supply expense (Washington allocation) are greater than $10 million.  So this means that 60 percent of the time the Company will either absorb $7 million of additional expense or retain $5.5 million of lower expense, and will be into the 90%/10% portion of the ERM sharing.</w:t>
      </w: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 xml:space="preserve">Doesn’t the Company </w:t>
      </w:r>
      <w:proofErr w:type="gramStart"/>
      <w:r>
        <w:rPr>
          <w:bCs w:val="0"/>
        </w:rPr>
        <w:t>employ</w:t>
      </w:r>
      <w:proofErr w:type="gramEnd"/>
      <w:r>
        <w:rPr>
          <w:bCs w:val="0"/>
        </w:rPr>
        <w:t xml:space="preserve"> a hedging strategy to mitigate power supply expense variability</w:t>
      </w:r>
      <w:r w:rsidRPr="00C37D0F">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lastRenderedPageBreak/>
        <w:t>A.</w:t>
      </w:r>
      <w:r>
        <w:rPr>
          <w:b w:val="0"/>
          <w:bCs w:val="0"/>
        </w:rPr>
        <w:tab/>
        <w:t xml:space="preserve">Yes.  The Company does follow a hedging strategy to mitigate the impact of market exposure and timing of natural gas and power purchases.  The primary purpose of the hedging strategy is to prevent a “blowout” of power supply expense in bad hydro conditions and/or high price market conditions by limiting the amount of near-term exposure to large increases in market fuel (natural gas and power) prices.  It does this by imposing a systematic approach to layering in </w:t>
      </w:r>
      <w:r w:rsidR="00743E18">
        <w:rPr>
          <w:b w:val="0"/>
          <w:bCs w:val="0"/>
        </w:rPr>
        <w:t xml:space="preserve">energy purchases or sales to close open </w:t>
      </w:r>
      <w:r>
        <w:rPr>
          <w:b w:val="0"/>
          <w:bCs w:val="0"/>
        </w:rPr>
        <w:t>positions</w:t>
      </w:r>
      <w:r w:rsidRPr="0001182D">
        <w:rPr>
          <w:b w:val="0"/>
          <w:bCs w:val="0"/>
        </w:rPr>
        <w:t xml:space="preserve"> </w:t>
      </w:r>
      <w:r>
        <w:rPr>
          <w:b w:val="0"/>
          <w:bCs w:val="0"/>
        </w:rPr>
        <w:t>before the start of a month, and thus reduce exposure to price swings.  The hedging strategy does not close all open positions for the next year, so the Company is still exposed to some natural gas and power price changes, nor does the strategy eliminate any variability due to hydro conditions, loads, or a forced outage, which create new open positi</w:t>
      </w:r>
      <w:r w:rsidR="00743E18">
        <w:rPr>
          <w:b w:val="0"/>
          <w:bCs w:val="0"/>
        </w:rPr>
        <w:t>ons</w:t>
      </w:r>
      <w:r>
        <w:rPr>
          <w:b w:val="0"/>
          <w:bCs w:val="0"/>
        </w:rPr>
        <w:t>.  As stated before, the primary purpose of the hedging strategy is to reduce the risk of a major increase in power supply expense due to very high natural gas and power prices, possibly coupled with low hydro conditions.</w:t>
      </w: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But doesn’t the hedging strategy mitigate some of the power supply expense variability</w:t>
      </w:r>
      <w:r w:rsidRPr="00C37D0F">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it does, but not by that much.  In order to estimate how much the hedging strategy might mitigate variability, the Company again used its IRP power supply simulation model.  This time, the model was modified to close out all open positions for the year by either buying or selling power.  This should reduce volatility because the exposure to swings in market prices is reduced.  The simulation with the hedging strategy does have a lower standard deviation than the un-hedged simulation, which means that the average variation around the mean is less.  However, the percent of simulations that are outside the $10 million dead band and sharing band is roughly the same.  The most notable difference is the </w:t>
      </w:r>
      <w:r>
        <w:rPr>
          <w:b w:val="0"/>
          <w:bCs w:val="0"/>
        </w:rPr>
        <w:lastRenderedPageBreak/>
        <w:t>reduction in the tail-block scenarios.  There is a 33 percent reduction in expense variation in the worst 5 simulations.  That is, in really high cost conditions, hedging significantly lowers power supply expense.  The conclusion from the simulation with the hedging strategy is that the Company’s hedging program does what it is supposed to do, which is to lessen the impact of very high cost years, but it does not appreciably lessen the impact of the $10 million dead band and sharing band.</w:t>
      </w:r>
    </w:p>
    <w:p w:rsidR="00212289" w:rsidRPr="00396CDD" w:rsidRDefault="00212289" w:rsidP="00212289">
      <w:pPr>
        <w:pStyle w:val="BodyText"/>
        <w:tabs>
          <w:tab w:val="num" w:pos="0"/>
          <w:tab w:val="left" w:pos="810"/>
        </w:tabs>
        <w:spacing w:line="480" w:lineRule="auto"/>
        <w:ind w:firstLine="720"/>
        <w:jc w:val="both"/>
        <w:rPr>
          <w:bCs w:val="0"/>
        </w:rPr>
      </w:pPr>
      <w:r>
        <w:rPr>
          <w:bCs w:val="0"/>
        </w:rPr>
        <w:t>Q.</w:t>
      </w:r>
      <w:r>
        <w:rPr>
          <w:bCs w:val="0"/>
        </w:rPr>
        <w:tab/>
        <w:t>How might the elimination of the dead band and sharing band affect the general rate case process</w:t>
      </w:r>
      <w:r w:rsidRPr="00396CDD">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Since the ERM calculates the difference between actual and authorized power supply related costs, the amount of authorized costs included in base rates impacts the amount of difference between actual and authorized costs.  If the authorized level is set too low, it would increase the likelihood of the Company absorbing increased expense through the deadband in the surcharge direction.  If the authorized level is set too high, it increases the likelihood that the Company would receive a benefit through the deadband in the rebate direction.  The determination of “normal” power supply costs for the future rate year in a general rate case is almost always a contentious issue, with proposals/recommendations by the parties that can be many millions of dollars apart.  Elimination of the deadband, and the $4 million to $10 million sharing bands, would reduce the impact of setting the level of power costs in base rates at the wrong level, thus protecting both the customers and Company from over or under collection of power supply expenses.</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 xml:space="preserve">Do other states have electric commodity tracking mechanisms that don’t have </w:t>
      </w:r>
      <w:proofErr w:type="spellStart"/>
      <w:r>
        <w:rPr>
          <w:bCs w:val="0"/>
        </w:rPr>
        <w:t>deadbands</w:t>
      </w:r>
      <w:proofErr w:type="spellEnd"/>
      <w:r>
        <w:rPr>
          <w:bCs w:val="0"/>
        </w:rPr>
        <w:t xml:space="preserve"> or sharing bands?</w:t>
      </w:r>
    </w:p>
    <w:p w:rsidR="00212289" w:rsidRDefault="00212289" w:rsidP="00212289">
      <w:pPr>
        <w:pStyle w:val="BodyText"/>
        <w:tabs>
          <w:tab w:val="num" w:pos="0"/>
          <w:tab w:val="left" w:pos="810"/>
        </w:tabs>
        <w:spacing w:line="480" w:lineRule="auto"/>
        <w:ind w:firstLine="720"/>
        <w:jc w:val="both"/>
        <w:rPr>
          <w:b w:val="0"/>
          <w:bCs w:val="0"/>
        </w:rPr>
      </w:pPr>
      <w:r w:rsidRPr="00E00B21">
        <w:rPr>
          <w:b w:val="0"/>
          <w:bCs w:val="0"/>
        </w:rPr>
        <w:lastRenderedPageBreak/>
        <w:t>A.</w:t>
      </w:r>
      <w:r w:rsidRPr="00E00B21">
        <w:rPr>
          <w:b w:val="0"/>
          <w:bCs w:val="0"/>
        </w:rPr>
        <w:tab/>
      </w:r>
      <w:r>
        <w:rPr>
          <w:b w:val="0"/>
          <w:bCs w:val="0"/>
        </w:rPr>
        <w:t xml:space="preserve">Yes.  </w:t>
      </w:r>
      <w:r w:rsidRPr="007F6C78">
        <w:rPr>
          <w:b w:val="0"/>
          <w:bCs w:val="0"/>
        </w:rPr>
        <w:t xml:space="preserve">In February of 2012 </w:t>
      </w:r>
      <w:r>
        <w:rPr>
          <w:b w:val="0"/>
          <w:bCs w:val="0"/>
        </w:rPr>
        <w:t>Avista sent a questionnaire to the EEI Rate Committee that was distributed to its members.  The questionnaire asked if the companies have an electric power/fuel clause adjustment mechanism in any of their electric jurisdictions and, if so, if the mechanism has a deadband and/or sharing bands.  Listed below is a summary of the responses:</w:t>
      </w:r>
    </w:p>
    <w:p w:rsidR="00212289" w:rsidRPr="002E3262" w:rsidRDefault="00212289" w:rsidP="00212289">
      <w:pPr>
        <w:pStyle w:val="BodyText"/>
        <w:tabs>
          <w:tab w:val="num" w:pos="0"/>
          <w:tab w:val="left" w:pos="450"/>
        </w:tabs>
        <w:spacing w:line="480" w:lineRule="auto"/>
        <w:jc w:val="both"/>
        <w:rPr>
          <w:bCs w:val="0"/>
          <w:sz w:val="20"/>
          <w:szCs w:val="20"/>
        </w:rPr>
      </w:pPr>
      <w:r>
        <w:rPr>
          <w:bCs w:val="0"/>
          <w:sz w:val="20"/>
          <w:szCs w:val="20"/>
        </w:rPr>
        <w:tab/>
        <w:t xml:space="preserve"> 1) </w:t>
      </w:r>
      <w:r w:rsidRPr="002E3262">
        <w:rPr>
          <w:bCs w:val="0"/>
          <w:sz w:val="20"/>
          <w:szCs w:val="20"/>
        </w:rPr>
        <w:t>Barbados Light &amp; Power C</w:t>
      </w:r>
      <w:r w:rsidR="00230CF6">
        <w:rPr>
          <w:bCs w:val="0"/>
          <w:sz w:val="20"/>
          <w:szCs w:val="20"/>
        </w:rPr>
        <w:t>ompany, Wisconsin – no deadband or</w:t>
      </w:r>
      <w:r w:rsidRPr="002E3262">
        <w:rPr>
          <w:bCs w:val="0"/>
          <w:sz w:val="20"/>
          <w:szCs w:val="20"/>
        </w:rPr>
        <w:t xml:space="preserve"> sharing bands</w:t>
      </w:r>
    </w:p>
    <w:p w:rsidR="00212289" w:rsidRPr="002E3262" w:rsidRDefault="00212289" w:rsidP="00212289">
      <w:pPr>
        <w:pStyle w:val="BodyText"/>
        <w:tabs>
          <w:tab w:val="num" w:pos="0"/>
          <w:tab w:val="left" w:pos="450"/>
        </w:tabs>
        <w:spacing w:line="480" w:lineRule="auto"/>
        <w:jc w:val="both"/>
        <w:rPr>
          <w:bCs w:val="0"/>
          <w:sz w:val="20"/>
          <w:szCs w:val="20"/>
        </w:rPr>
      </w:pPr>
      <w:r>
        <w:rPr>
          <w:bCs w:val="0"/>
          <w:sz w:val="20"/>
          <w:szCs w:val="20"/>
        </w:rPr>
        <w:tab/>
        <w:t xml:space="preserve"> 2) </w:t>
      </w:r>
      <w:r w:rsidRPr="002E3262">
        <w:rPr>
          <w:bCs w:val="0"/>
          <w:sz w:val="20"/>
          <w:szCs w:val="20"/>
        </w:rPr>
        <w:t xml:space="preserve">Progress Energy Carolinas, North and South Carolina – no </w:t>
      </w:r>
      <w:proofErr w:type="gramStart"/>
      <w:r w:rsidRPr="002E3262">
        <w:rPr>
          <w:bCs w:val="0"/>
          <w:sz w:val="20"/>
          <w:szCs w:val="20"/>
        </w:rPr>
        <w:t>deadband</w:t>
      </w:r>
      <w:r w:rsidR="00230CF6">
        <w:rPr>
          <w:bCs w:val="0"/>
          <w:sz w:val="20"/>
          <w:szCs w:val="20"/>
        </w:rPr>
        <w:t xml:space="preserve">  or</w:t>
      </w:r>
      <w:proofErr w:type="gramEnd"/>
      <w:r w:rsidRPr="002E3262">
        <w:rPr>
          <w:bCs w:val="0"/>
          <w:sz w:val="20"/>
          <w:szCs w:val="20"/>
        </w:rPr>
        <w:t xml:space="preserve"> sharing bands</w:t>
      </w:r>
    </w:p>
    <w:p w:rsidR="00212289" w:rsidRPr="002E3262" w:rsidRDefault="00212289" w:rsidP="00212289">
      <w:pPr>
        <w:pStyle w:val="BodyText"/>
        <w:tabs>
          <w:tab w:val="num" w:pos="0"/>
          <w:tab w:val="left" w:pos="450"/>
        </w:tabs>
        <w:spacing w:line="480" w:lineRule="auto"/>
        <w:jc w:val="both"/>
        <w:rPr>
          <w:bCs w:val="0"/>
          <w:sz w:val="20"/>
          <w:szCs w:val="20"/>
        </w:rPr>
      </w:pPr>
      <w:r>
        <w:rPr>
          <w:bCs w:val="0"/>
          <w:sz w:val="20"/>
          <w:szCs w:val="20"/>
        </w:rPr>
        <w:tab/>
        <w:t xml:space="preserve"> 3) </w:t>
      </w:r>
      <w:r w:rsidRPr="002E3262">
        <w:rPr>
          <w:bCs w:val="0"/>
          <w:sz w:val="20"/>
          <w:szCs w:val="20"/>
        </w:rPr>
        <w:t>Arizona Public Service, Arizona – no deadband, 90/10 sharing (eliminated in pending settlement)</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4) </w:t>
      </w:r>
      <w:r w:rsidRPr="002E3262">
        <w:rPr>
          <w:bCs w:val="0"/>
          <w:sz w:val="20"/>
          <w:szCs w:val="20"/>
        </w:rPr>
        <w:t xml:space="preserve">Hawaiian Elec. Co., Hawaii </w:t>
      </w:r>
      <w:r>
        <w:rPr>
          <w:bCs w:val="0"/>
          <w:sz w:val="20"/>
          <w:szCs w:val="20"/>
        </w:rPr>
        <w:t>–</w:t>
      </w:r>
      <w:r w:rsidRPr="002E3262">
        <w:rPr>
          <w:bCs w:val="0"/>
          <w:sz w:val="20"/>
          <w:szCs w:val="20"/>
        </w:rPr>
        <w:t xml:space="preserve"> </w:t>
      </w:r>
      <w:r>
        <w:rPr>
          <w:bCs w:val="0"/>
          <w:sz w:val="20"/>
          <w:szCs w:val="20"/>
        </w:rPr>
        <w:t>no deadband, no sharing bands, heat rate incentive</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5) Ameren Missouri, Missouri – no deadband, 95/5 sharing</w:t>
      </w:r>
    </w:p>
    <w:p w:rsidR="00230CF6"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6) LG&amp;E and</w:t>
      </w:r>
      <w:r w:rsidR="00230CF6">
        <w:rPr>
          <w:bCs w:val="0"/>
          <w:sz w:val="20"/>
          <w:szCs w:val="20"/>
        </w:rPr>
        <w:t xml:space="preserve"> KU Services Company, Kentucky - no deadband or</w:t>
      </w:r>
      <w:r w:rsidR="00230CF6" w:rsidRPr="002E3262">
        <w:rPr>
          <w:bCs w:val="0"/>
          <w:sz w:val="20"/>
          <w:szCs w:val="20"/>
        </w:rPr>
        <w:t xml:space="preserve"> sharing bands</w:t>
      </w:r>
    </w:p>
    <w:p w:rsidR="00212289"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7) LG&amp;E and KU Services Company, Virginia</w:t>
      </w:r>
      <w:r w:rsidR="00212289">
        <w:rPr>
          <w:bCs w:val="0"/>
          <w:sz w:val="20"/>
          <w:szCs w:val="20"/>
        </w:rPr>
        <w:t xml:space="preserve"> - </w:t>
      </w:r>
      <w:r>
        <w:rPr>
          <w:bCs w:val="0"/>
          <w:sz w:val="20"/>
          <w:szCs w:val="20"/>
        </w:rPr>
        <w:t>no deadband or</w:t>
      </w:r>
      <w:r w:rsidR="00212289" w:rsidRPr="002E3262">
        <w:rPr>
          <w:bCs w:val="0"/>
          <w:sz w:val="20"/>
          <w:szCs w:val="20"/>
        </w:rPr>
        <w:t xml:space="preserve"> sharing bands</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w:t>
      </w:r>
      <w:r w:rsidR="00230CF6">
        <w:rPr>
          <w:bCs w:val="0"/>
          <w:sz w:val="20"/>
          <w:szCs w:val="20"/>
        </w:rPr>
        <w:t>8</w:t>
      </w:r>
      <w:r>
        <w:rPr>
          <w:bCs w:val="0"/>
          <w:sz w:val="20"/>
          <w:szCs w:val="20"/>
        </w:rPr>
        <w:t xml:space="preserve">) Minnesota Power, Minnesota - </w:t>
      </w:r>
      <w:r w:rsidRPr="002E3262">
        <w:rPr>
          <w:bCs w:val="0"/>
          <w:sz w:val="20"/>
          <w:szCs w:val="20"/>
        </w:rPr>
        <w:t>no deadband, no sharing bands</w:t>
      </w:r>
    </w:p>
    <w:p w:rsidR="00230CF6"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r>
      <w:r w:rsidR="00230CF6">
        <w:rPr>
          <w:bCs w:val="0"/>
          <w:sz w:val="20"/>
          <w:szCs w:val="20"/>
        </w:rPr>
        <w:t>9) Alliant Energy, Minnesota - no deadband or sharing bands</w:t>
      </w:r>
    </w:p>
    <w:p w:rsidR="00212289"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10) Iowa – no deadband or </w:t>
      </w:r>
      <w:r w:rsidR="00212289">
        <w:rPr>
          <w:bCs w:val="0"/>
          <w:sz w:val="20"/>
          <w:szCs w:val="20"/>
        </w:rPr>
        <w:t>sharing bands</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w:t>
      </w:r>
      <w:r w:rsidR="00230CF6">
        <w:rPr>
          <w:bCs w:val="0"/>
          <w:sz w:val="20"/>
          <w:szCs w:val="20"/>
        </w:rPr>
        <w:t>11</w:t>
      </w:r>
      <w:r>
        <w:rPr>
          <w:bCs w:val="0"/>
          <w:sz w:val="20"/>
          <w:szCs w:val="20"/>
        </w:rPr>
        <w:t xml:space="preserve">). Mississippi Power, Mississippi - </w:t>
      </w:r>
      <w:r w:rsidRPr="002E3262">
        <w:rPr>
          <w:bCs w:val="0"/>
          <w:sz w:val="20"/>
          <w:szCs w:val="20"/>
        </w:rPr>
        <w:t>no deadband, no sharing bands</w:t>
      </w:r>
    </w:p>
    <w:p w:rsidR="007A40D4"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12) Energy Corp, </w:t>
      </w:r>
      <w:r w:rsidR="00804CDF">
        <w:rPr>
          <w:bCs w:val="0"/>
          <w:sz w:val="20"/>
          <w:szCs w:val="20"/>
        </w:rPr>
        <w:t>Louisiana</w:t>
      </w:r>
      <w:r>
        <w:rPr>
          <w:bCs w:val="0"/>
          <w:sz w:val="20"/>
          <w:szCs w:val="20"/>
        </w:rPr>
        <w:t xml:space="preserve"> - no deadband or sharing bands</w:t>
      </w:r>
    </w:p>
    <w:p w:rsidR="007A40D4" w:rsidRDefault="007A40D4" w:rsidP="00212289">
      <w:pPr>
        <w:pStyle w:val="BodyText"/>
        <w:tabs>
          <w:tab w:val="num" w:pos="0"/>
          <w:tab w:val="left" w:pos="450"/>
        </w:tabs>
        <w:spacing w:line="480" w:lineRule="auto"/>
        <w:ind w:right="-180"/>
        <w:jc w:val="both"/>
        <w:rPr>
          <w:bCs w:val="0"/>
          <w:sz w:val="20"/>
          <w:szCs w:val="20"/>
        </w:rPr>
      </w:pPr>
      <w:r>
        <w:rPr>
          <w:bCs w:val="0"/>
          <w:sz w:val="20"/>
          <w:szCs w:val="20"/>
        </w:rPr>
        <w:tab/>
        <w:t>1</w:t>
      </w:r>
      <w:r w:rsidR="00230CF6">
        <w:rPr>
          <w:bCs w:val="0"/>
          <w:sz w:val="20"/>
          <w:szCs w:val="20"/>
        </w:rPr>
        <w:t>3</w:t>
      </w:r>
      <w:r>
        <w:rPr>
          <w:bCs w:val="0"/>
          <w:sz w:val="20"/>
          <w:szCs w:val="20"/>
        </w:rPr>
        <w:t>) Energy Corp, Arkansas</w:t>
      </w:r>
      <w:r w:rsidR="00230CF6">
        <w:rPr>
          <w:bCs w:val="0"/>
          <w:sz w:val="20"/>
          <w:szCs w:val="20"/>
        </w:rPr>
        <w:t xml:space="preserve"> - no deadband or sharing bands</w:t>
      </w:r>
    </w:p>
    <w:p w:rsidR="00230CF6" w:rsidRDefault="007A40D4" w:rsidP="00212289">
      <w:pPr>
        <w:pStyle w:val="BodyText"/>
        <w:tabs>
          <w:tab w:val="num" w:pos="0"/>
          <w:tab w:val="left" w:pos="450"/>
        </w:tabs>
        <w:spacing w:line="480" w:lineRule="auto"/>
        <w:ind w:right="-180"/>
        <w:jc w:val="both"/>
        <w:rPr>
          <w:bCs w:val="0"/>
          <w:sz w:val="20"/>
          <w:szCs w:val="20"/>
        </w:rPr>
      </w:pPr>
      <w:r>
        <w:rPr>
          <w:bCs w:val="0"/>
          <w:sz w:val="20"/>
          <w:szCs w:val="20"/>
        </w:rPr>
        <w:tab/>
        <w:t>1</w:t>
      </w:r>
      <w:r w:rsidR="00230CF6">
        <w:rPr>
          <w:bCs w:val="0"/>
          <w:sz w:val="20"/>
          <w:szCs w:val="20"/>
        </w:rPr>
        <w:t>4</w:t>
      </w:r>
      <w:r>
        <w:rPr>
          <w:bCs w:val="0"/>
          <w:sz w:val="20"/>
          <w:szCs w:val="20"/>
        </w:rPr>
        <w:t>) Energy Corp</w:t>
      </w:r>
      <w:r w:rsidR="00230CF6">
        <w:rPr>
          <w:bCs w:val="0"/>
          <w:sz w:val="20"/>
          <w:szCs w:val="20"/>
        </w:rPr>
        <w:t>, Mississippi - no deadband or sharing bands</w:t>
      </w:r>
    </w:p>
    <w:p w:rsidR="00230CF6"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15) </w:t>
      </w:r>
      <w:proofErr w:type="gramStart"/>
      <w:r>
        <w:rPr>
          <w:bCs w:val="0"/>
          <w:sz w:val="20"/>
          <w:szCs w:val="20"/>
        </w:rPr>
        <w:t xml:space="preserve">Energy </w:t>
      </w:r>
      <w:r w:rsidR="00212289">
        <w:rPr>
          <w:bCs w:val="0"/>
          <w:sz w:val="20"/>
          <w:szCs w:val="20"/>
        </w:rPr>
        <w:t xml:space="preserve"> </w:t>
      </w:r>
      <w:r>
        <w:rPr>
          <w:bCs w:val="0"/>
          <w:sz w:val="20"/>
          <w:szCs w:val="20"/>
        </w:rPr>
        <w:t>Corp</w:t>
      </w:r>
      <w:proofErr w:type="gramEnd"/>
      <w:r>
        <w:rPr>
          <w:bCs w:val="0"/>
          <w:sz w:val="20"/>
          <w:szCs w:val="20"/>
        </w:rPr>
        <w:t>, Texas - no deadband or sharing bands</w:t>
      </w:r>
    </w:p>
    <w:p w:rsidR="00212289"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16) Energy Corp</w:t>
      </w:r>
      <w:proofErr w:type="gramStart"/>
      <w:r>
        <w:rPr>
          <w:bCs w:val="0"/>
          <w:sz w:val="20"/>
          <w:szCs w:val="20"/>
        </w:rPr>
        <w:t>,  New</w:t>
      </w:r>
      <w:proofErr w:type="gramEnd"/>
      <w:r>
        <w:rPr>
          <w:bCs w:val="0"/>
          <w:sz w:val="20"/>
          <w:szCs w:val="20"/>
        </w:rPr>
        <w:t xml:space="preserve"> Orleans – no</w:t>
      </w:r>
      <w:r w:rsidR="00212289">
        <w:rPr>
          <w:bCs w:val="0"/>
          <w:sz w:val="20"/>
          <w:szCs w:val="20"/>
        </w:rPr>
        <w:t xml:space="preserve"> </w:t>
      </w:r>
      <w:r>
        <w:rPr>
          <w:bCs w:val="0"/>
          <w:sz w:val="20"/>
          <w:szCs w:val="20"/>
        </w:rPr>
        <w:t>deadband</w:t>
      </w:r>
      <w:r w:rsidR="00212289">
        <w:rPr>
          <w:bCs w:val="0"/>
          <w:sz w:val="20"/>
          <w:szCs w:val="20"/>
        </w:rPr>
        <w:t xml:space="preserve"> or sharing bands</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1</w:t>
      </w:r>
      <w:r w:rsidR="00230CF6">
        <w:rPr>
          <w:bCs w:val="0"/>
          <w:sz w:val="20"/>
          <w:szCs w:val="20"/>
        </w:rPr>
        <w:t>7</w:t>
      </w:r>
      <w:r>
        <w:rPr>
          <w:bCs w:val="0"/>
          <w:sz w:val="20"/>
          <w:szCs w:val="20"/>
        </w:rPr>
        <w:t xml:space="preserve">) Florida Power &amp; Light, Florida - </w:t>
      </w:r>
      <w:r w:rsidR="00230CF6">
        <w:rPr>
          <w:bCs w:val="0"/>
          <w:sz w:val="20"/>
          <w:szCs w:val="20"/>
        </w:rPr>
        <w:t xml:space="preserve">no deadband or </w:t>
      </w:r>
      <w:r w:rsidRPr="002E3262">
        <w:rPr>
          <w:bCs w:val="0"/>
          <w:sz w:val="20"/>
          <w:szCs w:val="20"/>
        </w:rPr>
        <w:t>sharing bands</w:t>
      </w:r>
    </w:p>
    <w:p w:rsidR="00230CF6"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18) Avista, Idaho – no deadband, </w:t>
      </w:r>
      <w:r w:rsidRPr="002E3262">
        <w:rPr>
          <w:bCs w:val="0"/>
          <w:sz w:val="20"/>
          <w:szCs w:val="20"/>
        </w:rPr>
        <w:t>90/10 sharing</w:t>
      </w:r>
    </w:p>
    <w:p w:rsidR="00230CF6"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19) Idaho Power, Idaho – no deadband, </w:t>
      </w:r>
      <w:r w:rsidRPr="002E3262">
        <w:rPr>
          <w:bCs w:val="0"/>
          <w:sz w:val="20"/>
          <w:szCs w:val="20"/>
        </w:rPr>
        <w:t>9</w:t>
      </w:r>
      <w:r>
        <w:rPr>
          <w:bCs w:val="0"/>
          <w:sz w:val="20"/>
          <w:szCs w:val="20"/>
        </w:rPr>
        <w:t>5</w:t>
      </w:r>
      <w:r w:rsidRPr="002E3262">
        <w:rPr>
          <w:bCs w:val="0"/>
          <w:sz w:val="20"/>
          <w:szCs w:val="20"/>
        </w:rPr>
        <w:t>/</w:t>
      </w:r>
      <w:r>
        <w:rPr>
          <w:bCs w:val="0"/>
          <w:sz w:val="20"/>
          <w:szCs w:val="20"/>
        </w:rPr>
        <w:t>5</w:t>
      </w:r>
      <w:r w:rsidRPr="002E3262">
        <w:rPr>
          <w:bCs w:val="0"/>
          <w:sz w:val="20"/>
          <w:szCs w:val="20"/>
        </w:rPr>
        <w:t xml:space="preserve"> sharing</w:t>
      </w:r>
    </w:p>
    <w:p w:rsidR="00230CF6" w:rsidRPr="002E3262"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20) Rocky Mountain Power, Idaho – no deadband, 90/10</w:t>
      </w:r>
      <w:r w:rsidRPr="002E3262">
        <w:rPr>
          <w:bCs w:val="0"/>
          <w:sz w:val="20"/>
          <w:szCs w:val="20"/>
        </w:rPr>
        <w:t xml:space="preserve"> sharing</w:t>
      </w:r>
    </w:p>
    <w:p w:rsidR="00212289" w:rsidRDefault="00212289" w:rsidP="00212289">
      <w:pPr>
        <w:pStyle w:val="BodyText"/>
        <w:tabs>
          <w:tab w:val="num" w:pos="0"/>
          <w:tab w:val="left" w:pos="810"/>
        </w:tabs>
        <w:spacing w:line="480" w:lineRule="auto"/>
        <w:ind w:firstLine="720"/>
        <w:jc w:val="both"/>
        <w:rPr>
          <w:bCs w:val="0"/>
        </w:rPr>
      </w:pPr>
      <w:proofErr w:type="gramStart"/>
      <w:r>
        <w:rPr>
          <w:bCs w:val="0"/>
        </w:rPr>
        <w:lastRenderedPageBreak/>
        <w:t>Q.</w:t>
      </w:r>
      <w:r>
        <w:rPr>
          <w:bCs w:val="0"/>
        </w:rPr>
        <w:tab/>
        <w:t>How is the Company’s ERM proposal comparable to its Purchased Gas Adjustment (PGA) mechanism?</w:t>
      </w:r>
      <w:proofErr w:type="gramEnd"/>
    </w:p>
    <w:p w:rsidR="00212289" w:rsidRPr="002C6C06" w:rsidRDefault="00212289" w:rsidP="00212289">
      <w:pPr>
        <w:pStyle w:val="BodyText"/>
        <w:tabs>
          <w:tab w:val="num" w:pos="0"/>
          <w:tab w:val="left" w:pos="810"/>
        </w:tabs>
        <w:spacing w:line="480" w:lineRule="auto"/>
        <w:ind w:firstLine="720"/>
        <w:jc w:val="both"/>
        <w:rPr>
          <w:b w:val="0"/>
          <w:bCs w:val="0"/>
        </w:rPr>
      </w:pPr>
      <w:r w:rsidRPr="002C6C06">
        <w:rPr>
          <w:b w:val="0"/>
          <w:bCs w:val="0"/>
        </w:rPr>
        <w:t>A.</w:t>
      </w:r>
      <w:r w:rsidRPr="002C6C06">
        <w:rPr>
          <w:b w:val="0"/>
          <w:bCs w:val="0"/>
        </w:rPr>
        <w:tab/>
      </w:r>
      <w:r>
        <w:rPr>
          <w:b w:val="0"/>
          <w:bCs w:val="0"/>
        </w:rPr>
        <w:t>As I mentioned earlier, the Company’s PGA mechanism in both Washington and Idaho allows for the recovery of 100% of the difference between actual and authorized purchased gas costs.  There is no deadband or sharing bands in the PGA mechanism.  The Company is proposing elimination of the deadband and first sharing band in the ERM.  While the Company believes that it should be allowed to recover 100% of the difference between actual and authorized power supply related costs included in the ERM, as it is allowed to do in the PGA, the Company is proposing a 90% customer/10% Company sharing level for the ERM.</w:t>
      </w:r>
    </w:p>
    <w:p w:rsidR="00212289" w:rsidRPr="00FD69F1" w:rsidRDefault="00212289" w:rsidP="00212289">
      <w:pPr>
        <w:pStyle w:val="BodyText"/>
        <w:tabs>
          <w:tab w:val="num" w:pos="0"/>
          <w:tab w:val="left" w:pos="810"/>
        </w:tabs>
        <w:spacing w:line="480" w:lineRule="auto"/>
        <w:ind w:firstLine="720"/>
        <w:jc w:val="both"/>
        <w:rPr>
          <w:bCs w:val="0"/>
        </w:rPr>
      </w:pPr>
      <w:r w:rsidRPr="00FD69F1">
        <w:rPr>
          <w:bCs w:val="0"/>
        </w:rPr>
        <w:t>Q.</w:t>
      </w:r>
      <w:r w:rsidRPr="00FD69F1">
        <w:rPr>
          <w:bCs w:val="0"/>
        </w:rPr>
        <w:tab/>
        <w:t>Would you please</w:t>
      </w:r>
      <w:r>
        <w:rPr>
          <w:bCs w:val="0"/>
        </w:rPr>
        <w:t xml:space="preserve"> summarize the reasons for eliminating the deadband and the </w:t>
      </w:r>
      <w:r w:rsidRPr="00C37D0F">
        <w:rPr>
          <w:bCs w:val="0"/>
        </w:rPr>
        <w:t>$4 million to $10 million sharing band</w:t>
      </w:r>
      <w:r>
        <w:rPr>
          <w:bCs w:val="0"/>
        </w:rPr>
        <w:t xml:space="preserve"> in the ERM?</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The Company has essentially no control over variations in costs due to stream flow conditions, or fuel and purchased power prices reflected in the ERM, and the Company should not have to absorb power supply related costs that the Company has to incur to meet customer loads.  The Company’s PGA mechanism provides for the recovery of 100% of the variation in prudently incurred purchased gas costs.  Elimination of the deadband, and the $4 million to $10 million sharing bands, will reduce the impact of setting the level of power costs in base rates at the wrong level.  Other states have electric commodity recovery mechanisms that don’t have </w:t>
      </w:r>
      <w:proofErr w:type="spellStart"/>
      <w:r>
        <w:rPr>
          <w:b w:val="0"/>
          <w:bCs w:val="0"/>
        </w:rPr>
        <w:t>deadbands</w:t>
      </w:r>
      <w:proofErr w:type="spellEnd"/>
      <w:r>
        <w:rPr>
          <w:b w:val="0"/>
          <w:bCs w:val="0"/>
        </w:rPr>
        <w:t>.  And, the elimination of the deadband and first sharing band will help relieve financial stress on the Company, and will be viewed positively by the financial community.</w:t>
      </w:r>
    </w:p>
    <w:p w:rsidR="00212289" w:rsidRPr="00F774EE" w:rsidRDefault="00212289" w:rsidP="008527AD">
      <w:pPr>
        <w:pStyle w:val="BodyText"/>
        <w:tabs>
          <w:tab w:val="num" w:pos="0"/>
          <w:tab w:val="left" w:pos="810"/>
        </w:tabs>
        <w:spacing w:line="480" w:lineRule="auto"/>
        <w:jc w:val="both"/>
        <w:rPr>
          <w:bCs w:val="0"/>
          <w:u w:val="single"/>
        </w:rPr>
      </w:pPr>
      <w:r w:rsidRPr="00F774EE">
        <w:rPr>
          <w:bCs w:val="0"/>
          <w:u w:val="single"/>
        </w:rPr>
        <w:t>Retail Revenue Credit</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lastRenderedPageBreak/>
        <w:t>Q.</w:t>
      </w:r>
      <w:r w:rsidRPr="00F774EE">
        <w:rPr>
          <w:bCs w:val="0"/>
        </w:rPr>
        <w:tab/>
      </w:r>
      <w:r>
        <w:rPr>
          <w:bCs w:val="0"/>
        </w:rPr>
        <w:t>Would you please describe how the retail revenue credit works within the ERM?</w:t>
      </w:r>
    </w:p>
    <w:p w:rsidR="00212289" w:rsidRPr="006A2054"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w:t>
      </w:r>
      <w:r w:rsidRPr="006A2054">
        <w:rPr>
          <w:b w:val="0"/>
          <w:bCs w:val="0"/>
        </w:rPr>
        <w:t xml:space="preserve">When retail loads are higher than authorized loads, there is a higher power supply expense to serve the increase in load that is included in </w:t>
      </w:r>
      <w:r>
        <w:rPr>
          <w:b w:val="0"/>
          <w:bCs w:val="0"/>
        </w:rPr>
        <w:t>the ERM</w:t>
      </w:r>
      <w:r w:rsidRPr="006A2054">
        <w:rPr>
          <w:b w:val="0"/>
          <w:bCs w:val="0"/>
        </w:rPr>
        <w:t xml:space="preserve">.  </w:t>
      </w:r>
      <w:r>
        <w:rPr>
          <w:b w:val="0"/>
          <w:bCs w:val="0"/>
        </w:rPr>
        <w:t>There is also a</w:t>
      </w:r>
      <w:r w:rsidRPr="006A2054">
        <w:rPr>
          <w:b w:val="0"/>
          <w:bCs w:val="0"/>
        </w:rPr>
        <w:t xml:space="preserve"> retail revenue credit</w:t>
      </w:r>
      <w:r>
        <w:rPr>
          <w:b w:val="0"/>
          <w:bCs w:val="0"/>
        </w:rPr>
        <w:t xml:space="preserve"> adjustment within the ERM that multiplies the retail revenue credit rate times</w:t>
      </w:r>
      <w:r w:rsidRPr="006A2054">
        <w:rPr>
          <w:b w:val="0"/>
          <w:bCs w:val="0"/>
        </w:rPr>
        <w:t xml:space="preserve"> the increase in load to take into account that there is an increase in retail revenue to correspond with the increase in power supply expense.  Absent the </w:t>
      </w:r>
      <w:r>
        <w:rPr>
          <w:b w:val="0"/>
          <w:bCs w:val="0"/>
        </w:rPr>
        <w:t>retail revenue credit</w:t>
      </w:r>
      <w:r w:rsidRPr="006A2054">
        <w:rPr>
          <w:b w:val="0"/>
          <w:bCs w:val="0"/>
        </w:rPr>
        <w:t xml:space="preserve"> adjustment, customers would be overcharged through the </w:t>
      </w:r>
      <w:r>
        <w:rPr>
          <w:b w:val="0"/>
          <w:bCs w:val="0"/>
        </w:rPr>
        <w:t>ERM</w:t>
      </w:r>
      <w:r w:rsidRPr="006A2054">
        <w:rPr>
          <w:b w:val="0"/>
          <w:bCs w:val="0"/>
        </w:rPr>
        <w:t xml:space="preserve"> for the increase in power supply expense.</w:t>
      </w:r>
    </w:p>
    <w:p w:rsidR="00212289" w:rsidRDefault="00212289" w:rsidP="00212289">
      <w:pPr>
        <w:pStyle w:val="BodyText"/>
        <w:tabs>
          <w:tab w:val="num" w:pos="0"/>
          <w:tab w:val="left" w:pos="810"/>
        </w:tabs>
        <w:spacing w:line="480" w:lineRule="auto"/>
        <w:ind w:firstLine="720"/>
        <w:jc w:val="both"/>
        <w:rPr>
          <w:b w:val="0"/>
          <w:bCs w:val="0"/>
        </w:rPr>
      </w:pPr>
      <w:r w:rsidRPr="006A2054">
        <w:rPr>
          <w:b w:val="0"/>
          <w:bCs w:val="0"/>
        </w:rPr>
        <w:t xml:space="preserve">Likewise, when retail loads are lower than authorized loads, there is a lower net power supply expense to serve the decrease in load that is included in the </w:t>
      </w:r>
      <w:r>
        <w:rPr>
          <w:b w:val="0"/>
          <w:bCs w:val="0"/>
        </w:rPr>
        <w:t>ERM</w:t>
      </w:r>
      <w:r w:rsidRPr="006A2054">
        <w:rPr>
          <w:b w:val="0"/>
          <w:bCs w:val="0"/>
        </w:rPr>
        <w:t xml:space="preserve">.  </w:t>
      </w:r>
      <w:r>
        <w:rPr>
          <w:b w:val="0"/>
          <w:bCs w:val="0"/>
        </w:rPr>
        <w:t>The</w:t>
      </w:r>
      <w:r w:rsidRPr="006A2054">
        <w:rPr>
          <w:b w:val="0"/>
          <w:bCs w:val="0"/>
        </w:rPr>
        <w:t xml:space="preserve"> retail revenue credit</w:t>
      </w:r>
      <w:r>
        <w:rPr>
          <w:b w:val="0"/>
          <w:bCs w:val="0"/>
        </w:rPr>
        <w:t xml:space="preserve"> </w:t>
      </w:r>
      <w:r w:rsidRPr="006A2054">
        <w:rPr>
          <w:b w:val="0"/>
          <w:bCs w:val="0"/>
        </w:rPr>
        <w:t xml:space="preserve">is applied to the decrease in load to take into account that there is a decrease in retail revenue that corresponds with the decrease in power supply expense.  Absent the </w:t>
      </w:r>
      <w:r>
        <w:rPr>
          <w:b w:val="0"/>
          <w:bCs w:val="0"/>
        </w:rPr>
        <w:t>retail revenue credit</w:t>
      </w:r>
      <w:r w:rsidRPr="006A2054">
        <w:rPr>
          <w:b w:val="0"/>
          <w:bCs w:val="0"/>
        </w:rPr>
        <w:t xml:space="preserve"> adjustment, customers would receive an und</w:t>
      </w:r>
      <w:r w:rsidR="002F62B6">
        <w:rPr>
          <w:b w:val="0"/>
          <w:bCs w:val="0"/>
        </w:rPr>
        <w:t>ue</w:t>
      </w:r>
      <w:r w:rsidRPr="006A2054">
        <w:rPr>
          <w:b w:val="0"/>
          <w:bCs w:val="0"/>
        </w:rPr>
        <w:t xml:space="preserve"> benefit through the </w:t>
      </w:r>
      <w:r>
        <w:rPr>
          <w:b w:val="0"/>
          <w:bCs w:val="0"/>
        </w:rPr>
        <w:t>ERM</w:t>
      </w:r>
      <w:r w:rsidRPr="006A2054">
        <w:rPr>
          <w:b w:val="0"/>
          <w:bCs w:val="0"/>
        </w:rPr>
        <w:t>, since the net reduction in power supply expense is directly related to a reduction in retail revenue.</w:t>
      </w:r>
    </w:p>
    <w:p w:rsidR="00212289" w:rsidRPr="00D36092" w:rsidRDefault="00212289" w:rsidP="00212289">
      <w:pPr>
        <w:pStyle w:val="BodyText"/>
        <w:tabs>
          <w:tab w:val="num" w:pos="0"/>
          <w:tab w:val="left" w:pos="810"/>
        </w:tabs>
        <w:spacing w:line="480" w:lineRule="auto"/>
        <w:ind w:firstLine="720"/>
        <w:jc w:val="both"/>
        <w:rPr>
          <w:bCs w:val="0"/>
        </w:rPr>
      </w:pPr>
      <w:proofErr w:type="gramStart"/>
      <w:r w:rsidRPr="00D36092">
        <w:rPr>
          <w:bCs w:val="0"/>
        </w:rPr>
        <w:t>Q.</w:t>
      </w:r>
      <w:r w:rsidRPr="00D36092">
        <w:rPr>
          <w:bCs w:val="0"/>
        </w:rPr>
        <w:tab/>
        <w:t xml:space="preserve">How is the retail revenue credit rate </w:t>
      </w:r>
      <w:r>
        <w:rPr>
          <w:bCs w:val="0"/>
        </w:rPr>
        <w:t>currently</w:t>
      </w:r>
      <w:proofErr w:type="gramEnd"/>
      <w:r>
        <w:rPr>
          <w:bCs w:val="0"/>
        </w:rPr>
        <w:t xml:space="preserve"> </w:t>
      </w:r>
      <w:r w:rsidRPr="00D36092">
        <w:rPr>
          <w:bCs w:val="0"/>
        </w:rPr>
        <w:t>determined?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retail revenue credit rate is currently based on a revenue requirement calculation of the fixed and variable production and transmission costs authorized in the Company’s last rate case.  The net costs include production and transmission related sales for resale and other revenues, operating expenses, maintenance expenses, purchased power expenses, depreciation and amortization expenses, and a return on production and transmission rate base including federal income tax.</w:t>
      </w:r>
    </w:p>
    <w:p w:rsidR="00212289" w:rsidRDefault="00212289" w:rsidP="00212289">
      <w:pPr>
        <w:pStyle w:val="BodyText"/>
        <w:tabs>
          <w:tab w:val="num" w:pos="0"/>
          <w:tab w:val="left" w:pos="810"/>
        </w:tabs>
        <w:spacing w:line="480" w:lineRule="auto"/>
        <w:ind w:firstLine="720"/>
        <w:jc w:val="both"/>
        <w:rPr>
          <w:bCs w:val="0"/>
        </w:rPr>
      </w:pPr>
      <w:r>
        <w:rPr>
          <w:bCs w:val="0"/>
        </w:rPr>
        <w:lastRenderedPageBreak/>
        <w:t>Q.</w:t>
      </w:r>
      <w:r>
        <w:rPr>
          <w:bCs w:val="0"/>
        </w:rPr>
        <w:tab/>
        <w:t>What is the new method of determining the retail revenue credit rate that the Company is proposing?</w:t>
      </w:r>
    </w:p>
    <w:p w:rsidR="00212289" w:rsidRDefault="00212289" w:rsidP="00212289">
      <w:pPr>
        <w:pStyle w:val="BodyText"/>
        <w:tabs>
          <w:tab w:val="num" w:pos="0"/>
          <w:tab w:val="left" w:pos="810"/>
        </w:tabs>
        <w:spacing w:line="480" w:lineRule="auto"/>
        <w:ind w:firstLine="720"/>
        <w:jc w:val="both"/>
        <w:rPr>
          <w:b w:val="0"/>
          <w:bCs w:val="0"/>
        </w:rPr>
      </w:pPr>
      <w:r w:rsidRPr="00D20E5B">
        <w:rPr>
          <w:b w:val="0"/>
          <w:bCs w:val="0"/>
        </w:rPr>
        <w:t>A.</w:t>
      </w:r>
      <w:r w:rsidRPr="00D20E5B">
        <w:rPr>
          <w:b w:val="0"/>
          <w:bCs w:val="0"/>
        </w:rPr>
        <w:tab/>
      </w:r>
      <w:r>
        <w:rPr>
          <w:b w:val="0"/>
          <w:bCs w:val="0"/>
        </w:rPr>
        <w:t xml:space="preserve">The Company is proposing that the retail revenue credit rate be determined based on the </w:t>
      </w:r>
      <w:r w:rsidRPr="00C423D5">
        <w:rPr>
          <w:b w:val="0"/>
          <w:bCs w:val="0"/>
          <w:u w:val="single"/>
        </w:rPr>
        <w:t>energy</w:t>
      </w:r>
      <w:r>
        <w:rPr>
          <w:b w:val="0"/>
          <w:bCs w:val="0"/>
        </w:rPr>
        <w:t xml:space="preserve"> classified portion of the fixed and variable production and transmission revenue requirement identified above, as established in the Company’s cost of service study from the general rate case.</w:t>
      </w:r>
    </w:p>
    <w:p w:rsidR="00212289" w:rsidRPr="00946BF5" w:rsidRDefault="00212289" w:rsidP="00212289">
      <w:pPr>
        <w:pStyle w:val="BodyText"/>
        <w:tabs>
          <w:tab w:val="num" w:pos="0"/>
          <w:tab w:val="left" w:pos="810"/>
        </w:tabs>
        <w:spacing w:line="480" w:lineRule="auto"/>
        <w:ind w:firstLine="720"/>
        <w:jc w:val="both"/>
        <w:rPr>
          <w:bCs w:val="0"/>
        </w:rPr>
      </w:pPr>
      <w:r w:rsidRPr="00946BF5">
        <w:rPr>
          <w:bCs w:val="0"/>
        </w:rPr>
        <w:t>Q.</w:t>
      </w:r>
      <w:r w:rsidRPr="00946BF5">
        <w:rPr>
          <w:bCs w:val="0"/>
        </w:rPr>
        <w:tab/>
        <w:t>What affect does the proposed method have on the retail revenue credit rate?</w:t>
      </w:r>
    </w:p>
    <w:p w:rsidR="00212289" w:rsidRPr="00D20E5B"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Based on the Settlement Agreement approved by the Commission in Docket UE-110876, the retail revenue credit rate that was effective January 1, 2012, and that is currently in place under th</w:t>
      </w:r>
      <w:r w:rsidR="00804CDF">
        <w:rPr>
          <w:b w:val="0"/>
          <w:bCs w:val="0"/>
        </w:rPr>
        <w:t>e existing method is $50.37/</w:t>
      </w:r>
      <w:r>
        <w:rPr>
          <w:b w:val="0"/>
          <w:bCs w:val="0"/>
        </w:rPr>
        <w:t>M</w:t>
      </w:r>
      <w:r w:rsidR="00804CDF">
        <w:rPr>
          <w:b w:val="0"/>
          <w:bCs w:val="0"/>
        </w:rPr>
        <w:t>W</w:t>
      </w:r>
      <w:r>
        <w:rPr>
          <w:b w:val="0"/>
          <w:bCs w:val="0"/>
        </w:rPr>
        <w:t xml:space="preserve">h.  Under the proposed method the energy classified portion </w:t>
      </w:r>
      <w:r w:rsidR="00804CDF">
        <w:rPr>
          <w:b w:val="0"/>
          <w:bCs w:val="0"/>
        </w:rPr>
        <w:t>of the rate would be $32.92/</w:t>
      </w:r>
      <w:r>
        <w:rPr>
          <w:b w:val="0"/>
          <w:bCs w:val="0"/>
        </w:rPr>
        <w:t>M</w:t>
      </w:r>
      <w:r w:rsidR="00804CDF">
        <w:rPr>
          <w:b w:val="0"/>
          <w:bCs w:val="0"/>
        </w:rPr>
        <w:t>W</w:t>
      </w:r>
      <w:r>
        <w:rPr>
          <w:b w:val="0"/>
          <w:bCs w:val="0"/>
        </w:rPr>
        <w:t xml:space="preserve">h.  In the current case, based on the Company’s proposed revenue requirement, the </w:t>
      </w:r>
      <w:r w:rsidR="00717FC0">
        <w:rPr>
          <w:b w:val="0"/>
          <w:bCs w:val="0"/>
        </w:rPr>
        <w:t>retail revenue credit is $50.</w:t>
      </w:r>
      <w:r w:rsidR="00214EEC">
        <w:rPr>
          <w:b w:val="0"/>
          <w:bCs w:val="0"/>
        </w:rPr>
        <w:t>59</w:t>
      </w:r>
      <w:r w:rsidR="00804CDF">
        <w:rPr>
          <w:b w:val="0"/>
          <w:bCs w:val="0"/>
        </w:rPr>
        <w:t xml:space="preserve"> /</w:t>
      </w:r>
      <w:r>
        <w:rPr>
          <w:b w:val="0"/>
          <w:bCs w:val="0"/>
        </w:rPr>
        <w:t>M</w:t>
      </w:r>
      <w:r w:rsidR="00804CDF">
        <w:rPr>
          <w:b w:val="0"/>
          <w:bCs w:val="0"/>
        </w:rPr>
        <w:t>W</w:t>
      </w:r>
      <w:r>
        <w:rPr>
          <w:b w:val="0"/>
          <w:bCs w:val="0"/>
        </w:rPr>
        <w:t xml:space="preserve">h under the </w:t>
      </w:r>
      <w:r w:rsidR="00804CDF">
        <w:rPr>
          <w:b w:val="0"/>
          <w:bCs w:val="0"/>
        </w:rPr>
        <w:t>existing method, and $33.</w:t>
      </w:r>
      <w:r w:rsidR="00214EEC">
        <w:rPr>
          <w:b w:val="0"/>
          <w:bCs w:val="0"/>
        </w:rPr>
        <w:t>29</w:t>
      </w:r>
      <w:r w:rsidR="00804CDF">
        <w:rPr>
          <w:b w:val="0"/>
          <w:bCs w:val="0"/>
        </w:rPr>
        <w:t>/MWh</w:t>
      </w:r>
      <w:r>
        <w:rPr>
          <w:b w:val="0"/>
          <w:bCs w:val="0"/>
        </w:rPr>
        <w:t xml:space="preserve"> under the proposed, energy-classified method.</w:t>
      </w:r>
    </w:p>
    <w:p w:rsidR="00212289" w:rsidRPr="00D20E5B" w:rsidRDefault="00212289" w:rsidP="00212289">
      <w:pPr>
        <w:pStyle w:val="BodyText"/>
        <w:tabs>
          <w:tab w:val="num" w:pos="0"/>
          <w:tab w:val="left" w:pos="810"/>
        </w:tabs>
        <w:spacing w:line="480" w:lineRule="auto"/>
        <w:ind w:firstLine="720"/>
        <w:jc w:val="both"/>
        <w:rPr>
          <w:bCs w:val="0"/>
        </w:rPr>
      </w:pPr>
      <w:r w:rsidRPr="00D20E5B">
        <w:rPr>
          <w:bCs w:val="0"/>
        </w:rPr>
        <w:t>Q.</w:t>
      </w:r>
      <w:r w:rsidRPr="00D20E5B">
        <w:rPr>
          <w:bCs w:val="0"/>
        </w:rPr>
        <w:tab/>
        <w:t>Why is the Company proposing to change the way the retail revenue credit rate is determined?</w:t>
      </w:r>
    </w:p>
    <w:p w:rsidR="002034E5"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existing retail revenue credit rate, which is based on the fixed and variable production and transmission costs, is set too high.  When retail loads increase, too much new revenue is credited back to customers through the ERM, rather than being available to offset increased costs.  Because too much revenue is credited back to customers through the ERM, the matching principle is violated following a general rate case.  New revenue from load growth is not available to offset costs associated with capital additions that are necessary to replace aging production, transmission, and back-bone distribution </w:t>
      </w:r>
      <w:r>
        <w:rPr>
          <w:b w:val="0"/>
          <w:bCs w:val="0"/>
        </w:rPr>
        <w:lastRenderedPageBreak/>
        <w:t xml:space="preserve">infrastructure, or increased operation and maintenance expenses.  </w:t>
      </w:r>
      <w:r w:rsidR="002034E5">
        <w:rPr>
          <w:b w:val="0"/>
          <w:bCs w:val="0"/>
        </w:rPr>
        <w:t xml:space="preserve">Inherent in the use of historical test-period ratemaking is the expectation that retail revenue will grow following the test year, and that revenue is available to help cover the increase in costs that occurs following the test year.  If the Retail Revenue Credit is designed to </w:t>
      </w:r>
      <w:r w:rsidR="0044625D">
        <w:rPr>
          <w:b w:val="0"/>
          <w:bCs w:val="0"/>
        </w:rPr>
        <w:t>rebate to customers the growth in revenue following the test year then it violates the matching principle and is in conflict with the use of historical test period ratemaking</w:t>
      </w:r>
    </w:p>
    <w:p w:rsidR="00212289" w:rsidRDefault="00212289" w:rsidP="00212289">
      <w:pPr>
        <w:pStyle w:val="BodyText"/>
        <w:tabs>
          <w:tab w:val="num" w:pos="0"/>
          <w:tab w:val="left" w:pos="810"/>
        </w:tabs>
        <w:spacing w:line="480" w:lineRule="auto"/>
        <w:ind w:firstLine="720"/>
        <w:jc w:val="both"/>
        <w:rPr>
          <w:b w:val="0"/>
          <w:bCs w:val="0"/>
        </w:rPr>
      </w:pPr>
      <w:r>
        <w:rPr>
          <w:b w:val="0"/>
          <w:bCs w:val="0"/>
        </w:rPr>
        <w:t>By setting the retail revenue credit rate at a lower level, there is more revenue available to offset the aforementioned costs that is not credited back to customers through the ERM.  Setting the retail revenue credit at a lower level will also eliminate fixed production and transmission costs from being recovered through the ERM when retail loads decline.</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The cost changes that are tracked through the ERM are primarily due to changes in the price of </w:t>
      </w:r>
      <w:r w:rsidRPr="00591EDC">
        <w:rPr>
          <w:b w:val="0"/>
          <w:bCs w:val="0"/>
          <w:u w:val="single"/>
        </w:rPr>
        <w:t>energy</w:t>
      </w:r>
      <w:r>
        <w:rPr>
          <w:b w:val="0"/>
          <w:bCs w:val="0"/>
        </w:rPr>
        <w:t xml:space="preserve">, or changes to the amount of energy being purchased, sold, or generated.  Since the costs being tracked through the ERM are primarily </w:t>
      </w:r>
      <w:r w:rsidRPr="00591EDC">
        <w:rPr>
          <w:b w:val="0"/>
          <w:bCs w:val="0"/>
          <w:u w:val="single"/>
        </w:rPr>
        <w:t>energy</w:t>
      </w:r>
      <w:r>
        <w:rPr>
          <w:b w:val="0"/>
          <w:bCs w:val="0"/>
        </w:rPr>
        <w:t xml:space="preserve"> related, it </w:t>
      </w:r>
      <w:r w:rsidR="00591EDC">
        <w:rPr>
          <w:b w:val="0"/>
          <w:bCs w:val="0"/>
        </w:rPr>
        <w:t>is appropriate</w:t>
      </w:r>
      <w:r>
        <w:rPr>
          <w:b w:val="0"/>
          <w:bCs w:val="0"/>
        </w:rPr>
        <w:t xml:space="preserve"> for the retail revenue credit to be based on the </w:t>
      </w:r>
      <w:r w:rsidRPr="00591EDC">
        <w:rPr>
          <w:b w:val="0"/>
          <w:bCs w:val="0"/>
          <w:u w:val="single"/>
        </w:rPr>
        <w:t>energy</w:t>
      </w:r>
      <w:r w:rsidR="00591EDC">
        <w:rPr>
          <w:b w:val="0"/>
          <w:bCs w:val="0"/>
        </w:rPr>
        <w:t>-</w:t>
      </w:r>
      <w:r>
        <w:rPr>
          <w:b w:val="0"/>
          <w:bCs w:val="0"/>
        </w:rPr>
        <w:t>related portion of production and transmission costs reflected in retail rates.</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What retail revenue credit method is used in the Idaho PCA?</w:t>
      </w:r>
    </w:p>
    <w:p w:rsidR="00212289" w:rsidRPr="00235D93" w:rsidRDefault="00212289" w:rsidP="00212289">
      <w:pPr>
        <w:pStyle w:val="BodyText"/>
        <w:tabs>
          <w:tab w:val="num" w:pos="0"/>
          <w:tab w:val="left" w:pos="810"/>
        </w:tabs>
        <w:spacing w:line="480" w:lineRule="auto"/>
        <w:ind w:firstLine="720"/>
        <w:jc w:val="both"/>
        <w:rPr>
          <w:b w:val="0"/>
          <w:bCs w:val="0"/>
        </w:rPr>
      </w:pPr>
      <w:r w:rsidRPr="00023534">
        <w:rPr>
          <w:b w:val="0"/>
          <w:bCs w:val="0"/>
        </w:rPr>
        <w:t>A.</w:t>
      </w:r>
      <w:r w:rsidRPr="00023534">
        <w:rPr>
          <w:b w:val="0"/>
          <w:bCs w:val="0"/>
        </w:rPr>
        <w:tab/>
      </w:r>
      <w:r w:rsidRPr="00235D93">
        <w:rPr>
          <w:b w:val="0"/>
          <w:bCs w:val="0"/>
        </w:rPr>
        <w:t>Effective April 1, 2011</w:t>
      </w:r>
      <w:r>
        <w:rPr>
          <w:b w:val="0"/>
          <w:bCs w:val="0"/>
        </w:rPr>
        <w:t xml:space="preserve"> the Idaho Public Utilities Commission authorized a switch to the energy classified portion of embedded production revenue requirement to determine the retail revenue credit, which is referred to as the “Load Change Adjustment Rate” in Idaho.  The method applies to all three investor-owned, electric utilities in Idaho, namely, Avista, Idaho Power, and Rocky Mountain Power.  On April 1, 2011 the retail revenue credit for Avi</w:t>
      </w:r>
      <w:r w:rsidR="00804CDF">
        <w:rPr>
          <w:b w:val="0"/>
          <w:bCs w:val="0"/>
        </w:rPr>
        <w:t>sta was reduced from $48.00/</w:t>
      </w:r>
      <w:r>
        <w:rPr>
          <w:b w:val="0"/>
          <w:bCs w:val="0"/>
        </w:rPr>
        <w:t>M</w:t>
      </w:r>
      <w:r w:rsidR="00804CDF">
        <w:rPr>
          <w:b w:val="0"/>
          <w:bCs w:val="0"/>
        </w:rPr>
        <w:t>Wh to $30.16/</w:t>
      </w:r>
      <w:r>
        <w:rPr>
          <w:b w:val="0"/>
          <w:bCs w:val="0"/>
        </w:rPr>
        <w:t>M</w:t>
      </w:r>
      <w:r w:rsidR="00804CDF">
        <w:rPr>
          <w:b w:val="0"/>
          <w:bCs w:val="0"/>
        </w:rPr>
        <w:t>W</w:t>
      </w:r>
      <w:r>
        <w:rPr>
          <w:b w:val="0"/>
          <w:bCs w:val="0"/>
        </w:rPr>
        <w:t>h.</w:t>
      </w:r>
    </w:p>
    <w:p w:rsidR="00212289" w:rsidRDefault="00212289" w:rsidP="008527AD">
      <w:pPr>
        <w:pStyle w:val="BodyText"/>
        <w:tabs>
          <w:tab w:val="num" w:pos="0"/>
          <w:tab w:val="left" w:pos="810"/>
        </w:tabs>
        <w:spacing w:line="480" w:lineRule="auto"/>
        <w:jc w:val="both"/>
        <w:rPr>
          <w:bCs w:val="0"/>
          <w:u w:val="single"/>
        </w:rPr>
      </w:pPr>
      <w:r>
        <w:rPr>
          <w:bCs w:val="0"/>
          <w:u w:val="single"/>
        </w:rPr>
        <w:lastRenderedPageBreak/>
        <w:t>Rate Adjustment Trigger and Rate Spread</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What is the current rate adjustment trigger for the ERM?</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rate adjustment trigger is set at 10% of base revenues per the Settlement Stipulation approved by the Fifth Supplemental Order in Docket UE-011595, dated June 18, 2002.  What this means is that the ERM rate adjustment trigger is currently $45.3 million (10% of the base level of revenue approved in Docket UE-110876 of $453,007,000).  The Company believes that allowing deferrals to grow to 10% of base revenues, or approximately $45 million, needlessly delays the recovery or rebate of variations in power supply related costs.</w:t>
      </w:r>
    </w:p>
    <w:p w:rsidR="00212289" w:rsidRDefault="00212289" w:rsidP="00212289">
      <w:pPr>
        <w:pStyle w:val="BodyText"/>
        <w:tabs>
          <w:tab w:val="num" w:pos="0"/>
          <w:tab w:val="left" w:pos="810"/>
        </w:tabs>
        <w:spacing w:line="480" w:lineRule="auto"/>
        <w:ind w:firstLine="720"/>
        <w:jc w:val="both"/>
        <w:rPr>
          <w:bCs w:val="0"/>
        </w:rPr>
      </w:pPr>
      <w:proofErr w:type="gramStart"/>
      <w:r>
        <w:rPr>
          <w:bCs w:val="0"/>
        </w:rPr>
        <w:t>Q.</w:t>
      </w:r>
      <w:r>
        <w:rPr>
          <w:bCs w:val="0"/>
        </w:rPr>
        <w:tab/>
        <w:t>What is the Company’s proposed modification to the trigger mechanism?</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is proposing to replace the trigger mechanism with annual ERM rate adjustments.  These annual rate adjustments would occur with rates effective July 1 each year, based on the deferrals from the previous calendar year.  The Company would continue to file its annual deferral report on or before April 1 of each year, accompanied by a proposed rate adjustment to recover or rebate the deferral balance over a twelve-month period.  Commission Staff and other interested parties would still have 90 days to review the filing prior to the July 1 effective date of the tariff.</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Do annual rate adjustments result in smaller rate adjustments as compared to the existing trigger mechanism?</w:t>
      </w:r>
    </w:p>
    <w:p w:rsidR="00212289" w:rsidRDefault="00212289" w:rsidP="00591EDC">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the Company’s proposal would result in smaller surcharge or rebate rate adjustments, than adjusting rates when a 10% trigger is reached.  The rate adjustments would also be more understandable to customers since the costs being recovered or rebated </w:t>
      </w:r>
      <w:r>
        <w:rPr>
          <w:b w:val="0"/>
          <w:bCs w:val="0"/>
        </w:rPr>
        <w:lastRenderedPageBreak/>
        <w:t xml:space="preserve">relate to a recent period.  Annual rate adjustments would result in a more timely recovery of costs when deferrals are in the surcharge </w:t>
      </w:r>
      <w:proofErr w:type="gramStart"/>
      <w:r>
        <w:rPr>
          <w:b w:val="0"/>
          <w:bCs w:val="0"/>
        </w:rPr>
        <w:t>direction,</w:t>
      </w:r>
      <w:proofErr w:type="gramEnd"/>
      <w:r>
        <w:rPr>
          <w:b w:val="0"/>
          <w:bCs w:val="0"/>
        </w:rPr>
        <w:t xml:space="preserve"> and a timelier pass-through of refunds when deferrals are in the rebate direction.  The proposal of annual rate adjustments also fits within the existing 90-day review process.</w:t>
      </w:r>
    </w:p>
    <w:p w:rsidR="00BE21E7" w:rsidRPr="00BE21E7" w:rsidRDefault="000B57DD" w:rsidP="00BE21E7">
      <w:pPr>
        <w:pStyle w:val="BodyText"/>
        <w:tabs>
          <w:tab w:val="num" w:pos="0"/>
        </w:tabs>
        <w:spacing w:line="480" w:lineRule="auto"/>
        <w:jc w:val="both"/>
        <w:rPr>
          <w:bCs w:val="0"/>
          <w:u w:val="single"/>
        </w:rPr>
      </w:pPr>
      <w:r>
        <w:rPr>
          <w:bCs w:val="0"/>
          <w:u w:val="single"/>
        </w:rPr>
        <w:t>ERM Related Revenues and Expenses, Retail Sales and Proposed Retail Revenue Credit</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591EDC">
        <w:rPr>
          <w:b w:val="0"/>
          <w:bCs w:val="0"/>
        </w:rPr>
        <w:t>176,595,377</w:t>
      </w:r>
      <w:r w:rsidRPr="00BE21E7">
        <w:rPr>
          <w:b w:val="0"/>
          <w:bCs w:val="0"/>
        </w:rPr>
        <w:t>.  This is the sum of Accounts 555 (Purchased Power), 501 (Thermal Fuel), 547 (Fuel), less Account 447 (</w:t>
      </w:r>
      <w:smartTag w:uri="urn:schemas-microsoft-com:office:smarttags" w:element="City">
        <w:smartTag w:uri="urn:schemas-microsoft-com:office:smarttags" w:element="place">
          <w:r w:rsidRPr="00BE21E7">
            <w:rPr>
              <w:b w:val="0"/>
              <w:bCs w:val="0"/>
            </w:rPr>
            <w:t>Sale</w:t>
          </w:r>
        </w:smartTag>
      </w:smartTag>
      <w:r w:rsidRPr="00BE21E7">
        <w:rPr>
          <w:b w:val="0"/>
          <w:bCs w:val="0"/>
        </w:rPr>
        <w:t xml:space="preserve"> for Resale).  The proposed level of Transmission Expense is </w:t>
      </w:r>
      <w:r w:rsidR="00591EDC">
        <w:rPr>
          <w:b w:val="0"/>
          <w:bCs w:val="0"/>
        </w:rPr>
        <w:t>$18,058,719</w:t>
      </w:r>
      <w:r w:rsidRPr="00BE21E7">
        <w:rPr>
          <w:b w:val="0"/>
          <w:bCs w:val="0"/>
        </w:rPr>
        <w:t xml:space="preserve">.  The proposed level of Transmission Revenue is </w:t>
      </w:r>
      <w:r w:rsidRPr="00804CDF">
        <w:rPr>
          <w:b w:val="0"/>
          <w:bCs w:val="0"/>
        </w:rPr>
        <w:t>$</w:t>
      </w:r>
      <w:r w:rsidR="001F4990" w:rsidRPr="00804CDF">
        <w:rPr>
          <w:b w:val="0"/>
          <w:bCs w:val="0"/>
        </w:rPr>
        <w:t>1</w:t>
      </w:r>
      <w:r w:rsidR="00DC7D94" w:rsidRPr="00804CDF">
        <w:rPr>
          <w:b w:val="0"/>
          <w:bCs w:val="0"/>
        </w:rPr>
        <w:t>1</w:t>
      </w:r>
      <w:r w:rsidRPr="00804CDF">
        <w:rPr>
          <w:b w:val="0"/>
          <w:bCs w:val="0"/>
        </w:rPr>
        <w:t>,</w:t>
      </w:r>
      <w:r w:rsidR="00804CDF">
        <w:rPr>
          <w:b w:val="0"/>
          <w:bCs w:val="0"/>
        </w:rPr>
        <w:t>065,962</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retail revenue credit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The proposed authorized level of retail sales to be used in the ERM is the January 201</w:t>
      </w:r>
      <w:r w:rsidR="005A6D43">
        <w:rPr>
          <w:b w:val="0"/>
          <w:bCs w:val="0"/>
        </w:rPr>
        <w:t>1</w:t>
      </w:r>
      <w:r w:rsidR="00BE21E7" w:rsidRPr="00BE21E7">
        <w:rPr>
          <w:b w:val="0"/>
          <w:bCs w:val="0"/>
        </w:rPr>
        <w:t xml:space="preserve"> through December 20</w:t>
      </w:r>
      <w:r w:rsidR="001177A0">
        <w:rPr>
          <w:b w:val="0"/>
          <w:bCs w:val="0"/>
        </w:rPr>
        <w:t>1</w:t>
      </w:r>
      <w:r w:rsidR="005A6D43">
        <w:rPr>
          <w:b w:val="0"/>
          <w:bCs w:val="0"/>
        </w:rPr>
        <w:t>1</w:t>
      </w:r>
      <w:r w:rsidR="00BE21E7" w:rsidRPr="00BE21E7">
        <w:rPr>
          <w:b w:val="0"/>
          <w:bCs w:val="0"/>
        </w:rPr>
        <w:t xml:space="preserve"> </w:t>
      </w:r>
      <w:r w:rsidR="001177A0">
        <w:rPr>
          <w:b w:val="0"/>
          <w:bCs w:val="0"/>
        </w:rPr>
        <w:t>weather adjusted</w:t>
      </w:r>
      <w:r w:rsidR="00BE21E7" w:rsidRPr="00BE21E7">
        <w:rPr>
          <w:b w:val="0"/>
          <w:bCs w:val="0"/>
        </w:rPr>
        <w:t xml:space="preserve"> retail</w:t>
      </w:r>
      <w:r w:rsidR="00B97984">
        <w:rPr>
          <w:b w:val="0"/>
          <w:bCs w:val="0"/>
        </w:rPr>
        <w:t xml:space="preserve"> sales</w:t>
      </w:r>
      <w:r w:rsidR="00BE21E7" w:rsidRPr="00BE21E7">
        <w:rPr>
          <w:b w:val="0"/>
          <w:bCs w:val="0"/>
        </w:rPr>
        <w:t xml:space="preserve">.  The proposed retail revenue credit is </w:t>
      </w:r>
      <w:r w:rsidR="00BE21E7" w:rsidRPr="00105104">
        <w:rPr>
          <w:b w:val="0"/>
          <w:bCs w:val="0"/>
        </w:rPr>
        <w:t>$</w:t>
      </w:r>
      <w:r w:rsidR="00804CDF" w:rsidRPr="00804CDF">
        <w:rPr>
          <w:b w:val="0"/>
          <w:bCs w:val="0"/>
        </w:rPr>
        <w:t>33.</w:t>
      </w:r>
      <w:r w:rsidR="00214EEC">
        <w:rPr>
          <w:b w:val="0"/>
          <w:bCs w:val="0"/>
        </w:rPr>
        <w:t>29</w:t>
      </w:r>
      <w:r w:rsidR="00BE21E7" w:rsidRPr="00804CDF">
        <w:rPr>
          <w:b w:val="0"/>
          <w:bCs w:val="0"/>
        </w:rPr>
        <w:t>/</w:t>
      </w:r>
      <w:r w:rsidR="00BE21E7" w:rsidRPr="001F4990">
        <w:rPr>
          <w:b w:val="0"/>
          <w:bCs w:val="0"/>
        </w:rPr>
        <w:t>MWh</w:t>
      </w:r>
      <w:r w:rsidR="00BE21E7" w:rsidRPr="00BE21E7">
        <w:rPr>
          <w:b w:val="0"/>
          <w:bCs w:val="0"/>
        </w:rPr>
        <w:t xml:space="preserve">, which is the </w:t>
      </w:r>
      <w:r>
        <w:rPr>
          <w:b w:val="0"/>
          <w:bCs w:val="0"/>
        </w:rPr>
        <w:t>energy classified portion of the fixed and variable production and transmission revenue requirement</w:t>
      </w:r>
      <w:r w:rsidR="00BE21E7" w:rsidRPr="00BE21E7">
        <w:rPr>
          <w:b w:val="0"/>
          <w:bCs w:val="0"/>
        </w:rPr>
        <w:t xml:space="preserve"> in this filing</w:t>
      </w:r>
      <w:r w:rsidR="0044617E">
        <w:rPr>
          <w:b w:val="0"/>
          <w:bCs w:val="0"/>
        </w:rPr>
        <w:t xml:space="preserve"> developed </w:t>
      </w:r>
      <w:r w:rsidR="009C2006">
        <w:rPr>
          <w:b w:val="0"/>
          <w:bCs w:val="0"/>
        </w:rPr>
        <w:t>by Company witness Ms. Knox</w:t>
      </w:r>
      <w:r w:rsidR="00BE21E7" w:rsidRPr="00BE21E7">
        <w:rPr>
          <w:b w:val="0"/>
          <w:bCs w:val="0"/>
        </w:rPr>
        <w:t>.</w:t>
      </w:r>
    </w:p>
    <w:p w:rsidR="00BE21E7" w:rsidRPr="00BE21E7" w:rsidRDefault="00BE21E7" w:rsidP="00BE21E7">
      <w:pPr>
        <w:pStyle w:val="BodyText"/>
        <w:tabs>
          <w:tab w:val="num" w:pos="0"/>
        </w:tabs>
        <w:spacing w:line="480" w:lineRule="auto"/>
        <w:jc w:val="both"/>
        <w:rPr>
          <w:b w:val="0"/>
          <w:bCs w:val="0"/>
        </w:rPr>
      </w:pPr>
      <w:r w:rsidRPr="00BE21E7">
        <w:rPr>
          <w:b w:val="0"/>
          <w:bCs w:val="0"/>
        </w:rPr>
        <w:tab/>
        <w:t xml:space="preserve">The proposed authorized ERM power supply expense and revenue, transmission expense and revenue, and </w:t>
      </w:r>
      <w:proofErr w:type="gramStart"/>
      <w:r w:rsidRPr="00BE21E7">
        <w:rPr>
          <w:b w:val="0"/>
          <w:bCs w:val="0"/>
        </w:rPr>
        <w:t>retail sales is</w:t>
      </w:r>
      <w:proofErr w:type="gramEnd"/>
      <w:r w:rsidRPr="00BE21E7">
        <w:rPr>
          <w:b w:val="0"/>
          <w:bCs w:val="0"/>
        </w:rPr>
        <w:t xml:space="preserve"> shown in Exhibit No.</w:t>
      </w:r>
      <w:r w:rsidR="00A55DD3">
        <w:rPr>
          <w:b w:val="0"/>
          <w:bCs w:val="0"/>
        </w:rPr>
        <w:t>__</w:t>
      </w:r>
      <w:r w:rsidR="00822FCE">
        <w:rPr>
          <w:b w:val="0"/>
          <w:bCs w:val="0"/>
        </w:rPr>
        <w:t>_</w:t>
      </w:r>
      <w:r w:rsidR="00822FCE" w:rsidRPr="00BE21E7">
        <w:rPr>
          <w:b w:val="0"/>
          <w:bCs w:val="0"/>
        </w:rPr>
        <w:t xml:space="preserve"> (</w:t>
      </w:r>
      <w:r w:rsidRPr="00BE21E7">
        <w:rPr>
          <w:b w:val="0"/>
          <w:bCs w:val="0"/>
        </w:rPr>
        <w:t>WGJ-</w:t>
      </w:r>
      <w:r w:rsidR="00A745AE">
        <w:rPr>
          <w:b w:val="0"/>
          <w:bCs w:val="0"/>
        </w:rPr>
        <w:t>5</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B86298">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1D1" w:rsidRDefault="00E331D1">
      <w:r>
        <w:separator/>
      </w:r>
    </w:p>
  </w:endnote>
  <w:endnote w:type="continuationSeparator" w:id="0">
    <w:p w:rsidR="00E331D1" w:rsidRDefault="00E33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Pr="00B4031A" w:rsidRDefault="00E331D1">
    <w:pPr>
      <w:pStyle w:val="Footer"/>
      <w:tabs>
        <w:tab w:val="clear" w:pos="4320"/>
        <w:tab w:val="clear" w:pos="8640"/>
        <w:tab w:val="left" w:pos="180"/>
        <w:tab w:val="right" w:pos="9360"/>
      </w:tabs>
    </w:pPr>
    <w:r w:rsidRPr="00B4031A">
      <w:t>Direct Testimony of William G. Johnson</w:t>
    </w:r>
  </w:p>
  <w:p w:rsidR="00E331D1" w:rsidRPr="00B4031A" w:rsidRDefault="00E331D1">
    <w:pPr>
      <w:pStyle w:val="Footer"/>
      <w:tabs>
        <w:tab w:val="clear" w:pos="4320"/>
        <w:tab w:val="clear" w:pos="8640"/>
        <w:tab w:val="left" w:pos="180"/>
        <w:tab w:val="right" w:pos="9360"/>
      </w:tabs>
      <w:rPr>
        <w:lang w:val="fr-FR"/>
      </w:rPr>
    </w:pPr>
    <w:r w:rsidRPr="00B4031A">
      <w:rPr>
        <w:lang w:val="fr-FR"/>
      </w:rPr>
      <w:t>Avista Corporation</w:t>
    </w:r>
  </w:p>
  <w:p w:rsidR="00E331D1" w:rsidRDefault="00E331D1">
    <w:pPr>
      <w:pStyle w:val="Footer"/>
      <w:tabs>
        <w:tab w:val="clear" w:pos="4320"/>
        <w:tab w:val="clear" w:pos="8640"/>
        <w:tab w:val="left" w:pos="180"/>
        <w:tab w:val="right" w:pos="9360"/>
      </w:tabs>
      <w:rPr>
        <w:rStyle w:val="PageNumber"/>
        <w:rFonts w:ascii="Palatino Linotype" w:hAnsi="Palatino Linotype" w:cs="Palatino Linotype"/>
      </w:rPr>
    </w:pPr>
    <w:r w:rsidRPr="00BE21E7">
      <w:rPr>
        <w:lang w:val="fr-FR"/>
      </w:rPr>
      <w:t>Docket No. UE-</w:t>
    </w:r>
    <w:r>
      <w:rPr>
        <w:lang w:val="fr-FR"/>
      </w:rPr>
      <w:t>1</w:t>
    </w:r>
    <w:r w:rsidR="00B86298">
      <w:rPr>
        <w:lang w:val="fr-FR"/>
      </w:rPr>
      <w:t>2</w:t>
    </w:r>
    <w:r w:rsidRPr="00BE21E7">
      <w:rPr>
        <w:lang w:val="fr-FR"/>
      </w:rPr>
      <w:t>____</w:t>
    </w:r>
    <w:r w:rsidRPr="00BE21E7">
      <w:rPr>
        <w:lang w:val="fr-FR"/>
      </w:rPr>
      <w:tab/>
      <w:t>Page</w:t>
    </w:r>
    <w:r w:rsidRPr="00BE21E7">
      <w:rPr>
        <w:rFonts w:ascii="Palatino Linotype" w:hAnsi="Palatino Linotype" w:cs="Palatino Linotype"/>
        <w:lang w:val="fr-FR"/>
      </w:rPr>
      <w:t xml:space="preserve"> </w:t>
    </w:r>
    <w:r w:rsidR="006A7727">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sidR="006A7727">
      <w:rPr>
        <w:rStyle w:val="PageNumber"/>
        <w:rFonts w:ascii="Palatino Linotype" w:hAnsi="Palatino Linotype" w:cs="Palatino Linotype"/>
      </w:rPr>
      <w:fldChar w:fldCharType="separate"/>
    </w:r>
    <w:r w:rsidR="005A7619">
      <w:rPr>
        <w:rStyle w:val="PageNumber"/>
        <w:rFonts w:ascii="Palatino Linotype" w:hAnsi="Palatino Linotype" w:cs="Palatino Linotype"/>
        <w:noProof/>
        <w:lang w:val="fr-FR"/>
      </w:rPr>
      <w:t>1</w:t>
    </w:r>
    <w:r w:rsidR="006A7727">
      <w:rPr>
        <w:rStyle w:val="PageNumber"/>
        <w:rFonts w:ascii="Palatino Linotype" w:hAnsi="Palatino Linotype" w:cs="Palatino Linotype"/>
      </w:rPr>
      <w:fldChar w:fldCharType="end"/>
    </w:r>
  </w:p>
  <w:p w:rsidR="00B4031A" w:rsidRDefault="00B4031A">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Default="00E331D1">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1D1" w:rsidRDefault="00E331D1">
      <w:r>
        <w:separator/>
      </w:r>
    </w:p>
  </w:footnote>
  <w:footnote w:type="continuationSeparator" w:id="0">
    <w:p w:rsidR="00E331D1" w:rsidRDefault="00E331D1">
      <w:r>
        <w:continuationSeparator/>
      </w:r>
    </w:p>
  </w:footnote>
  <w:footnote w:id="1">
    <w:p w:rsidR="00E331D1" w:rsidRDefault="00E331D1">
      <w:pPr>
        <w:pStyle w:val="FootnoteText"/>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2">
    <w:p w:rsidR="00E331D1" w:rsidRDefault="00E331D1">
      <w:pPr>
        <w:pStyle w:val="FootnoteText"/>
      </w:pPr>
      <w:r>
        <w:rPr>
          <w:rStyle w:val="FootnoteReference"/>
        </w:rPr>
        <w:footnoteRef/>
      </w:r>
      <w:r>
        <w:t xml:space="preserve"> The natural gas price included in the AURORA model and the modeled power purchase price does not include the actual natural gas and power transactions that have been entered into for the pro forma period.  These actual transactions have been separately accounted for in the pro forma expense.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Default="00E331D1">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Default="00E331D1" w:rsidP="00E331D1">
    <w:pPr>
      <w:pStyle w:val="Header"/>
      <w:jc w:val="right"/>
    </w:pPr>
    <w:r>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o:colormenu v:ext="edit" fillcolor="none [3212]"/>
    </o:shapedefaults>
  </w:hdrShapeDefaults>
  <w:footnotePr>
    <w:footnote w:id="-1"/>
    <w:footnote w:id="0"/>
  </w:footnotePr>
  <w:endnotePr>
    <w:endnote w:id="-1"/>
    <w:endnote w:id="0"/>
  </w:endnotePr>
  <w:compat/>
  <w:rsids>
    <w:rsidRoot w:val="00182994"/>
    <w:rsid w:val="00022CA6"/>
    <w:rsid w:val="00023534"/>
    <w:rsid w:val="0003296D"/>
    <w:rsid w:val="00036DBA"/>
    <w:rsid w:val="00037B2A"/>
    <w:rsid w:val="000519D7"/>
    <w:rsid w:val="00055978"/>
    <w:rsid w:val="00067E1A"/>
    <w:rsid w:val="00071F0A"/>
    <w:rsid w:val="00076370"/>
    <w:rsid w:val="000773D0"/>
    <w:rsid w:val="00087A02"/>
    <w:rsid w:val="00092D05"/>
    <w:rsid w:val="00095636"/>
    <w:rsid w:val="000A2769"/>
    <w:rsid w:val="000B57DD"/>
    <w:rsid w:val="000C6001"/>
    <w:rsid w:val="000E01AF"/>
    <w:rsid w:val="000F40A2"/>
    <w:rsid w:val="00105104"/>
    <w:rsid w:val="001177A0"/>
    <w:rsid w:val="001245BE"/>
    <w:rsid w:val="0012703B"/>
    <w:rsid w:val="00127C1C"/>
    <w:rsid w:val="0013441E"/>
    <w:rsid w:val="00137F9D"/>
    <w:rsid w:val="00147465"/>
    <w:rsid w:val="001665E9"/>
    <w:rsid w:val="001705BE"/>
    <w:rsid w:val="00182994"/>
    <w:rsid w:val="00187892"/>
    <w:rsid w:val="00190B9E"/>
    <w:rsid w:val="001947A1"/>
    <w:rsid w:val="001951A0"/>
    <w:rsid w:val="001973DE"/>
    <w:rsid w:val="00197849"/>
    <w:rsid w:val="001B0749"/>
    <w:rsid w:val="001B0DAD"/>
    <w:rsid w:val="001B4D44"/>
    <w:rsid w:val="001C4C68"/>
    <w:rsid w:val="001F1D02"/>
    <w:rsid w:val="001F37AE"/>
    <w:rsid w:val="001F3D71"/>
    <w:rsid w:val="001F4990"/>
    <w:rsid w:val="001F7A60"/>
    <w:rsid w:val="00200197"/>
    <w:rsid w:val="00201090"/>
    <w:rsid w:val="00201A6E"/>
    <w:rsid w:val="00201AC3"/>
    <w:rsid w:val="002034E5"/>
    <w:rsid w:val="00212289"/>
    <w:rsid w:val="00213819"/>
    <w:rsid w:val="00214EEC"/>
    <w:rsid w:val="002276E4"/>
    <w:rsid w:val="00230CF6"/>
    <w:rsid w:val="00231AD4"/>
    <w:rsid w:val="0023421E"/>
    <w:rsid w:val="002477D3"/>
    <w:rsid w:val="00254D97"/>
    <w:rsid w:val="00291043"/>
    <w:rsid w:val="002A2261"/>
    <w:rsid w:val="002C2686"/>
    <w:rsid w:val="002D06C3"/>
    <w:rsid w:val="002D0C51"/>
    <w:rsid w:val="002E5016"/>
    <w:rsid w:val="002F1C20"/>
    <w:rsid w:val="002F62B6"/>
    <w:rsid w:val="002F6EB0"/>
    <w:rsid w:val="00301D3F"/>
    <w:rsid w:val="00305307"/>
    <w:rsid w:val="003214E3"/>
    <w:rsid w:val="00321801"/>
    <w:rsid w:val="00326EEB"/>
    <w:rsid w:val="00335253"/>
    <w:rsid w:val="0035252D"/>
    <w:rsid w:val="00353674"/>
    <w:rsid w:val="00363D96"/>
    <w:rsid w:val="00387A30"/>
    <w:rsid w:val="003932C2"/>
    <w:rsid w:val="003A768F"/>
    <w:rsid w:val="003B5B38"/>
    <w:rsid w:val="003C2A70"/>
    <w:rsid w:val="003D15A9"/>
    <w:rsid w:val="003F3CBF"/>
    <w:rsid w:val="003F55FA"/>
    <w:rsid w:val="00407CC1"/>
    <w:rsid w:val="00414AC3"/>
    <w:rsid w:val="00414DD7"/>
    <w:rsid w:val="00431EB0"/>
    <w:rsid w:val="00434B9F"/>
    <w:rsid w:val="0044617E"/>
    <w:rsid w:val="0044625D"/>
    <w:rsid w:val="00452AA7"/>
    <w:rsid w:val="004628CA"/>
    <w:rsid w:val="00465B31"/>
    <w:rsid w:val="00470A8E"/>
    <w:rsid w:val="00472C4D"/>
    <w:rsid w:val="00476EBC"/>
    <w:rsid w:val="00483209"/>
    <w:rsid w:val="004936A1"/>
    <w:rsid w:val="004967E7"/>
    <w:rsid w:val="004A187E"/>
    <w:rsid w:val="004A3454"/>
    <w:rsid w:val="004A5300"/>
    <w:rsid w:val="004B4C41"/>
    <w:rsid w:val="004C0725"/>
    <w:rsid w:val="004C2BF7"/>
    <w:rsid w:val="004C3981"/>
    <w:rsid w:val="004D3D45"/>
    <w:rsid w:val="004E6CF8"/>
    <w:rsid w:val="004E7A16"/>
    <w:rsid w:val="004F758B"/>
    <w:rsid w:val="00506FC8"/>
    <w:rsid w:val="005108F2"/>
    <w:rsid w:val="005145D4"/>
    <w:rsid w:val="00514AC4"/>
    <w:rsid w:val="00541D93"/>
    <w:rsid w:val="00542569"/>
    <w:rsid w:val="005430BA"/>
    <w:rsid w:val="005517D9"/>
    <w:rsid w:val="005542A8"/>
    <w:rsid w:val="00565FD8"/>
    <w:rsid w:val="00576309"/>
    <w:rsid w:val="00580970"/>
    <w:rsid w:val="0058225F"/>
    <w:rsid w:val="00583433"/>
    <w:rsid w:val="00590DD4"/>
    <w:rsid w:val="00591D43"/>
    <w:rsid w:val="00591EDC"/>
    <w:rsid w:val="00593E33"/>
    <w:rsid w:val="005A6D43"/>
    <w:rsid w:val="005A7619"/>
    <w:rsid w:val="005B1E66"/>
    <w:rsid w:val="005C366C"/>
    <w:rsid w:val="005C39B4"/>
    <w:rsid w:val="005D7E94"/>
    <w:rsid w:val="005D7EE1"/>
    <w:rsid w:val="005E439A"/>
    <w:rsid w:val="005E6D8E"/>
    <w:rsid w:val="005F4F7A"/>
    <w:rsid w:val="005F5256"/>
    <w:rsid w:val="00601E14"/>
    <w:rsid w:val="00611611"/>
    <w:rsid w:val="0061735C"/>
    <w:rsid w:val="006242F7"/>
    <w:rsid w:val="0063791F"/>
    <w:rsid w:val="00650761"/>
    <w:rsid w:val="00653B88"/>
    <w:rsid w:val="0065453C"/>
    <w:rsid w:val="0065505F"/>
    <w:rsid w:val="00655366"/>
    <w:rsid w:val="00662BFE"/>
    <w:rsid w:val="006652C4"/>
    <w:rsid w:val="0066587A"/>
    <w:rsid w:val="00665EFE"/>
    <w:rsid w:val="0067610F"/>
    <w:rsid w:val="00676BEE"/>
    <w:rsid w:val="00684DC5"/>
    <w:rsid w:val="00691CB7"/>
    <w:rsid w:val="006A26AD"/>
    <w:rsid w:val="006A2758"/>
    <w:rsid w:val="006A6139"/>
    <w:rsid w:val="006A7727"/>
    <w:rsid w:val="006A7CFD"/>
    <w:rsid w:val="006B492E"/>
    <w:rsid w:val="006B7E17"/>
    <w:rsid w:val="006C01C8"/>
    <w:rsid w:val="006C0205"/>
    <w:rsid w:val="006D1A9B"/>
    <w:rsid w:val="006D353A"/>
    <w:rsid w:val="006D5BF7"/>
    <w:rsid w:val="006F4590"/>
    <w:rsid w:val="0070505F"/>
    <w:rsid w:val="007105B1"/>
    <w:rsid w:val="007119B4"/>
    <w:rsid w:val="0071369A"/>
    <w:rsid w:val="00717FC0"/>
    <w:rsid w:val="0072665A"/>
    <w:rsid w:val="00742583"/>
    <w:rsid w:val="00743E18"/>
    <w:rsid w:val="00747553"/>
    <w:rsid w:val="0075076D"/>
    <w:rsid w:val="00751E45"/>
    <w:rsid w:val="00754E86"/>
    <w:rsid w:val="00765BA1"/>
    <w:rsid w:val="007937D3"/>
    <w:rsid w:val="00796F4B"/>
    <w:rsid w:val="007A40D4"/>
    <w:rsid w:val="007A6DE3"/>
    <w:rsid w:val="007A795E"/>
    <w:rsid w:val="007A7EF9"/>
    <w:rsid w:val="007C4511"/>
    <w:rsid w:val="007D01A9"/>
    <w:rsid w:val="007D09A6"/>
    <w:rsid w:val="007D3E87"/>
    <w:rsid w:val="007E2219"/>
    <w:rsid w:val="007E6C13"/>
    <w:rsid w:val="007E7BC2"/>
    <w:rsid w:val="007F0DC8"/>
    <w:rsid w:val="007F462F"/>
    <w:rsid w:val="00800A6B"/>
    <w:rsid w:val="00804CDF"/>
    <w:rsid w:val="008103E4"/>
    <w:rsid w:val="008114C7"/>
    <w:rsid w:val="0081197F"/>
    <w:rsid w:val="00816FAB"/>
    <w:rsid w:val="00817F2D"/>
    <w:rsid w:val="00822FCE"/>
    <w:rsid w:val="00827A28"/>
    <w:rsid w:val="00834809"/>
    <w:rsid w:val="00844535"/>
    <w:rsid w:val="00845CCE"/>
    <w:rsid w:val="008527AD"/>
    <w:rsid w:val="008726A9"/>
    <w:rsid w:val="00876319"/>
    <w:rsid w:val="00876525"/>
    <w:rsid w:val="00883CEC"/>
    <w:rsid w:val="00890A57"/>
    <w:rsid w:val="00892EAA"/>
    <w:rsid w:val="008A0A47"/>
    <w:rsid w:val="008A35A7"/>
    <w:rsid w:val="008A45E4"/>
    <w:rsid w:val="008A76B4"/>
    <w:rsid w:val="008D3155"/>
    <w:rsid w:val="008E0200"/>
    <w:rsid w:val="008F3931"/>
    <w:rsid w:val="00904869"/>
    <w:rsid w:val="009055A6"/>
    <w:rsid w:val="0091276F"/>
    <w:rsid w:val="00922C46"/>
    <w:rsid w:val="009366BC"/>
    <w:rsid w:val="00945166"/>
    <w:rsid w:val="00946E37"/>
    <w:rsid w:val="0095196D"/>
    <w:rsid w:val="00953816"/>
    <w:rsid w:val="00954DB7"/>
    <w:rsid w:val="00954E28"/>
    <w:rsid w:val="00972518"/>
    <w:rsid w:val="00976E12"/>
    <w:rsid w:val="009920E0"/>
    <w:rsid w:val="009A26DF"/>
    <w:rsid w:val="009A2DAA"/>
    <w:rsid w:val="009A4D7E"/>
    <w:rsid w:val="009A610C"/>
    <w:rsid w:val="009B1B04"/>
    <w:rsid w:val="009C2006"/>
    <w:rsid w:val="009C412C"/>
    <w:rsid w:val="009E49FE"/>
    <w:rsid w:val="009E6F0C"/>
    <w:rsid w:val="009F0721"/>
    <w:rsid w:val="009F2E2E"/>
    <w:rsid w:val="00A040D3"/>
    <w:rsid w:val="00A2043B"/>
    <w:rsid w:val="00A31DD2"/>
    <w:rsid w:val="00A402FE"/>
    <w:rsid w:val="00A47217"/>
    <w:rsid w:val="00A55DD3"/>
    <w:rsid w:val="00A61E60"/>
    <w:rsid w:val="00A726C8"/>
    <w:rsid w:val="00A73B72"/>
    <w:rsid w:val="00A745AE"/>
    <w:rsid w:val="00A774E3"/>
    <w:rsid w:val="00A8574B"/>
    <w:rsid w:val="00A95D47"/>
    <w:rsid w:val="00AA1E96"/>
    <w:rsid w:val="00AA20C9"/>
    <w:rsid w:val="00AA2ED4"/>
    <w:rsid w:val="00AA3E66"/>
    <w:rsid w:val="00AA4BA2"/>
    <w:rsid w:val="00AC036F"/>
    <w:rsid w:val="00AE2899"/>
    <w:rsid w:val="00B0687F"/>
    <w:rsid w:val="00B06EB1"/>
    <w:rsid w:val="00B07EE5"/>
    <w:rsid w:val="00B07FCC"/>
    <w:rsid w:val="00B10EED"/>
    <w:rsid w:val="00B174B1"/>
    <w:rsid w:val="00B30FD8"/>
    <w:rsid w:val="00B358E3"/>
    <w:rsid w:val="00B3712F"/>
    <w:rsid w:val="00B4031A"/>
    <w:rsid w:val="00B4374B"/>
    <w:rsid w:val="00B500C4"/>
    <w:rsid w:val="00B502D2"/>
    <w:rsid w:val="00B51693"/>
    <w:rsid w:val="00B527F3"/>
    <w:rsid w:val="00B53214"/>
    <w:rsid w:val="00B53D8C"/>
    <w:rsid w:val="00B708DF"/>
    <w:rsid w:val="00B71810"/>
    <w:rsid w:val="00B7736F"/>
    <w:rsid w:val="00B77F17"/>
    <w:rsid w:val="00B80027"/>
    <w:rsid w:val="00B80CF5"/>
    <w:rsid w:val="00B86298"/>
    <w:rsid w:val="00B968D6"/>
    <w:rsid w:val="00B97984"/>
    <w:rsid w:val="00BA6FE4"/>
    <w:rsid w:val="00BB000A"/>
    <w:rsid w:val="00BB6621"/>
    <w:rsid w:val="00BB766A"/>
    <w:rsid w:val="00BC03AA"/>
    <w:rsid w:val="00BC154E"/>
    <w:rsid w:val="00BD5EFD"/>
    <w:rsid w:val="00BE21E7"/>
    <w:rsid w:val="00C026FD"/>
    <w:rsid w:val="00C030B8"/>
    <w:rsid w:val="00C03549"/>
    <w:rsid w:val="00C117D9"/>
    <w:rsid w:val="00C162D3"/>
    <w:rsid w:val="00C20A53"/>
    <w:rsid w:val="00C213E7"/>
    <w:rsid w:val="00C23C54"/>
    <w:rsid w:val="00C26DE3"/>
    <w:rsid w:val="00C52BC0"/>
    <w:rsid w:val="00C579DD"/>
    <w:rsid w:val="00C608F0"/>
    <w:rsid w:val="00C62BDA"/>
    <w:rsid w:val="00C74C46"/>
    <w:rsid w:val="00C74E30"/>
    <w:rsid w:val="00C86BD0"/>
    <w:rsid w:val="00C95537"/>
    <w:rsid w:val="00CA4C19"/>
    <w:rsid w:val="00CA52FC"/>
    <w:rsid w:val="00CB1427"/>
    <w:rsid w:val="00CB6E42"/>
    <w:rsid w:val="00CC1C97"/>
    <w:rsid w:val="00CD0757"/>
    <w:rsid w:val="00CD172A"/>
    <w:rsid w:val="00D007A9"/>
    <w:rsid w:val="00D118D9"/>
    <w:rsid w:val="00D150B6"/>
    <w:rsid w:val="00D21307"/>
    <w:rsid w:val="00D22C98"/>
    <w:rsid w:val="00D244AB"/>
    <w:rsid w:val="00D26E33"/>
    <w:rsid w:val="00D2745E"/>
    <w:rsid w:val="00D36CB0"/>
    <w:rsid w:val="00D47735"/>
    <w:rsid w:val="00D51E9F"/>
    <w:rsid w:val="00D60043"/>
    <w:rsid w:val="00D70A5F"/>
    <w:rsid w:val="00D753BA"/>
    <w:rsid w:val="00D7657F"/>
    <w:rsid w:val="00D77B2C"/>
    <w:rsid w:val="00D81DE9"/>
    <w:rsid w:val="00D83854"/>
    <w:rsid w:val="00DB3BCC"/>
    <w:rsid w:val="00DB55EE"/>
    <w:rsid w:val="00DC7D94"/>
    <w:rsid w:val="00DD3971"/>
    <w:rsid w:val="00DF0891"/>
    <w:rsid w:val="00E00851"/>
    <w:rsid w:val="00E04B65"/>
    <w:rsid w:val="00E24BB0"/>
    <w:rsid w:val="00E263B2"/>
    <w:rsid w:val="00E273CB"/>
    <w:rsid w:val="00E31282"/>
    <w:rsid w:val="00E331D1"/>
    <w:rsid w:val="00E469CC"/>
    <w:rsid w:val="00E502AC"/>
    <w:rsid w:val="00E62431"/>
    <w:rsid w:val="00E65C27"/>
    <w:rsid w:val="00E700D9"/>
    <w:rsid w:val="00E74A1D"/>
    <w:rsid w:val="00E81931"/>
    <w:rsid w:val="00E86EAC"/>
    <w:rsid w:val="00EA44DF"/>
    <w:rsid w:val="00EA4963"/>
    <w:rsid w:val="00EA7203"/>
    <w:rsid w:val="00EB2665"/>
    <w:rsid w:val="00EC62F1"/>
    <w:rsid w:val="00F105DA"/>
    <w:rsid w:val="00F134B6"/>
    <w:rsid w:val="00F155E9"/>
    <w:rsid w:val="00F22C09"/>
    <w:rsid w:val="00F34D22"/>
    <w:rsid w:val="00F4206A"/>
    <w:rsid w:val="00F46162"/>
    <w:rsid w:val="00F54F39"/>
    <w:rsid w:val="00F63D5B"/>
    <w:rsid w:val="00F67CA5"/>
    <w:rsid w:val="00F7443D"/>
    <w:rsid w:val="00F83CE7"/>
    <w:rsid w:val="00F92D8E"/>
    <w:rsid w:val="00FA2BB9"/>
    <w:rsid w:val="00FA5D11"/>
    <w:rsid w:val="00FB6544"/>
    <w:rsid w:val="00FC09A4"/>
    <w:rsid w:val="00FD413F"/>
    <w:rsid w:val="00FE2C77"/>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638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092422-E8A4-4A78-94BA-F10EF3CAE6E9}"/>
</file>

<file path=customXml/itemProps2.xml><?xml version="1.0" encoding="utf-8"?>
<ds:datastoreItem xmlns:ds="http://schemas.openxmlformats.org/officeDocument/2006/customXml" ds:itemID="{20DE42A7-F089-40C9-8F71-BCB1EC7ACA4F}"/>
</file>

<file path=customXml/itemProps3.xml><?xml version="1.0" encoding="utf-8"?>
<ds:datastoreItem xmlns:ds="http://schemas.openxmlformats.org/officeDocument/2006/customXml" ds:itemID="{98A41C38-B587-46A4-85F8-99E69F888D60}"/>
</file>

<file path=customXml/itemProps4.xml><?xml version="1.0" encoding="utf-8"?>
<ds:datastoreItem xmlns:ds="http://schemas.openxmlformats.org/officeDocument/2006/customXml" ds:itemID="{D7CB72BC-5BCB-49CE-953D-AF8F488900D1}"/>
</file>

<file path=customXml/itemProps5.xml><?xml version="1.0" encoding="utf-8"?>
<ds:datastoreItem xmlns:ds="http://schemas.openxmlformats.org/officeDocument/2006/customXml" ds:itemID="{D35BE1EF-9974-438D-9BA1-75E1BF4DFF32}"/>
</file>

<file path=docProps/app.xml><?xml version="1.0" encoding="utf-8"?>
<Properties xmlns="http://schemas.openxmlformats.org/officeDocument/2006/extended-properties" xmlns:vt="http://schemas.openxmlformats.org/officeDocument/2006/docPropsVTypes">
  <Template>Normal.dotm</Template>
  <TotalTime>263</TotalTime>
  <Pages>25</Pages>
  <Words>6427</Words>
  <Characters>33582</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21</cp:revision>
  <cp:lastPrinted>2012-03-21T17:43:00Z</cp:lastPrinted>
  <dcterms:created xsi:type="dcterms:W3CDTF">2012-02-17T19:17:00Z</dcterms:created>
  <dcterms:modified xsi:type="dcterms:W3CDTF">2012-03-26T15:44:00Z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