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55F78" w14:textId="77777777" w:rsidR="00814307" w:rsidRDefault="00814307" w:rsidP="00814307">
      <w:pPr>
        <w:pStyle w:val="BodyTextIndent"/>
        <w:rPr>
          <w:b/>
        </w:rPr>
      </w:pPr>
      <w:bookmarkStart w:id="0" w:name="_GoBack"/>
      <w:bookmarkEnd w:id="0"/>
      <w:r>
        <w:rPr>
          <w:b/>
        </w:rPr>
        <w:t>WN U-2</w:t>
      </w:r>
    </w:p>
    <w:p w14:paraId="32055F79" w14:textId="77777777" w:rsidR="00814307" w:rsidRDefault="00814307" w:rsidP="00FB1806">
      <w:pPr>
        <w:rPr>
          <w:b/>
          <w:sz w:val="24"/>
        </w:rPr>
      </w:pPr>
    </w:p>
    <w:p w14:paraId="32055F7A" w14:textId="77777777" w:rsidR="00FB1806" w:rsidRDefault="008617D7" w:rsidP="00FB1806">
      <w:pPr>
        <w:rPr>
          <w:b/>
          <w:sz w:val="24"/>
        </w:rPr>
      </w:pPr>
      <w:r>
        <w:rPr>
          <w:b/>
          <w:sz w:val="24"/>
        </w:rPr>
        <w:t xml:space="preserve">SUBSTITUTE </w:t>
      </w:r>
      <w:r w:rsidR="000D3CE1">
        <w:rPr>
          <w:b/>
          <w:sz w:val="24"/>
        </w:rPr>
        <w:t>SECOND REVISED SHEET NO. 9</w:t>
      </w:r>
    </w:p>
    <w:p w14:paraId="32055F7B" w14:textId="77777777" w:rsidR="00FB1806" w:rsidRDefault="000D3CE1" w:rsidP="00FB1806">
      <w:pPr>
        <w:rPr>
          <w:b/>
          <w:sz w:val="24"/>
        </w:rPr>
      </w:pPr>
      <w:r>
        <w:rPr>
          <w:b/>
          <w:sz w:val="24"/>
        </w:rPr>
        <w:t>CANCELING FIRST REVISED SHEET NO. 9</w:t>
      </w:r>
    </w:p>
    <w:p w14:paraId="32055F7C" w14:textId="77777777" w:rsidR="00FB1806" w:rsidRDefault="00FB1806" w:rsidP="00FB1806">
      <w:pPr>
        <w:pStyle w:val="BodyTextIndent"/>
        <w:rPr>
          <w:b/>
        </w:rPr>
      </w:pPr>
    </w:p>
    <w:p w14:paraId="32055F7D" w14:textId="77777777" w:rsidR="00FB1806" w:rsidRDefault="000D3CE1" w:rsidP="00FB1806">
      <w:pPr>
        <w:pBdr>
          <w:bottom w:val="single" w:sz="12" w:space="1" w:color="auto"/>
        </w:pBdr>
        <w:rPr>
          <w:b/>
          <w:sz w:val="24"/>
        </w:rPr>
      </w:pPr>
      <w:r>
        <w:rPr>
          <w:b/>
          <w:sz w:val="24"/>
        </w:rPr>
        <w:t>BURTON WATER COMPANY, INC.</w:t>
      </w:r>
    </w:p>
    <w:p w14:paraId="32055F7E" w14:textId="77777777" w:rsidR="00FB1806" w:rsidRDefault="00FB1806" w:rsidP="00FB1806">
      <w:pPr>
        <w:jc w:val="center"/>
        <w:rPr>
          <w:b/>
          <w:sz w:val="24"/>
        </w:rPr>
      </w:pPr>
    </w:p>
    <w:p w14:paraId="32055F7F" w14:textId="77777777" w:rsidR="00FB1806" w:rsidRDefault="00FB1806" w:rsidP="00FB1806">
      <w:pPr>
        <w:pStyle w:val="Heading2"/>
        <w:rPr>
          <w:rFonts w:ascii="Times New Roman" w:hAnsi="Times New Roman"/>
          <w:b/>
          <w:u w:val="none"/>
        </w:rPr>
      </w:pPr>
      <w:r>
        <w:rPr>
          <w:rFonts w:ascii="Times New Roman" w:hAnsi="Times New Roman"/>
          <w:b/>
          <w:u w:val="none"/>
        </w:rPr>
        <w:t>WATER SERVICE</w:t>
      </w:r>
    </w:p>
    <w:p w14:paraId="32055F80" w14:textId="77777777" w:rsidR="00FB1806" w:rsidRDefault="00FB1806" w:rsidP="00FB1806">
      <w:pPr>
        <w:jc w:val="center"/>
        <w:rPr>
          <w:b/>
          <w:sz w:val="24"/>
          <w:szCs w:val="24"/>
          <w:u w:val="single"/>
        </w:rPr>
      </w:pPr>
      <w:r w:rsidRPr="002E5378">
        <w:rPr>
          <w:b/>
          <w:sz w:val="24"/>
          <w:szCs w:val="24"/>
          <w:u w:val="single"/>
        </w:rPr>
        <w:t>RULES AND REGULATIONS</w:t>
      </w:r>
    </w:p>
    <w:p w14:paraId="32055F81" w14:textId="77777777" w:rsidR="009C4448" w:rsidRDefault="009C4448" w:rsidP="00FB1806">
      <w:pPr>
        <w:jc w:val="center"/>
        <w:rPr>
          <w:b/>
          <w:sz w:val="24"/>
          <w:szCs w:val="24"/>
          <w:u w:val="single"/>
        </w:rPr>
      </w:pPr>
    </w:p>
    <w:p w14:paraId="32055F82" w14:textId="77777777" w:rsidR="00FB1806" w:rsidRDefault="00FB1806" w:rsidP="00D43DAA">
      <w:pPr>
        <w:rPr>
          <w:b/>
          <w:sz w:val="24"/>
          <w:szCs w:val="24"/>
          <w:u w:val="single"/>
        </w:rPr>
      </w:pPr>
    </w:p>
    <w:p w14:paraId="32055F83" w14:textId="77777777" w:rsidR="00FB1806" w:rsidRDefault="00FB1806" w:rsidP="00FB1806">
      <w:pPr>
        <w:rPr>
          <w:b/>
          <w:sz w:val="24"/>
          <w:szCs w:val="24"/>
          <w:u w:val="single"/>
        </w:rPr>
      </w:pPr>
      <w:r>
        <w:rPr>
          <w:b/>
          <w:sz w:val="24"/>
          <w:szCs w:val="24"/>
          <w:u w:val="single"/>
        </w:rPr>
        <w:t>Rule 10 - Interruption to Service</w:t>
      </w:r>
    </w:p>
    <w:p w14:paraId="32055F84" w14:textId="77777777" w:rsidR="00FB1806" w:rsidRDefault="00FB1806" w:rsidP="00FB1806">
      <w:pPr>
        <w:rPr>
          <w:b/>
          <w:sz w:val="24"/>
          <w:szCs w:val="24"/>
          <w:u w:val="single"/>
        </w:rPr>
      </w:pPr>
    </w:p>
    <w:p w14:paraId="32055F85" w14:textId="77777777" w:rsidR="00FB1806" w:rsidRDefault="00FB1806" w:rsidP="00FB1806">
      <w:pPr>
        <w:rPr>
          <w:sz w:val="24"/>
          <w:szCs w:val="24"/>
        </w:rPr>
      </w:pPr>
      <w:r w:rsidRPr="00125862">
        <w:rPr>
          <w:sz w:val="24"/>
          <w:szCs w:val="24"/>
        </w:rPr>
        <w:t xml:space="preserve">The utility will make a diligent effort to render uninterrupted service and supply of water.  In cases where shut-off is necessary for repair, reconstruction, damage prevention or similar cause, the utility will give one day's advance notice to its customers of such scheduled shut-off.  However, the utility will not be responsible for any damage that may result </w:t>
      </w:r>
      <w:r>
        <w:rPr>
          <w:sz w:val="24"/>
          <w:szCs w:val="24"/>
        </w:rPr>
        <w:t>from</w:t>
      </w:r>
      <w:r w:rsidRPr="00125862">
        <w:rPr>
          <w:sz w:val="24"/>
          <w:szCs w:val="24"/>
        </w:rPr>
        <w:t xml:space="preserve"> any cessation of services such as above outlined, nor for failure to give notice of shut-off when circumstances are such that it is impractical to give notice as stated above. </w:t>
      </w:r>
    </w:p>
    <w:p w14:paraId="32055F86" w14:textId="77777777" w:rsidR="00FB1806" w:rsidRDefault="00FB1806" w:rsidP="00FB1806">
      <w:pPr>
        <w:rPr>
          <w:sz w:val="24"/>
          <w:szCs w:val="24"/>
        </w:rPr>
      </w:pPr>
    </w:p>
    <w:p w14:paraId="32055F87" w14:textId="77777777" w:rsidR="00FB1806" w:rsidRPr="002B74B8" w:rsidRDefault="00FB1806" w:rsidP="00FB1806">
      <w:pPr>
        <w:rPr>
          <w:b/>
          <w:sz w:val="24"/>
          <w:szCs w:val="24"/>
          <w:u w:val="single"/>
        </w:rPr>
      </w:pPr>
      <w:r w:rsidRPr="002B74B8">
        <w:rPr>
          <w:b/>
          <w:sz w:val="24"/>
          <w:szCs w:val="24"/>
          <w:u w:val="single"/>
        </w:rPr>
        <w:t>Rule 11 - Bills/Late Payment Charge</w:t>
      </w:r>
    </w:p>
    <w:p w14:paraId="32055F88" w14:textId="77777777" w:rsidR="00FB1806" w:rsidRDefault="00FB1806" w:rsidP="00FB1806">
      <w:pPr>
        <w:rPr>
          <w:sz w:val="24"/>
          <w:szCs w:val="24"/>
        </w:rPr>
      </w:pPr>
    </w:p>
    <w:p w14:paraId="32055F89" w14:textId="77777777" w:rsidR="00FB1806" w:rsidRDefault="00FB1806" w:rsidP="00FB1806">
      <w:pPr>
        <w:rPr>
          <w:sz w:val="24"/>
          <w:szCs w:val="24"/>
        </w:rPr>
      </w:pPr>
      <w:r>
        <w:rPr>
          <w:sz w:val="24"/>
          <w:szCs w:val="24"/>
        </w:rPr>
        <w:t xml:space="preserve">Bills are due and payable upon receipt.  Bills are considered late 30 days after the bill mailing date.  A Late Payment Charge as specified in </w:t>
      </w:r>
      <w:r w:rsidRPr="00445A52">
        <w:rPr>
          <w:b/>
          <w:sz w:val="24"/>
          <w:szCs w:val="24"/>
        </w:rPr>
        <w:t xml:space="preserve">Schedule X </w:t>
      </w:r>
      <w:r>
        <w:rPr>
          <w:sz w:val="24"/>
          <w:szCs w:val="24"/>
        </w:rPr>
        <w:t>of 2% of the unpaid balance shall be added to each account for each month the bill is unpaid.  The late payment charge will not be applied to any disputed amount unless such amount remains unpaid for more than 30 days after the dispute has been resolved.</w:t>
      </w:r>
    </w:p>
    <w:p w14:paraId="32055F8A" w14:textId="77777777" w:rsidR="00FB1806" w:rsidRDefault="00FB1806" w:rsidP="00FB1806">
      <w:pPr>
        <w:rPr>
          <w:sz w:val="24"/>
          <w:szCs w:val="24"/>
        </w:rPr>
      </w:pPr>
    </w:p>
    <w:p w14:paraId="32055F8B" w14:textId="77777777" w:rsidR="00FB1806" w:rsidRDefault="00FB1806" w:rsidP="00FB1806">
      <w:pPr>
        <w:rPr>
          <w:sz w:val="24"/>
          <w:szCs w:val="24"/>
        </w:rPr>
      </w:pPr>
      <w:r>
        <w:rPr>
          <w:sz w:val="24"/>
          <w:szCs w:val="24"/>
        </w:rPr>
        <w:t>Unless otherwise specified, all charges for the base rate shall be paid bi-monthly, one month in arrears and one month in advance, on or before that last day of the billing month.  All charges for metered water shall be paid bi-monthly in arrears on or before the last day of the billing month.</w:t>
      </w:r>
    </w:p>
    <w:p w14:paraId="32055F8C" w14:textId="77777777" w:rsidR="00FB1806" w:rsidRDefault="00FB1806" w:rsidP="00FB1806">
      <w:pPr>
        <w:rPr>
          <w:sz w:val="24"/>
          <w:szCs w:val="24"/>
        </w:rPr>
      </w:pPr>
    </w:p>
    <w:p w14:paraId="32055F8D" w14:textId="77777777" w:rsidR="00AD1737" w:rsidRDefault="00FB1806" w:rsidP="00AD1737">
      <w:pPr>
        <w:tabs>
          <w:tab w:val="center" w:pos="10080"/>
        </w:tabs>
        <w:rPr>
          <w:sz w:val="24"/>
          <w:szCs w:val="24"/>
        </w:rPr>
      </w:pPr>
      <w:r>
        <w:rPr>
          <w:sz w:val="24"/>
          <w:szCs w:val="24"/>
        </w:rPr>
        <w:t>If the meter is unreadable</w:t>
      </w:r>
      <w:r w:rsidR="00AC66C4">
        <w:rPr>
          <w:sz w:val="24"/>
          <w:szCs w:val="24"/>
        </w:rPr>
        <w:t xml:space="preserve"> for any reason</w:t>
      </w:r>
      <w:r>
        <w:rPr>
          <w:sz w:val="24"/>
          <w:szCs w:val="24"/>
        </w:rPr>
        <w:t>,</w:t>
      </w:r>
      <w:r w:rsidR="00AC66C4">
        <w:rPr>
          <w:sz w:val="24"/>
          <w:szCs w:val="24"/>
        </w:rPr>
        <w:t xml:space="preserve"> the bill will be estimated by using the average of past </w:t>
      </w:r>
      <w:r w:rsidR="00AD1737">
        <w:rPr>
          <w:sz w:val="24"/>
          <w:szCs w:val="24"/>
        </w:rPr>
        <w:tab/>
        <w:t>(N)</w:t>
      </w:r>
    </w:p>
    <w:p w14:paraId="32055F8E" w14:textId="77777777" w:rsidR="0015222B" w:rsidRDefault="00AC66C4" w:rsidP="00AD1737">
      <w:pPr>
        <w:tabs>
          <w:tab w:val="center" w:pos="10080"/>
        </w:tabs>
        <w:rPr>
          <w:sz w:val="24"/>
          <w:szCs w:val="24"/>
        </w:rPr>
      </w:pPr>
      <w:r>
        <w:rPr>
          <w:sz w:val="24"/>
          <w:szCs w:val="24"/>
        </w:rPr>
        <w:t>meter</w:t>
      </w:r>
      <w:r w:rsidR="0015222B">
        <w:rPr>
          <w:sz w:val="24"/>
          <w:szCs w:val="24"/>
        </w:rPr>
        <w:t xml:space="preserve"> readings, adjusted for seasonal differences.</w:t>
      </w:r>
      <w:r w:rsidR="00AD1737">
        <w:rPr>
          <w:sz w:val="24"/>
          <w:szCs w:val="24"/>
        </w:rPr>
        <w:tab/>
        <w:t>(N)</w:t>
      </w:r>
    </w:p>
    <w:p w14:paraId="32055F8F" w14:textId="77777777" w:rsidR="00FB1806" w:rsidRDefault="00AC66C4" w:rsidP="00FB1806">
      <w:pPr>
        <w:tabs>
          <w:tab w:val="center" w:pos="10080"/>
        </w:tabs>
        <w:rPr>
          <w:sz w:val="24"/>
          <w:szCs w:val="24"/>
        </w:rPr>
      </w:pPr>
      <w:r>
        <w:rPr>
          <w:sz w:val="24"/>
          <w:szCs w:val="24"/>
        </w:rPr>
        <w:tab/>
      </w:r>
    </w:p>
    <w:p w14:paraId="32055F90" w14:textId="77777777" w:rsidR="00FB1806" w:rsidRDefault="00FB1806" w:rsidP="00FB1806">
      <w:pPr>
        <w:tabs>
          <w:tab w:val="center" w:pos="10080"/>
        </w:tabs>
        <w:rPr>
          <w:sz w:val="24"/>
          <w:szCs w:val="24"/>
        </w:rPr>
      </w:pPr>
      <w:r>
        <w:rPr>
          <w:sz w:val="24"/>
          <w:szCs w:val="24"/>
        </w:rPr>
        <w:tab/>
      </w:r>
    </w:p>
    <w:p w14:paraId="32055F91" w14:textId="77777777" w:rsidR="00FB1806" w:rsidRDefault="00FB1806" w:rsidP="00FB1806">
      <w:pPr>
        <w:tabs>
          <w:tab w:val="center" w:pos="10080"/>
        </w:tabs>
        <w:rPr>
          <w:sz w:val="24"/>
          <w:szCs w:val="24"/>
        </w:rPr>
      </w:pPr>
      <w:r>
        <w:rPr>
          <w:sz w:val="24"/>
          <w:szCs w:val="24"/>
        </w:rPr>
        <w:tab/>
      </w:r>
    </w:p>
    <w:p w14:paraId="32055F92" w14:textId="77777777" w:rsidR="000D3CE1" w:rsidRPr="00CF15BC" w:rsidRDefault="00E87C37" w:rsidP="00E87C37">
      <w:pPr>
        <w:tabs>
          <w:tab w:val="center" w:pos="10080"/>
        </w:tabs>
        <w:rPr>
          <w:sz w:val="24"/>
        </w:rPr>
      </w:pPr>
      <w:r>
        <w:rPr>
          <w:b/>
          <w:sz w:val="24"/>
        </w:rPr>
        <w:tab/>
      </w:r>
      <w:r w:rsidR="00CF15BC">
        <w:rPr>
          <w:sz w:val="24"/>
        </w:rPr>
        <w:t>(K)</w:t>
      </w:r>
    </w:p>
    <w:p w14:paraId="32055F93" w14:textId="77777777" w:rsidR="00757F99" w:rsidRDefault="00757F99" w:rsidP="00CF15BC">
      <w:pPr>
        <w:pStyle w:val="BodyTextIndent"/>
        <w:tabs>
          <w:tab w:val="bar" w:pos="10080"/>
        </w:tabs>
        <w:rPr>
          <w:b/>
        </w:rPr>
      </w:pPr>
    </w:p>
    <w:p w14:paraId="32055F94" w14:textId="77777777" w:rsidR="00F7562D" w:rsidRDefault="00F7562D" w:rsidP="00CF15BC">
      <w:pPr>
        <w:pStyle w:val="BodyTextIndent"/>
        <w:tabs>
          <w:tab w:val="bar" w:pos="10080"/>
        </w:tabs>
        <w:rPr>
          <w:b/>
        </w:rPr>
      </w:pPr>
    </w:p>
    <w:p w14:paraId="32055F95" w14:textId="77777777" w:rsidR="0015222B" w:rsidRDefault="0015222B" w:rsidP="00CF15BC">
      <w:pPr>
        <w:pStyle w:val="BodyTextIndent"/>
        <w:tabs>
          <w:tab w:val="bar" w:pos="10080"/>
        </w:tabs>
        <w:rPr>
          <w:b/>
        </w:rPr>
      </w:pPr>
    </w:p>
    <w:p w14:paraId="32055F96" w14:textId="77777777" w:rsidR="0015222B" w:rsidRDefault="0015222B" w:rsidP="00CF15BC">
      <w:pPr>
        <w:pStyle w:val="BodyTextIndent"/>
        <w:tabs>
          <w:tab w:val="bar" w:pos="10080"/>
        </w:tabs>
        <w:rPr>
          <w:b/>
        </w:rPr>
      </w:pPr>
    </w:p>
    <w:p w14:paraId="32055F97" w14:textId="77777777" w:rsidR="0015222B" w:rsidRPr="00CF15BC" w:rsidRDefault="00CF15BC" w:rsidP="00CF15BC">
      <w:pPr>
        <w:pStyle w:val="BodyTextIndent"/>
        <w:tabs>
          <w:tab w:val="center" w:pos="10080"/>
        </w:tabs>
      </w:pPr>
      <w:r>
        <w:rPr>
          <w:b/>
        </w:rPr>
        <w:tab/>
      </w:r>
      <w:r>
        <w:rPr>
          <w:b/>
        </w:rPr>
        <w:tab/>
      </w:r>
      <w:r>
        <w:t>(K)</w:t>
      </w:r>
    </w:p>
    <w:p w14:paraId="32055F98" w14:textId="77777777" w:rsidR="0015222B" w:rsidRDefault="0015222B" w:rsidP="00145D87">
      <w:pPr>
        <w:pStyle w:val="BodyTextIndent"/>
        <w:rPr>
          <w:b/>
        </w:rPr>
      </w:pPr>
    </w:p>
    <w:p w14:paraId="32055F99" w14:textId="77777777" w:rsidR="0015222B" w:rsidRPr="00CF15BC" w:rsidRDefault="00CF15BC" w:rsidP="00145D87">
      <w:pPr>
        <w:pStyle w:val="BodyTextIndent"/>
      </w:pPr>
      <w:r>
        <w:lastRenderedPageBreak/>
        <w:t>K – Material has been transferred to Sheet No. 10.</w:t>
      </w:r>
    </w:p>
    <w:p w14:paraId="32055F9A" w14:textId="77777777" w:rsidR="00145D87" w:rsidRDefault="00145D87" w:rsidP="00145D87">
      <w:pPr>
        <w:pStyle w:val="BodyTextIndent"/>
        <w:rPr>
          <w:b/>
        </w:rPr>
      </w:pPr>
      <w:r>
        <w:rPr>
          <w:b/>
        </w:rPr>
        <w:t>WN U-2</w:t>
      </w:r>
    </w:p>
    <w:p w14:paraId="32055F9B" w14:textId="77777777" w:rsidR="00145D87" w:rsidRDefault="00145D87" w:rsidP="008E0BCD">
      <w:pPr>
        <w:rPr>
          <w:b/>
          <w:sz w:val="24"/>
        </w:rPr>
      </w:pPr>
    </w:p>
    <w:p w14:paraId="32055F9C" w14:textId="77777777" w:rsidR="008E0BCD" w:rsidRDefault="008617D7" w:rsidP="008E0BCD">
      <w:pPr>
        <w:rPr>
          <w:b/>
          <w:sz w:val="24"/>
        </w:rPr>
      </w:pPr>
      <w:r>
        <w:rPr>
          <w:b/>
          <w:sz w:val="24"/>
        </w:rPr>
        <w:t xml:space="preserve">SUBSTITUTE </w:t>
      </w:r>
      <w:r w:rsidR="000D3CE1">
        <w:rPr>
          <w:b/>
          <w:sz w:val="24"/>
        </w:rPr>
        <w:t>FIRST REVISED SHEET NO. 10</w:t>
      </w:r>
    </w:p>
    <w:p w14:paraId="32055F9D" w14:textId="77777777" w:rsidR="008E0BCD" w:rsidRDefault="000D3CE1" w:rsidP="008E0BCD">
      <w:pPr>
        <w:rPr>
          <w:b/>
          <w:sz w:val="24"/>
        </w:rPr>
      </w:pPr>
      <w:r>
        <w:rPr>
          <w:b/>
          <w:sz w:val="24"/>
        </w:rPr>
        <w:t>CANCELING ORIGINAL SHEET NO. 10</w:t>
      </w:r>
    </w:p>
    <w:p w14:paraId="32055F9E" w14:textId="77777777" w:rsidR="008E0BCD" w:rsidRDefault="008E0BCD" w:rsidP="008E0BCD">
      <w:pPr>
        <w:pStyle w:val="BodyTextIndent"/>
        <w:rPr>
          <w:b/>
        </w:rPr>
      </w:pPr>
    </w:p>
    <w:p w14:paraId="32055F9F" w14:textId="77777777" w:rsidR="008E0BCD" w:rsidRDefault="000D3CE1" w:rsidP="008E0BCD">
      <w:pPr>
        <w:pBdr>
          <w:bottom w:val="single" w:sz="12" w:space="1" w:color="auto"/>
        </w:pBdr>
        <w:rPr>
          <w:b/>
          <w:sz w:val="24"/>
        </w:rPr>
      </w:pPr>
      <w:r>
        <w:rPr>
          <w:b/>
          <w:sz w:val="24"/>
        </w:rPr>
        <w:t>BURTON WATER COMPANY, INC.</w:t>
      </w:r>
    </w:p>
    <w:p w14:paraId="32055FA0" w14:textId="77777777" w:rsidR="008E0BCD" w:rsidRDefault="008E0BCD" w:rsidP="008E0BCD">
      <w:pPr>
        <w:jc w:val="center"/>
        <w:rPr>
          <w:b/>
          <w:sz w:val="24"/>
        </w:rPr>
      </w:pPr>
    </w:p>
    <w:p w14:paraId="32055FA1" w14:textId="77777777" w:rsidR="008E0BCD" w:rsidRDefault="008E0BCD" w:rsidP="008E0BCD">
      <w:pPr>
        <w:pStyle w:val="Heading2"/>
        <w:rPr>
          <w:rFonts w:ascii="Times New Roman" w:hAnsi="Times New Roman"/>
          <w:b/>
          <w:u w:val="none"/>
        </w:rPr>
      </w:pPr>
      <w:r>
        <w:rPr>
          <w:rFonts w:ascii="Times New Roman" w:hAnsi="Times New Roman"/>
          <w:b/>
          <w:u w:val="none"/>
        </w:rPr>
        <w:t>WATER SERVICE</w:t>
      </w:r>
    </w:p>
    <w:p w14:paraId="32055FA2" w14:textId="77777777" w:rsidR="008E0BCD" w:rsidRDefault="008E0BCD" w:rsidP="008E0BCD">
      <w:pPr>
        <w:jc w:val="center"/>
        <w:rPr>
          <w:b/>
          <w:sz w:val="24"/>
          <w:szCs w:val="24"/>
          <w:u w:val="single"/>
        </w:rPr>
      </w:pPr>
      <w:r w:rsidRPr="002E5378">
        <w:rPr>
          <w:b/>
          <w:sz w:val="24"/>
          <w:szCs w:val="24"/>
          <w:u w:val="single"/>
        </w:rPr>
        <w:t>RULES AND REGULATIONS</w:t>
      </w:r>
    </w:p>
    <w:p w14:paraId="32055FA3" w14:textId="77777777" w:rsidR="00FB08FF" w:rsidRDefault="00FB08FF" w:rsidP="008E0BCD">
      <w:pPr>
        <w:jc w:val="center"/>
        <w:rPr>
          <w:b/>
          <w:sz w:val="24"/>
          <w:szCs w:val="24"/>
          <w:u w:val="single"/>
        </w:rPr>
      </w:pPr>
    </w:p>
    <w:p w14:paraId="32055FA4" w14:textId="77777777" w:rsidR="00FB08FF" w:rsidRPr="00CF15BC" w:rsidRDefault="00FB08FF" w:rsidP="00153DC6">
      <w:pPr>
        <w:tabs>
          <w:tab w:val="center" w:pos="9720"/>
        </w:tabs>
        <w:rPr>
          <w:sz w:val="24"/>
          <w:szCs w:val="24"/>
        </w:rPr>
      </w:pPr>
      <w:r w:rsidRPr="002B74B8">
        <w:rPr>
          <w:b/>
          <w:sz w:val="24"/>
          <w:szCs w:val="24"/>
          <w:u w:val="single"/>
        </w:rPr>
        <w:t>Rule 12 - Deposits</w:t>
      </w:r>
      <w:r w:rsidR="00CF15BC">
        <w:rPr>
          <w:sz w:val="24"/>
          <w:szCs w:val="24"/>
        </w:rPr>
        <w:tab/>
        <w:t>(M)</w:t>
      </w:r>
    </w:p>
    <w:p w14:paraId="32055FA5" w14:textId="77777777" w:rsidR="00FB08FF" w:rsidRDefault="00FB08FF" w:rsidP="00153DC6">
      <w:pPr>
        <w:tabs>
          <w:tab w:val="bar" w:pos="9720"/>
        </w:tabs>
        <w:rPr>
          <w:sz w:val="24"/>
          <w:szCs w:val="24"/>
        </w:rPr>
      </w:pPr>
    </w:p>
    <w:p w14:paraId="32055FA6" w14:textId="77777777" w:rsidR="00FB08FF" w:rsidRDefault="00FB08FF" w:rsidP="00153DC6">
      <w:pPr>
        <w:tabs>
          <w:tab w:val="bar" w:pos="9720"/>
        </w:tabs>
        <w:rPr>
          <w:sz w:val="24"/>
          <w:szCs w:val="24"/>
        </w:rPr>
      </w:pPr>
      <w:r>
        <w:rPr>
          <w:sz w:val="24"/>
          <w:szCs w:val="24"/>
        </w:rPr>
        <w:t>The utility may require a deposit in situations where a customer's service has been disconnected for nonpayment of amount owed to the utility or when a customer is unable to establish or maintain credit with the utility.</w:t>
      </w:r>
    </w:p>
    <w:p w14:paraId="32055FA7" w14:textId="77777777" w:rsidR="00FB08FF" w:rsidRDefault="00FB08FF" w:rsidP="00153DC6">
      <w:pPr>
        <w:tabs>
          <w:tab w:val="bar" w:pos="9720"/>
        </w:tabs>
        <w:rPr>
          <w:sz w:val="24"/>
          <w:szCs w:val="24"/>
        </w:rPr>
      </w:pPr>
    </w:p>
    <w:p w14:paraId="32055FA8" w14:textId="77777777" w:rsidR="00FB08FF" w:rsidRDefault="00FB08FF" w:rsidP="00153DC6">
      <w:pPr>
        <w:pStyle w:val="BodyTextIndent"/>
        <w:tabs>
          <w:tab w:val="center" w:pos="9720"/>
          <w:tab w:val="center" w:pos="10080"/>
        </w:tabs>
        <w:ind w:left="0" w:firstLine="0"/>
        <w:rPr>
          <w:b/>
        </w:rPr>
      </w:pPr>
      <w:r>
        <w:rPr>
          <w:szCs w:val="24"/>
        </w:rPr>
        <w:t>The deposit will not be more than three-twelfths of estimated annual billings.</w:t>
      </w:r>
      <w:r w:rsidR="00153DC6">
        <w:rPr>
          <w:szCs w:val="24"/>
        </w:rPr>
        <w:tab/>
        <w:t>(M)</w:t>
      </w:r>
      <w:r>
        <w:rPr>
          <w:szCs w:val="24"/>
        </w:rPr>
        <w:tab/>
        <w:t>(T)</w:t>
      </w:r>
      <w:r>
        <w:rPr>
          <w:szCs w:val="24"/>
        </w:rPr>
        <w:tab/>
      </w:r>
      <w:r>
        <w:rPr>
          <w:szCs w:val="24"/>
        </w:rPr>
        <w:tab/>
      </w:r>
    </w:p>
    <w:p w14:paraId="32055FA9" w14:textId="77777777" w:rsidR="00FB08FF" w:rsidRDefault="00FB08FF" w:rsidP="00FB08FF">
      <w:pPr>
        <w:rPr>
          <w:b/>
          <w:sz w:val="24"/>
          <w:szCs w:val="24"/>
          <w:u w:val="single"/>
        </w:rPr>
      </w:pPr>
    </w:p>
    <w:p w14:paraId="32055FAA" w14:textId="77777777" w:rsidR="008E0BCD" w:rsidRDefault="008E0BCD" w:rsidP="008E0BCD">
      <w:pPr>
        <w:tabs>
          <w:tab w:val="center" w:pos="10080"/>
        </w:tabs>
        <w:rPr>
          <w:sz w:val="24"/>
          <w:szCs w:val="24"/>
        </w:rPr>
      </w:pPr>
      <w:r>
        <w:rPr>
          <w:sz w:val="24"/>
          <w:szCs w:val="24"/>
        </w:rPr>
        <w:t xml:space="preserve">Interest on deposits will be accrued at the rate for the one-year Treasury Constant Maturity as of </w:t>
      </w:r>
      <w:r>
        <w:rPr>
          <w:sz w:val="24"/>
          <w:szCs w:val="24"/>
        </w:rPr>
        <w:tab/>
        <w:t>(T)</w:t>
      </w:r>
    </w:p>
    <w:p w14:paraId="32055FAB" w14:textId="77777777" w:rsidR="008E0BCD" w:rsidRDefault="008E0BCD" w:rsidP="008E0BCD">
      <w:pPr>
        <w:tabs>
          <w:tab w:val="bar" w:pos="10080"/>
        </w:tabs>
        <w:rPr>
          <w:sz w:val="24"/>
          <w:szCs w:val="24"/>
        </w:rPr>
      </w:pPr>
      <w:r>
        <w:rPr>
          <w:sz w:val="24"/>
          <w:szCs w:val="24"/>
        </w:rPr>
        <w:t xml:space="preserve">November 15 of the previous year, as calculated by the U.S. Treasury, and published in the </w:t>
      </w:r>
    </w:p>
    <w:p w14:paraId="32055FAC" w14:textId="77777777" w:rsidR="008E0BCD" w:rsidRDefault="008E0BCD" w:rsidP="008E0BCD">
      <w:pPr>
        <w:tabs>
          <w:tab w:val="bar" w:pos="10080"/>
        </w:tabs>
        <w:rPr>
          <w:sz w:val="24"/>
          <w:szCs w:val="24"/>
        </w:rPr>
      </w:pPr>
      <w:r>
        <w:rPr>
          <w:sz w:val="24"/>
          <w:szCs w:val="24"/>
        </w:rPr>
        <w:t xml:space="preserve">Federal Reserve's Statistical Release H.15.  Interest is computed from the time of deposit to the </w:t>
      </w:r>
    </w:p>
    <w:p w14:paraId="32055FAD" w14:textId="77777777" w:rsidR="008E0BCD" w:rsidRDefault="008E0BCD" w:rsidP="008E0BCD">
      <w:pPr>
        <w:tabs>
          <w:tab w:val="center" w:pos="10080"/>
        </w:tabs>
        <w:rPr>
          <w:sz w:val="24"/>
          <w:szCs w:val="24"/>
        </w:rPr>
      </w:pPr>
      <w:r>
        <w:rPr>
          <w:sz w:val="24"/>
          <w:szCs w:val="24"/>
        </w:rPr>
        <w:t>time of refund.</w:t>
      </w:r>
      <w:r>
        <w:rPr>
          <w:sz w:val="24"/>
          <w:szCs w:val="24"/>
        </w:rPr>
        <w:tab/>
        <w:t>(T)</w:t>
      </w:r>
    </w:p>
    <w:p w14:paraId="32055FAE" w14:textId="77777777" w:rsidR="00AE0679" w:rsidRDefault="00AE0679" w:rsidP="008E0BCD">
      <w:pPr>
        <w:tabs>
          <w:tab w:val="center" w:pos="10080"/>
        </w:tabs>
        <w:rPr>
          <w:sz w:val="24"/>
          <w:szCs w:val="24"/>
        </w:rPr>
      </w:pPr>
    </w:p>
    <w:p w14:paraId="32055FAF" w14:textId="77777777" w:rsidR="00AE0679" w:rsidRDefault="00AE0679" w:rsidP="008E0BCD">
      <w:pPr>
        <w:tabs>
          <w:tab w:val="center" w:pos="10080"/>
        </w:tabs>
        <w:rPr>
          <w:sz w:val="24"/>
          <w:szCs w:val="24"/>
        </w:rPr>
      </w:pPr>
      <w:r>
        <w:rPr>
          <w:sz w:val="24"/>
          <w:szCs w:val="24"/>
        </w:rPr>
        <w:t>Deposits, plus any accrued interest, less any amount owed for service rendered, will be refunded to the customer: 1) where the customer has for 12 consecutive months paid for service when due or 2) upon termination of service.</w:t>
      </w:r>
    </w:p>
    <w:p w14:paraId="32055FB0" w14:textId="77777777" w:rsidR="00AE0679" w:rsidRDefault="00AE0679" w:rsidP="008E0BCD">
      <w:pPr>
        <w:tabs>
          <w:tab w:val="center" w:pos="10080"/>
        </w:tabs>
        <w:rPr>
          <w:sz w:val="24"/>
          <w:szCs w:val="24"/>
        </w:rPr>
      </w:pPr>
    </w:p>
    <w:p w14:paraId="32055FB1" w14:textId="77777777" w:rsidR="00AE0679" w:rsidRDefault="00AE0679" w:rsidP="008E0BCD">
      <w:pPr>
        <w:tabs>
          <w:tab w:val="center" w:pos="10080"/>
        </w:tabs>
        <w:rPr>
          <w:sz w:val="24"/>
          <w:szCs w:val="24"/>
        </w:rPr>
      </w:pPr>
      <w:r>
        <w:rPr>
          <w:sz w:val="24"/>
          <w:szCs w:val="24"/>
        </w:rPr>
        <w:t>In addition, the utility will comply with all provisions of the Commission's deposit rules.</w:t>
      </w:r>
    </w:p>
    <w:p w14:paraId="32055FB2" w14:textId="77777777" w:rsidR="008E0BCD" w:rsidRDefault="008E0BCD" w:rsidP="008E0BCD">
      <w:pPr>
        <w:tabs>
          <w:tab w:val="center" w:pos="10080"/>
        </w:tabs>
        <w:rPr>
          <w:sz w:val="24"/>
          <w:szCs w:val="24"/>
        </w:rPr>
      </w:pPr>
    </w:p>
    <w:p w14:paraId="32055FB3" w14:textId="77777777" w:rsidR="008E0BCD" w:rsidRPr="00803BD7" w:rsidRDefault="008E0BCD" w:rsidP="008E0BCD">
      <w:pPr>
        <w:tabs>
          <w:tab w:val="center" w:pos="10080"/>
        </w:tabs>
        <w:rPr>
          <w:b/>
          <w:sz w:val="24"/>
          <w:szCs w:val="24"/>
          <w:u w:val="single"/>
        </w:rPr>
      </w:pPr>
      <w:r w:rsidRPr="00803BD7">
        <w:rPr>
          <w:b/>
          <w:sz w:val="24"/>
          <w:szCs w:val="24"/>
          <w:u w:val="single"/>
        </w:rPr>
        <w:t>Rule 13 - Responsibility for Delinquent Accounts</w:t>
      </w:r>
    </w:p>
    <w:p w14:paraId="32055FB4" w14:textId="77777777" w:rsidR="008E0BCD" w:rsidRDefault="008E0BCD" w:rsidP="008E0BCD">
      <w:pPr>
        <w:tabs>
          <w:tab w:val="center" w:pos="10080"/>
        </w:tabs>
        <w:rPr>
          <w:sz w:val="24"/>
          <w:szCs w:val="24"/>
        </w:rPr>
      </w:pPr>
    </w:p>
    <w:p w14:paraId="32055FB5" w14:textId="77777777" w:rsidR="008E0BCD" w:rsidRDefault="008E0BCD" w:rsidP="008E0BCD">
      <w:pPr>
        <w:tabs>
          <w:tab w:val="center" w:pos="10080"/>
        </w:tabs>
        <w:rPr>
          <w:sz w:val="24"/>
          <w:szCs w:val="24"/>
        </w:rPr>
      </w:pPr>
      <w:r>
        <w:rPr>
          <w:sz w:val="24"/>
          <w:szCs w:val="24"/>
        </w:rPr>
        <w:t>The utility will not refuse service to an applicant or discontinue service to a customer, who is not in arrears to the utility, because of the unpaid bill of a prior occupant, unless there is evidence of intent to defraud.</w:t>
      </w:r>
    </w:p>
    <w:p w14:paraId="32055FB6" w14:textId="77777777" w:rsidR="008E0BCD" w:rsidRDefault="008E0BCD" w:rsidP="008E0BCD">
      <w:pPr>
        <w:tabs>
          <w:tab w:val="center" w:pos="10080"/>
        </w:tabs>
        <w:rPr>
          <w:sz w:val="24"/>
          <w:szCs w:val="24"/>
        </w:rPr>
      </w:pPr>
    </w:p>
    <w:p w14:paraId="32055FB7" w14:textId="77777777" w:rsidR="008E0BCD" w:rsidRDefault="00357862" w:rsidP="008E0BCD">
      <w:pPr>
        <w:tabs>
          <w:tab w:val="center" w:pos="10080"/>
        </w:tabs>
        <w:rPr>
          <w:sz w:val="24"/>
          <w:szCs w:val="24"/>
        </w:rPr>
      </w:pPr>
      <w:r>
        <w:rPr>
          <w:sz w:val="24"/>
          <w:szCs w:val="24"/>
        </w:rPr>
        <w:t>When the property being served is a rental</w:t>
      </w:r>
      <w:r w:rsidR="008E0BCD">
        <w:rPr>
          <w:sz w:val="24"/>
          <w:szCs w:val="24"/>
        </w:rPr>
        <w:t xml:space="preserve">, </w:t>
      </w:r>
      <w:r w:rsidR="001D30E0">
        <w:rPr>
          <w:sz w:val="24"/>
          <w:szCs w:val="24"/>
        </w:rPr>
        <w:t>the property owner is the customer</w:t>
      </w:r>
      <w:r w:rsidR="008E0BCD">
        <w:rPr>
          <w:sz w:val="24"/>
          <w:szCs w:val="24"/>
        </w:rPr>
        <w:t xml:space="preserve">.  The </w:t>
      </w:r>
      <w:r w:rsidR="001D30E0">
        <w:rPr>
          <w:sz w:val="24"/>
          <w:szCs w:val="24"/>
        </w:rPr>
        <w:t>property</w:t>
      </w:r>
      <w:r w:rsidR="008E0BCD">
        <w:rPr>
          <w:sz w:val="24"/>
          <w:szCs w:val="24"/>
        </w:rPr>
        <w:tab/>
        <w:t>(N)</w:t>
      </w:r>
    </w:p>
    <w:p w14:paraId="32055FB8" w14:textId="77777777" w:rsidR="008E0BCD" w:rsidRDefault="001D30E0" w:rsidP="008E0BCD">
      <w:pPr>
        <w:tabs>
          <w:tab w:val="bar" w:pos="10080"/>
        </w:tabs>
        <w:rPr>
          <w:sz w:val="24"/>
          <w:szCs w:val="24"/>
        </w:rPr>
      </w:pPr>
      <w:r>
        <w:rPr>
          <w:sz w:val="24"/>
          <w:szCs w:val="24"/>
        </w:rPr>
        <w:lastRenderedPageBreak/>
        <w:t xml:space="preserve">Owner </w:t>
      </w:r>
      <w:r w:rsidR="00357862">
        <w:rPr>
          <w:sz w:val="24"/>
          <w:szCs w:val="24"/>
        </w:rPr>
        <w:t xml:space="preserve">must </w:t>
      </w:r>
      <w:r w:rsidR="008E0BCD">
        <w:rPr>
          <w:sz w:val="24"/>
          <w:szCs w:val="24"/>
        </w:rPr>
        <w:t xml:space="preserve">establish the account and </w:t>
      </w:r>
      <w:r>
        <w:rPr>
          <w:sz w:val="24"/>
          <w:szCs w:val="24"/>
        </w:rPr>
        <w:t>will be responsible for all utility charges.</w:t>
      </w:r>
      <w:r w:rsidR="008E0BCD">
        <w:rPr>
          <w:sz w:val="24"/>
          <w:szCs w:val="24"/>
        </w:rPr>
        <w:t xml:space="preserve">  Disconnection notices will be provided to </w:t>
      </w:r>
      <w:r w:rsidR="00357862">
        <w:rPr>
          <w:sz w:val="24"/>
          <w:szCs w:val="24"/>
        </w:rPr>
        <w:t xml:space="preserve">both </w:t>
      </w:r>
      <w:r w:rsidR="00002CA3">
        <w:rPr>
          <w:sz w:val="24"/>
          <w:szCs w:val="24"/>
        </w:rPr>
        <w:t>property owner</w:t>
      </w:r>
      <w:r w:rsidR="00357862">
        <w:rPr>
          <w:sz w:val="24"/>
          <w:szCs w:val="24"/>
        </w:rPr>
        <w:t xml:space="preserve"> and tenant.</w:t>
      </w:r>
    </w:p>
    <w:p w14:paraId="32055FB9" w14:textId="77777777" w:rsidR="008E0BCD" w:rsidRDefault="008E0BCD" w:rsidP="008E0BCD">
      <w:pPr>
        <w:tabs>
          <w:tab w:val="bar" w:pos="10080"/>
        </w:tabs>
        <w:rPr>
          <w:sz w:val="24"/>
          <w:szCs w:val="24"/>
        </w:rPr>
      </w:pPr>
    </w:p>
    <w:p w14:paraId="32055FBA" w14:textId="77777777" w:rsidR="008E0BCD" w:rsidRDefault="008E0BCD" w:rsidP="009A58E0">
      <w:pPr>
        <w:tabs>
          <w:tab w:val="bar" w:pos="10080"/>
        </w:tabs>
        <w:rPr>
          <w:sz w:val="24"/>
          <w:szCs w:val="24"/>
        </w:rPr>
      </w:pPr>
      <w:r>
        <w:rPr>
          <w:sz w:val="24"/>
          <w:szCs w:val="24"/>
        </w:rPr>
        <w:t xml:space="preserve">If past due amounts are referred for collection to a collection agency, a collection charge of </w:t>
      </w:r>
    </w:p>
    <w:p w14:paraId="32055FBB" w14:textId="77777777" w:rsidR="008E0BCD" w:rsidRDefault="008E0BCD" w:rsidP="008E0BCD">
      <w:pPr>
        <w:tabs>
          <w:tab w:val="bar" w:pos="10080"/>
        </w:tabs>
        <w:rPr>
          <w:sz w:val="24"/>
          <w:szCs w:val="24"/>
        </w:rPr>
      </w:pPr>
      <w:r>
        <w:rPr>
          <w:sz w:val="24"/>
          <w:szCs w:val="24"/>
        </w:rPr>
        <w:t xml:space="preserve">thirty-five percent (35%) will be added to the delinquent account to </w:t>
      </w:r>
      <w:r w:rsidR="00357862">
        <w:rPr>
          <w:sz w:val="24"/>
          <w:szCs w:val="24"/>
        </w:rPr>
        <w:t xml:space="preserve">recover </w:t>
      </w:r>
      <w:r>
        <w:rPr>
          <w:sz w:val="24"/>
          <w:szCs w:val="24"/>
        </w:rPr>
        <w:t>the charge assessed</w:t>
      </w:r>
    </w:p>
    <w:p w14:paraId="32055FBC" w14:textId="77777777" w:rsidR="008E0BCD" w:rsidRDefault="00357862" w:rsidP="00901168">
      <w:pPr>
        <w:tabs>
          <w:tab w:val="center" w:pos="10080"/>
        </w:tabs>
        <w:rPr>
          <w:sz w:val="24"/>
          <w:szCs w:val="24"/>
        </w:rPr>
      </w:pPr>
      <w:r>
        <w:rPr>
          <w:sz w:val="24"/>
          <w:szCs w:val="24"/>
        </w:rPr>
        <w:t xml:space="preserve"> </w:t>
      </w:r>
      <w:r w:rsidR="008E0BCD">
        <w:rPr>
          <w:sz w:val="24"/>
          <w:szCs w:val="24"/>
        </w:rPr>
        <w:t>by the collection agency.</w:t>
      </w:r>
      <w:r w:rsidR="008E0BCD">
        <w:rPr>
          <w:sz w:val="24"/>
          <w:szCs w:val="24"/>
        </w:rPr>
        <w:tab/>
        <w:t>(N)</w:t>
      </w:r>
    </w:p>
    <w:p w14:paraId="32055FBD" w14:textId="77777777" w:rsidR="008E0BCD" w:rsidRDefault="008E0BCD" w:rsidP="008E0BCD">
      <w:pPr>
        <w:tabs>
          <w:tab w:val="center" w:pos="10080"/>
        </w:tabs>
        <w:rPr>
          <w:sz w:val="24"/>
          <w:szCs w:val="24"/>
        </w:rPr>
      </w:pPr>
    </w:p>
    <w:p w14:paraId="32055FBE" w14:textId="77777777" w:rsidR="008E0BCD" w:rsidRDefault="008E0BCD" w:rsidP="008E0BCD">
      <w:pPr>
        <w:rPr>
          <w:sz w:val="24"/>
          <w:szCs w:val="24"/>
        </w:rPr>
      </w:pPr>
    </w:p>
    <w:p w14:paraId="32055FBF" w14:textId="77777777" w:rsidR="00153DC6" w:rsidRPr="002B74B8" w:rsidRDefault="00153DC6" w:rsidP="008E0BCD">
      <w:pPr>
        <w:rPr>
          <w:sz w:val="24"/>
          <w:szCs w:val="24"/>
        </w:rPr>
      </w:pPr>
      <w:r>
        <w:rPr>
          <w:sz w:val="24"/>
          <w:szCs w:val="24"/>
        </w:rPr>
        <w:t>M – Material has be</w:t>
      </w:r>
      <w:r w:rsidR="008617D7">
        <w:rPr>
          <w:sz w:val="24"/>
          <w:szCs w:val="24"/>
        </w:rPr>
        <w:t>en transferred from Sheet No. 9.</w:t>
      </w:r>
    </w:p>
    <w:sectPr w:rsidR="00153DC6" w:rsidRPr="002B74B8" w:rsidSect="000B2DB1">
      <w:footerReference w:type="default" r:id="rId10"/>
      <w:type w:val="continuous"/>
      <w:pgSz w:w="12240" w:h="15840"/>
      <w:pgMar w:top="1152" w:right="1440" w:bottom="1152" w:left="1440" w:header="72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55FC2" w14:textId="77777777" w:rsidR="000F79E9" w:rsidRDefault="000F79E9">
      <w:r>
        <w:separator/>
      </w:r>
    </w:p>
  </w:endnote>
  <w:endnote w:type="continuationSeparator" w:id="0">
    <w:p w14:paraId="32055FC3" w14:textId="77777777" w:rsidR="000F79E9" w:rsidRDefault="000F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55FC4" w14:textId="77777777" w:rsidR="00AE0679" w:rsidRDefault="00AE0679">
    <w:pPr>
      <w:pStyle w:val="BodyTextIndent"/>
      <w:pBdr>
        <w:bottom w:val="single" w:sz="12" w:space="1" w:color="auto"/>
      </w:pBdr>
    </w:pPr>
  </w:p>
  <w:p w14:paraId="32055FC5" w14:textId="77777777" w:rsidR="00AE0679" w:rsidRDefault="00AE0679">
    <w:pPr>
      <w:pStyle w:val="BodyTextIndent"/>
    </w:pPr>
  </w:p>
  <w:p w14:paraId="32055FC6" w14:textId="77777777" w:rsidR="00AE0679" w:rsidRDefault="00AE0679">
    <w:pPr>
      <w:pStyle w:val="BodyTextIndent"/>
    </w:pPr>
    <w:r>
      <w:rPr>
        <w:b/>
      </w:rPr>
      <w:t xml:space="preserve">Issued:  </w:t>
    </w:r>
    <w:r>
      <w:t xml:space="preserve">December </w:t>
    </w:r>
    <w:r w:rsidR="00111B42">
      <w:t>15</w:t>
    </w:r>
    <w:r>
      <w:t>, 2016</w:t>
    </w:r>
    <w:r>
      <w:tab/>
    </w:r>
    <w:r>
      <w:tab/>
    </w:r>
    <w:r>
      <w:tab/>
    </w:r>
    <w:r>
      <w:tab/>
    </w:r>
    <w:r>
      <w:rPr>
        <w:b/>
      </w:rPr>
      <w:t xml:space="preserve">Effective: </w:t>
    </w:r>
    <w:r>
      <w:t xml:space="preserve"> January 15, 2017</w:t>
    </w:r>
  </w:p>
  <w:p w14:paraId="32055FC7" w14:textId="77777777" w:rsidR="00AE0679" w:rsidRDefault="00AE0679">
    <w:pPr>
      <w:pStyle w:val="BodyTextIndent"/>
      <w:rPr>
        <w:b/>
      </w:rPr>
    </w:pPr>
  </w:p>
  <w:p w14:paraId="32055FC8" w14:textId="77777777" w:rsidR="00AE0679" w:rsidRDefault="00AE0679">
    <w:pPr>
      <w:pStyle w:val="BodyTextIndent"/>
    </w:pPr>
    <w:r>
      <w:rPr>
        <w:b/>
      </w:rPr>
      <w:t xml:space="preserve">Issued by:  </w:t>
    </w:r>
    <w:r>
      <w:t>Burton Water Company, Inc.</w:t>
    </w:r>
  </w:p>
  <w:p w14:paraId="32055FC9" w14:textId="77777777" w:rsidR="00AE0679" w:rsidRDefault="00AE0679">
    <w:pPr>
      <w:pStyle w:val="BodyTextIndent"/>
    </w:pPr>
  </w:p>
  <w:p w14:paraId="32055FCA" w14:textId="77777777" w:rsidR="00AE0679" w:rsidRDefault="00AE0679">
    <w:pPr>
      <w:pStyle w:val="BodyTextIndent"/>
    </w:pPr>
    <w:r>
      <w:rPr>
        <w:b/>
      </w:rPr>
      <w:t>By:</w:t>
    </w:r>
    <w:r>
      <w:rPr>
        <w:b/>
      </w:rPr>
      <w:tab/>
    </w:r>
    <w:r>
      <w:t>Richard A. Finnigan</w:t>
    </w:r>
    <w:r>
      <w:tab/>
    </w:r>
    <w:r>
      <w:tab/>
    </w:r>
    <w:r>
      <w:tab/>
    </w:r>
    <w:r>
      <w:tab/>
      <w:t xml:space="preserve">  </w:t>
    </w:r>
    <w:r>
      <w:rPr>
        <w:b/>
      </w:rPr>
      <w:t>Title:</w:t>
    </w:r>
    <w:r>
      <w:t xml:space="preserve">  Attorney</w:t>
    </w:r>
  </w:p>
  <w:p w14:paraId="32055FCB" w14:textId="77777777" w:rsidR="00AE0679" w:rsidRDefault="00AE0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55FC0" w14:textId="77777777" w:rsidR="000F79E9" w:rsidRDefault="000F79E9">
      <w:r>
        <w:separator/>
      </w:r>
    </w:p>
  </w:footnote>
  <w:footnote w:type="continuationSeparator" w:id="0">
    <w:p w14:paraId="32055FC1" w14:textId="77777777" w:rsidR="000F79E9" w:rsidRDefault="000F7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6165A"/>
    <w:multiLevelType w:val="multilevel"/>
    <w:tmpl w:val="263043C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1F1F1EC1"/>
    <w:multiLevelType w:val="singleLevel"/>
    <w:tmpl w:val="17706312"/>
    <w:lvl w:ilvl="0">
      <w:start w:val="1"/>
      <w:numFmt w:val="lowerLetter"/>
      <w:lvlText w:val="(%1)"/>
      <w:lvlJc w:val="left"/>
      <w:pPr>
        <w:tabs>
          <w:tab w:val="num" w:pos="1440"/>
        </w:tabs>
        <w:ind w:left="1440" w:hanging="720"/>
      </w:pPr>
      <w:rPr>
        <w:rFonts w:hint="default"/>
      </w:rPr>
    </w:lvl>
  </w:abstractNum>
  <w:abstractNum w:abstractNumId="2" w15:restartNumberingAfterBreak="0">
    <w:nsid w:val="1F652989"/>
    <w:multiLevelType w:val="singleLevel"/>
    <w:tmpl w:val="2F04FC7A"/>
    <w:lvl w:ilvl="0">
      <w:start w:val="1"/>
      <w:numFmt w:val="lowerLetter"/>
      <w:lvlText w:val="(%1)"/>
      <w:lvlJc w:val="left"/>
      <w:pPr>
        <w:tabs>
          <w:tab w:val="num" w:pos="1440"/>
        </w:tabs>
        <w:ind w:left="1440" w:hanging="720"/>
      </w:pPr>
      <w:rPr>
        <w:rFonts w:hint="default"/>
      </w:rPr>
    </w:lvl>
  </w:abstractNum>
  <w:abstractNum w:abstractNumId="3" w15:restartNumberingAfterBreak="0">
    <w:nsid w:val="21711FF4"/>
    <w:multiLevelType w:val="singleLevel"/>
    <w:tmpl w:val="07ACA4AE"/>
    <w:lvl w:ilvl="0">
      <w:start w:val="1"/>
      <w:numFmt w:val="lowerLetter"/>
      <w:lvlText w:val="(%1)"/>
      <w:lvlJc w:val="left"/>
      <w:pPr>
        <w:tabs>
          <w:tab w:val="num" w:pos="1440"/>
        </w:tabs>
        <w:ind w:left="1440" w:hanging="720"/>
      </w:pPr>
      <w:rPr>
        <w:rFonts w:hint="default"/>
      </w:rPr>
    </w:lvl>
  </w:abstractNum>
  <w:abstractNum w:abstractNumId="4" w15:restartNumberingAfterBreak="0">
    <w:nsid w:val="2EB20CF8"/>
    <w:multiLevelType w:val="hybridMultilevel"/>
    <w:tmpl w:val="5C208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6" w15:restartNumberingAfterBreak="0">
    <w:nsid w:val="4010780F"/>
    <w:multiLevelType w:val="singleLevel"/>
    <w:tmpl w:val="65107694"/>
    <w:lvl w:ilvl="0">
      <w:start w:val="1"/>
      <w:numFmt w:val="lowerLetter"/>
      <w:lvlText w:val="(%1)"/>
      <w:lvlJc w:val="left"/>
      <w:pPr>
        <w:tabs>
          <w:tab w:val="num" w:pos="1440"/>
        </w:tabs>
        <w:ind w:left="1440" w:hanging="720"/>
      </w:pPr>
      <w:rPr>
        <w:rFonts w:hint="default"/>
      </w:rPr>
    </w:lvl>
  </w:abstractNum>
  <w:abstractNum w:abstractNumId="7" w15:restartNumberingAfterBreak="0">
    <w:nsid w:val="458549BA"/>
    <w:multiLevelType w:val="singleLevel"/>
    <w:tmpl w:val="3BDA6F88"/>
    <w:lvl w:ilvl="0">
      <w:start w:val="6"/>
      <w:numFmt w:val="lowerLetter"/>
      <w:lvlText w:val="(%1)"/>
      <w:lvlJc w:val="left"/>
      <w:pPr>
        <w:tabs>
          <w:tab w:val="num" w:pos="1440"/>
        </w:tabs>
        <w:ind w:left="1440" w:hanging="720"/>
      </w:pPr>
      <w:rPr>
        <w:rFonts w:hint="default"/>
      </w:rPr>
    </w:lvl>
  </w:abstractNum>
  <w:abstractNum w:abstractNumId="8" w15:restartNumberingAfterBreak="0">
    <w:nsid w:val="5DAD7DE9"/>
    <w:multiLevelType w:val="singleLevel"/>
    <w:tmpl w:val="7040B9F6"/>
    <w:lvl w:ilvl="0">
      <w:start w:val="4"/>
      <w:numFmt w:val="lowerLetter"/>
      <w:lvlText w:val="(%1)"/>
      <w:lvlJc w:val="left"/>
      <w:pPr>
        <w:tabs>
          <w:tab w:val="num" w:pos="1440"/>
        </w:tabs>
        <w:ind w:left="1440" w:hanging="720"/>
      </w:pPr>
      <w:rPr>
        <w:rFonts w:hint="default"/>
      </w:rPr>
    </w:lvl>
  </w:abstractNum>
  <w:abstractNum w:abstractNumId="9" w15:restartNumberingAfterBreak="0">
    <w:nsid w:val="607669FF"/>
    <w:multiLevelType w:val="singleLevel"/>
    <w:tmpl w:val="5A3044B8"/>
    <w:lvl w:ilvl="0">
      <w:start w:val="3"/>
      <w:numFmt w:val="decimal"/>
      <w:lvlText w:val="%1."/>
      <w:lvlJc w:val="left"/>
      <w:pPr>
        <w:tabs>
          <w:tab w:val="num" w:pos="1080"/>
        </w:tabs>
        <w:ind w:left="1080" w:hanging="360"/>
      </w:pPr>
      <w:rPr>
        <w:rFonts w:hint="default"/>
      </w:rPr>
    </w:lvl>
  </w:abstractNum>
  <w:abstractNum w:abstractNumId="10" w15:restartNumberingAfterBreak="0">
    <w:nsid w:val="6FDD3E53"/>
    <w:multiLevelType w:val="singleLevel"/>
    <w:tmpl w:val="70B44C0A"/>
    <w:lvl w:ilvl="0">
      <w:start w:val="8"/>
      <w:numFmt w:val="lowerLetter"/>
      <w:lvlText w:val=""/>
      <w:lvlJc w:val="left"/>
      <w:pPr>
        <w:tabs>
          <w:tab w:val="num" w:pos="360"/>
        </w:tabs>
        <w:ind w:left="360" w:hanging="360"/>
      </w:pPr>
      <w:rPr>
        <w:rFonts w:ascii="Times New Roman" w:hAnsi="Times New Roman" w:hint="default"/>
      </w:rPr>
    </w:lvl>
  </w:abstractNum>
  <w:abstractNum w:abstractNumId="11" w15:restartNumberingAfterBreak="0">
    <w:nsid w:val="74A82CC6"/>
    <w:multiLevelType w:val="singleLevel"/>
    <w:tmpl w:val="E4461052"/>
    <w:lvl w:ilvl="0">
      <w:start w:val="2"/>
      <w:numFmt w:val="upperLetter"/>
      <w:lvlText w:val="%1."/>
      <w:lvlJc w:val="left"/>
      <w:pPr>
        <w:tabs>
          <w:tab w:val="num" w:pos="720"/>
        </w:tabs>
        <w:ind w:left="720" w:hanging="720"/>
      </w:pPr>
      <w:rPr>
        <w:rFonts w:hint="default"/>
      </w:rPr>
    </w:lvl>
  </w:abstractNum>
  <w:num w:numId="1">
    <w:abstractNumId w:val="8"/>
  </w:num>
  <w:num w:numId="2">
    <w:abstractNumId w:val="6"/>
  </w:num>
  <w:num w:numId="3">
    <w:abstractNumId w:val="7"/>
  </w:num>
  <w:num w:numId="4">
    <w:abstractNumId w:val="10"/>
  </w:num>
  <w:num w:numId="5">
    <w:abstractNumId w:val="1"/>
  </w:num>
  <w:num w:numId="6">
    <w:abstractNumId w:val="3"/>
  </w:num>
  <w:num w:numId="7">
    <w:abstractNumId w:val="2"/>
  </w:num>
  <w:num w:numId="8">
    <w:abstractNumId w:val="11"/>
  </w:num>
  <w:num w:numId="9">
    <w:abstractNumId w:val="5"/>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16"/>
    <w:rsid w:val="00002CA3"/>
    <w:rsid w:val="00013026"/>
    <w:rsid w:val="000203E2"/>
    <w:rsid w:val="00021C6C"/>
    <w:rsid w:val="000245E5"/>
    <w:rsid w:val="00040C71"/>
    <w:rsid w:val="00043D8A"/>
    <w:rsid w:val="0004739F"/>
    <w:rsid w:val="00055E73"/>
    <w:rsid w:val="00063D19"/>
    <w:rsid w:val="00090BBF"/>
    <w:rsid w:val="000B2DB1"/>
    <w:rsid w:val="000B4474"/>
    <w:rsid w:val="000C0908"/>
    <w:rsid w:val="000D0E98"/>
    <w:rsid w:val="000D3CE1"/>
    <w:rsid w:val="000E0F8B"/>
    <w:rsid w:val="000F79E9"/>
    <w:rsid w:val="001018A9"/>
    <w:rsid w:val="00104E40"/>
    <w:rsid w:val="00111B42"/>
    <w:rsid w:val="00136790"/>
    <w:rsid w:val="001424A9"/>
    <w:rsid w:val="00145363"/>
    <w:rsid w:val="00145D87"/>
    <w:rsid w:val="0015222B"/>
    <w:rsid w:val="00153DC6"/>
    <w:rsid w:val="00154266"/>
    <w:rsid w:val="001554F0"/>
    <w:rsid w:val="0017368D"/>
    <w:rsid w:val="00173FE0"/>
    <w:rsid w:val="00192CAB"/>
    <w:rsid w:val="00197441"/>
    <w:rsid w:val="001B01DE"/>
    <w:rsid w:val="001D30E0"/>
    <w:rsid w:val="001D3A21"/>
    <w:rsid w:val="001D69A1"/>
    <w:rsid w:val="001E6B7C"/>
    <w:rsid w:val="002048FD"/>
    <w:rsid w:val="00214D38"/>
    <w:rsid w:val="00216062"/>
    <w:rsid w:val="00237BDC"/>
    <w:rsid w:val="0024296B"/>
    <w:rsid w:val="00243067"/>
    <w:rsid w:val="002539FE"/>
    <w:rsid w:val="00264A83"/>
    <w:rsid w:val="00292BE3"/>
    <w:rsid w:val="00293A21"/>
    <w:rsid w:val="002B25EC"/>
    <w:rsid w:val="002B2E8E"/>
    <w:rsid w:val="002C0989"/>
    <w:rsid w:val="002C78C0"/>
    <w:rsid w:val="002D301E"/>
    <w:rsid w:val="002E1A47"/>
    <w:rsid w:val="003142E3"/>
    <w:rsid w:val="00320412"/>
    <w:rsid w:val="00330F56"/>
    <w:rsid w:val="003340B2"/>
    <w:rsid w:val="00336A7C"/>
    <w:rsid w:val="0034041C"/>
    <w:rsid w:val="003408F2"/>
    <w:rsid w:val="00351AB0"/>
    <w:rsid w:val="00357862"/>
    <w:rsid w:val="0036783C"/>
    <w:rsid w:val="003754DB"/>
    <w:rsid w:val="00376525"/>
    <w:rsid w:val="003A14AC"/>
    <w:rsid w:val="003A23C4"/>
    <w:rsid w:val="003A6B97"/>
    <w:rsid w:val="003D0ADC"/>
    <w:rsid w:val="003D754A"/>
    <w:rsid w:val="003E4438"/>
    <w:rsid w:val="003E5CC2"/>
    <w:rsid w:val="003F2FE5"/>
    <w:rsid w:val="00420746"/>
    <w:rsid w:val="00425A9D"/>
    <w:rsid w:val="00426BF9"/>
    <w:rsid w:val="00442E65"/>
    <w:rsid w:val="00447E16"/>
    <w:rsid w:val="00477C69"/>
    <w:rsid w:val="00483804"/>
    <w:rsid w:val="004A0365"/>
    <w:rsid w:val="004A4545"/>
    <w:rsid w:val="004C006E"/>
    <w:rsid w:val="004D716F"/>
    <w:rsid w:val="004D7AF1"/>
    <w:rsid w:val="004F6E78"/>
    <w:rsid w:val="005029BC"/>
    <w:rsid w:val="00541E77"/>
    <w:rsid w:val="00547F02"/>
    <w:rsid w:val="005544B7"/>
    <w:rsid w:val="00571BCC"/>
    <w:rsid w:val="0058432E"/>
    <w:rsid w:val="005870B9"/>
    <w:rsid w:val="00587202"/>
    <w:rsid w:val="005909E1"/>
    <w:rsid w:val="005B004D"/>
    <w:rsid w:val="005C220A"/>
    <w:rsid w:val="005C6055"/>
    <w:rsid w:val="005D295C"/>
    <w:rsid w:val="005D60F9"/>
    <w:rsid w:val="005E5F64"/>
    <w:rsid w:val="005E6762"/>
    <w:rsid w:val="005F029D"/>
    <w:rsid w:val="005F24B5"/>
    <w:rsid w:val="0063249D"/>
    <w:rsid w:val="006433C7"/>
    <w:rsid w:val="006548EC"/>
    <w:rsid w:val="006611DA"/>
    <w:rsid w:val="0067482F"/>
    <w:rsid w:val="00692F9F"/>
    <w:rsid w:val="00695DD2"/>
    <w:rsid w:val="006B3436"/>
    <w:rsid w:val="006C64FA"/>
    <w:rsid w:val="006D1744"/>
    <w:rsid w:val="006F008B"/>
    <w:rsid w:val="006F6C97"/>
    <w:rsid w:val="0073710F"/>
    <w:rsid w:val="00746BF9"/>
    <w:rsid w:val="00746D16"/>
    <w:rsid w:val="00750C1B"/>
    <w:rsid w:val="00750EFC"/>
    <w:rsid w:val="0075372E"/>
    <w:rsid w:val="0075471C"/>
    <w:rsid w:val="00757D2D"/>
    <w:rsid w:val="00757F99"/>
    <w:rsid w:val="0076488F"/>
    <w:rsid w:val="00765C23"/>
    <w:rsid w:val="00772CB4"/>
    <w:rsid w:val="0078558C"/>
    <w:rsid w:val="007B4982"/>
    <w:rsid w:val="007C32E4"/>
    <w:rsid w:val="007D2AF9"/>
    <w:rsid w:val="007D3B8C"/>
    <w:rsid w:val="007F1580"/>
    <w:rsid w:val="00801422"/>
    <w:rsid w:val="00813F0B"/>
    <w:rsid w:val="00814307"/>
    <w:rsid w:val="0082019E"/>
    <w:rsid w:val="00821645"/>
    <w:rsid w:val="00822C07"/>
    <w:rsid w:val="00826698"/>
    <w:rsid w:val="008302FD"/>
    <w:rsid w:val="00834328"/>
    <w:rsid w:val="008617D7"/>
    <w:rsid w:val="00865479"/>
    <w:rsid w:val="008668D8"/>
    <w:rsid w:val="00884CC4"/>
    <w:rsid w:val="008857C7"/>
    <w:rsid w:val="008877D1"/>
    <w:rsid w:val="00891113"/>
    <w:rsid w:val="008D30B0"/>
    <w:rsid w:val="008E0BCD"/>
    <w:rsid w:val="008E48F8"/>
    <w:rsid w:val="00901141"/>
    <w:rsid w:val="00901168"/>
    <w:rsid w:val="00907E20"/>
    <w:rsid w:val="009103C3"/>
    <w:rsid w:val="00924AFE"/>
    <w:rsid w:val="00930338"/>
    <w:rsid w:val="00941F1A"/>
    <w:rsid w:val="00943F95"/>
    <w:rsid w:val="00950705"/>
    <w:rsid w:val="009544E7"/>
    <w:rsid w:val="00960815"/>
    <w:rsid w:val="00971580"/>
    <w:rsid w:val="00971D4B"/>
    <w:rsid w:val="00972BD9"/>
    <w:rsid w:val="009900B1"/>
    <w:rsid w:val="00990A4F"/>
    <w:rsid w:val="009A58E0"/>
    <w:rsid w:val="009C4448"/>
    <w:rsid w:val="009D0430"/>
    <w:rsid w:val="009D7F91"/>
    <w:rsid w:val="009F115A"/>
    <w:rsid w:val="00A01FFA"/>
    <w:rsid w:val="00A03ABB"/>
    <w:rsid w:val="00A14ADE"/>
    <w:rsid w:val="00A30FEE"/>
    <w:rsid w:val="00A3234E"/>
    <w:rsid w:val="00A33E5C"/>
    <w:rsid w:val="00A41B16"/>
    <w:rsid w:val="00A92780"/>
    <w:rsid w:val="00A9281B"/>
    <w:rsid w:val="00AA23F0"/>
    <w:rsid w:val="00AA49FA"/>
    <w:rsid w:val="00AB7E4A"/>
    <w:rsid w:val="00AC66C4"/>
    <w:rsid w:val="00AD0595"/>
    <w:rsid w:val="00AD1737"/>
    <w:rsid w:val="00AE0679"/>
    <w:rsid w:val="00AE54C1"/>
    <w:rsid w:val="00AF564A"/>
    <w:rsid w:val="00B131D4"/>
    <w:rsid w:val="00B2510C"/>
    <w:rsid w:val="00B25EDF"/>
    <w:rsid w:val="00B27548"/>
    <w:rsid w:val="00B415AA"/>
    <w:rsid w:val="00B62D02"/>
    <w:rsid w:val="00B64BD3"/>
    <w:rsid w:val="00B66399"/>
    <w:rsid w:val="00BB1349"/>
    <w:rsid w:val="00BD7129"/>
    <w:rsid w:val="00BE503E"/>
    <w:rsid w:val="00C247A8"/>
    <w:rsid w:val="00C334A6"/>
    <w:rsid w:val="00C40546"/>
    <w:rsid w:val="00C571F4"/>
    <w:rsid w:val="00C63FF8"/>
    <w:rsid w:val="00C65A3D"/>
    <w:rsid w:val="00C9083F"/>
    <w:rsid w:val="00CA039C"/>
    <w:rsid w:val="00CA45D1"/>
    <w:rsid w:val="00CB167F"/>
    <w:rsid w:val="00CB4DF8"/>
    <w:rsid w:val="00CC09CE"/>
    <w:rsid w:val="00CC4E1B"/>
    <w:rsid w:val="00CF0BA9"/>
    <w:rsid w:val="00CF15BC"/>
    <w:rsid w:val="00CF6A6A"/>
    <w:rsid w:val="00D02248"/>
    <w:rsid w:val="00D07F75"/>
    <w:rsid w:val="00D43DAA"/>
    <w:rsid w:val="00D45F0B"/>
    <w:rsid w:val="00D5045B"/>
    <w:rsid w:val="00D6604A"/>
    <w:rsid w:val="00DA1177"/>
    <w:rsid w:val="00DA262C"/>
    <w:rsid w:val="00DB009A"/>
    <w:rsid w:val="00DB5A73"/>
    <w:rsid w:val="00DB7AF8"/>
    <w:rsid w:val="00E03FFA"/>
    <w:rsid w:val="00E171D3"/>
    <w:rsid w:val="00E23E4E"/>
    <w:rsid w:val="00E36060"/>
    <w:rsid w:val="00E50820"/>
    <w:rsid w:val="00E51D3A"/>
    <w:rsid w:val="00E56981"/>
    <w:rsid w:val="00E66A6E"/>
    <w:rsid w:val="00E6755B"/>
    <w:rsid w:val="00E712E4"/>
    <w:rsid w:val="00E737D7"/>
    <w:rsid w:val="00E75153"/>
    <w:rsid w:val="00E8128A"/>
    <w:rsid w:val="00E837D3"/>
    <w:rsid w:val="00E87C37"/>
    <w:rsid w:val="00E97DDC"/>
    <w:rsid w:val="00EA4AE5"/>
    <w:rsid w:val="00EB395B"/>
    <w:rsid w:val="00EE581A"/>
    <w:rsid w:val="00EF076E"/>
    <w:rsid w:val="00EF7DD7"/>
    <w:rsid w:val="00F01C4F"/>
    <w:rsid w:val="00F039D3"/>
    <w:rsid w:val="00F06A9C"/>
    <w:rsid w:val="00F345BF"/>
    <w:rsid w:val="00F346F7"/>
    <w:rsid w:val="00F40520"/>
    <w:rsid w:val="00F451DB"/>
    <w:rsid w:val="00F613A2"/>
    <w:rsid w:val="00F7562D"/>
    <w:rsid w:val="00F763E4"/>
    <w:rsid w:val="00F771D3"/>
    <w:rsid w:val="00F926CE"/>
    <w:rsid w:val="00FA0645"/>
    <w:rsid w:val="00FA2DC4"/>
    <w:rsid w:val="00FB08FF"/>
    <w:rsid w:val="00FB1806"/>
    <w:rsid w:val="00FC7AB5"/>
    <w:rsid w:val="00FE0D4F"/>
    <w:rsid w:val="00FE1BFC"/>
    <w:rsid w:val="00FF591C"/>
    <w:rsid w:val="00FF69EE"/>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55F78"/>
  <w15:docId w15:val="{86FFF416-D701-4DDB-8CC9-C3E6E945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qFormat/>
    <w:pPr>
      <w:keepNext/>
      <w:jc w:val="center"/>
      <w:outlineLvl w:val="1"/>
    </w:pPr>
    <w:rPr>
      <w:rFonts w:ascii="Courier New" w:hAnsi="Courier New"/>
      <w:sz w:val="24"/>
      <w:u w:val="single"/>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2Char">
    <w:name w:val="Heading 2 Char"/>
    <w:link w:val="Heading2"/>
    <w:rsid w:val="00EF076E"/>
    <w:rPr>
      <w:rFonts w:ascii="Courier New" w:hAnsi="Courier New"/>
      <w:sz w:val="24"/>
      <w:u w:val="single"/>
    </w:rPr>
  </w:style>
  <w:style w:type="character" w:customStyle="1" w:styleId="BodyTextIndentChar">
    <w:name w:val="Body Text Indent Char"/>
    <w:link w:val="BodyTextIndent"/>
    <w:rsid w:val="00EF076E"/>
    <w:rPr>
      <w:sz w:val="24"/>
    </w:rPr>
  </w:style>
  <w:style w:type="paragraph" w:styleId="BalloonText">
    <w:name w:val="Balloon Text"/>
    <w:basedOn w:val="Normal"/>
    <w:link w:val="BalloonTextChar"/>
    <w:rsid w:val="00B64BD3"/>
    <w:rPr>
      <w:rFonts w:ascii="Tahoma" w:hAnsi="Tahoma" w:cs="Tahoma"/>
      <w:sz w:val="16"/>
      <w:szCs w:val="16"/>
    </w:rPr>
  </w:style>
  <w:style w:type="character" w:customStyle="1" w:styleId="BalloonTextChar">
    <w:name w:val="Balloon Text Char"/>
    <w:link w:val="BalloonText"/>
    <w:rsid w:val="00B64BD3"/>
    <w:rPr>
      <w:rFonts w:ascii="Tahoma" w:hAnsi="Tahoma" w:cs="Tahoma"/>
      <w:sz w:val="16"/>
      <w:szCs w:val="16"/>
    </w:rPr>
  </w:style>
  <w:style w:type="paragraph" w:styleId="ListParagraph">
    <w:name w:val="List Paragraph"/>
    <w:basedOn w:val="Normal"/>
    <w:uiPriority w:val="34"/>
    <w:qFormat/>
    <w:rsid w:val="008E0B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2016-12-15T08:00:00+00:00</OpenedDate>
    <Date1 xmlns="dc463f71-b30c-4ab2-9473-d307f9d35888">2016-12-19T08:00:00+00:00</Date1>
    <IsDocumentOrder xmlns="dc463f71-b30c-4ab2-9473-d307f9d35888" xsi:nil="true"/>
    <IsHighlyConfidential xmlns="dc463f71-b30c-4ab2-9473-d307f9d35888">false</IsHighlyConfidential>
    <CaseCompanyNames xmlns="dc463f71-b30c-4ab2-9473-d307f9d35888">Burton Water Company, Inc.</CaseCompanyNames>
    <DocketNumber xmlns="dc463f71-b30c-4ab2-9473-d307f9d35888">161290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6748CDF217EA43AF0372DA81BB242F" ma:contentTypeVersion="104" ma:contentTypeDescription="" ma:contentTypeScope="" ma:versionID="7bd17ace6516d9df82d913c61d11a90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082A4-A645-452E-BFF3-4FD80D73BC70}">
  <ds:schemaRefs>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6a7bd91e-004b-490a-8704-e368d63d59a0"/>
  </ds:schemaRefs>
</ds:datastoreItem>
</file>

<file path=customXml/itemProps2.xml><?xml version="1.0" encoding="utf-8"?>
<ds:datastoreItem xmlns:ds="http://schemas.openxmlformats.org/officeDocument/2006/customXml" ds:itemID="{134958D0-CD52-4B65-A63C-46A08F329B1F}">
  <ds:schemaRefs>
    <ds:schemaRef ds:uri="http://schemas.microsoft.com/sharepoint/v3/contenttype/forms"/>
  </ds:schemaRefs>
</ds:datastoreItem>
</file>

<file path=customXml/itemProps3.xml><?xml version="1.0" encoding="utf-8"?>
<ds:datastoreItem xmlns:ds="http://schemas.openxmlformats.org/officeDocument/2006/customXml" ds:itemID="{A47ACAE8-1207-4E6E-9E00-9D09B1B5EF66}"/>
</file>

<file path=customXml/itemProps4.xml><?xml version="1.0" encoding="utf-8"?>
<ds:datastoreItem xmlns:ds="http://schemas.openxmlformats.org/officeDocument/2006/customXml" ds:itemID="{7BA60381-3100-41B1-A676-56A6A53A347B}"/>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WN U-2</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 U-2</dc:title>
  <dc:creator>ANNE WATSON</dc:creator>
  <cp:lastModifiedBy>Kredel, Ashley (UTC)</cp:lastModifiedBy>
  <cp:revision>2</cp:revision>
  <cp:lastPrinted>2016-12-16T19:32:00Z</cp:lastPrinted>
  <dcterms:created xsi:type="dcterms:W3CDTF">2016-12-19T21:38:00Z</dcterms:created>
  <dcterms:modified xsi:type="dcterms:W3CDTF">2016-12-19T21:38:00Z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0x0101006E56B4D1795A2E4DB2F0B01679ED314A009C6748CDF217EA43AF0372DA81BB242F</vt:lpwstr>
  </property>
  <property fmtid="{D5CDD505-2E9C-101B-9397-08002B2CF9AE}" pid="3" name="_docset_NoMedatataSyncRequired">
    <vt:lpwstr>False</vt:lpwstr>
  </property>
</Properties>
</file>