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9083" w14:textId="77777777" w:rsidR="00C011AB" w:rsidRPr="00FE0458" w:rsidRDefault="00C011AB" w:rsidP="00F637C2">
      <w:pPr>
        <w:pStyle w:val="BodyText"/>
        <w:spacing w:line="288" w:lineRule="auto"/>
        <w:rPr>
          <w:b/>
          <w:bCs/>
        </w:rPr>
      </w:pPr>
      <w:r w:rsidRPr="00FE0458">
        <w:rPr>
          <w:b/>
          <w:bCs/>
        </w:rPr>
        <w:t>BEFORE THE WASHINGTON</w:t>
      </w:r>
    </w:p>
    <w:p w14:paraId="370ACC1B" w14:textId="77777777" w:rsidR="00C011AB" w:rsidRPr="00FE0458" w:rsidRDefault="00C011AB" w:rsidP="00F637C2">
      <w:pPr>
        <w:pStyle w:val="BodyText"/>
        <w:spacing w:line="288" w:lineRule="auto"/>
        <w:rPr>
          <w:b/>
          <w:bCs/>
        </w:rPr>
      </w:pPr>
      <w:r w:rsidRPr="00FE0458">
        <w:rPr>
          <w:b/>
          <w:bCs/>
        </w:rPr>
        <w:t>UTILITIES AND TRANSPORTATION COMMISSION</w:t>
      </w:r>
    </w:p>
    <w:p w14:paraId="3444EB78" w14:textId="77777777" w:rsidR="000E4BC7" w:rsidRPr="00FE0458" w:rsidRDefault="000E4BC7" w:rsidP="00F637C2">
      <w:pPr>
        <w:pStyle w:val="BodyText"/>
        <w:spacing w:line="288" w:lineRule="auto"/>
      </w:pPr>
    </w:p>
    <w:tbl>
      <w:tblPr>
        <w:tblpPr w:leftFromText="180" w:rightFromText="180" w:vertAnchor="text" w:tblpY="1"/>
        <w:tblOverlap w:val="never"/>
        <w:tblW w:w="0" w:type="auto"/>
        <w:tblLayout w:type="fixed"/>
        <w:tblLook w:val="0000" w:firstRow="0" w:lastRow="0" w:firstColumn="0" w:lastColumn="0" w:noHBand="0" w:noVBand="0"/>
      </w:tblPr>
      <w:tblGrid>
        <w:gridCol w:w="4309"/>
      </w:tblGrid>
      <w:tr w:rsidR="00B1027E" w:rsidRPr="00FE0458" w14:paraId="6876091F" w14:textId="77777777" w:rsidTr="00DE32CB">
        <w:trPr>
          <w:trHeight w:val="2235"/>
        </w:trPr>
        <w:tc>
          <w:tcPr>
            <w:tcW w:w="4309" w:type="dxa"/>
            <w:vMerge w:val="restart"/>
            <w:tcBorders>
              <w:right w:val="single" w:sz="4" w:space="0" w:color="auto"/>
            </w:tcBorders>
          </w:tcPr>
          <w:p w14:paraId="15475BD8" w14:textId="241D0A0F" w:rsidR="00B1027E" w:rsidRDefault="00B1027E" w:rsidP="00B1027E">
            <w:pPr>
              <w:spacing w:line="288" w:lineRule="auto"/>
              <w:rPr>
                <w:bCs/>
              </w:rPr>
            </w:pPr>
            <w:r w:rsidRPr="00317152">
              <w:rPr>
                <w:bCs/>
              </w:rPr>
              <w:t xml:space="preserve">In the Matter of a Penalty Assessment Against </w:t>
            </w:r>
          </w:p>
          <w:p w14:paraId="4BB4F2B5" w14:textId="77777777" w:rsidR="00DE32CB" w:rsidRPr="00317152" w:rsidRDefault="00DE32CB" w:rsidP="00B1027E">
            <w:pPr>
              <w:spacing w:line="288" w:lineRule="auto"/>
              <w:rPr>
                <w:bCs/>
              </w:rPr>
            </w:pPr>
          </w:p>
          <w:p w14:paraId="1AD715EF" w14:textId="2AEDDF14" w:rsidR="00B1027E" w:rsidRPr="00317152" w:rsidRDefault="00840514" w:rsidP="00B1027E">
            <w:pPr>
              <w:spacing w:line="288" w:lineRule="auto"/>
              <w:rPr>
                <w:bCs/>
              </w:rPr>
            </w:pPr>
            <w:r>
              <w:rPr>
                <w:bCs/>
              </w:rPr>
              <w:t>SUNWEST ENTERPRISES, LLC d/b/a SUNWEST LIMOUSINE</w:t>
            </w:r>
          </w:p>
          <w:p w14:paraId="7673713E" w14:textId="77777777" w:rsidR="00B1027E" w:rsidRDefault="00B1027E" w:rsidP="00B1027E">
            <w:pPr>
              <w:spacing w:line="288" w:lineRule="auto"/>
              <w:rPr>
                <w:bCs/>
              </w:rPr>
            </w:pPr>
          </w:p>
          <w:p w14:paraId="6E1F8EC4" w14:textId="77777777" w:rsidR="00DE32CB" w:rsidRPr="00317152" w:rsidRDefault="00DE32CB" w:rsidP="00B1027E">
            <w:pPr>
              <w:spacing w:line="288" w:lineRule="auto"/>
              <w:rPr>
                <w:bCs/>
              </w:rPr>
            </w:pPr>
          </w:p>
          <w:p w14:paraId="7D0B0760" w14:textId="0293D763" w:rsidR="00B1027E" w:rsidRPr="00FE0458" w:rsidRDefault="00B1027E" w:rsidP="00B1027E">
            <w:pPr>
              <w:spacing w:line="288" w:lineRule="auto"/>
            </w:pPr>
            <w:r w:rsidRPr="00317152">
              <w:rPr>
                <w:bCs/>
              </w:rPr>
              <w:t>in the amount of $</w:t>
            </w:r>
            <w:r w:rsidR="00DE32CB">
              <w:rPr>
                <w:bCs/>
              </w:rPr>
              <w:t>4</w:t>
            </w:r>
            <w:r w:rsidR="00840514">
              <w:rPr>
                <w:bCs/>
              </w:rPr>
              <w:t>,3</w:t>
            </w:r>
            <w:r w:rsidR="00DE32CB">
              <w:rPr>
                <w:bCs/>
              </w:rPr>
              <w:t>00</w:t>
            </w:r>
          </w:p>
        </w:tc>
      </w:tr>
      <w:tr w:rsidR="00B1027E" w:rsidRPr="00FE0458" w14:paraId="68364C6B" w14:textId="77777777" w:rsidTr="00DE32CB">
        <w:trPr>
          <w:trHeight w:val="306"/>
        </w:trPr>
        <w:tc>
          <w:tcPr>
            <w:tcW w:w="4309" w:type="dxa"/>
            <w:vMerge/>
            <w:tcBorders>
              <w:bottom w:val="single" w:sz="4" w:space="0" w:color="auto"/>
              <w:right w:val="single" w:sz="4" w:space="0" w:color="auto"/>
            </w:tcBorders>
          </w:tcPr>
          <w:p w14:paraId="65D4E218" w14:textId="77777777" w:rsidR="00B1027E" w:rsidRPr="00FE0458" w:rsidRDefault="00B1027E" w:rsidP="00B1027E">
            <w:pPr>
              <w:pStyle w:val="BodyText"/>
              <w:pBdr>
                <w:bottom w:val="single" w:sz="4" w:space="1" w:color="auto"/>
              </w:pBdr>
              <w:jc w:val="left"/>
            </w:pPr>
          </w:p>
        </w:tc>
      </w:tr>
    </w:tbl>
    <w:p w14:paraId="082FDE15" w14:textId="213D3DF7" w:rsidR="00B1027E" w:rsidRPr="00317152" w:rsidRDefault="00B1027E" w:rsidP="00B1027E">
      <w:pPr>
        <w:spacing w:line="288" w:lineRule="auto"/>
      </w:pPr>
      <w:r w:rsidRPr="00317152">
        <w:t xml:space="preserve">DOCKET </w:t>
      </w:r>
      <w:r w:rsidRPr="00317152">
        <w:rPr>
          <w:bCs/>
        </w:rPr>
        <w:t>T</w:t>
      </w:r>
      <w:r w:rsidR="00840514">
        <w:rPr>
          <w:bCs/>
        </w:rPr>
        <w:t>E</w:t>
      </w:r>
      <w:r w:rsidR="00DE32CB">
        <w:rPr>
          <w:bCs/>
        </w:rPr>
        <w:t>-16</w:t>
      </w:r>
      <w:r w:rsidR="00840514">
        <w:rPr>
          <w:bCs/>
        </w:rPr>
        <w:t>1144</w:t>
      </w:r>
    </w:p>
    <w:p w14:paraId="2F6774FE" w14:textId="77777777" w:rsidR="00B1027E" w:rsidRPr="00317152" w:rsidRDefault="00B1027E" w:rsidP="00B1027E">
      <w:pPr>
        <w:spacing w:line="288" w:lineRule="auto"/>
      </w:pPr>
    </w:p>
    <w:p w14:paraId="2EFFF1F1" w14:textId="77777777" w:rsidR="00B1027E" w:rsidRPr="00317152" w:rsidRDefault="00B1027E" w:rsidP="00B1027E">
      <w:pPr>
        <w:spacing w:line="288" w:lineRule="auto"/>
      </w:pPr>
      <w:r w:rsidRPr="00317152">
        <w:t>ORDER 0</w:t>
      </w:r>
      <w:r w:rsidRPr="00317152">
        <w:rPr>
          <w:bCs/>
        </w:rPr>
        <w:t>1</w:t>
      </w:r>
    </w:p>
    <w:p w14:paraId="2BF170D6" w14:textId="77777777" w:rsidR="00B1027E" w:rsidRPr="00317152" w:rsidRDefault="00B1027E" w:rsidP="00B1027E">
      <w:pPr>
        <w:spacing w:line="288" w:lineRule="auto"/>
      </w:pPr>
    </w:p>
    <w:p w14:paraId="688283C0" w14:textId="76AEEF0F" w:rsidR="00B1027E" w:rsidRPr="00317152" w:rsidRDefault="00B1027E" w:rsidP="00B1027E">
      <w:pPr>
        <w:spacing w:line="288" w:lineRule="auto"/>
      </w:pPr>
      <w:r w:rsidRPr="00792DFB">
        <w:t>ORDER DENYING</w:t>
      </w:r>
      <w:r w:rsidR="00DE32CB">
        <w:t xml:space="preserve"> </w:t>
      </w:r>
      <w:r w:rsidRPr="00792DFB">
        <w:t xml:space="preserve">MITIGATION </w:t>
      </w:r>
    </w:p>
    <w:p w14:paraId="5AED4349" w14:textId="1B863F1C" w:rsidR="001D6547" w:rsidRPr="00FE0458" w:rsidRDefault="00B1027E" w:rsidP="00347054">
      <w:pPr>
        <w:spacing w:line="288" w:lineRule="auto"/>
        <w:jc w:val="center"/>
        <w:rPr>
          <w:b/>
        </w:rPr>
      </w:pPr>
      <w:r>
        <w:rPr>
          <w:b/>
        </w:rPr>
        <w:br w:type="textWrapping" w:clear="all"/>
      </w:r>
      <w:bookmarkStart w:id="0" w:name="_GoBack"/>
      <w:bookmarkEnd w:id="0"/>
    </w:p>
    <w:p w14:paraId="38C4171B" w14:textId="77777777" w:rsidR="00B1027E" w:rsidRPr="00317152" w:rsidRDefault="00B1027E" w:rsidP="00B1027E">
      <w:pPr>
        <w:spacing w:line="288" w:lineRule="auto"/>
        <w:jc w:val="center"/>
        <w:rPr>
          <w:b/>
        </w:rPr>
      </w:pPr>
      <w:r w:rsidRPr="00317152">
        <w:rPr>
          <w:b/>
        </w:rPr>
        <w:t>BACKGROUND</w:t>
      </w:r>
    </w:p>
    <w:p w14:paraId="55B728F8" w14:textId="77777777" w:rsidR="00B1027E" w:rsidRPr="00317152" w:rsidRDefault="00B1027E" w:rsidP="00B1027E">
      <w:pPr>
        <w:tabs>
          <w:tab w:val="left" w:pos="720"/>
        </w:tabs>
        <w:spacing w:line="288" w:lineRule="auto"/>
      </w:pPr>
    </w:p>
    <w:p w14:paraId="6EAB9AD7" w14:textId="47DB5DAD" w:rsidR="00B1027E" w:rsidRPr="00317152" w:rsidRDefault="00B1027E" w:rsidP="00B1027E">
      <w:pPr>
        <w:numPr>
          <w:ilvl w:val="0"/>
          <w:numId w:val="1"/>
        </w:numPr>
        <w:tabs>
          <w:tab w:val="clear" w:pos="1080"/>
          <w:tab w:val="left" w:pos="0"/>
        </w:tabs>
        <w:spacing w:line="288" w:lineRule="auto"/>
        <w:ind w:left="0" w:hanging="720"/>
        <w:rPr>
          <w:rStyle w:val="CommentReference"/>
          <w:sz w:val="24"/>
          <w:szCs w:val="24"/>
        </w:rPr>
      </w:pPr>
      <w:r w:rsidRPr="00317152">
        <w:rPr>
          <w:bCs/>
        </w:rPr>
        <w:t xml:space="preserve">On </w:t>
      </w:r>
      <w:r w:rsidR="00840514">
        <w:rPr>
          <w:bCs/>
        </w:rPr>
        <w:t>October 24</w:t>
      </w:r>
      <w:r w:rsidRPr="00317152">
        <w:rPr>
          <w:bCs/>
        </w:rPr>
        <w:t>, 201</w:t>
      </w:r>
      <w:r>
        <w:rPr>
          <w:bCs/>
        </w:rPr>
        <w:t>6</w:t>
      </w:r>
      <w:r w:rsidRPr="00317152">
        <w:rPr>
          <w:bCs/>
        </w:rPr>
        <w:t xml:space="preserve">, the Washington Utilities and Transportation Commission (Commission) assessed a </w:t>
      </w:r>
      <w:r>
        <w:rPr>
          <w:bCs/>
        </w:rPr>
        <w:t>$</w:t>
      </w:r>
      <w:r w:rsidR="00DE32CB">
        <w:rPr>
          <w:bCs/>
        </w:rPr>
        <w:t>4</w:t>
      </w:r>
      <w:r w:rsidR="00840514">
        <w:rPr>
          <w:bCs/>
        </w:rPr>
        <w:t>,3</w:t>
      </w:r>
      <w:r>
        <w:rPr>
          <w:bCs/>
        </w:rPr>
        <w:t xml:space="preserve">00 </w:t>
      </w:r>
      <w:r w:rsidRPr="00317152">
        <w:rPr>
          <w:bCs/>
        </w:rPr>
        <w:t xml:space="preserve">penalty (Penalty Assessment) against </w:t>
      </w:r>
      <w:r w:rsidR="00840514">
        <w:rPr>
          <w:bCs/>
        </w:rPr>
        <w:t>Sunwest Enterprises, LLC d/b/a Sunwest Limousine</w:t>
      </w:r>
      <w:r w:rsidR="00DE32CB">
        <w:rPr>
          <w:bCs/>
        </w:rPr>
        <w:t xml:space="preserve"> </w:t>
      </w:r>
      <w:r w:rsidRPr="00317152">
        <w:rPr>
          <w:bCs/>
        </w:rPr>
        <w:t>(</w:t>
      </w:r>
      <w:r w:rsidR="00840514">
        <w:rPr>
          <w:bCs/>
        </w:rPr>
        <w:t xml:space="preserve">Sunwest Limousine </w:t>
      </w:r>
      <w:r w:rsidRPr="00317152">
        <w:rPr>
          <w:bCs/>
        </w:rPr>
        <w:t xml:space="preserve">or Company) for </w:t>
      </w:r>
      <w:r w:rsidR="00840514">
        <w:rPr>
          <w:bCs/>
        </w:rPr>
        <w:t xml:space="preserve">29 </w:t>
      </w:r>
      <w:r w:rsidRPr="00317152">
        <w:rPr>
          <w:bCs/>
        </w:rPr>
        <w:t xml:space="preserve">violations of Washington Administrative Code (WAC) </w:t>
      </w:r>
      <w:r w:rsidR="00840514" w:rsidRPr="003F79A5">
        <w:rPr>
          <w:bCs/>
        </w:rPr>
        <w:t>480-15-5</w:t>
      </w:r>
      <w:r w:rsidR="00840514">
        <w:rPr>
          <w:bCs/>
        </w:rPr>
        <w:t>70</w:t>
      </w:r>
      <w:r w:rsidR="00840514" w:rsidRPr="003F79A5">
        <w:rPr>
          <w:bCs/>
        </w:rPr>
        <w:t>, which adopts by reference 49 C.F.R. Part 3</w:t>
      </w:r>
      <w:r w:rsidR="00840514">
        <w:rPr>
          <w:bCs/>
        </w:rPr>
        <w:t xml:space="preserve">82 related to alcohol and controlled substances testing programs; 49 C.F.R. Part 383 related to commercial driver’s license requirements; 49 C.F.R. Part 387 related to liability insurance requirements; and 49 C.F.R. Part 391 </w:t>
      </w:r>
      <w:r w:rsidR="00840514" w:rsidRPr="003F79A5">
        <w:rPr>
          <w:bCs/>
        </w:rPr>
        <w:t>related to driver qualifications.</w:t>
      </w:r>
    </w:p>
    <w:p w14:paraId="486027C3" w14:textId="77777777" w:rsidR="00B1027E" w:rsidRPr="00317152" w:rsidRDefault="00B1027E" w:rsidP="00B1027E">
      <w:pPr>
        <w:pStyle w:val="ListParagraph"/>
      </w:pPr>
    </w:p>
    <w:p w14:paraId="2BE22ED8" w14:textId="5C159289" w:rsidR="00B1027E" w:rsidRPr="00317152" w:rsidRDefault="00B1027E" w:rsidP="00B1027E">
      <w:pPr>
        <w:numPr>
          <w:ilvl w:val="0"/>
          <w:numId w:val="1"/>
        </w:numPr>
        <w:tabs>
          <w:tab w:val="clear" w:pos="1080"/>
          <w:tab w:val="left" w:pos="0"/>
        </w:tabs>
        <w:spacing w:line="288" w:lineRule="auto"/>
        <w:ind w:left="0" w:hanging="720"/>
      </w:pPr>
      <w:r w:rsidRPr="00317152">
        <w:t xml:space="preserve">On </w:t>
      </w:r>
      <w:r w:rsidR="00840514">
        <w:t>November 10</w:t>
      </w:r>
      <w:r>
        <w:t>, 2016</w:t>
      </w:r>
      <w:r w:rsidR="004E3B94">
        <w:t xml:space="preserve">, </w:t>
      </w:r>
      <w:r w:rsidR="00840514">
        <w:rPr>
          <w:bCs/>
        </w:rPr>
        <w:t>Sunwest</w:t>
      </w:r>
      <w:r w:rsidR="00840514">
        <w:t xml:space="preserve"> Limousine filed a response to the Penalty Assessment admitting the violations and requesting a hearing. The Company did not provide any written explanation or documentation to support its request.</w:t>
      </w:r>
      <w:r w:rsidRPr="00317152">
        <w:br/>
      </w:r>
    </w:p>
    <w:p w14:paraId="0051E900" w14:textId="6BF16DA0" w:rsidR="00D14219" w:rsidRDefault="00B1027E" w:rsidP="00D14219">
      <w:pPr>
        <w:numPr>
          <w:ilvl w:val="0"/>
          <w:numId w:val="1"/>
        </w:numPr>
        <w:tabs>
          <w:tab w:val="clear" w:pos="1080"/>
          <w:tab w:val="left" w:pos="0"/>
        </w:tabs>
        <w:spacing w:line="288" w:lineRule="auto"/>
        <w:ind w:left="0" w:hanging="720"/>
      </w:pPr>
      <w:r w:rsidRPr="00317152">
        <w:t xml:space="preserve">On </w:t>
      </w:r>
      <w:r w:rsidR="00840514">
        <w:t>November 16</w:t>
      </w:r>
      <w:r>
        <w:t>, 2016</w:t>
      </w:r>
      <w:r w:rsidRPr="00317152">
        <w:t xml:space="preserve">, </w:t>
      </w:r>
      <w:r w:rsidR="00840514">
        <w:t>the Commission issued a Notice Denying Request for Hearing and Notice of Opportunity to File a Writte</w:t>
      </w:r>
      <w:r w:rsidR="00DE58E7">
        <w:t>n Response by November 23, 2016 (Notice).</w:t>
      </w:r>
      <w:r w:rsidR="00840514">
        <w:t xml:space="preserve"> In the Notice, the Commission denied the Company’s request for hearing but construed its submission as a request for mitigation and allowed it to provide a written response to explain how the violations occurred and why it believes the penalty should be reduced. Sunwest Limousine did not respond.</w:t>
      </w:r>
    </w:p>
    <w:p w14:paraId="61644239" w14:textId="77777777" w:rsidR="00D14219" w:rsidRPr="003616B7" w:rsidRDefault="00D14219" w:rsidP="00D14219">
      <w:pPr>
        <w:tabs>
          <w:tab w:val="left" w:pos="0"/>
        </w:tabs>
        <w:spacing w:line="288" w:lineRule="auto"/>
      </w:pPr>
    </w:p>
    <w:p w14:paraId="725C8A23" w14:textId="77777777" w:rsidR="00B1027E" w:rsidRPr="00317152" w:rsidRDefault="00B1027E" w:rsidP="00B1027E">
      <w:pPr>
        <w:tabs>
          <w:tab w:val="left" w:pos="0"/>
        </w:tabs>
        <w:spacing w:line="288" w:lineRule="auto"/>
        <w:jc w:val="center"/>
        <w:rPr>
          <w:b/>
        </w:rPr>
      </w:pPr>
      <w:r w:rsidRPr="00317152">
        <w:rPr>
          <w:b/>
        </w:rPr>
        <w:t>DISCUSSION AND DECISION</w:t>
      </w:r>
    </w:p>
    <w:p w14:paraId="632C57D9" w14:textId="77777777" w:rsidR="00B1027E" w:rsidRPr="00317152" w:rsidRDefault="00B1027E" w:rsidP="00B1027E">
      <w:pPr>
        <w:spacing w:line="288" w:lineRule="auto"/>
      </w:pPr>
    </w:p>
    <w:p w14:paraId="0EBBB5A9" w14:textId="790AE130" w:rsidR="00BB11EE" w:rsidRDefault="00B1027E" w:rsidP="00B1027E">
      <w:pPr>
        <w:numPr>
          <w:ilvl w:val="0"/>
          <w:numId w:val="1"/>
        </w:numPr>
        <w:tabs>
          <w:tab w:val="clear" w:pos="1080"/>
          <w:tab w:val="left" w:pos="0"/>
        </w:tabs>
        <w:spacing w:line="288" w:lineRule="auto"/>
        <w:ind w:left="0" w:hanging="720"/>
      </w:pPr>
      <w:r w:rsidRPr="00317152">
        <w:rPr>
          <w:bCs/>
        </w:rPr>
        <w:t xml:space="preserve">Washington law requires </w:t>
      </w:r>
      <w:r>
        <w:rPr>
          <w:bCs/>
        </w:rPr>
        <w:t>auto transportation</w:t>
      </w:r>
      <w:r w:rsidRPr="00317152">
        <w:rPr>
          <w:bCs/>
        </w:rPr>
        <w:t xml:space="preserve"> carriers to comply with federal safety requirements and unde</w:t>
      </w:r>
      <w:r w:rsidR="00840514">
        <w:rPr>
          <w:bCs/>
        </w:rPr>
        <w:t xml:space="preserve">rgo routine safety inspections. </w:t>
      </w:r>
      <w:r w:rsidRPr="00317152">
        <w:rPr>
          <w:bCs/>
        </w:rPr>
        <w:t xml:space="preserve">Violations discovered during safety </w:t>
      </w:r>
      <w:r w:rsidRPr="00317152">
        <w:rPr>
          <w:bCs/>
        </w:rPr>
        <w:lastRenderedPageBreak/>
        <w:t>inspections are subject to penalties of $100 per violation.</w:t>
      </w:r>
      <w:r w:rsidRPr="00317152">
        <w:rPr>
          <w:rStyle w:val="FootnoteReference"/>
          <w:bCs/>
        </w:rPr>
        <w:footnoteReference w:id="1"/>
      </w:r>
      <w:r w:rsidRPr="00317152">
        <w:rPr>
          <w:bCs/>
        </w:rPr>
        <w:t xml:space="preserve"> </w:t>
      </w:r>
      <w:r w:rsidRPr="00317152">
        <w:t>In some cases, Commission requirements are so fundamental to safe operations that the Commission will issue penalties for first-time violations.</w:t>
      </w:r>
      <w:r w:rsidRPr="00317152">
        <w:rPr>
          <w:rStyle w:val="FootnoteReference"/>
        </w:rPr>
        <w:footnoteReference w:id="2"/>
      </w:r>
      <w:r w:rsidRPr="00317152">
        <w:t xml:space="preserve"> </w:t>
      </w:r>
      <w:r w:rsidR="00D7220E" w:rsidRPr="00E86DE8">
        <w:t>Violations defined by federal law as “acute” or “critical” meet this standard.</w:t>
      </w:r>
      <w:r w:rsidR="00D7220E" w:rsidRPr="00E86DE8">
        <w:rPr>
          <w:rStyle w:val="FootnoteReference"/>
        </w:rPr>
        <w:footnoteReference w:id="3"/>
      </w:r>
      <w:r w:rsidR="00D7220E" w:rsidRPr="00E86DE8">
        <w:t xml:space="preserve"> </w:t>
      </w:r>
      <w:r w:rsidR="00D7220E">
        <w:t>The Penalty Assessment includes a $1,500 penalty for one</w:t>
      </w:r>
      <w:r w:rsidR="00924D02">
        <w:t xml:space="preserve"> acute</w:t>
      </w:r>
      <w:r w:rsidR="00D7220E">
        <w:t xml:space="preserve"> violation of 49 C.F.R. Part 382.115(a)</w:t>
      </w:r>
      <w:r w:rsidR="00924D02">
        <w:t>; a $700 penalty for seven critical violations of 49 C.F.R. Part 383.23(a); a $500 penalty for five acute violations of 49 C.F.R. Part 383.37(a); a $300 penalty for three acute violations of 49 C.F.R. Part 387.7; a $1,200 penalty for 12 critical violations of 49 C.F.R. Part 391.45(a); and a $100 penalty for one critical violation of 49 C.F.R. Part 391.51(a)</w:t>
      </w:r>
      <w:r w:rsidR="00D7220E">
        <w:t>.</w:t>
      </w:r>
      <w:r w:rsidR="00924D02">
        <w:br/>
      </w:r>
    </w:p>
    <w:p w14:paraId="3E4CD75B" w14:textId="77777777" w:rsidR="00B1027E" w:rsidRPr="00317152" w:rsidRDefault="00B1027E" w:rsidP="00B1027E">
      <w:pPr>
        <w:numPr>
          <w:ilvl w:val="0"/>
          <w:numId w:val="1"/>
        </w:numPr>
        <w:tabs>
          <w:tab w:val="clear" w:pos="1080"/>
          <w:tab w:val="left" w:pos="0"/>
        </w:tabs>
        <w:spacing w:line="276" w:lineRule="auto"/>
        <w:ind w:left="0" w:hanging="720"/>
      </w:pPr>
      <w:r w:rsidRPr="00317152">
        <w:t>The Commission considers several factors when entertaining a request for mitigation, including whether the company introduces new information that may not have been considered in setting the assessed penalty amount, or explains other circumstances that convince the Commission that a lesser penalty will be equally or more effective in ensuring the company’s compliance.</w:t>
      </w:r>
      <w:r w:rsidRPr="00317152">
        <w:rPr>
          <w:rStyle w:val="FootnoteReference"/>
        </w:rPr>
        <w:footnoteReference w:id="4"/>
      </w:r>
      <w:r w:rsidRPr="00317152">
        <w:t xml:space="preserve"> </w:t>
      </w:r>
      <w:r w:rsidRPr="00317152">
        <w:br/>
      </w:r>
    </w:p>
    <w:p w14:paraId="6BFC2264" w14:textId="0AF6B01D" w:rsidR="00B1027E" w:rsidRPr="00317152" w:rsidRDefault="00DE58E7" w:rsidP="00501C99">
      <w:pPr>
        <w:numPr>
          <w:ilvl w:val="0"/>
          <w:numId w:val="1"/>
        </w:numPr>
        <w:tabs>
          <w:tab w:val="clear" w:pos="1080"/>
          <w:tab w:val="left" w:pos="0"/>
        </w:tabs>
        <w:spacing w:line="288" w:lineRule="auto"/>
        <w:ind w:left="0" w:hanging="720"/>
      </w:pPr>
      <w:r>
        <w:t xml:space="preserve">Here, the Company failed </w:t>
      </w:r>
      <w:r w:rsidR="005152D5">
        <w:t xml:space="preserve">to provide any explanation for the violations at issue despite having multiple opportunities to do so. Moreover, each of </w:t>
      </w:r>
      <w:r>
        <w:t xml:space="preserve">the violations cited in the Penalty Assessment </w:t>
      </w:r>
      <w:r w:rsidR="005152D5">
        <w:t>is</w:t>
      </w:r>
      <w:r>
        <w:t xml:space="preserve"> potentially harmful to the public</w:t>
      </w:r>
      <w:r w:rsidR="008219DA">
        <w:t>,</w:t>
      </w:r>
      <w:r w:rsidR="00B6175C">
        <w:t xml:space="preserve"> </w:t>
      </w:r>
      <w:r w:rsidR="008219DA">
        <w:t>and therefore</w:t>
      </w:r>
      <w:r w:rsidR="00B6175C">
        <w:t xml:space="preserve"> warrants penalties for first-time violations a</w:t>
      </w:r>
      <w:r w:rsidR="005152D5">
        <w:t xml:space="preserve">bsent </w:t>
      </w:r>
      <w:r w:rsidR="002708DD">
        <w:t xml:space="preserve">the introduction of new and </w:t>
      </w:r>
      <w:r w:rsidR="005152D5">
        <w:t xml:space="preserve">compelling </w:t>
      </w:r>
      <w:r w:rsidR="008219DA">
        <w:t>evidence</w:t>
      </w:r>
      <w:r w:rsidR="005152D5">
        <w:t>.</w:t>
      </w:r>
      <w:r w:rsidR="00840514">
        <w:t xml:space="preserve"> Accordingly, we find that Sunwest Limousine violated </w:t>
      </w:r>
      <w:r w:rsidR="00840514" w:rsidRPr="00840514">
        <w:rPr>
          <w:bCs/>
        </w:rPr>
        <w:t>WAC 480-15-570 on 29 occasions and conclude that the Company was</w:t>
      </w:r>
      <w:r w:rsidR="00E320CB" w:rsidRPr="00840514">
        <w:rPr>
          <w:bCs/>
        </w:rPr>
        <w:t xml:space="preserve"> appropriately penalized $4</w:t>
      </w:r>
      <w:r w:rsidR="00840514">
        <w:rPr>
          <w:bCs/>
        </w:rPr>
        <w:t>,3</w:t>
      </w:r>
      <w:r w:rsidR="00E320CB" w:rsidRPr="00840514">
        <w:rPr>
          <w:bCs/>
        </w:rPr>
        <w:t>00 for those violations.</w:t>
      </w:r>
      <w:r w:rsidR="00F507E8">
        <w:t xml:space="preserve"> </w:t>
      </w:r>
    </w:p>
    <w:p w14:paraId="42C04A2B" w14:textId="77777777" w:rsidR="00B1027E" w:rsidRPr="00317152" w:rsidRDefault="00B1027E" w:rsidP="00B1027E">
      <w:pPr>
        <w:spacing w:line="288" w:lineRule="auto"/>
        <w:ind w:left="720"/>
        <w:jc w:val="center"/>
        <w:rPr>
          <w:b/>
        </w:rPr>
      </w:pPr>
      <w:r w:rsidRPr="00317152">
        <w:rPr>
          <w:b/>
        </w:rPr>
        <w:br/>
        <w:t>ORDER</w:t>
      </w:r>
    </w:p>
    <w:p w14:paraId="65EA2691" w14:textId="77777777" w:rsidR="00B1027E" w:rsidRPr="00317152" w:rsidRDefault="00B1027E" w:rsidP="00B1027E">
      <w:pPr>
        <w:pStyle w:val="ListParagraph"/>
        <w:spacing w:line="288" w:lineRule="auto"/>
        <w:ind w:left="0"/>
      </w:pPr>
    </w:p>
    <w:p w14:paraId="62D6656F" w14:textId="77777777" w:rsidR="00B1027E" w:rsidRPr="00317152" w:rsidRDefault="00B1027E" w:rsidP="00B1027E">
      <w:pPr>
        <w:spacing w:line="288" w:lineRule="auto"/>
      </w:pPr>
      <w:r w:rsidRPr="00317152">
        <w:t xml:space="preserve">THE COMMISSION ORDERS: </w:t>
      </w:r>
    </w:p>
    <w:p w14:paraId="55FE4E95" w14:textId="77777777" w:rsidR="00B1027E" w:rsidRPr="00317152" w:rsidRDefault="00B1027E" w:rsidP="00B1027E">
      <w:pPr>
        <w:spacing w:line="288" w:lineRule="auto"/>
        <w:ind w:left="720"/>
      </w:pPr>
    </w:p>
    <w:p w14:paraId="24C08017" w14:textId="47E455F4" w:rsidR="00B1027E" w:rsidRPr="00317152" w:rsidRDefault="00B1027E" w:rsidP="00113172">
      <w:pPr>
        <w:numPr>
          <w:ilvl w:val="0"/>
          <w:numId w:val="1"/>
        </w:numPr>
        <w:tabs>
          <w:tab w:val="clear" w:pos="1080"/>
          <w:tab w:val="left" w:pos="0"/>
        </w:tabs>
        <w:spacing w:line="288" w:lineRule="auto"/>
        <w:ind w:left="720" w:hanging="1440"/>
      </w:pPr>
      <w:r w:rsidRPr="00317152">
        <w:t>(1)</w:t>
      </w:r>
      <w:r w:rsidRPr="00317152">
        <w:tab/>
      </w:r>
      <w:r w:rsidR="00840514">
        <w:rPr>
          <w:bCs/>
        </w:rPr>
        <w:t>Sunwest Enterprises, LLC d/b/a Sunwest Limousine</w:t>
      </w:r>
      <w:r w:rsidR="00853AC8">
        <w:rPr>
          <w:bCs/>
        </w:rPr>
        <w:t>’s</w:t>
      </w:r>
      <w:r>
        <w:rPr>
          <w:bCs/>
        </w:rPr>
        <w:t xml:space="preserve"> request </w:t>
      </w:r>
      <w:r w:rsidRPr="00317152">
        <w:t>for mitigation of the $</w:t>
      </w:r>
      <w:r w:rsidR="00853AC8">
        <w:t>4</w:t>
      </w:r>
      <w:r w:rsidR="00840514">
        <w:t>,3</w:t>
      </w:r>
      <w:r>
        <w:t>00</w:t>
      </w:r>
      <w:r w:rsidRPr="00317152">
        <w:t xml:space="preserve"> penalty is </w:t>
      </w:r>
      <w:r>
        <w:t>DENIED</w:t>
      </w:r>
      <w:r w:rsidR="00113172">
        <w:t>.</w:t>
      </w:r>
    </w:p>
    <w:p w14:paraId="07FEA7DC" w14:textId="561AEC70" w:rsidR="00B1027E" w:rsidRPr="00317152" w:rsidRDefault="00B1027E" w:rsidP="00B1027E">
      <w:pPr>
        <w:numPr>
          <w:ilvl w:val="0"/>
          <w:numId w:val="1"/>
        </w:numPr>
        <w:tabs>
          <w:tab w:val="clear" w:pos="1080"/>
          <w:tab w:val="left" w:pos="0"/>
        </w:tabs>
        <w:spacing w:line="288" w:lineRule="auto"/>
        <w:ind w:left="0" w:hanging="720"/>
      </w:pPr>
      <w:r w:rsidRPr="00317152">
        <w:t>(2)</w:t>
      </w:r>
      <w:r w:rsidRPr="00317152">
        <w:tab/>
        <w:t xml:space="preserve">The penalty is due and payable no later than </w:t>
      </w:r>
      <w:r w:rsidR="00840514">
        <w:t>December 9</w:t>
      </w:r>
      <w:r>
        <w:t>, 2016</w:t>
      </w:r>
      <w:r w:rsidRPr="00317152">
        <w:t>.</w:t>
      </w:r>
    </w:p>
    <w:p w14:paraId="4F7A4A8F" w14:textId="77777777" w:rsidR="00B1027E" w:rsidRPr="00317152" w:rsidRDefault="00B1027E" w:rsidP="00B1027E">
      <w:pPr>
        <w:pStyle w:val="ListParagraph"/>
        <w:spacing w:line="288" w:lineRule="auto"/>
      </w:pPr>
    </w:p>
    <w:p w14:paraId="218B2D2A" w14:textId="77777777" w:rsidR="00B1027E" w:rsidRPr="00317152" w:rsidRDefault="00B1027E" w:rsidP="00B1027E">
      <w:pPr>
        <w:numPr>
          <w:ilvl w:val="0"/>
          <w:numId w:val="1"/>
        </w:numPr>
        <w:tabs>
          <w:tab w:val="clear" w:pos="1080"/>
          <w:tab w:val="left" w:pos="0"/>
        </w:tabs>
        <w:spacing w:line="288" w:lineRule="auto"/>
        <w:ind w:left="0" w:hanging="720"/>
      </w:pPr>
      <w:r w:rsidRPr="00317152">
        <w:t>The</w:t>
      </w:r>
      <w:r w:rsidRPr="00317152">
        <w:rPr>
          <w:color w:val="000000"/>
        </w:rPr>
        <w:t xml:space="preserve"> Secretary has been delegated authority to enter this order </w:t>
      </w:r>
      <w:r w:rsidRPr="00317152">
        <w:rPr>
          <w:bCs/>
          <w:color w:val="000000"/>
        </w:rPr>
        <w:t xml:space="preserve">on behalf of the Commissioners </w:t>
      </w:r>
      <w:r w:rsidRPr="00317152">
        <w:rPr>
          <w:color w:val="000000"/>
        </w:rPr>
        <w:t>under WAC</w:t>
      </w:r>
      <w:r w:rsidRPr="00317152">
        <w:t xml:space="preserve"> 480-07-904(1)(h).</w:t>
      </w:r>
    </w:p>
    <w:p w14:paraId="7350563B" w14:textId="77777777" w:rsidR="00B1027E" w:rsidRPr="00317152" w:rsidRDefault="00B1027E" w:rsidP="00B1027E">
      <w:pPr>
        <w:spacing w:line="288" w:lineRule="auto"/>
      </w:pPr>
    </w:p>
    <w:p w14:paraId="6C091B8E" w14:textId="0548430D" w:rsidR="00B1027E" w:rsidRPr="00317152" w:rsidRDefault="00B1027E" w:rsidP="00B1027E">
      <w:pPr>
        <w:spacing w:line="288" w:lineRule="auto"/>
      </w:pPr>
      <w:r w:rsidRPr="00317152">
        <w:t xml:space="preserve">DATED at Olympia, Washington, and effective </w:t>
      </w:r>
      <w:r w:rsidR="00840514">
        <w:t xml:space="preserve">November </w:t>
      </w:r>
      <w:r w:rsidR="00230553">
        <w:t>30</w:t>
      </w:r>
      <w:r>
        <w:t>, 2016.</w:t>
      </w:r>
    </w:p>
    <w:p w14:paraId="3472F5D2" w14:textId="77777777" w:rsidR="00B1027E" w:rsidRPr="00317152" w:rsidRDefault="00B1027E" w:rsidP="00B1027E">
      <w:pPr>
        <w:pStyle w:val="Header"/>
        <w:tabs>
          <w:tab w:val="clear" w:pos="4320"/>
          <w:tab w:val="clear" w:pos="8640"/>
        </w:tabs>
        <w:spacing w:line="288" w:lineRule="auto"/>
      </w:pPr>
    </w:p>
    <w:p w14:paraId="394D4E09" w14:textId="77777777" w:rsidR="00B1027E" w:rsidRPr="00317152" w:rsidRDefault="00B1027E" w:rsidP="00B1027E">
      <w:pPr>
        <w:spacing w:line="288" w:lineRule="auto"/>
        <w:jc w:val="center"/>
      </w:pPr>
      <w:r w:rsidRPr="00317152">
        <w:t>WASHINGTON UTILITIES AND TRANSPORTATION COMMISSION</w:t>
      </w:r>
    </w:p>
    <w:p w14:paraId="65B77374" w14:textId="77777777" w:rsidR="00B1027E" w:rsidRPr="00317152" w:rsidRDefault="00B1027E" w:rsidP="00B1027E">
      <w:pPr>
        <w:pStyle w:val="Header"/>
        <w:tabs>
          <w:tab w:val="clear" w:pos="4320"/>
          <w:tab w:val="clear" w:pos="8640"/>
        </w:tabs>
        <w:spacing w:line="288" w:lineRule="auto"/>
      </w:pPr>
    </w:p>
    <w:p w14:paraId="49D50E38" w14:textId="77777777" w:rsidR="00B1027E" w:rsidRPr="00317152" w:rsidRDefault="00B1027E" w:rsidP="00B1027E">
      <w:pPr>
        <w:spacing w:line="288" w:lineRule="auto"/>
        <w:ind w:left="2880" w:firstLine="720"/>
        <w:jc w:val="center"/>
      </w:pPr>
    </w:p>
    <w:p w14:paraId="0D8F5576" w14:textId="77777777" w:rsidR="00B1027E" w:rsidRDefault="00B1027E" w:rsidP="00B1027E">
      <w:pPr>
        <w:spacing w:line="288" w:lineRule="auto"/>
        <w:ind w:left="2880" w:firstLine="720"/>
        <w:jc w:val="center"/>
      </w:pPr>
    </w:p>
    <w:p w14:paraId="1DC24F27" w14:textId="77777777" w:rsidR="00113172" w:rsidRPr="00317152" w:rsidRDefault="00113172" w:rsidP="00B1027E">
      <w:pPr>
        <w:spacing w:line="288" w:lineRule="auto"/>
        <w:ind w:left="2880" w:firstLine="720"/>
        <w:jc w:val="center"/>
      </w:pPr>
    </w:p>
    <w:p w14:paraId="4ECE3E8C" w14:textId="77777777" w:rsidR="00B1027E" w:rsidRPr="00317152" w:rsidRDefault="00B1027E" w:rsidP="00B1027E">
      <w:pPr>
        <w:spacing w:line="288" w:lineRule="auto"/>
        <w:ind w:left="3600" w:firstLine="720"/>
      </w:pPr>
      <w:r w:rsidRPr="00317152">
        <w:t>STEVEN V. KING</w:t>
      </w:r>
    </w:p>
    <w:p w14:paraId="594260EB" w14:textId="77777777" w:rsidR="00B1027E" w:rsidRPr="00317152" w:rsidRDefault="00B1027E" w:rsidP="00B1027E">
      <w:pPr>
        <w:spacing w:line="288" w:lineRule="auto"/>
      </w:pPr>
      <w:r w:rsidRPr="00317152">
        <w:tab/>
      </w:r>
      <w:r w:rsidRPr="00317152">
        <w:tab/>
      </w:r>
      <w:r w:rsidRPr="00317152">
        <w:tab/>
      </w:r>
      <w:r w:rsidRPr="00317152">
        <w:tab/>
      </w:r>
      <w:r w:rsidRPr="00317152">
        <w:tab/>
      </w:r>
      <w:r w:rsidRPr="00317152">
        <w:tab/>
        <w:t>Executive Director and Secretary</w:t>
      </w:r>
    </w:p>
    <w:p w14:paraId="628CEBF7" w14:textId="77777777" w:rsidR="00B1027E" w:rsidRPr="00317152" w:rsidRDefault="00B1027E" w:rsidP="00B1027E">
      <w:pPr>
        <w:spacing w:line="288" w:lineRule="auto"/>
      </w:pPr>
    </w:p>
    <w:p w14:paraId="53453F57" w14:textId="77777777" w:rsidR="00B1027E" w:rsidRPr="00317152" w:rsidRDefault="00B1027E" w:rsidP="00B1027E">
      <w:pPr>
        <w:spacing w:line="288" w:lineRule="auto"/>
      </w:pPr>
    </w:p>
    <w:p w14:paraId="229BD9EE" w14:textId="785AE416" w:rsidR="00B1027E" w:rsidRPr="00317152" w:rsidRDefault="00113172" w:rsidP="00B1027E">
      <w:pPr>
        <w:spacing w:line="288" w:lineRule="auto"/>
        <w:rPr>
          <w:b/>
          <w:bCs/>
        </w:rPr>
      </w:pPr>
      <w:r>
        <w:rPr>
          <w:b/>
        </w:rPr>
        <w:t xml:space="preserve">NOTICE TO PARTIES: </w:t>
      </w:r>
      <w:r w:rsidR="00B1027E" w:rsidRPr="00317152">
        <w:rPr>
          <w:b/>
        </w:rPr>
        <w:t>This is an order delegated to the Exe</w:t>
      </w:r>
      <w:r w:rsidR="00840514">
        <w:rPr>
          <w:b/>
        </w:rPr>
        <w:t xml:space="preserve">cutive Secretary for decision. </w:t>
      </w:r>
      <w:r w:rsidR="00B1027E" w:rsidRPr="00317152">
        <w:rPr>
          <w:b/>
        </w:rPr>
        <w:t xml:space="preserve">As authorized in WAC 480-07-904(3), you </w:t>
      </w:r>
      <w:r w:rsidR="00B1027E" w:rsidRPr="00317152">
        <w:rPr>
          <w:b/>
          <w:bCs/>
        </w:rPr>
        <w:t>must file any request for Commission review of this order no later than 14 days after the date the decision is posted on the Commission’s w</w:t>
      </w:r>
      <w:r w:rsidR="00B1027E">
        <w:rPr>
          <w:b/>
          <w:bCs/>
        </w:rPr>
        <w:t xml:space="preserve">ebsite. </w:t>
      </w:r>
    </w:p>
    <w:p w14:paraId="18552984" w14:textId="77777777" w:rsidR="006972FB" w:rsidRPr="00FE0458" w:rsidRDefault="006972FB" w:rsidP="00B1027E">
      <w:pPr>
        <w:spacing w:line="288" w:lineRule="auto"/>
        <w:jc w:val="center"/>
        <w:rPr>
          <w:b/>
          <w:bCs/>
        </w:rPr>
      </w:pPr>
    </w:p>
    <w:sectPr w:rsidR="006972FB" w:rsidRPr="00FE0458" w:rsidSect="00113172">
      <w:headerReference w:type="default" r:id="rId8"/>
      <w:headerReference w:type="first" r:id="rId9"/>
      <w:type w:val="continuous"/>
      <w:pgSz w:w="12240" w:h="15840" w:code="1"/>
      <w:pgMar w:top="1440" w:right="1440" w:bottom="1440" w:left="2160" w:header="1440" w:footer="6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382E" w14:textId="77777777" w:rsidR="00B351FA" w:rsidRDefault="00B351FA">
      <w:r>
        <w:separator/>
      </w:r>
    </w:p>
  </w:endnote>
  <w:endnote w:type="continuationSeparator" w:id="0">
    <w:p w14:paraId="5EF93369" w14:textId="77777777" w:rsidR="00B351FA" w:rsidRDefault="00B3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63DD" w14:textId="77777777" w:rsidR="00B351FA" w:rsidRDefault="00B351FA">
      <w:r>
        <w:separator/>
      </w:r>
    </w:p>
  </w:footnote>
  <w:footnote w:type="continuationSeparator" w:id="0">
    <w:p w14:paraId="06888E4E" w14:textId="77777777" w:rsidR="00B351FA" w:rsidRDefault="00B351FA">
      <w:r>
        <w:continuationSeparator/>
      </w:r>
    </w:p>
  </w:footnote>
  <w:footnote w:id="1">
    <w:p w14:paraId="50043376" w14:textId="77777777" w:rsidR="00B1027E" w:rsidRPr="009F7817" w:rsidRDefault="00B1027E" w:rsidP="00B1027E">
      <w:pPr>
        <w:pStyle w:val="FootnoteText"/>
        <w:spacing w:after="120"/>
        <w:rPr>
          <w:sz w:val="22"/>
          <w:szCs w:val="22"/>
        </w:rPr>
      </w:pPr>
      <w:r w:rsidRPr="009F7817">
        <w:rPr>
          <w:rStyle w:val="FootnoteReference"/>
          <w:sz w:val="22"/>
          <w:szCs w:val="22"/>
        </w:rPr>
        <w:footnoteRef/>
      </w:r>
      <w:r w:rsidRPr="009F7817">
        <w:rPr>
          <w:sz w:val="22"/>
          <w:szCs w:val="22"/>
        </w:rPr>
        <w:t xml:space="preserve"> </w:t>
      </w:r>
      <w:r w:rsidRPr="009F7817">
        <w:rPr>
          <w:i/>
          <w:sz w:val="22"/>
          <w:szCs w:val="22"/>
        </w:rPr>
        <w:t>See</w:t>
      </w:r>
      <w:r w:rsidRPr="009F7817">
        <w:rPr>
          <w:sz w:val="22"/>
          <w:szCs w:val="22"/>
        </w:rPr>
        <w:t xml:space="preserve"> </w:t>
      </w:r>
      <w:r w:rsidRPr="009F7817">
        <w:rPr>
          <w:bCs/>
          <w:sz w:val="22"/>
          <w:szCs w:val="22"/>
        </w:rPr>
        <w:t>RCW 8</w:t>
      </w:r>
      <w:r>
        <w:rPr>
          <w:bCs/>
          <w:sz w:val="22"/>
          <w:szCs w:val="22"/>
        </w:rPr>
        <w:t>1</w:t>
      </w:r>
      <w:r w:rsidRPr="009F7817">
        <w:rPr>
          <w:bCs/>
          <w:sz w:val="22"/>
          <w:szCs w:val="22"/>
        </w:rPr>
        <w:t>.04.405.</w:t>
      </w:r>
    </w:p>
  </w:footnote>
  <w:footnote w:id="2">
    <w:p w14:paraId="4C3711F4" w14:textId="77777777" w:rsidR="00B1027E" w:rsidRPr="009F7817" w:rsidRDefault="00B1027E" w:rsidP="00B1027E">
      <w:pPr>
        <w:spacing w:after="120"/>
        <w:rPr>
          <w:sz w:val="22"/>
          <w:szCs w:val="22"/>
        </w:rPr>
      </w:pPr>
      <w:r w:rsidRPr="009F7817">
        <w:rPr>
          <w:rStyle w:val="FootnoteReference"/>
          <w:sz w:val="22"/>
          <w:szCs w:val="22"/>
        </w:rPr>
        <w:footnoteRef/>
      </w:r>
      <w:r w:rsidRPr="009F7817">
        <w:rPr>
          <w:sz w:val="22"/>
          <w:szCs w:val="22"/>
        </w:rPr>
        <w:t xml:space="preserve"> Docket A-120061, Enforcement Policy for the Washington Utilities and Transportation Commission ¶12 (Jan. 7, 2013) (Enforcement Policy).</w:t>
      </w:r>
    </w:p>
  </w:footnote>
  <w:footnote w:id="3">
    <w:p w14:paraId="588DB07A" w14:textId="77777777" w:rsidR="00D7220E" w:rsidRPr="00CE0232" w:rsidRDefault="00D7220E" w:rsidP="00D7220E">
      <w:pPr>
        <w:pStyle w:val="FootnoteText"/>
        <w:spacing w:after="120"/>
        <w:rPr>
          <w:sz w:val="22"/>
          <w:szCs w:val="22"/>
        </w:rPr>
      </w:pPr>
      <w:r w:rsidRPr="00CE0232">
        <w:rPr>
          <w:rStyle w:val="FootnoteReference"/>
          <w:sz w:val="22"/>
          <w:szCs w:val="22"/>
        </w:rPr>
        <w:footnoteRef/>
      </w:r>
      <w:r w:rsidRPr="00CE0232">
        <w:rPr>
          <w:sz w:val="22"/>
          <w:szCs w:val="22"/>
        </w:rPr>
        <w:t xml:space="preserve"> 49 C.F.R. § 385, Appendix B.</w:t>
      </w:r>
    </w:p>
  </w:footnote>
  <w:footnote w:id="4">
    <w:p w14:paraId="00F3EBB6" w14:textId="77777777" w:rsidR="00B1027E" w:rsidRDefault="00B1027E" w:rsidP="00B1027E">
      <w:pPr>
        <w:pStyle w:val="FootnoteText"/>
        <w:spacing w:after="120"/>
      </w:pPr>
      <w:r w:rsidRPr="009F7817">
        <w:rPr>
          <w:rStyle w:val="FootnoteReference"/>
          <w:sz w:val="22"/>
          <w:szCs w:val="22"/>
        </w:rPr>
        <w:footnoteRef/>
      </w:r>
      <w:r w:rsidRPr="009F7817">
        <w:rPr>
          <w:sz w:val="22"/>
          <w:szCs w:val="22"/>
        </w:rPr>
        <w:t xml:space="preserve"> Enforcement Policy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7A8CD" w14:textId="557B422E" w:rsidR="00A21BEB" w:rsidRDefault="009345E5" w:rsidP="00A21BEB">
    <w:pPr>
      <w:pStyle w:val="Header"/>
      <w:tabs>
        <w:tab w:val="clear" w:pos="8640"/>
        <w:tab w:val="right" w:pos="8100"/>
      </w:tabs>
      <w:rPr>
        <w:b/>
        <w:bCs/>
        <w:sz w:val="20"/>
        <w:szCs w:val="20"/>
      </w:rPr>
    </w:pPr>
    <w:r w:rsidRPr="00B85B2D">
      <w:rPr>
        <w:b/>
        <w:bCs/>
        <w:sz w:val="20"/>
        <w:szCs w:val="20"/>
      </w:rPr>
      <w:t xml:space="preserve">DOCKET </w:t>
    </w:r>
    <w:r w:rsidR="00840514">
      <w:rPr>
        <w:b/>
        <w:bCs/>
        <w:sz w:val="20"/>
        <w:szCs w:val="20"/>
      </w:rPr>
      <w:t>TE-161144</w:t>
    </w:r>
  </w:p>
  <w:p w14:paraId="3C03D472" w14:textId="2F0D1C7A" w:rsidR="009345E5" w:rsidRDefault="00A21BEB" w:rsidP="00A21BEB">
    <w:pPr>
      <w:pStyle w:val="Header"/>
      <w:tabs>
        <w:tab w:val="clear" w:pos="8640"/>
        <w:tab w:val="right" w:pos="8100"/>
      </w:tabs>
      <w:rPr>
        <w:rStyle w:val="PageNumber"/>
        <w:b/>
        <w:bCs/>
        <w:sz w:val="20"/>
        <w:szCs w:val="20"/>
      </w:rPr>
    </w:pPr>
    <w:r>
      <w:rPr>
        <w:b/>
        <w:bCs/>
        <w:sz w:val="20"/>
        <w:szCs w:val="20"/>
      </w:rPr>
      <w:t>Order 01</w:t>
    </w:r>
    <w:r w:rsidR="009345E5" w:rsidRPr="00B85B2D">
      <w:rPr>
        <w:b/>
        <w:bCs/>
        <w:sz w:val="20"/>
        <w:szCs w:val="20"/>
      </w:rPr>
      <w:tab/>
    </w:r>
    <w:r w:rsidR="009345E5" w:rsidRPr="00B85B2D">
      <w:rPr>
        <w:b/>
        <w:bCs/>
        <w:sz w:val="20"/>
        <w:szCs w:val="20"/>
      </w:rPr>
      <w:tab/>
      <w:t xml:space="preserve">PAGE </w:t>
    </w:r>
    <w:r w:rsidR="009345E5" w:rsidRPr="00B85B2D">
      <w:rPr>
        <w:rStyle w:val="PageNumber"/>
        <w:b/>
        <w:bCs/>
        <w:sz w:val="20"/>
        <w:szCs w:val="20"/>
      </w:rPr>
      <w:fldChar w:fldCharType="begin"/>
    </w:r>
    <w:r w:rsidR="009345E5" w:rsidRPr="00B85B2D">
      <w:rPr>
        <w:rStyle w:val="PageNumber"/>
        <w:b/>
        <w:bCs/>
        <w:sz w:val="20"/>
        <w:szCs w:val="20"/>
      </w:rPr>
      <w:instrText xml:space="preserve"> PAGE </w:instrText>
    </w:r>
    <w:r w:rsidR="009345E5" w:rsidRPr="00B85B2D">
      <w:rPr>
        <w:rStyle w:val="PageNumber"/>
        <w:b/>
        <w:bCs/>
        <w:sz w:val="20"/>
        <w:szCs w:val="20"/>
      </w:rPr>
      <w:fldChar w:fldCharType="separate"/>
    </w:r>
    <w:r w:rsidR="008D507F">
      <w:rPr>
        <w:rStyle w:val="PageNumber"/>
        <w:b/>
        <w:bCs/>
        <w:noProof/>
        <w:sz w:val="20"/>
        <w:szCs w:val="20"/>
      </w:rPr>
      <w:t>3</w:t>
    </w:r>
    <w:r w:rsidR="009345E5" w:rsidRPr="00B85B2D">
      <w:rPr>
        <w:rStyle w:val="PageNumber"/>
        <w:b/>
        <w:bCs/>
        <w:sz w:val="20"/>
        <w:szCs w:val="20"/>
      </w:rPr>
      <w:fldChar w:fldCharType="end"/>
    </w:r>
  </w:p>
  <w:p w14:paraId="2B73C76D" w14:textId="77777777" w:rsidR="001E6A88" w:rsidRDefault="001E6A88">
    <w:pPr>
      <w:pStyle w:val="Header"/>
      <w:tabs>
        <w:tab w:val="clear" w:pos="8640"/>
        <w:tab w:val="right" w:pos="8100"/>
      </w:tabs>
      <w:rPr>
        <w:rStyle w:val="PageNumber"/>
        <w:b/>
        <w:bCs/>
        <w:sz w:val="20"/>
        <w:szCs w:val="20"/>
      </w:rPr>
    </w:pPr>
  </w:p>
  <w:p w14:paraId="13B67592" w14:textId="77777777" w:rsidR="001E6A88" w:rsidRPr="00B85B2D" w:rsidRDefault="001E6A88">
    <w:pPr>
      <w:pStyle w:val="Header"/>
      <w:tabs>
        <w:tab w:val="clear" w:pos="8640"/>
        <w:tab w:val="right" w:pos="8100"/>
      </w:tabs>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D66C0" w14:textId="3E288E93" w:rsidR="008667C5" w:rsidRDefault="008667C5" w:rsidP="008667C5">
    <w:pPr>
      <w:pStyle w:val="Header"/>
      <w:jc w:val="right"/>
    </w:pPr>
    <w:r>
      <w:t>Service Date: November 30,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0416"/>
    <w:multiLevelType w:val="hybridMultilevel"/>
    <w:tmpl w:val="3628EC8A"/>
    <w:lvl w:ilvl="0" w:tplc="580E919A">
      <w:start w:val="1"/>
      <w:numFmt w:val="decimal"/>
      <w:lvlText w:val="%1"/>
      <w:lvlJc w:val="right"/>
      <w:pPr>
        <w:tabs>
          <w:tab w:val="num" w:pos="1080"/>
        </w:tabs>
        <w:ind w:left="1080" w:hanging="1080"/>
      </w:pPr>
      <w:rPr>
        <w:rFonts w:hint="default"/>
        <w:b w:val="0"/>
        <w:i/>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21171526"/>
    <w:multiLevelType w:val="hybridMultilevel"/>
    <w:tmpl w:val="D36C94AC"/>
    <w:lvl w:ilvl="0" w:tplc="DEE8E576">
      <w:start w:val="1"/>
      <w:numFmt w:val="decimal"/>
      <w:lvlText w:val="%1"/>
      <w:lvlJc w:val="left"/>
      <w:pPr>
        <w:tabs>
          <w:tab w:val="num" w:pos="0"/>
        </w:tabs>
        <w:ind w:left="0" w:hanging="360"/>
      </w:pPr>
      <w:rPr>
        <w:rFonts w:ascii="Palatino Linotype" w:hAnsi="Palatino Linotype" w:hint="default"/>
        <w:b w:val="0"/>
        <w:i/>
        <w:color w:val="000000"/>
        <w:sz w:val="20"/>
      </w:rPr>
    </w:lvl>
    <w:lvl w:ilvl="1" w:tplc="04090001">
      <w:start w:val="1"/>
      <w:numFmt w:val="bullet"/>
      <w:lvlText w:val=""/>
      <w:lvlJc w:val="left"/>
      <w:pPr>
        <w:tabs>
          <w:tab w:val="num" w:pos="1440"/>
        </w:tabs>
        <w:ind w:left="1440" w:hanging="360"/>
      </w:pPr>
      <w:rPr>
        <w:rFonts w:ascii="Symbol" w:hAnsi="Symbol" w:hint="default"/>
        <w:b w:val="0"/>
        <w:i/>
        <w:color w:val="0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7E0338"/>
    <w:multiLevelType w:val="hybridMultilevel"/>
    <w:tmpl w:val="34AE47BE"/>
    <w:lvl w:ilvl="0" w:tplc="1908C86C">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9158DF"/>
    <w:multiLevelType w:val="hybridMultilevel"/>
    <w:tmpl w:val="6B80B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12A61"/>
    <w:multiLevelType w:val="hybridMultilevel"/>
    <w:tmpl w:val="EA021396"/>
    <w:lvl w:ilvl="0" w:tplc="448E5192">
      <w:start w:val="1"/>
      <w:numFmt w:val="decimal"/>
      <w:lvlText w:val="%1"/>
      <w:lvlJc w:val="left"/>
      <w:pPr>
        <w:tabs>
          <w:tab w:val="num" w:pos="-720"/>
        </w:tabs>
        <w:ind w:left="-720" w:hanging="720"/>
      </w:pPr>
      <w:rPr>
        <w:rFonts w:ascii="Palatino Linotype" w:hAnsi="Palatino Linotype" w:hint="default"/>
        <w:b w:val="0"/>
        <w:i/>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65315A1B"/>
    <w:multiLevelType w:val="hybridMultilevel"/>
    <w:tmpl w:val="31643A42"/>
    <w:lvl w:ilvl="0" w:tplc="B8CA9774">
      <w:start w:val="1"/>
      <w:numFmt w:val="decimal"/>
      <w:lvlText w:val="%1"/>
      <w:lvlJc w:val="left"/>
      <w:pPr>
        <w:tabs>
          <w:tab w:val="num" w:pos="0"/>
        </w:tabs>
        <w:ind w:left="0" w:hanging="720"/>
      </w:pPr>
      <w:rPr>
        <w:rFonts w:ascii="Times New Roman" w:hAnsi="Times New Roman" w:hint="default"/>
        <w:b w:val="0"/>
        <w:i/>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6765F0E"/>
    <w:multiLevelType w:val="hybridMultilevel"/>
    <w:tmpl w:val="ABEE3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720"/>
    <w:rsid w:val="00000ED6"/>
    <w:rsid w:val="00000F54"/>
    <w:rsid w:val="000015DC"/>
    <w:rsid w:val="00001764"/>
    <w:rsid w:val="00003479"/>
    <w:rsid w:val="00005893"/>
    <w:rsid w:val="00007D4A"/>
    <w:rsid w:val="00011DA9"/>
    <w:rsid w:val="00013BD4"/>
    <w:rsid w:val="00014AB8"/>
    <w:rsid w:val="000164A8"/>
    <w:rsid w:val="00020DD2"/>
    <w:rsid w:val="000210D8"/>
    <w:rsid w:val="000219B7"/>
    <w:rsid w:val="0002339B"/>
    <w:rsid w:val="00023460"/>
    <w:rsid w:val="0002570B"/>
    <w:rsid w:val="000269D6"/>
    <w:rsid w:val="00033213"/>
    <w:rsid w:val="0003347C"/>
    <w:rsid w:val="00036D6B"/>
    <w:rsid w:val="00037ADC"/>
    <w:rsid w:val="00040C1A"/>
    <w:rsid w:val="000425D2"/>
    <w:rsid w:val="000426C0"/>
    <w:rsid w:val="00052588"/>
    <w:rsid w:val="00052765"/>
    <w:rsid w:val="00062A54"/>
    <w:rsid w:val="00064277"/>
    <w:rsid w:val="00064471"/>
    <w:rsid w:val="00064D16"/>
    <w:rsid w:val="0006698E"/>
    <w:rsid w:val="000677EC"/>
    <w:rsid w:val="00082753"/>
    <w:rsid w:val="00084377"/>
    <w:rsid w:val="00085C9C"/>
    <w:rsid w:val="0009227E"/>
    <w:rsid w:val="00092BFA"/>
    <w:rsid w:val="000A14A5"/>
    <w:rsid w:val="000A38A3"/>
    <w:rsid w:val="000A424F"/>
    <w:rsid w:val="000A60F5"/>
    <w:rsid w:val="000B3F21"/>
    <w:rsid w:val="000B4183"/>
    <w:rsid w:val="000B67B6"/>
    <w:rsid w:val="000B7854"/>
    <w:rsid w:val="000B7A11"/>
    <w:rsid w:val="000B7F83"/>
    <w:rsid w:val="000C0323"/>
    <w:rsid w:val="000D254E"/>
    <w:rsid w:val="000D3ACC"/>
    <w:rsid w:val="000D4261"/>
    <w:rsid w:val="000D77CC"/>
    <w:rsid w:val="000E0772"/>
    <w:rsid w:val="000E1EB1"/>
    <w:rsid w:val="000E2A61"/>
    <w:rsid w:val="000E4BC7"/>
    <w:rsid w:val="000F0649"/>
    <w:rsid w:val="001007E1"/>
    <w:rsid w:val="00101D97"/>
    <w:rsid w:val="00111219"/>
    <w:rsid w:val="00111B07"/>
    <w:rsid w:val="00112B93"/>
    <w:rsid w:val="00113172"/>
    <w:rsid w:val="001155A4"/>
    <w:rsid w:val="00117299"/>
    <w:rsid w:val="00117333"/>
    <w:rsid w:val="001179CD"/>
    <w:rsid w:val="00120819"/>
    <w:rsid w:val="00120913"/>
    <w:rsid w:val="0012204A"/>
    <w:rsid w:val="0012548B"/>
    <w:rsid w:val="00126995"/>
    <w:rsid w:val="00127197"/>
    <w:rsid w:val="00131166"/>
    <w:rsid w:val="00131E06"/>
    <w:rsid w:val="00134431"/>
    <w:rsid w:val="00135751"/>
    <w:rsid w:val="00136247"/>
    <w:rsid w:val="00136868"/>
    <w:rsid w:val="0014054F"/>
    <w:rsid w:val="0014354E"/>
    <w:rsid w:val="00145B34"/>
    <w:rsid w:val="00152F28"/>
    <w:rsid w:val="001537A6"/>
    <w:rsid w:val="0015682A"/>
    <w:rsid w:val="001572AD"/>
    <w:rsid w:val="00157683"/>
    <w:rsid w:val="00160AF2"/>
    <w:rsid w:val="0016160B"/>
    <w:rsid w:val="00163BE1"/>
    <w:rsid w:val="00164F15"/>
    <w:rsid w:val="001657C1"/>
    <w:rsid w:val="001664DB"/>
    <w:rsid w:val="00167DC6"/>
    <w:rsid w:val="0017431C"/>
    <w:rsid w:val="00174556"/>
    <w:rsid w:val="00174D63"/>
    <w:rsid w:val="00176046"/>
    <w:rsid w:val="0017655F"/>
    <w:rsid w:val="00177D68"/>
    <w:rsid w:val="00182298"/>
    <w:rsid w:val="00182DFC"/>
    <w:rsid w:val="001832B5"/>
    <w:rsid w:val="00184CDE"/>
    <w:rsid w:val="00186814"/>
    <w:rsid w:val="001906D6"/>
    <w:rsid w:val="00190A10"/>
    <w:rsid w:val="00190E92"/>
    <w:rsid w:val="0019411E"/>
    <w:rsid w:val="00196C9A"/>
    <w:rsid w:val="001A0000"/>
    <w:rsid w:val="001A1541"/>
    <w:rsid w:val="001A220D"/>
    <w:rsid w:val="001A75A2"/>
    <w:rsid w:val="001B105D"/>
    <w:rsid w:val="001B1CDB"/>
    <w:rsid w:val="001B470C"/>
    <w:rsid w:val="001B472B"/>
    <w:rsid w:val="001C10D0"/>
    <w:rsid w:val="001C1DAE"/>
    <w:rsid w:val="001C5342"/>
    <w:rsid w:val="001C66B2"/>
    <w:rsid w:val="001C7A05"/>
    <w:rsid w:val="001D0DC8"/>
    <w:rsid w:val="001D1073"/>
    <w:rsid w:val="001D1ADF"/>
    <w:rsid w:val="001D4260"/>
    <w:rsid w:val="001D6547"/>
    <w:rsid w:val="001D765C"/>
    <w:rsid w:val="001E5EC1"/>
    <w:rsid w:val="001E64D7"/>
    <w:rsid w:val="001E6A88"/>
    <w:rsid w:val="001F2D70"/>
    <w:rsid w:val="001F58FC"/>
    <w:rsid w:val="001F6CA6"/>
    <w:rsid w:val="00202C4B"/>
    <w:rsid w:val="00203697"/>
    <w:rsid w:val="00212C4A"/>
    <w:rsid w:val="00213E71"/>
    <w:rsid w:val="0021739D"/>
    <w:rsid w:val="00217765"/>
    <w:rsid w:val="00223687"/>
    <w:rsid w:val="002258B1"/>
    <w:rsid w:val="00226090"/>
    <w:rsid w:val="002260E1"/>
    <w:rsid w:val="00227F07"/>
    <w:rsid w:val="00230553"/>
    <w:rsid w:val="00230FD0"/>
    <w:rsid w:val="00233D02"/>
    <w:rsid w:val="002376DA"/>
    <w:rsid w:val="0024097E"/>
    <w:rsid w:val="00241EFB"/>
    <w:rsid w:val="002443C1"/>
    <w:rsid w:val="00244A75"/>
    <w:rsid w:val="00246359"/>
    <w:rsid w:val="00251255"/>
    <w:rsid w:val="0025542C"/>
    <w:rsid w:val="002558D0"/>
    <w:rsid w:val="0025776E"/>
    <w:rsid w:val="002601B6"/>
    <w:rsid w:val="00262EBB"/>
    <w:rsid w:val="00264C0F"/>
    <w:rsid w:val="002656EB"/>
    <w:rsid w:val="0026688A"/>
    <w:rsid w:val="002708DD"/>
    <w:rsid w:val="002728F6"/>
    <w:rsid w:val="00280C23"/>
    <w:rsid w:val="00281ABD"/>
    <w:rsid w:val="002834B4"/>
    <w:rsid w:val="00285B43"/>
    <w:rsid w:val="0028697C"/>
    <w:rsid w:val="00287672"/>
    <w:rsid w:val="00287B09"/>
    <w:rsid w:val="00291285"/>
    <w:rsid w:val="00291C3E"/>
    <w:rsid w:val="00293EC2"/>
    <w:rsid w:val="00294727"/>
    <w:rsid w:val="002969C0"/>
    <w:rsid w:val="002A44FE"/>
    <w:rsid w:val="002A547A"/>
    <w:rsid w:val="002A74AC"/>
    <w:rsid w:val="002B0F91"/>
    <w:rsid w:val="002C03F6"/>
    <w:rsid w:val="002C1C05"/>
    <w:rsid w:val="002C2FA6"/>
    <w:rsid w:val="002C5131"/>
    <w:rsid w:val="002D2569"/>
    <w:rsid w:val="002D5415"/>
    <w:rsid w:val="002D54E7"/>
    <w:rsid w:val="002E1E12"/>
    <w:rsid w:val="002E3C80"/>
    <w:rsid w:val="002E59AC"/>
    <w:rsid w:val="002F169B"/>
    <w:rsid w:val="002F698C"/>
    <w:rsid w:val="002F6D84"/>
    <w:rsid w:val="002F71C2"/>
    <w:rsid w:val="00301107"/>
    <w:rsid w:val="003042FF"/>
    <w:rsid w:val="0030487D"/>
    <w:rsid w:val="00304888"/>
    <w:rsid w:val="00304AB2"/>
    <w:rsid w:val="003072AB"/>
    <w:rsid w:val="00311EBF"/>
    <w:rsid w:val="003125AD"/>
    <w:rsid w:val="00314E16"/>
    <w:rsid w:val="0031607C"/>
    <w:rsid w:val="00316961"/>
    <w:rsid w:val="00316CEC"/>
    <w:rsid w:val="00320A02"/>
    <w:rsid w:val="003221C8"/>
    <w:rsid w:val="00325033"/>
    <w:rsid w:val="00343FAD"/>
    <w:rsid w:val="00345CDC"/>
    <w:rsid w:val="00347054"/>
    <w:rsid w:val="003470BB"/>
    <w:rsid w:val="00352554"/>
    <w:rsid w:val="00355F62"/>
    <w:rsid w:val="00361888"/>
    <w:rsid w:val="00361BAB"/>
    <w:rsid w:val="00362AC7"/>
    <w:rsid w:val="00363B2A"/>
    <w:rsid w:val="00365AE5"/>
    <w:rsid w:val="003717D9"/>
    <w:rsid w:val="00371E20"/>
    <w:rsid w:val="00372516"/>
    <w:rsid w:val="00372F91"/>
    <w:rsid w:val="003770BB"/>
    <w:rsid w:val="003815A3"/>
    <w:rsid w:val="0038268B"/>
    <w:rsid w:val="00382A30"/>
    <w:rsid w:val="00383B52"/>
    <w:rsid w:val="00386898"/>
    <w:rsid w:val="00386C96"/>
    <w:rsid w:val="00387620"/>
    <w:rsid w:val="00390070"/>
    <w:rsid w:val="003901A1"/>
    <w:rsid w:val="00397A4E"/>
    <w:rsid w:val="00397A87"/>
    <w:rsid w:val="003A38E3"/>
    <w:rsid w:val="003A7B35"/>
    <w:rsid w:val="003B10D2"/>
    <w:rsid w:val="003B534A"/>
    <w:rsid w:val="003B5624"/>
    <w:rsid w:val="003C70EB"/>
    <w:rsid w:val="003D404F"/>
    <w:rsid w:val="003D4639"/>
    <w:rsid w:val="003D4B3F"/>
    <w:rsid w:val="003D52BA"/>
    <w:rsid w:val="003D5644"/>
    <w:rsid w:val="003D6C0A"/>
    <w:rsid w:val="003D740F"/>
    <w:rsid w:val="003E01D8"/>
    <w:rsid w:val="003F2A20"/>
    <w:rsid w:val="003F4ACF"/>
    <w:rsid w:val="00401902"/>
    <w:rsid w:val="00405642"/>
    <w:rsid w:val="00406DDA"/>
    <w:rsid w:val="004074DC"/>
    <w:rsid w:val="00407604"/>
    <w:rsid w:val="00413546"/>
    <w:rsid w:val="0042069A"/>
    <w:rsid w:val="00421B3A"/>
    <w:rsid w:val="004226B7"/>
    <w:rsid w:val="00423D01"/>
    <w:rsid w:val="00426C92"/>
    <w:rsid w:val="00430F4E"/>
    <w:rsid w:val="004342E8"/>
    <w:rsid w:val="004344AD"/>
    <w:rsid w:val="004354E3"/>
    <w:rsid w:val="00436446"/>
    <w:rsid w:val="00437E4C"/>
    <w:rsid w:val="00441E21"/>
    <w:rsid w:val="00444529"/>
    <w:rsid w:val="00444E53"/>
    <w:rsid w:val="0044560D"/>
    <w:rsid w:val="00447286"/>
    <w:rsid w:val="00447DDD"/>
    <w:rsid w:val="00450C85"/>
    <w:rsid w:val="0045128B"/>
    <w:rsid w:val="0046023D"/>
    <w:rsid w:val="004614D7"/>
    <w:rsid w:val="004734A9"/>
    <w:rsid w:val="00475E8F"/>
    <w:rsid w:val="00477F52"/>
    <w:rsid w:val="00482044"/>
    <w:rsid w:val="004878BC"/>
    <w:rsid w:val="00490617"/>
    <w:rsid w:val="004906A3"/>
    <w:rsid w:val="00491D29"/>
    <w:rsid w:val="00496AC5"/>
    <w:rsid w:val="00497055"/>
    <w:rsid w:val="00497641"/>
    <w:rsid w:val="00497C39"/>
    <w:rsid w:val="004A11F3"/>
    <w:rsid w:val="004A1A6D"/>
    <w:rsid w:val="004A3E2A"/>
    <w:rsid w:val="004A74A6"/>
    <w:rsid w:val="004B4BCD"/>
    <w:rsid w:val="004C0175"/>
    <w:rsid w:val="004C1E66"/>
    <w:rsid w:val="004C4B31"/>
    <w:rsid w:val="004D1765"/>
    <w:rsid w:val="004D2214"/>
    <w:rsid w:val="004D24E3"/>
    <w:rsid w:val="004D2B76"/>
    <w:rsid w:val="004D561C"/>
    <w:rsid w:val="004D692C"/>
    <w:rsid w:val="004D7804"/>
    <w:rsid w:val="004E14C5"/>
    <w:rsid w:val="004E1E3C"/>
    <w:rsid w:val="004E29CD"/>
    <w:rsid w:val="004E2ED1"/>
    <w:rsid w:val="004E3B94"/>
    <w:rsid w:val="004E40B1"/>
    <w:rsid w:val="004F19C5"/>
    <w:rsid w:val="004F1F7C"/>
    <w:rsid w:val="004F37DD"/>
    <w:rsid w:val="004F5A39"/>
    <w:rsid w:val="00504751"/>
    <w:rsid w:val="00506F82"/>
    <w:rsid w:val="005152D5"/>
    <w:rsid w:val="00515AC4"/>
    <w:rsid w:val="00516019"/>
    <w:rsid w:val="00521A82"/>
    <w:rsid w:val="00524F39"/>
    <w:rsid w:val="00525D09"/>
    <w:rsid w:val="00537338"/>
    <w:rsid w:val="0054092F"/>
    <w:rsid w:val="00540AA5"/>
    <w:rsid w:val="00543264"/>
    <w:rsid w:val="00545137"/>
    <w:rsid w:val="00546C2E"/>
    <w:rsid w:val="00547078"/>
    <w:rsid w:val="005473C5"/>
    <w:rsid w:val="00551071"/>
    <w:rsid w:val="00551866"/>
    <w:rsid w:val="005519EF"/>
    <w:rsid w:val="00551E82"/>
    <w:rsid w:val="0055204F"/>
    <w:rsid w:val="00552401"/>
    <w:rsid w:val="00555C15"/>
    <w:rsid w:val="005622CB"/>
    <w:rsid w:val="00564C22"/>
    <w:rsid w:val="0056667C"/>
    <w:rsid w:val="0056708E"/>
    <w:rsid w:val="00571384"/>
    <w:rsid w:val="0057202D"/>
    <w:rsid w:val="0057279C"/>
    <w:rsid w:val="005760DD"/>
    <w:rsid w:val="005817DB"/>
    <w:rsid w:val="00583BE2"/>
    <w:rsid w:val="0058665D"/>
    <w:rsid w:val="005868BB"/>
    <w:rsid w:val="00587170"/>
    <w:rsid w:val="00595567"/>
    <w:rsid w:val="00596E25"/>
    <w:rsid w:val="00597B2E"/>
    <w:rsid w:val="005A3AD9"/>
    <w:rsid w:val="005A53AE"/>
    <w:rsid w:val="005A7177"/>
    <w:rsid w:val="005B14FF"/>
    <w:rsid w:val="005B2395"/>
    <w:rsid w:val="005B2C2C"/>
    <w:rsid w:val="005B3D1B"/>
    <w:rsid w:val="005B3D6F"/>
    <w:rsid w:val="005B45BF"/>
    <w:rsid w:val="005B45C7"/>
    <w:rsid w:val="005B5ED6"/>
    <w:rsid w:val="005B60F9"/>
    <w:rsid w:val="005C0B6F"/>
    <w:rsid w:val="005C21BF"/>
    <w:rsid w:val="005C64B0"/>
    <w:rsid w:val="005D084E"/>
    <w:rsid w:val="005D7A9C"/>
    <w:rsid w:val="005E07B6"/>
    <w:rsid w:val="005E0B6A"/>
    <w:rsid w:val="005E1DD1"/>
    <w:rsid w:val="005E1EA6"/>
    <w:rsid w:val="005E3095"/>
    <w:rsid w:val="005E5A03"/>
    <w:rsid w:val="005E5DEF"/>
    <w:rsid w:val="005E6451"/>
    <w:rsid w:val="005F0705"/>
    <w:rsid w:val="005F24F9"/>
    <w:rsid w:val="005F6F49"/>
    <w:rsid w:val="005F75C6"/>
    <w:rsid w:val="006005B9"/>
    <w:rsid w:val="00602D5D"/>
    <w:rsid w:val="0060406D"/>
    <w:rsid w:val="006060EF"/>
    <w:rsid w:val="00606C8D"/>
    <w:rsid w:val="006140A4"/>
    <w:rsid w:val="00615528"/>
    <w:rsid w:val="0062054E"/>
    <w:rsid w:val="00620F94"/>
    <w:rsid w:val="006220C6"/>
    <w:rsid w:val="00622F11"/>
    <w:rsid w:val="00623107"/>
    <w:rsid w:val="00626A18"/>
    <w:rsid w:val="00627344"/>
    <w:rsid w:val="00630B45"/>
    <w:rsid w:val="0063197C"/>
    <w:rsid w:val="00632201"/>
    <w:rsid w:val="00633CE8"/>
    <w:rsid w:val="0063583A"/>
    <w:rsid w:val="006362F3"/>
    <w:rsid w:val="006404DC"/>
    <w:rsid w:val="0064089E"/>
    <w:rsid w:val="0064785C"/>
    <w:rsid w:val="006552B9"/>
    <w:rsid w:val="00655F61"/>
    <w:rsid w:val="006646B4"/>
    <w:rsid w:val="00664F6A"/>
    <w:rsid w:val="00667F91"/>
    <w:rsid w:val="006704C8"/>
    <w:rsid w:val="00672F09"/>
    <w:rsid w:val="006736DC"/>
    <w:rsid w:val="00673D09"/>
    <w:rsid w:val="00674144"/>
    <w:rsid w:val="00675C9A"/>
    <w:rsid w:val="00683212"/>
    <w:rsid w:val="00683BD2"/>
    <w:rsid w:val="00683D80"/>
    <w:rsid w:val="00684895"/>
    <w:rsid w:val="006972FB"/>
    <w:rsid w:val="006A0236"/>
    <w:rsid w:val="006A123C"/>
    <w:rsid w:val="006A2D64"/>
    <w:rsid w:val="006A2DCA"/>
    <w:rsid w:val="006A5CF5"/>
    <w:rsid w:val="006B0636"/>
    <w:rsid w:val="006B2972"/>
    <w:rsid w:val="006B41C6"/>
    <w:rsid w:val="006B5F06"/>
    <w:rsid w:val="006B6062"/>
    <w:rsid w:val="006B619B"/>
    <w:rsid w:val="006B6EDA"/>
    <w:rsid w:val="006C5AA6"/>
    <w:rsid w:val="006C67EE"/>
    <w:rsid w:val="006D1F48"/>
    <w:rsid w:val="006D33D6"/>
    <w:rsid w:val="006D3BA8"/>
    <w:rsid w:val="006D3E67"/>
    <w:rsid w:val="006D6E04"/>
    <w:rsid w:val="006E06FD"/>
    <w:rsid w:val="006F0806"/>
    <w:rsid w:val="006F1B9B"/>
    <w:rsid w:val="006F1CFA"/>
    <w:rsid w:val="006F2E4D"/>
    <w:rsid w:val="006F5053"/>
    <w:rsid w:val="006F7C3C"/>
    <w:rsid w:val="00702BE1"/>
    <w:rsid w:val="00703A3E"/>
    <w:rsid w:val="00706248"/>
    <w:rsid w:val="007108E0"/>
    <w:rsid w:val="00711962"/>
    <w:rsid w:val="00711F2A"/>
    <w:rsid w:val="007122D8"/>
    <w:rsid w:val="00714FA1"/>
    <w:rsid w:val="00715DC8"/>
    <w:rsid w:val="00717D10"/>
    <w:rsid w:val="00717F8B"/>
    <w:rsid w:val="007201A1"/>
    <w:rsid w:val="00722126"/>
    <w:rsid w:val="00723F32"/>
    <w:rsid w:val="0073050C"/>
    <w:rsid w:val="0073407F"/>
    <w:rsid w:val="00734E30"/>
    <w:rsid w:val="00737EB2"/>
    <w:rsid w:val="00741EE8"/>
    <w:rsid w:val="00745582"/>
    <w:rsid w:val="007510EC"/>
    <w:rsid w:val="0075129E"/>
    <w:rsid w:val="00751E43"/>
    <w:rsid w:val="007535A9"/>
    <w:rsid w:val="007536FF"/>
    <w:rsid w:val="0076093A"/>
    <w:rsid w:val="00762E14"/>
    <w:rsid w:val="00763F8C"/>
    <w:rsid w:val="0076509F"/>
    <w:rsid w:val="007676B6"/>
    <w:rsid w:val="00771311"/>
    <w:rsid w:val="00772D78"/>
    <w:rsid w:val="007742B0"/>
    <w:rsid w:val="00774533"/>
    <w:rsid w:val="0077507E"/>
    <w:rsid w:val="00775994"/>
    <w:rsid w:val="00775FEF"/>
    <w:rsid w:val="007767BA"/>
    <w:rsid w:val="00781CE1"/>
    <w:rsid w:val="00784393"/>
    <w:rsid w:val="00786F42"/>
    <w:rsid w:val="00790390"/>
    <w:rsid w:val="0079410A"/>
    <w:rsid w:val="007956DD"/>
    <w:rsid w:val="007977BC"/>
    <w:rsid w:val="007A0EF6"/>
    <w:rsid w:val="007A1511"/>
    <w:rsid w:val="007A25D0"/>
    <w:rsid w:val="007A2609"/>
    <w:rsid w:val="007A3293"/>
    <w:rsid w:val="007A604F"/>
    <w:rsid w:val="007A7AE7"/>
    <w:rsid w:val="007B0073"/>
    <w:rsid w:val="007B076B"/>
    <w:rsid w:val="007B082C"/>
    <w:rsid w:val="007B092E"/>
    <w:rsid w:val="007B53EC"/>
    <w:rsid w:val="007B74DA"/>
    <w:rsid w:val="007C042F"/>
    <w:rsid w:val="007C1AF6"/>
    <w:rsid w:val="007D1ED9"/>
    <w:rsid w:val="007D348E"/>
    <w:rsid w:val="007E43FB"/>
    <w:rsid w:val="007E568E"/>
    <w:rsid w:val="007E6EE7"/>
    <w:rsid w:val="007E70A0"/>
    <w:rsid w:val="007F2230"/>
    <w:rsid w:val="007F2B40"/>
    <w:rsid w:val="007F2E3A"/>
    <w:rsid w:val="007F54B5"/>
    <w:rsid w:val="007F7AA3"/>
    <w:rsid w:val="008002A6"/>
    <w:rsid w:val="0080065A"/>
    <w:rsid w:val="00801D54"/>
    <w:rsid w:val="00804545"/>
    <w:rsid w:val="00805912"/>
    <w:rsid w:val="00805D66"/>
    <w:rsid w:val="0080762A"/>
    <w:rsid w:val="00807A37"/>
    <w:rsid w:val="00811797"/>
    <w:rsid w:val="0081220C"/>
    <w:rsid w:val="00814C1A"/>
    <w:rsid w:val="0082073A"/>
    <w:rsid w:val="00820BD5"/>
    <w:rsid w:val="008215F8"/>
    <w:rsid w:val="00821883"/>
    <w:rsid w:val="008219DA"/>
    <w:rsid w:val="00821C79"/>
    <w:rsid w:val="008263FC"/>
    <w:rsid w:val="00827DA2"/>
    <w:rsid w:val="00827DCB"/>
    <w:rsid w:val="00830040"/>
    <w:rsid w:val="00834160"/>
    <w:rsid w:val="00834363"/>
    <w:rsid w:val="00840514"/>
    <w:rsid w:val="0084064A"/>
    <w:rsid w:val="00841996"/>
    <w:rsid w:val="008441D8"/>
    <w:rsid w:val="00845187"/>
    <w:rsid w:val="00845C37"/>
    <w:rsid w:val="00845CD0"/>
    <w:rsid w:val="00847635"/>
    <w:rsid w:val="00850B99"/>
    <w:rsid w:val="00852803"/>
    <w:rsid w:val="00853AC8"/>
    <w:rsid w:val="008554A7"/>
    <w:rsid w:val="00857E91"/>
    <w:rsid w:val="00860038"/>
    <w:rsid w:val="00860E1F"/>
    <w:rsid w:val="008667C5"/>
    <w:rsid w:val="00872122"/>
    <w:rsid w:val="0087222E"/>
    <w:rsid w:val="008723C5"/>
    <w:rsid w:val="00873AC9"/>
    <w:rsid w:val="008741D9"/>
    <w:rsid w:val="008767DF"/>
    <w:rsid w:val="00880E68"/>
    <w:rsid w:val="0088473E"/>
    <w:rsid w:val="00885B06"/>
    <w:rsid w:val="00892232"/>
    <w:rsid w:val="0089291C"/>
    <w:rsid w:val="00894DFF"/>
    <w:rsid w:val="008A04E5"/>
    <w:rsid w:val="008A11E5"/>
    <w:rsid w:val="008A1BAC"/>
    <w:rsid w:val="008A1FFC"/>
    <w:rsid w:val="008A37A3"/>
    <w:rsid w:val="008A54E8"/>
    <w:rsid w:val="008A6086"/>
    <w:rsid w:val="008A617E"/>
    <w:rsid w:val="008A62E5"/>
    <w:rsid w:val="008A6CA1"/>
    <w:rsid w:val="008A70E9"/>
    <w:rsid w:val="008B450B"/>
    <w:rsid w:val="008B5AE3"/>
    <w:rsid w:val="008B5BE7"/>
    <w:rsid w:val="008B67DE"/>
    <w:rsid w:val="008C1EED"/>
    <w:rsid w:val="008C52B4"/>
    <w:rsid w:val="008C5A57"/>
    <w:rsid w:val="008C6DFB"/>
    <w:rsid w:val="008C6EC7"/>
    <w:rsid w:val="008D3B2D"/>
    <w:rsid w:val="008D507F"/>
    <w:rsid w:val="008D559C"/>
    <w:rsid w:val="008E0C97"/>
    <w:rsid w:val="008E2E33"/>
    <w:rsid w:val="008F1AF7"/>
    <w:rsid w:val="008F39D6"/>
    <w:rsid w:val="0090526A"/>
    <w:rsid w:val="00910B77"/>
    <w:rsid w:val="00912358"/>
    <w:rsid w:val="00916379"/>
    <w:rsid w:val="00916BAF"/>
    <w:rsid w:val="00917092"/>
    <w:rsid w:val="00917138"/>
    <w:rsid w:val="009212F2"/>
    <w:rsid w:val="0092251C"/>
    <w:rsid w:val="00924D02"/>
    <w:rsid w:val="00927AAF"/>
    <w:rsid w:val="00930F0E"/>
    <w:rsid w:val="009323D2"/>
    <w:rsid w:val="00934522"/>
    <w:rsid w:val="009345E5"/>
    <w:rsid w:val="00934882"/>
    <w:rsid w:val="0093548C"/>
    <w:rsid w:val="009359C8"/>
    <w:rsid w:val="0094190D"/>
    <w:rsid w:val="00950F3F"/>
    <w:rsid w:val="00951B71"/>
    <w:rsid w:val="009603B2"/>
    <w:rsid w:val="009621E7"/>
    <w:rsid w:val="00962A64"/>
    <w:rsid w:val="00967B6B"/>
    <w:rsid w:val="009732C4"/>
    <w:rsid w:val="00974895"/>
    <w:rsid w:val="00977283"/>
    <w:rsid w:val="00981531"/>
    <w:rsid w:val="0098271D"/>
    <w:rsid w:val="00982CA8"/>
    <w:rsid w:val="009839F8"/>
    <w:rsid w:val="0098573E"/>
    <w:rsid w:val="00992ED9"/>
    <w:rsid w:val="00993013"/>
    <w:rsid w:val="009946AD"/>
    <w:rsid w:val="0099595F"/>
    <w:rsid w:val="00996773"/>
    <w:rsid w:val="0099740E"/>
    <w:rsid w:val="009A0764"/>
    <w:rsid w:val="009A1B9B"/>
    <w:rsid w:val="009A3C28"/>
    <w:rsid w:val="009B0C7E"/>
    <w:rsid w:val="009B1AB0"/>
    <w:rsid w:val="009B4ABC"/>
    <w:rsid w:val="009B4C93"/>
    <w:rsid w:val="009C37F4"/>
    <w:rsid w:val="009D0F83"/>
    <w:rsid w:val="009D1F5D"/>
    <w:rsid w:val="009D5079"/>
    <w:rsid w:val="009D5FD8"/>
    <w:rsid w:val="009E3AA6"/>
    <w:rsid w:val="009E511B"/>
    <w:rsid w:val="009F44BC"/>
    <w:rsid w:val="009F513F"/>
    <w:rsid w:val="009F5995"/>
    <w:rsid w:val="009F6BBA"/>
    <w:rsid w:val="009F7B0E"/>
    <w:rsid w:val="00A01D34"/>
    <w:rsid w:val="00A01D98"/>
    <w:rsid w:val="00A02940"/>
    <w:rsid w:val="00A05824"/>
    <w:rsid w:val="00A05D98"/>
    <w:rsid w:val="00A067C3"/>
    <w:rsid w:val="00A0726B"/>
    <w:rsid w:val="00A10336"/>
    <w:rsid w:val="00A110DA"/>
    <w:rsid w:val="00A127E7"/>
    <w:rsid w:val="00A12EB6"/>
    <w:rsid w:val="00A13825"/>
    <w:rsid w:val="00A14614"/>
    <w:rsid w:val="00A14D36"/>
    <w:rsid w:val="00A21BEB"/>
    <w:rsid w:val="00A225D0"/>
    <w:rsid w:val="00A225E6"/>
    <w:rsid w:val="00A25153"/>
    <w:rsid w:val="00A26A46"/>
    <w:rsid w:val="00A27867"/>
    <w:rsid w:val="00A31FF3"/>
    <w:rsid w:val="00A35009"/>
    <w:rsid w:val="00A353E9"/>
    <w:rsid w:val="00A40ACE"/>
    <w:rsid w:val="00A40D0F"/>
    <w:rsid w:val="00A423ED"/>
    <w:rsid w:val="00A42493"/>
    <w:rsid w:val="00A432A7"/>
    <w:rsid w:val="00A445FF"/>
    <w:rsid w:val="00A502B4"/>
    <w:rsid w:val="00A55C3E"/>
    <w:rsid w:val="00A60CCC"/>
    <w:rsid w:val="00A61B61"/>
    <w:rsid w:val="00A61EDE"/>
    <w:rsid w:val="00A70786"/>
    <w:rsid w:val="00A71D58"/>
    <w:rsid w:val="00A721F6"/>
    <w:rsid w:val="00A7478B"/>
    <w:rsid w:val="00A754B7"/>
    <w:rsid w:val="00A75C9C"/>
    <w:rsid w:val="00A83C11"/>
    <w:rsid w:val="00A84893"/>
    <w:rsid w:val="00A86F74"/>
    <w:rsid w:val="00A91A82"/>
    <w:rsid w:val="00A92BD3"/>
    <w:rsid w:val="00A959F1"/>
    <w:rsid w:val="00A96D13"/>
    <w:rsid w:val="00A9718B"/>
    <w:rsid w:val="00A97601"/>
    <w:rsid w:val="00A979BA"/>
    <w:rsid w:val="00AA0CA2"/>
    <w:rsid w:val="00AA2706"/>
    <w:rsid w:val="00AA2BC6"/>
    <w:rsid w:val="00AA3E8B"/>
    <w:rsid w:val="00AA4F6D"/>
    <w:rsid w:val="00AA6988"/>
    <w:rsid w:val="00AB0555"/>
    <w:rsid w:val="00AB1EBB"/>
    <w:rsid w:val="00AB2053"/>
    <w:rsid w:val="00AB2A6F"/>
    <w:rsid w:val="00AB3DB1"/>
    <w:rsid w:val="00AB6223"/>
    <w:rsid w:val="00AB79E8"/>
    <w:rsid w:val="00AC154E"/>
    <w:rsid w:val="00AC36B2"/>
    <w:rsid w:val="00AC43C5"/>
    <w:rsid w:val="00AC53C8"/>
    <w:rsid w:val="00AC552D"/>
    <w:rsid w:val="00AC77DA"/>
    <w:rsid w:val="00AC7EA1"/>
    <w:rsid w:val="00AD0555"/>
    <w:rsid w:val="00AD1397"/>
    <w:rsid w:val="00AD1F0B"/>
    <w:rsid w:val="00AD202F"/>
    <w:rsid w:val="00AD7BE5"/>
    <w:rsid w:val="00AE2B02"/>
    <w:rsid w:val="00AE366C"/>
    <w:rsid w:val="00AE4B14"/>
    <w:rsid w:val="00AE5D6D"/>
    <w:rsid w:val="00AE6240"/>
    <w:rsid w:val="00AE72F9"/>
    <w:rsid w:val="00AF0695"/>
    <w:rsid w:val="00AF48F9"/>
    <w:rsid w:val="00B02A4B"/>
    <w:rsid w:val="00B04C9D"/>
    <w:rsid w:val="00B04F77"/>
    <w:rsid w:val="00B1027E"/>
    <w:rsid w:val="00B119B7"/>
    <w:rsid w:val="00B1310F"/>
    <w:rsid w:val="00B152B0"/>
    <w:rsid w:val="00B17C43"/>
    <w:rsid w:val="00B20685"/>
    <w:rsid w:val="00B210FE"/>
    <w:rsid w:val="00B21414"/>
    <w:rsid w:val="00B24948"/>
    <w:rsid w:val="00B2625D"/>
    <w:rsid w:val="00B276F2"/>
    <w:rsid w:val="00B316C7"/>
    <w:rsid w:val="00B321BD"/>
    <w:rsid w:val="00B32723"/>
    <w:rsid w:val="00B345FC"/>
    <w:rsid w:val="00B351FA"/>
    <w:rsid w:val="00B3782E"/>
    <w:rsid w:val="00B4003F"/>
    <w:rsid w:val="00B4106A"/>
    <w:rsid w:val="00B45797"/>
    <w:rsid w:val="00B517D3"/>
    <w:rsid w:val="00B6015A"/>
    <w:rsid w:val="00B60347"/>
    <w:rsid w:val="00B6175C"/>
    <w:rsid w:val="00B61EFD"/>
    <w:rsid w:val="00B6636A"/>
    <w:rsid w:val="00B75DBB"/>
    <w:rsid w:val="00B76991"/>
    <w:rsid w:val="00B76AFB"/>
    <w:rsid w:val="00B76EAE"/>
    <w:rsid w:val="00B77172"/>
    <w:rsid w:val="00B77835"/>
    <w:rsid w:val="00B80C78"/>
    <w:rsid w:val="00B85B2D"/>
    <w:rsid w:val="00B85D6D"/>
    <w:rsid w:val="00B86202"/>
    <w:rsid w:val="00B86A5E"/>
    <w:rsid w:val="00B86C3A"/>
    <w:rsid w:val="00B91FB5"/>
    <w:rsid w:val="00B92CD6"/>
    <w:rsid w:val="00B9398A"/>
    <w:rsid w:val="00B9495E"/>
    <w:rsid w:val="00B97D0B"/>
    <w:rsid w:val="00BA22B1"/>
    <w:rsid w:val="00BA610A"/>
    <w:rsid w:val="00BA702B"/>
    <w:rsid w:val="00BB03CF"/>
    <w:rsid w:val="00BB104F"/>
    <w:rsid w:val="00BB11EE"/>
    <w:rsid w:val="00BB1728"/>
    <w:rsid w:val="00BB1E9B"/>
    <w:rsid w:val="00BB2383"/>
    <w:rsid w:val="00BB255F"/>
    <w:rsid w:val="00BB5D22"/>
    <w:rsid w:val="00BC15F7"/>
    <w:rsid w:val="00BC76DB"/>
    <w:rsid w:val="00BD0396"/>
    <w:rsid w:val="00BD11E4"/>
    <w:rsid w:val="00BD1FC2"/>
    <w:rsid w:val="00BD3056"/>
    <w:rsid w:val="00BD38FB"/>
    <w:rsid w:val="00BD5605"/>
    <w:rsid w:val="00BD603A"/>
    <w:rsid w:val="00BD6F14"/>
    <w:rsid w:val="00BE0B23"/>
    <w:rsid w:val="00BE192A"/>
    <w:rsid w:val="00BE1C42"/>
    <w:rsid w:val="00BE236C"/>
    <w:rsid w:val="00BE25AA"/>
    <w:rsid w:val="00BE5C44"/>
    <w:rsid w:val="00BF2542"/>
    <w:rsid w:val="00BF3C2B"/>
    <w:rsid w:val="00BF4A8E"/>
    <w:rsid w:val="00BF7D17"/>
    <w:rsid w:val="00C011AB"/>
    <w:rsid w:val="00C05407"/>
    <w:rsid w:val="00C07073"/>
    <w:rsid w:val="00C103A5"/>
    <w:rsid w:val="00C11191"/>
    <w:rsid w:val="00C12426"/>
    <w:rsid w:val="00C12C77"/>
    <w:rsid w:val="00C13AA6"/>
    <w:rsid w:val="00C2364D"/>
    <w:rsid w:val="00C26F2D"/>
    <w:rsid w:val="00C26FF1"/>
    <w:rsid w:val="00C3220F"/>
    <w:rsid w:val="00C41F20"/>
    <w:rsid w:val="00C424A7"/>
    <w:rsid w:val="00C425BC"/>
    <w:rsid w:val="00C44ACA"/>
    <w:rsid w:val="00C466A8"/>
    <w:rsid w:val="00C5166B"/>
    <w:rsid w:val="00C55C49"/>
    <w:rsid w:val="00C567A3"/>
    <w:rsid w:val="00C633CB"/>
    <w:rsid w:val="00C71783"/>
    <w:rsid w:val="00C734F0"/>
    <w:rsid w:val="00C76F7C"/>
    <w:rsid w:val="00C81906"/>
    <w:rsid w:val="00C829A5"/>
    <w:rsid w:val="00C837DB"/>
    <w:rsid w:val="00C84737"/>
    <w:rsid w:val="00C92A52"/>
    <w:rsid w:val="00C94AC0"/>
    <w:rsid w:val="00CA0EC2"/>
    <w:rsid w:val="00CA18D9"/>
    <w:rsid w:val="00CA364C"/>
    <w:rsid w:val="00CB0263"/>
    <w:rsid w:val="00CB3321"/>
    <w:rsid w:val="00CB4EE6"/>
    <w:rsid w:val="00CC2029"/>
    <w:rsid w:val="00CC23B7"/>
    <w:rsid w:val="00CC56C9"/>
    <w:rsid w:val="00CC6B86"/>
    <w:rsid w:val="00CD2873"/>
    <w:rsid w:val="00CD595A"/>
    <w:rsid w:val="00CD6B55"/>
    <w:rsid w:val="00CE2C60"/>
    <w:rsid w:val="00CE75C7"/>
    <w:rsid w:val="00CF301F"/>
    <w:rsid w:val="00CF402B"/>
    <w:rsid w:val="00CF46A5"/>
    <w:rsid w:val="00CF51DB"/>
    <w:rsid w:val="00CF756A"/>
    <w:rsid w:val="00D02709"/>
    <w:rsid w:val="00D05636"/>
    <w:rsid w:val="00D0793C"/>
    <w:rsid w:val="00D10DF0"/>
    <w:rsid w:val="00D110C3"/>
    <w:rsid w:val="00D12087"/>
    <w:rsid w:val="00D14219"/>
    <w:rsid w:val="00D165B1"/>
    <w:rsid w:val="00D17A2B"/>
    <w:rsid w:val="00D21002"/>
    <w:rsid w:val="00D232AD"/>
    <w:rsid w:val="00D263A6"/>
    <w:rsid w:val="00D26BA0"/>
    <w:rsid w:val="00D26E66"/>
    <w:rsid w:val="00D40452"/>
    <w:rsid w:val="00D41200"/>
    <w:rsid w:val="00D41661"/>
    <w:rsid w:val="00D41C73"/>
    <w:rsid w:val="00D440F4"/>
    <w:rsid w:val="00D44F83"/>
    <w:rsid w:val="00D50BF5"/>
    <w:rsid w:val="00D526A9"/>
    <w:rsid w:val="00D5334A"/>
    <w:rsid w:val="00D53B98"/>
    <w:rsid w:val="00D600A4"/>
    <w:rsid w:val="00D61A89"/>
    <w:rsid w:val="00D660CB"/>
    <w:rsid w:val="00D71E1C"/>
    <w:rsid w:val="00D7220E"/>
    <w:rsid w:val="00D74337"/>
    <w:rsid w:val="00D74382"/>
    <w:rsid w:val="00D754C5"/>
    <w:rsid w:val="00D80D82"/>
    <w:rsid w:val="00D8205D"/>
    <w:rsid w:val="00D83729"/>
    <w:rsid w:val="00D847A5"/>
    <w:rsid w:val="00D90AEB"/>
    <w:rsid w:val="00D91720"/>
    <w:rsid w:val="00D91A9A"/>
    <w:rsid w:val="00D92A0C"/>
    <w:rsid w:val="00D95114"/>
    <w:rsid w:val="00D9783E"/>
    <w:rsid w:val="00D97F9A"/>
    <w:rsid w:val="00DA4003"/>
    <w:rsid w:val="00DA4312"/>
    <w:rsid w:val="00DA4853"/>
    <w:rsid w:val="00DA5917"/>
    <w:rsid w:val="00DA6C06"/>
    <w:rsid w:val="00DB36C5"/>
    <w:rsid w:val="00DB6BDF"/>
    <w:rsid w:val="00DB78B7"/>
    <w:rsid w:val="00DC0704"/>
    <w:rsid w:val="00DC762E"/>
    <w:rsid w:val="00DD2202"/>
    <w:rsid w:val="00DD5707"/>
    <w:rsid w:val="00DD5AD4"/>
    <w:rsid w:val="00DD74BD"/>
    <w:rsid w:val="00DE1066"/>
    <w:rsid w:val="00DE142A"/>
    <w:rsid w:val="00DE1AD6"/>
    <w:rsid w:val="00DE32CB"/>
    <w:rsid w:val="00DE58E7"/>
    <w:rsid w:val="00DF01D9"/>
    <w:rsid w:val="00DF04D8"/>
    <w:rsid w:val="00DF0C89"/>
    <w:rsid w:val="00DF2B0C"/>
    <w:rsid w:val="00DF36D9"/>
    <w:rsid w:val="00DF4EBF"/>
    <w:rsid w:val="00DF5B49"/>
    <w:rsid w:val="00DF61F1"/>
    <w:rsid w:val="00DF674B"/>
    <w:rsid w:val="00DF696F"/>
    <w:rsid w:val="00E00D58"/>
    <w:rsid w:val="00E05117"/>
    <w:rsid w:val="00E06E2A"/>
    <w:rsid w:val="00E0789C"/>
    <w:rsid w:val="00E1208D"/>
    <w:rsid w:val="00E125FE"/>
    <w:rsid w:val="00E12E35"/>
    <w:rsid w:val="00E13D6F"/>
    <w:rsid w:val="00E16C22"/>
    <w:rsid w:val="00E1707D"/>
    <w:rsid w:val="00E17250"/>
    <w:rsid w:val="00E17611"/>
    <w:rsid w:val="00E17725"/>
    <w:rsid w:val="00E206B8"/>
    <w:rsid w:val="00E21CCA"/>
    <w:rsid w:val="00E256FB"/>
    <w:rsid w:val="00E31C5E"/>
    <w:rsid w:val="00E320CB"/>
    <w:rsid w:val="00E3354E"/>
    <w:rsid w:val="00E34DFE"/>
    <w:rsid w:val="00E35302"/>
    <w:rsid w:val="00E374EE"/>
    <w:rsid w:val="00E41FE9"/>
    <w:rsid w:val="00E42106"/>
    <w:rsid w:val="00E45D2E"/>
    <w:rsid w:val="00E55973"/>
    <w:rsid w:val="00E559D5"/>
    <w:rsid w:val="00E57072"/>
    <w:rsid w:val="00E636DE"/>
    <w:rsid w:val="00E7048D"/>
    <w:rsid w:val="00E74052"/>
    <w:rsid w:val="00E77F4E"/>
    <w:rsid w:val="00E81174"/>
    <w:rsid w:val="00E82D7C"/>
    <w:rsid w:val="00E82E17"/>
    <w:rsid w:val="00E83794"/>
    <w:rsid w:val="00E8422F"/>
    <w:rsid w:val="00E84EA6"/>
    <w:rsid w:val="00E85340"/>
    <w:rsid w:val="00E91C38"/>
    <w:rsid w:val="00E91D19"/>
    <w:rsid w:val="00E924E8"/>
    <w:rsid w:val="00E97729"/>
    <w:rsid w:val="00E97923"/>
    <w:rsid w:val="00EA665A"/>
    <w:rsid w:val="00EA7915"/>
    <w:rsid w:val="00EB03FA"/>
    <w:rsid w:val="00EB5624"/>
    <w:rsid w:val="00EC408E"/>
    <w:rsid w:val="00ED0C7E"/>
    <w:rsid w:val="00ED30E0"/>
    <w:rsid w:val="00ED3985"/>
    <w:rsid w:val="00ED5A0C"/>
    <w:rsid w:val="00ED5E09"/>
    <w:rsid w:val="00EE0B4D"/>
    <w:rsid w:val="00EE4841"/>
    <w:rsid w:val="00EE49DE"/>
    <w:rsid w:val="00EE7F1C"/>
    <w:rsid w:val="00EF2565"/>
    <w:rsid w:val="00F02433"/>
    <w:rsid w:val="00F02CEA"/>
    <w:rsid w:val="00F0357E"/>
    <w:rsid w:val="00F041D1"/>
    <w:rsid w:val="00F065E5"/>
    <w:rsid w:val="00F101D6"/>
    <w:rsid w:val="00F12E35"/>
    <w:rsid w:val="00F13566"/>
    <w:rsid w:val="00F207F0"/>
    <w:rsid w:val="00F20AF8"/>
    <w:rsid w:val="00F228D5"/>
    <w:rsid w:val="00F230DF"/>
    <w:rsid w:val="00F23C98"/>
    <w:rsid w:val="00F24170"/>
    <w:rsid w:val="00F24AE8"/>
    <w:rsid w:val="00F32856"/>
    <w:rsid w:val="00F3450B"/>
    <w:rsid w:val="00F36475"/>
    <w:rsid w:val="00F3649C"/>
    <w:rsid w:val="00F37B8C"/>
    <w:rsid w:val="00F42087"/>
    <w:rsid w:val="00F444DE"/>
    <w:rsid w:val="00F460C8"/>
    <w:rsid w:val="00F507E8"/>
    <w:rsid w:val="00F51228"/>
    <w:rsid w:val="00F5374F"/>
    <w:rsid w:val="00F542BA"/>
    <w:rsid w:val="00F54B06"/>
    <w:rsid w:val="00F5744C"/>
    <w:rsid w:val="00F57FC6"/>
    <w:rsid w:val="00F622C4"/>
    <w:rsid w:val="00F637C2"/>
    <w:rsid w:val="00F65A70"/>
    <w:rsid w:val="00F663D9"/>
    <w:rsid w:val="00F66A79"/>
    <w:rsid w:val="00F71EAB"/>
    <w:rsid w:val="00F73A62"/>
    <w:rsid w:val="00F80B51"/>
    <w:rsid w:val="00F86941"/>
    <w:rsid w:val="00F929AB"/>
    <w:rsid w:val="00F9688A"/>
    <w:rsid w:val="00FA063E"/>
    <w:rsid w:val="00FA0DB5"/>
    <w:rsid w:val="00FA27CA"/>
    <w:rsid w:val="00FA48E9"/>
    <w:rsid w:val="00FA53DD"/>
    <w:rsid w:val="00FA6B16"/>
    <w:rsid w:val="00FB01DD"/>
    <w:rsid w:val="00FB0242"/>
    <w:rsid w:val="00FB15DA"/>
    <w:rsid w:val="00FB7781"/>
    <w:rsid w:val="00FC02B2"/>
    <w:rsid w:val="00FC65C6"/>
    <w:rsid w:val="00FD091F"/>
    <w:rsid w:val="00FD186A"/>
    <w:rsid w:val="00FD1B52"/>
    <w:rsid w:val="00FD347D"/>
    <w:rsid w:val="00FD45FC"/>
    <w:rsid w:val="00FD4FDC"/>
    <w:rsid w:val="00FD7227"/>
    <w:rsid w:val="00FE0458"/>
    <w:rsid w:val="00FE14A7"/>
    <w:rsid w:val="00FE4F7B"/>
    <w:rsid w:val="00FE65B7"/>
    <w:rsid w:val="00FE7170"/>
    <w:rsid w:val="00FF340E"/>
    <w:rsid w:val="00FF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5A2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2B0"/>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jc w:val="center"/>
      <w:outlineLvl w:val="2"/>
    </w:pPr>
    <w:rPr>
      <w:rFonts w:ascii="Palatino Linotype" w:hAnsi="Palatino Linotype"/>
      <w:b/>
      <w:bCs/>
    </w:rPr>
  </w:style>
  <w:style w:type="paragraph" w:styleId="Heading4">
    <w:name w:val="heading 4"/>
    <w:basedOn w:val="Normal"/>
    <w:next w:val="Normal"/>
    <w:qFormat/>
    <w:pPr>
      <w:keepNext/>
      <w:jc w:val="center"/>
      <w:outlineLvl w:val="3"/>
    </w:pPr>
    <w:rPr>
      <w:rFonts w:ascii="Palatino Linotype" w:hAnsi="Palatino Linotype"/>
      <w:b/>
      <w:bCs/>
      <w:sz w:val="28"/>
    </w:rPr>
  </w:style>
  <w:style w:type="paragraph" w:styleId="Heading7">
    <w:name w:val="heading 7"/>
    <w:basedOn w:val="Normal"/>
    <w:next w:val="Normal"/>
    <w:qFormat/>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Pr>
      <w:sz w:val="20"/>
      <w:szCs w:val="20"/>
    </w:rPr>
  </w:style>
  <w:style w:type="character" w:styleId="FootnoteReference">
    <w:name w:val="footnote reference"/>
    <w:rPr>
      <w:vertAlign w:val="superscript"/>
    </w:rPr>
  </w:style>
  <w:style w:type="paragraph" w:styleId="Title">
    <w:name w:val="Title"/>
    <w:basedOn w:val="Normal"/>
    <w:qFormat/>
    <w:pPr>
      <w:widowControl w:val="0"/>
      <w:autoSpaceDE w:val="0"/>
      <w:autoSpaceDN w:val="0"/>
      <w:adjustRightInd w:val="0"/>
      <w:jc w:val="center"/>
    </w:pPr>
    <w:rPr>
      <w:b/>
      <w:bCs/>
      <w:sz w:val="28"/>
      <w:szCs w:val="32"/>
    </w:rPr>
  </w:style>
  <w:style w:type="character" w:styleId="Hyperlink">
    <w:name w:val="Hyperlink"/>
    <w:rPr>
      <w:color w:val="0000FF"/>
      <w:u w:val="single"/>
    </w:rPr>
  </w:style>
  <w:style w:type="paragraph" w:styleId="ListParagraph">
    <w:name w:val="List Paragraph"/>
    <w:basedOn w:val="Normal"/>
    <w:uiPriority w:val="34"/>
    <w:qFormat/>
    <w:rsid w:val="00B119B7"/>
    <w:pPr>
      <w:ind w:left="720"/>
    </w:pPr>
  </w:style>
  <w:style w:type="paragraph" w:styleId="BalloonText">
    <w:name w:val="Balloon Text"/>
    <w:basedOn w:val="Normal"/>
    <w:link w:val="BalloonTextChar"/>
    <w:rsid w:val="00AA0CA2"/>
    <w:rPr>
      <w:rFonts w:ascii="Tahoma" w:hAnsi="Tahoma" w:cs="Tahoma"/>
      <w:sz w:val="16"/>
      <w:szCs w:val="16"/>
    </w:rPr>
  </w:style>
  <w:style w:type="character" w:customStyle="1" w:styleId="BalloonTextChar">
    <w:name w:val="Balloon Text Char"/>
    <w:link w:val="BalloonText"/>
    <w:rsid w:val="00AA0CA2"/>
    <w:rPr>
      <w:rFonts w:ascii="Tahoma" w:hAnsi="Tahoma" w:cs="Tahoma"/>
      <w:sz w:val="16"/>
      <w:szCs w:val="16"/>
    </w:rPr>
  </w:style>
  <w:style w:type="character" w:styleId="CommentReference">
    <w:name w:val="annotation reference"/>
    <w:rsid w:val="00A110DA"/>
    <w:rPr>
      <w:sz w:val="16"/>
      <w:szCs w:val="16"/>
    </w:rPr>
  </w:style>
  <w:style w:type="paragraph" w:styleId="CommentText">
    <w:name w:val="annotation text"/>
    <w:basedOn w:val="Normal"/>
    <w:link w:val="CommentTextChar"/>
    <w:rsid w:val="00A110DA"/>
    <w:rPr>
      <w:sz w:val="20"/>
      <w:szCs w:val="20"/>
    </w:rPr>
  </w:style>
  <w:style w:type="character" w:customStyle="1" w:styleId="CommentTextChar">
    <w:name w:val="Comment Text Char"/>
    <w:basedOn w:val="DefaultParagraphFont"/>
    <w:link w:val="CommentText"/>
    <w:rsid w:val="00A110DA"/>
  </w:style>
  <w:style w:type="paragraph" w:styleId="CommentSubject">
    <w:name w:val="annotation subject"/>
    <w:basedOn w:val="CommentText"/>
    <w:next w:val="CommentText"/>
    <w:link w:val="CommentSubjectChar"/>
    <w:rsid w:val="00A110DA"/>
    <w:rPr>
      <w:b/>
      <w:bCs/>
    </w:rPr>
  </w:style>
  <w:style w:type="character" w:customStyle="1" w:styleId="CommentSubjectChar">
    <w:name w:val="Comment Subject Char"/>
    <w:link w:val="CommentSubject"/>
    <w:rsid w:val="00A110DA"/>
    <w:rPr>
      <w:b/>
      <w:bCs/>
    </w:rPr>
  </w:style>
  <w:style w:type="paragraph" w:styleId="Revision">
    <w:name w:val="Revision"/>
    <w:hidden/>
    <w:uiPriority w:val="99"/>
    <w:semiHidden/>
    <w:rsid w:val="009345E5"/>
    <w:rPr>
      <w:sz w:val="24"/>
      <w:szCs w:val="24"/>
    </w:rPr>
  </w:style>
  <w:style w:type="paragraph" w:customStyle="1" w:styleId="Default">
    <w:name w:val="Default"/>
    <w:rsid w:val="00AB79E8"/>
    <w:pPr>
      <w:autoSpaceDE w:val="0"/>
      <w:autoSpaceDN w:val="0"/>
      <w:adjustRightInd w:val="0"/>
    </w:pPr>
    <w:rPr>
      <w:color w:val="000000"/>
      <w:sz w:val="24"/>
      <w:szCs w:val="24"/>
    </w:rPr>
  </w:style>
  <w:style w:type="character" w:customStyle="1" w:styleId="HeaderChar">
    <w:name w:val="Header Char"/>
    <w:link w:val="Header"/>
    <w:uiPriority w:val="99"/>
    <w:rsid w:val="001D6547"/>
    <w:rPr>
      <w:sz w:val="24"/>
      <w:szCs w:val="24"/>
    </w:rPr>
  </w:style>
  <w:style w:type="paragraph" w:styleId="NoSpacing">
    <w:name w:val="No Spacing"/>
    <w:uiPriority w:val="1"/>
    <w:qFormat/>
    <w:rsid w:val="00967B6B"/>
    <w:rPr>
      <w:rFonts w:ascii="Calibri" w:eastAsia="Calibri" w:hAnsi="Calibri"/>
      <w:sz w:val="22"/>
      <w:szCs w:val="22"/>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06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8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D81A8857689534FA8C73FDD13714638" ma:contentTypeVersion="104" ma:contentTypeDescription="" ma:contentTypeScope="" ma:versionID="d1968f9a42111da797092812613c2af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Order - Other</DocumentSetType>
    <IsConfidential xmlns="dc463f71-b30c-4ab2-9473-d307f9d35888">false</IsConfidential>
    <AgendaOrder xmlns="dc463f71-b30c-4ab2-9473-d307f9d35888">false</AgendaOrder>
    <CaseType xmlns="dc463f71-b30c-4ab2-9473-d307f9d35888">Assessment (penalty)</CaseType>
    <IndustryCode xmlns="dc463f71-b30c-4ab2-9473-d307f9d35888">232</IndustryCode>
    <CaseStatus xmlns="dc463f71-b30c-4ab2-9473-d307f9d35888">Closed</CaseStatus>
    <OpenedDate xmlns="dc463f71-b30c-4ab2-9473-d307f9d35888">2016-10-19T07:00:00+00:00</OpenedDate>
    <Date1 xmlns="dc463f71-b30c-4ab2-9473-d307f9d35888">2016-11-30T08:00:00+00:00</Date1>
    <IsDocumentOrder xmlns="dc463f71-b30c-4ab2-9473-d307f9d35888">true</IsDocumentOrder>
    <IsHighlyConfidential xmlns="dc463f71-b30c-4ab2-9473-d307f9d35888">false</IsHighlyConfidential>
    <CaseCompanyNames xmlns="dc463f71-b30c-4ab2-9473-d307f9d35888">Sunwest Enterprises LLC</CaseCompanyNames>
    <DocketNumber xmlns="dc463f71-b30c-4ab2-9473-d307f9d35888">161144</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20845C1B-E7A9-4FEE-80DC-8BFCE86D3479}">
  <ds:schemaRefs>
    <ds:schemaRef ds:uri="http://schemas.openxmlformats.org/officeDocument/2006/bibliography"/>
  </ds:schemaRefs>
</ds:datastoreItem>
</file>

<file path=customXml/itemProps2.xml><?xml version="1.0" encoding="utf-8"?>
<ds:datastoreItem xmlns:ds="http://schemas.openxmlformats.org/officeDocument/2006/customXml" ds:itemID="{826D5E95-813E-4D39-BFDC-B5F37821EF94}"/>
</file>

<file path=customXml/itemProps3.xml><?xml version="1.0" encoding="utf-8"?>
<ds:datastoreItem xmlns:ds="http://schemas.openxmlformats.org/officeDocument/2006/customXml" ds:itemID="{1C411110-8E80-4FEF-9720-E1C3FBFCF8C2}"/>
</file>

<file path=customXml/itemProps4.xml><?xml version="1.0" encoding="utf-8"?>
<ds:datastoreItem xmlns:ds="http://schemas.openxmlformats.org/officeDocument/2006/customXml" ds:itemID="{8681D10C-176E-4DF9-9A4A-4880E28329C1}"/>
</file>

<file path=customXml/itemProps5.xml><?xml version="1.0" encoding="utf-8"?>
<ds:datastoreItem xmlns:ds="http://schemas.openxmlformats.org/officeDocument/2006/customXml" ds:itemID="{4C9EDB0A-6D96-4136-8F57-6770DDB044D3}"/>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3549</Characters>
  <Application>Microsoft Office Word</Application>
  <DocSecurity>0</DocSecurity>
  <Lines>29</Lines>
  <Paragraphs>8</Paragraphs>
  <ScaleCrop>false</ScaleCrop>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01 Denying Mitigation-Sunwest Limousine</dc:title>
  <dc:subject/>
  <dc:creator/>
  <cp:keywords/>
  <cp:lastModifiedBy/>
  <cp:revision>1</cp:revision>
  <dcterms:created xsi:type="dcterms:W3CDTF">2016-11-29T23:55:00Z</dcterms:created>
  <dcterms:modified xsi:type="dcterms:W3CDTF">2016-11-29T23:57:00Z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0x0101006E56B4D1795A2E4DB2F0B01679ED314A002D81A8857689534FA8C73FDD13714638</vt:lpwstr>
  </property>
  <property fmtid="{D5CDD505-2E9C-101B-9397-08002B2CF9AE}" pid="3" name="_docset_NoMedatataSyncRequired">
    <vt:lpwstr>False</vt:lpwstr>
  </property>
</Properties>
</file>