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A3" w:rsidRDefault="00E245A3" w:rsidP="00B96011">
      <w:pPr>
        <w:jc w:val="center"/>
        <w:rPr>
          <w:b/>
          <w:caps/>
          <w:szCs w:val="24"/>
        </w:rPr>
      </w:pPr>
      <w:r>
        <w:rPr>
          <w:b/>
          <w:caps/>
          <w:szCs w:val="24"/>
        </w:rPr>
        <w:t>BEFORE THE WASHINGT</w:t>
      </w:r>
      <w:r w:rsidR="00B96011">
        <w:rPr>
          <w:b/>
          <w:caps/>
          <w:szCs w:val="24"/>
        </w:rPr>
        <w:t xml:space="preserve">ON </w:t>
      </w:r>
    </w:p>
    <w:p w:rsidR="00E245A3" w:rsidRDefault="00B96011" w:rsidP="00B96011">
      <w:pPr>
        <w:jc w:val="center"/>
        <w:rPr>
          <w:b/>
          <w:caps/>
          <w:szCs w:val="24"/>
        </w:rPr>
      </w:pPr>
      <w:r>
        <w:rPr>
          <w:b/>
          <w:caps/>
          <w:szCs w:val="24"/>
        </w:rPr>
        <w:t xml:space="preserve">UTILITIES AND TRANSPORTATION </w:t>
      </w:r>
      <w:r w:rsidR="00E245A3">
        <w:rPr>
          <w:b/>
          <w:caps/>
          <w:szCs w:val="24"/>
        </w:rPr>
        <w:t>COMMISSION</w:t>
      </w:r>
    </w:p>
    <w:p w:rsidR="00E245A3" w:rsidRDefault="00E245A3" w:rsidP="00E245A3">
      <w:pPr>
        <w:jc w:val="center"/>
        <w:rPr>
          <w:b/>
          <w:caps/>
          <w:szCs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88"/>
      </w:tblGrid>
      <w:tr w:rsidR="00E245A3" w:rsidTr="00B27A22">
        <w:tc>
          <w:tcPr>
            <w:tcW w:w="4968" w:type="dxa"/>
            <w:tcBorders>
              <w:top w:val="nil"/>
              <w:left w:val="nil"/>
              <w:bottom w:val="single" w:sz="4" w:space="0" w:color="auto"/>
              <w:right w:val="single" w:sz="4" w:space="0" w:color="auto"/>
            </w:tcBorders>
          </w:tcPr>
          <w:p w:rsidR="00E245A3" w:rsidRDefault="00E245A3" w:rsidP="00B27A22">
            <w:pPr>
              <w:rPr>
                <w:szCs w:val="24"/>
              </w:rPr>
            </w:pPr>
          </w:p>
          <w:p w:rsidR="00E245A3" w:rsidRPr="00F94D8E" w:rsidRDefault="00EE4546" w:rsidP="00B27A22">
            <w:pPr>
              <w:rPr>
                <w:caps/>
                <w:szCs w:val="24"/>
              </w:rPr>
            </w:pPr>
            <w:r w:rsidRPr="00F94D8E">
              <w:rPr>
                <w:caps/>
                <w:szCs w:val="24"/>
              </w:rPr>
              <w:t>Inquiry Into Issuing a Policy</w:t>
            </w:r>
            <w:r w:rsidRPr="00F94D8E">
              <w:rPr>
                <w:caps/>
                <w:szCs w:val="24"/>
              </w:rPr>
              <w:noBreakHyphen/>
              <w:t xml:space="preserve">Interpretative Statement Describing Commission Policy Related to Utility Investment in Electric Vehicle Supply Equipment Pursuant to RCW 80.28.360.  </w:t>
            </w:r>
          </w:p>
          <w:p w:rsidR="00E245A3" w:rsidRDefault="00E245A3" w:rsidP="00B27A22">
            <w:pPr>
              <w:rPr>
                <w:szCs w:val="24"/>
              </w:rPr>
            </w:pPr>
          </w:p>
        </w:tc>
        <w:tc>
          <w:tcPr>
            <w:tcW w:w="4788" w:type="dxa"/>
            <w:tcBorders>
              <w:top w:val="nil"/>
              <w:left w:val="single" w:sz="4" w:space="0" w:color="auto"/>
              <w:bottom w:val="nil"/>
              <w:right w:val="nil"/>
            </w:tcBorders>
          </w:tcPr>
          <w:p w:rsidR="00E245A3" w:rsidRDefault="00E245A3" w:rsidP="00B27A22">
            <w:pPr>
              <w:rPr>
                <w:szCs w:val="24"/>
              </w:rPr>
            </w:pPr>
          </w:p>
          <w:p w:rsidR="00E245A3" w:rsidRDefault="00FB74A3" w:rsidP="00FB74A3">
            <w:pPr>
              <w:tabs>
                <w:tab w:val="left" w:pos="254"/>
              </w:tabs>
              <w:rPr>
                <w:szCs w:val="24"/>
              </w:rPr>
            </w:pPr>
            <w:r>
              <w:rPr>
                <w:szCs w:val="24"/>
              </w:rPr>
              <w:tab/>
            </w:r>
            <w:r w:rsidR="00E245A3">
              <w:rPr>
                <w:szCs w:val="24"/>
              </w:rPr>
              <w:t>DOCKET NO.  UE-160799</w:t>
            </w:r>
          </w:p>
        </w:tc>
      </w:tr>
    </w:tbl>
    <w:p w:rsidR="00E245A3" w:rsidRDefault="00E245A3" w:rsidP="00FB74A3">
      <w:pPr>
        <w:spacing w:before="240" w:line="240" w:lineRule="auto"/>
        <w:rPr>
          <w:b/>
        </w:rPr>
      </w:pPr>
    </w:p>
    <w:p w:rsidR="00E245A3" w:rsidRDefault="00E245A3" w:rsidP="00C87732">
      <w:pPr>
        <w:spacing w:line="480" w:lineRule="auto"/>
        <w:jc w:val="center"/>
        <w:rPr>
          <w:b/>
        </w:rPr>
      </w:pPr>
      <w:r w:rsidRPr="003E31E2">
        <w:rPr>
          <w:b/>
        </w:rPr>
        <w:t xml:space="preserve">COMMENTS OF PUBLIC COUNSEL </w:t>
      </w:r>
    </w:p>
    <w:p w:rsidR="00EF02A1" w:rsidRDefault="00EF02A1" w:rsidP="004400B0">
      <w:pPr>
        <w:spacing w:line="480" w:lineRule="auto"/>
        <w:jc w:val="center"/>
        <w:rPr>
          <w:b/>
        </w:rPr>
      </w:pPr>
      <w:r w:rsidRPr="00EF02A1">
        <w:rPr>
          <w:b/>
        </w:rPr>
        <w:t>August 16, 2016</w:t>
      </w:r>
    </w:p>
    <w:p w:rsidR="006B2D39" w:rsidRPr="00FB74A3" w:rsidRDefault="00EF02A1" w:rsidP="00C87732">
      <w:pPr>
        <w:pStyle w:val="Heading1"/>
      </w:pPr>
      <w:r w:rsidRPr="00FB74A3">
        <w:t>Introduction</w:t>
      </w:r>
    </w:p>
    <w:p w:rsidR="00FB74A3" w:rsidRPr="00FB74A3" w:rsidRDefault="00BA4F8A" w:rsidP="00C87732">
      <w:pPr>
        <w:pStyle w:val="ListParagraph"/>
        <w:numPr>
          <w:ilvl w:val="0"/>
          <w:numId w:val="4"/>
        </w:numPr>
        <w:spacing w:line="480" w:lineRule="auto"/>
        <w:ind w:left="0"/>
        <w:rPr>
          <w:b/>
        </w:rPr>
      </w:pPr>
      <w:r>
        <w:t xml:space="preserve"> </w:t>
      </w:r>
      <w:r>
        <w:tab/>
      </w:r>
      <w:r w:rsidR="006B2D39" w:rsidRPr="006B2D39">
        <w:t>Pursuant to the Commission’s</w:t>
      </w:r>
      <w:r w:rsidR="00B81CB8">
        <w:t xml:space="preserve"> August 16, 2016</w:t>
      </w:r>
      <w:r w:rsidR="006B2D39" w:rsidRPr="006B2D39">
        <w:t>, Notice of Opportunity to File</w:t>
      </w:r>
      <w:r w:rsidR="006B2D39" w:rsidRPr="003E31E2">
        <w:t xml:space="preserve"> Written Comments</w:t>
      </w:r>
      <w:r w:rsidR="006B2D39">
        <w:t>,</w:t>
      </w:r>
      <w:r w:rsidR="006B2D39" w:rsidRPr="00674F21">
        <w:t xml:space="preserve"> the Public Counsel </w:t>
      </w:r>
      <w:r w:rsidR="00D00786">
        <w:t>Unit</w:t>
      </w:r>
      <w:r w:rsidR="006B2D39" w:rsidRPr="00674F21">
        <w:t xml:space="preserve"> of the Washington State Attorney General’s Office (Public Counsel) respectfully submits these comments in advance of the Commission’s </w:t>
      </w:r>
      <w:r w:rsidR="00D71FB1">
        <w:t>September </w:t>
      </w:r>
      <w:r w:rsidR="00391453">
        <w:t>13</w:t>
      </w:r>
      <w:r w:rsidR="00D71FB1">
        <w:t>, </w:t>
      </w:r>
      <w:r w:rsidR="006B2D39">
        <w:t>201</w:t>
      </w:r>
      <w:r w:rsidR="00391453">
        <w:t>6</w:t>
      </w:r>
      <w:r w:rsidR="006B2D39">
        <w:t>,</w:t>
      </w:r>
      <w:r w:rsidR="00B81CB8">
        <w:t xml:space="preserve"> Recessed </w:t>
      </w:r>
      <w:r w:rsidR="006B2D39" w:rsidRPr="00674F21">
        <w:t xml:space="preserve">Open Meeting. </w:t>
      </w:r>
      <w:r w:rsidR="006B2D39">
        <w:t xml:space="preserve"> </w:t>
      </w:r>
      <w:r w:rsidR="006B2D39" w:rsidRPr="00674F21">
        <w:t xml:space="preserve">These comments address </w:t>
      </w:r>
      <w:r w:rsidR="00295E68">
        <w:t>the policy</w:t>
      </w:r>
      <w:r w:rsidR="008C161B">
        <w:t xml:space="preserve"> and</w:t>
      </w:r>
      <w:r w:rsidR="00295E68">
        <w:t xml:space="preserve"> implementation </w:t>
      </w:r>
      <w:r w:rsidR="00E57EBC">
        <w:t>questions on</w:t>
      </w:r>
      <w:r w:rsidR="00295E68">
        <w:t xml:space="preserve"> electric utility investment in electric vehicle supply </w:t>
      </w:r>
      <w:r w:rsidR="008C161B">
        <w:t>equipment (EVSE)</w:t>
      </w:r>
      <w:r w:rsidR="00C56EB5">
        <w:t>,</w:t>
      </w:r>
      <w:r w:rsidR="008C161B">
        <w:t xml:space="preserve"> while also remaining in compliance with RCW 80.28.360</w:t>
      </w:r>
      <w:r w:rsidR="00E57EBC">
        <w:t xml:space="preserve"> and other statues</w:t>
      </w:r>
      <w:r w:rsidR="00D00786">
        <w:t>.</w:t>
      </w:r>
      <w:r w:rsidR="003637F7">
        <w:t xml:space="preserve"> </w:t>
      </w:r>
    </w:p>
    <w:p w:rsidR="00D71FB1" w:rsidRPr="00D71FB1" w:rsidRDefault="00FB74A3" w:rsidP="00C87732">
      <w:pPr>
        <w:pStyle w:val="ListParagraph"/>
        <w:numPr>
          <w:ilvl w:val="0"/>
          <w:numId w:val="4"/>
        </w:numPr>
        <w:spacing w:line="480" w:lineRule="auto"/>
        <w:ind w:left="0"/>
        <w:rPr>
          <w:b/>
        </w:rPr>
      </w:pPr>
      <w:r>
        <w:tab/>
      </w:r>
      <w:r w:rsidR="00BA4F8A">
        <w:t xml:space="preserve">RCW 80.28.360 states that the Commission </w:t>
      </w:r>
      <w:r w:rsidR="00C05362">
        <w:t>“may</w:t>
      </w:r>
      <w:r w:rsidR="00BA4F8A">
        <w:t xml:space="preserve"> allow an incentive rate of return on investments on capital </w:t>
      </w:r>
      <w:r w:rsidR="00C05362">
        <w:t>expenditures for electric vehicle supply equipment that is deployed for the benefit of ratepayers</w:t>
      </w:r>
      <w:r w:rsidR="005E0BCD">
        <w:t>.</w:t>
      </w:r>
      <w:r w:rsidR="00C05362">
        <w:t>”</w:t>
      </w:r>
      <w:r w:rsidR="005E0BCD">
        <w:rPr>
          <w:rStyle w:val="FootnoteReference"/>
        </w:rPr>
        <w:footnoteReference w:id="1"/>
      </w:r>
      <w:r w:rsidR="00C05362">
        <w:t xml:space="preserve"> </w:t>
      </w:r>
      <w:r w:rsidR="00D71FB1">
        <w:t xml:space="preserve"> </w:t>
      </w:r>
      <w:r w:rsidR="00C05362">
        <w:t xml:space="preserve">However, the statute is </w:t>
      </w:r>
      <w:r w:rsidR="005E0BCD">
        <w:t xml:space="preserve">generally </w:t>
      </w:r>
      <w:r w:rsidR="00C05362">
        <w:t xml:space="preserve">silent on the </w:t>
      </w:r>
      <w:r w:rsidR="005E0BCD">
        <w:t xml:space="preserve">specific </w:t>
      </w:r>
      <w:r w:rsidR="00C05362">
        <w:t xml:space="preserve">elements that </w:t>
      </w:r>
      <w:r w:rsidR="005E0BCD">
        <w:t xml:space="preserve">might </w:t>
      </w:r>
      <w:r w:rsidR="00E16B88">
        <w:t>substantiate “real and tangible benefits for ratepayers</w:t>
      </w:r>
      <w:r w:rsidR="005E0BCD">
        <w:t>,</w:t>
      </w:r>
      <w:r w:rsidR="00E16B88">
        <w:t>”</w:t>
      </w:r>
      <w:r w:rsidR="005E0BCD">
        <w:t xml:space="preserve"> aside from a reference to projects “installed and located where electric vehicles are most likely to be parked for intervals longer </w:t>
      </w:r>
      <w:r w:rsidR="005E0BCD">
        <w:lastRenderedPageBreak/>
        <w:t>than two hours.”</w:t>
      </w:r>
      <w:r w:rsidR="005E0BCD">
        <w:rPr>
          <w:rStyle w:val="FootnoteReference"/>
        </w:rPr>
        <w:footnoteReference w:id="2"/>
      </w:r>
      <w:r w:rsidR="005E0BCD">
        <w:t xml:space="preserve"> </w:t>
      </w:r>
      <w:r w:rsidR="008B06E2">
        <w:t xml:space="preserve"> </w:t>
      </w:r>
      <w:r w:rsidR="004011D8">
        <w:t>Thus, t</w:t>
      </w:r>
      <w:r w:rsidR="002054F4">
        <w:t xml:space="preserve">he Commission </w:t>
      </w:r>
      <w:r w:rsidR="005D1C8B">
        <w:t xml:space="preserve">has </w:t>
      </w:r>
      <w:r w:rsidR="00517876">
        <w:t>requested</w:t>
      </w:r>
      <w:r w:rsidR="00D0587D">
        <w:t xml:space="preserve"> interested parties to </w:t>
      </w:r>
      <w:r w:rsidR="00C13568">
        <w:t>submit comments regarding</w:t>
      </w:r>
      <w:r w:rsidR="00D0587D">
        <w:t xml:space="preserve"> </w:t>
      </w:r>
      <w:r w:rsidR="000B3CF8">
        <w:t>the unresolved</w:t>
      </w:r>
      <w:r w:rsidR="00D0587D">
        <w:t xml:space="preserve"> policy and implementation </w:t>
      </w:r>
      <w:r w:rsidR="003463E0">
        <w:t>inquiries</w:t>
      </w:r>
      <w:r w:rsidR="00D0587D">
        <w:t xml:space="preserve"> </w:t>
      </w:r>
      <w:r w:rsidR="007B724C">
        <w:t xml:space="preserve">for EVSE </w:t>
      </w:r>
      <w:r w:rsidR="00D0587D">
        <w:t xml:space="preserve">raised </w:t>
      </w:r>
      <w:r w:rsidR="00D71FB1">
        <w:t>by RCW </w:t>
      </w:r>
      <w:r w:rsidR="005E0BCD">
        <w:t>80.28.360.  Some issues</w:t>
      </w:r>
      <w:r w:rsidR="00C13568">
        <w:t xml:space="preserve"> were identified</w:t>
      </w:r>
      <w:r w:rsidR="00127A75">
        <w:t xml:space="preserve"> </w:t>
      </w:r>
      <w:r w:rsidR="0003263F">
        <w:t>during Avista Corporation’s (Avista) filing of a</w:t>
      </w:r>
      <w:r w:rsidR="000D33AF">
        <w:t>n</w:t>
      </w:r>
      <w:r w:rsidR="0003263F">
        <w:t xml:space="preserve"> </w:t>
      </w:r>
      <w:r w:rsidR="007323D6">
        <w:t>adjustment</w:t>
      </w:r>
      <w:r w:rsidR="0003263F">
        <w:t xml:space="preserve"> to Schedule 77, Electric Vehicle Supply Equipment </w:t>
      </w:r>
      <w:r w:rsidR="002A5F3B">
        <w:t>Pilot P</w:t>
      </w:r>
      <w:r w:rsidR="005D1C8B">
        <w:t>rogram</w:t>
      </w:r>
      <w:r w:rsidR="005E0BCD">
        <w:t>,</w:t>
      </w:r>
      <w:r w:rsidR="00D71FB1">
        <w:t xml:space="preserve"> in Docket UE</w:t>
      </w:r>
      <w:r w:rsidR="00D71FB1">
        <w:noBreakHyphen/>
      </w:r>
      <w:r w:rsidR="00127A75">
        <w:t>160082</w:t>
      </w:r>
      <w:r w:rsidR="00D00786">
        <w:t>.</w:t>
      </w:r>
      <w:r w:rsidR="002A5F3B">
        <w:rPr>
          <w:rStyle w:val="FootnoteReference"/>
        </w:rPr>
        <w:footnoteReference w:id="3"/>
      </w:r>
      <w:r w:rsidR="002A5F3B">
        <w:t xml:space="preserve"> </w:t>
      </w:r>
      <w:r w:rsidR="000B3CF8">
        <w:t xml:space="preserve"> </w:t>
      </w:r>
      <w:r w:rsidR="005E0BCD">
        <w:t>The</w:t>
      </w:r>
      <w:r w:rsidR="000B3CF8">
        <w:t xml:space="preserve"> </w:t>
      </w:r>
      <w:r w:rsidR="003463E0">
        <w:t>unresolved issues include</w:t>
      </w:r>
      <w:r w:rsidR="001134DD">
        <w:t xml:space="preserve"> </w:t>
      </w:r>
      <w:r w:rsidR="005E0BCD">
        <w:t>the</w:t>
      </w:r>
      <w:r w:rsidR="00D71FB1">
        <w:t xml:space="preserve"> evidence, methods and criteria</w:t>
      </w:r>
      <w:r w:rsidR="00065FC6">
        <w:t xml:space="preserve"> </w:t>
      </w:r>
      <w:r w:rsidR="00DE305F">
        <w:t xml:space="preserve">the </w:t>
      </w:r>
      <w:r w:rsidR="00065FC6">
        <w:t>Commission</w:t>
      </w:r>
      <w:r w:rsidR="005E0BCD">
        <w:t xml:space="preserve"> may consider prior to potential</w:t>
      </w:r>
      <w:r w:rsidR="00065FC6">
        <w:t xml:space="preserve"> </w:t>
      </w:r>
      <w:r w:rsidR="00686455">
        <w:t>approval</w:t>
      </w:r>
      <w:r w:rsidR="002B2129">
        <w:t xml:space="preserve"> </w:t>
      </w:r>
      <w:r w:rsidR="00686455">
        <w:t xml:space="preserve">of </w:t>
      </w:r>
      <w:r w:rsidR="001134DD">
        <w:t>an incentive rate of return, such as</w:t>
      </w:r>
      <w:r w:rsidR="003A7FAF">
        <w:t xml:space="preserve">: </w:t>
      </w:r>
      <w:r w:rsidR="00D71FB1">
        <w:t xml:space="preserve"> </w:t>
      </w:r>
      <w:r w:rsidR="000B3CF8">
        <w:t xml:space="preserve">(1) </w:t>
      </w:r>
      <w:r w:rsidR="007B724C">
        <w:t>achieving</w:t>
      </w:r>
      <w:r w:rsidR="003A7FAF">
        <w:t xml:space="preserve"> </w:t>
      </w:r>
      <w:r w:rsidR="001134DD">
        <w:t xml:space="preserve">qualifications under </w:t>
      </w:r>
      <w:r w:rsidR="001B7B0B">
        <w:t>RCW 80.28.360</w:t>
      </w:r>
      <w:r w:rsidR="000B3CF8">
        <w:t xml:space="preserve">, </w:t>
      </w:r>
      <w:r w:rsidR="001134DD">
        <w:t xml:space="preserve">(2) demonstration </w:t>
      </w:r>
      <w:r w:rsidR="00AB17E5">
        <w:t xml:space="preserve">and quantification </w:t>
      </w:r>
      <w:r w:rsidR="001134DD">
        <w:t xml:space="preserve">of </w:t>
      </w:r>
      <w:r w:rsidR="00C13568">
        <w:t>“</w:t>
      </w:r>
      <w:r w:rsidR="001134DD">
        <w:t>real and tangible benefits to ratepayers,</w:t>
      </w:r>
      <w:r w:rsidR="00C13568">
        <w:t>”</w:t>
      </w:r>
      <w:r w:rsidR="00C13568">
        <w:rPr>
          <w:rStyle w:val="FootnoteReference"/>
        </w:rPr>
        <w:footnoteReference w:id="4"/>
      </w:r>
      <w:r w:rsidR="001134DD">
        <w:t xml:space="preserve"> (3) </w:t>
      </w:r>
      <w:r w:rsidR="007B724C">
        <w:t>deciphering which</w:t>
      </w:r>
      <w:r w:rsidR="001134DD">
        <w:t xml:space="preserve"> EVSE investments qualify</w:t>
      </w:r>
      <w:r w:rsidR="00AB17E5">
        <w:t>, and (4) what evaluation test is suitable for m</w:t>
      </w:r>
      <w:r w:rsidR="00313594">
        <w:t>easuring benefits to ratepayers, as well as</w:t>
      </w:r>
      <w:r w:rsidR="00AB17E5">
        <w:t xml:space="preserve"> </w:t>
      </w:r>
      <w:r w:rsidR="00B46D33">
        <w:t>(5</w:t>
      </w:r>
      <w:r w:rsidR="00313594">
        <w:t>) policies promoting fair competition of EVSE in the market</w:t>
      </w:r>
      <w:r w:rsidR="00E10966">
        <w:t xml:space="preserve">. </w:t>
      </w:r>
    </w:p>
    <w:p w:rsidR="0044014E" w:rsidRPr="00D71FB1" w:rsidRDefault="00D71FB1" w:rsidP="00C87732">
      <w:pPr>
        <w:pStyle w:val="ListParagraph"/>
        <w:numPr>
          <w:ilvl w:val="0"/>
          <w:numId w:val="4"/>
        </w:numPr>
        <w:spacing w:line="480" w:lineRule="auto"/>
        <w:ind w:left="0"/>
        <w:rPr>
          <w:b/>
        </w:rPr>
      </w:pPr>
      <w:r>
        <w:tab/>
      </w:r>
      <w:r w:rsidR="0044014E">
        <w:t xml:space="preserve">The comments </w:t>
      </w:r>
      <w:r w:rsidR="00BA4F8A">
        <w:t>Public Counsel</w:t>
      </w:r>
      <w:r w:rsidR="0044014E">
        <w:t xml:space="preserve"> provides</w:t>
      </w:r>
      <w:r w:rsidR="00B34EF2">
        <w:t xml:space="preserve"> at this time</w:t>
      </w:r>
      <w:r w:rsidR="0044014E">
        <w:t xml:space="preserve"> are somewhat preliminary</w:t>
      </w:r>
      <w:r w:rsidR="00B34EF2">
        <w:t>.</w:t>
      </w:r>
      <w:r w:rsidR="0044014E">
        <w:t xml:space="preserve">  We highlight and raise issues for the Commission’s consideration, and we look forward to reviewing the comments provided by other stakeholders.</w:t>
      </w:r>
    </w:p>
    <w:p w:rsidR="00B84EA8" w:rsidRDefault="005F2CA3" w:rsidP="00C87732">
      <w:pPr>
        <w:pStyle w:val="Heading1"/>
      </w:pPr>
      <w:r>
        <w:t>Incentive Rate of Return</w:t>
      </w:r>
    </w:p>
    <w:p w:rsidR="00CF37EB" w:rsidRPr="001B7B0B" w:rsidRDefault="006D1B51" w:rsidP="005258A1">
      <w:pPr>
        <w:pStyle w:val="ListParagraph"/>
        <w:numPr>
          <w:ilvl w:val="0"/>
          <w:numId w:val="4"/>
        </w:numPr>
        <w:spacing w:line="480" w:lineRule="auto"/>
        <w:ind w:left="0"/>
        <w:rPr>
          <w:b/>
        </w:rPr>
      </w:pPr>
      <w:r>
        <w:rPr>
          <w:b/>
        </w:rPr>
        <w:tab/>
      </w:r>
      <w:r w:rsidR="001B7B0B">
        <w:t xml:space="preserve">As outlined in the Notice, RCW 80.28.360 </w:t>
      </w:r>
      <w:r>
        <w:t xml:space="preserve">contains restrictions </w:t>
      </w:r>
      <w:r w:rsidR="00CF37EB">
        <w:t>for  capital investments</w:t>
      </w:r>
      <w:r w:rsidR="00E428EE">
        <w:t xml:space="preserve"> </w:t>
      </w:r>
      <w:r w:rsidR="005766CE">
        <w:t xml:space="preserve">qualifying </w:t>
      </w:r>
      <w:r w:rsidR="00E428EE">
        <w:t xml:space="preserve">for an incentive rate of return, </w:t>
      </w:r>
      <w:r w:rsidR="00A356AC">
        <w:t>specifying the following</w:t>
      </w:r>
      <w:r w:rsidR="00CD2F12">
        <w:t>:</w:t>
      </w:r>
      <w:r w:rsidR="005258A1">
        <w:t xml:space="preserve"> </w:t>
      </w:r>
      <w:r w:rsidR="0035772F" w:rsidDel="008F57D5">
        <w:t xml:space="preserve"> </w:t>
      </w:r>
      <w:r w:rsidR="00CD2F12">
        <w:t>(1)</w:t>
      </w:r>
      <w:r w:rsidR="008B6DDA">
        <w:t xml:space="preserve"> </w:t>
      </w:r>
      <w:r>
        <w:t>capital expenditures do not increase costs to ratepayers in excess of one-quarter of one percent</w:t>
      </w:r>
      <w:r w:rsidR="000701BE">
        <w:t>,</w:t>
      </w:r>
      <w:r w:rsidR="00B86005">
        <w:t xml:space="preserve"> </w:t>
      </w:r>
      <w:r w:rsidR="00CD2F12">
        <w:t>(2)</w:t>
      </w:r>
      <w:r w:rsidR="008B6DDA">
        <w:t xml:space="preserve"> </w:t>
      </w:r>
      <w:r w:rsidR="005766CE">
        <w:t xml:space="preserve">the utility pursues the EVSE capital investments on </w:t>
      </w:r>
      <w:r w:rsidR="005258A1">
        <w:t>a fully-</w:t>
      </w:r>
      <w:r w:rsidR="00AE526C">
        <w:t xml:space="preserve">regulated basis similar to other capital investments, </w:t>
      </w:r>
      <w:r w:rsidR="000701BE">
        <w:t xml:space="preserve">and </w:t>
      </w:r>
      <w:r w:rsidR="00CD2F12">
        <w:t xml:space="preserve">(3) </w:t>
      </w:r>
      <w:r w:rsidR="005766CE">
        <w:t>projects shall be inst</w:t>
      </w:r>
      <w:r w:rsidR="00A356AC">
        <w:t>alled after July 1, 2015</w:t>
      </w:r>
      <w:r w:rsidR="005258A1">
        <w:t>,</w:t>
      </w:r>
      <w:r w:rsidR="005766CE">
        <w:t xml:space="preserve"> and shall be “reasonably expected</w:t>
      </w:r>
      <w:r w:rsidR="00A84033">
        <w:t xml:space="preserve">, at the time they are placed in the rate base, </w:t>
      </w:r>
      <w:r w:rsidR="005766CE">
        <w:t>to result in real and tangible</w:t>
      </w:r>
      <w:r w:rsidR="00A84033">
        <w:t xml:space="preserve"> benefits for ratepayers by being installed </w:t>
      </w:r>
      <w:r w:rsidR="00A84033">
        <w:lastRenderedPageBreak/>
        <w:t xml:space="preserve">and </w:t>
      </w:r>
      <w:r w:rsidR="000F1386">
        <w:t>located where electric vehicles are most likely to be parked for intervals longer than two hours</w:t>
      </w:r>
      <w:r w:rsidR="005766CE">
        <w:t>.</w:t>
      </w:r>
      <w:r w:rsidR="000F1386">
        <w:t>”</w:t>
      </w:r>
      <w:r w:rsidR="00A84033">
        <w:rPr>
          <w:rStyle w:val="FootnoteReference"/>
        </w:rPr>
        <w:footnoteReference w:id="5"/>
      </w:r>
      <w:r w:rsidR="00AD77F2">
        <w:t xml:space="preserve"> </w:t>
      </w:r>
      <w:r w:rsidR="005E0B70">
        <w:t xml:space="preserve"> </w:t>
      </w:r>
      <w:r w:rsidR="0024675B">
        <w:t xml:space="preserve">The </w:t>
      </w:r>
      <w:r w:rsidR="00A356AC">
        <w:t xml:space="preserve">next </w:t>
      </w:r>
      <w:r w:rsidR="005E0B70">
        <w:t xml:space="preserve">section of our comments </w:t>
      </w:r>
      <w:r w:rsidR="0024675B">
        <w:t xml:space="preserve">will </w:t>
      </w:r>
      <w:r w:rsidR="005E0B70">
        <w:t xml:space="preserve">discuss potential reporting requirements the Commission may consider </w:t>
      </w:r>
      <w:r w:rsidR="00334342">
        <w:t xml:space="preserve">to </w:t>
      </w:r>
      <w:r w:rsidR="00DF416F">
        <w:t>determine whether a utility’s EVSE investments meet</w:t>
      </w:r>
      <w:r w:rsidR="00334342">
        <w:t xml:space="preserve"> the </w:t>
      </w:r>
      <w:r w:rsidR="001778C7">
        <w:t xml:space="preserve">qualifying </w:t>
      </w:r>
      <w:r w:rsidR="0024675B">
        <w:t>criteria</w:t>
      </w:r>
      <w:r w:rsidR="00A21A97">
        <w:t xml:space="preserve"> </w:t>
      </w:r>
      <w:r w:rsidR="0024675B">
        <w:t>for</w:t>
      </w:r>
      <w:r w:rsidR="00A810D2">
        <w:t xml:space="preserve"> an </w:t>
      </w:r>
      <w:r w:rsidR="001778C7">
        <w:t xml:space="preserve">electric </w:t>
      </w:r>
      <w:r w:rsidR="005E0B70">
        <w:t xml:space="preserve">utility </w:t>
      </w:r>
      <w:r w:rsidR="001778C7">
        <w:t xml:space="preserve">company’s </w:t>
      </w:r>
      <w:r w:rsidR="00A810D2">
        <w:t>incentive rate of return o</w:t>
      </w:r>
      <w:r w:rsidR="005E0B70">
        <w:t>n</w:t>
      </w:r>
      <w:r w:rsidR="0024675B">
        <w:t xml:space="preserve"> capital investments.   </w:t>
      </w:r>
    </w:p>
    <w:p w:rsidR="00DE305F" w:rsidRDefault="00DE305F" w:rsidP="005258A1">
      <w:pPr>
        <w:pStyle w:val="Heading2"/>
      </w:pPr>
      <w:r>
        <w:t xml:space="preserve">A. Demonstrating Qualifications </w:t>
      </w:r>
    </w:p>
    <w:p w:rsidR="005258A1" w:rsidRPr="005258A1" w:rsidRDefault="005258A1" w:rsidP="005258A1">
      <w:pPr>
        <w:pStyle w:val="ListParagraph"/>
        <w:numPr>
          <w:ilvl w:val="0"/>
          <w:numId w:val="4"/>
        </w:numPr>
        <w:spacing w:line="480" w:lineRule="auto"/>
        <w:ind w:left="0"/>
        <w:rPr>
          <w:b/>
        </w:rPr>
      </w:pPr>
      <w:r>
        <w:tab/>
      </w:r>
      <w:r w:rsidR="00463D67">
        <w:t>Because of the limitation that capital expenditures shall not increase costs to ratepayers in excess of one-quarter of one percent, the Commission will need to determine the appropriate means of calculating wh</w:t>
      </w:r>
      <w:r w:rsidR="0097413A">
        <w:t xml:space="preserve">ether this limitation has been </w:t>
      </w:r>
      <w:r w:rsidR="00463D67">
        <w:t xml:space="preserve">reached.  </w:t>
      </w:r>
      <w:r w:rsidR="00C43E57">
        <w:t>We do not recommend a specific approach at this time, but recognize this determination can likely be calculated in a few different ways.</w:t>
      </w:r>
      <w:r w:rsidR="00CF37EB">
        <w:tab/>
      </w:r>
    </w:p>
    <w:p w:rsidR="005258A1" w:rsidRPr="005258A1" w:rsidRDefault="005258A1" w:rsidP="005258A1">
      <w:pPr>
        <w:pStyle w:val="ListParagraph"/>
        <w:numPr>
          <w:ilvl w:val="0"/>
          <w:numId w:val="4"/>
        </w:numPr>
        <w:spacing w:line="480" w:lineRule="auto"/>
        <w:ind w:left="0"/>
        <w:rPr>
          <w:b/>
        </w:rPr>
      </w:pPr>
      <w:r>
        <w:tab/>
      </w:r>
      <w:r w:rsidR="00CF37EB">
        <w:t>Public Counsel believes</w:t>
      </w:r>
      <w:r w:rsidR="00864CCD">
        <w:t xml:space="preserve"> </w:t>
      </w:r>
      <w:r w:rsidR="00C43E57">
        <w:t xml:space="preserve">the </w:t>
      </w:r>
      <w:r w:rsidR="00864CCD">
        <w:t xml:space="preserve">performance and reporting metrics </w:t>
      </w:r>
      <w:r w:rsidR="00C43E57">
        <w:t xml:space="preserve">adopted by the Commission in the Avista EVSE pilot proceeding in Docket UE-160082 are a useful starting point for reporting and </w:t>
      </w:r>
      <w:r w:rsidR="00365E79">
        <w:t>data collection considerations.</w:t>
      </w:r>
      <w:r w:rsidR="00C43E57">
        <w:t xml:space="preserve"> </w:t>
      </w:r>
      <w:r w:rsidR="00864CCD">
        <w:t xml:space="preserve"> </w:t>
      </w:r>
      <w:r w:rsidR="007E7B8A">
        <w:t xml:space="preserve">We </w:t>
      </w:r>
      <w:r w:rsidR="00F97E75">
        <w:t>agree with</w:t>
      </w:r>
      <w:r w:rsidR="00001383">
        <w:t xml:space="preserve"> </w:t>
      </w:r>
      <w:r w:rsidR="006B753A">
        <w:t xml:space="preserve">Commission </w:t>
      </w:r>
      <w:r w:rsidR="00A02E12">
        <w:t>Staff’s proposed</w:t>
      </w:r>
      <w:r w:rsidR="00A50FEB">
        <w:t xml:space="preserve"> </w:t>
      </w:r>
      <w:r w:rsidR="001E101E">
        <w:t xml:space="preserve">reporting </w:t>
      </w:r>
      <w:r w:rsidR="00670300">
        <w:t>requirements</w:t>
      </w:r>
      <w:r w:rsidR="00A02E12">
        <w:t xml:space="preserve"> </w:t>
      </w:r>
      <w:r w:rsidR="001E101E">
        <w:t xml:space="preserve">in </w:t>
      </w:r>
      <w:r w:rsidR="00A50FEB">
        <w:t xml:space="preserve">Docket </w:t>
      </w:r>
      <w:r w:rsidR="001E101E">
        <w:t>UE-160082</w:t>
      </w:r>
      <w:r w:rsidR="007E7B8A">
        <w:t>, which were</w:t>
      </w:r>
      <w:r w:rsidR="006B753A">
        <w:t xml:space="preserve"> adopted by the Commission</w:t>
      </w:r>
      <w:r w:rsidR="00C43E57">
        <w:t>,</w:t>
      </w:r>
      <w:r w:rsidR="00A34AE7">
        <w:t xml:space="preserve"> </w:t>
      </w:r>
      <w:r w:rsidR="00AE186B">
        <w:t>and</w:t>
      </w:r>
      <w:r w:rsidR="00C43E57">
        <w:t xml:space="preserve"> we believe those requirements</w:t>
      </w:r>
      <w:r w:rsidR="00AE186B">
        <w:t xml:space="preserve"> </w:t>
      </w:r>
      <w:r w:rsidR="00966408">
        <w:t xml:space="preserve">should be </w:t>
      </w:r>
      <w:r w:rsidR="00A34AE7">
        <w:t>applicable to all electric companies offering an EVSE program</w:t>
      </w:r>
      <w:r w:rsidR="00DF416F">
        <w:t>.</w:t>
      </w:r>
      <w:r w:rsidR="001E101E">
        <w:rPr>
          <w:rStyle w:val="FootnoteReference"/>
        </w:rPr>
        <w:footnoteReference w:id="6"/>
      </w:r>
      <w:r w:rsidR="001E101E">
        <w:t xml:space="preserve"> </w:t>
      </w:r>
      <w:r w:rsidR="00F22C22">
        <w:t xml:space="preserve"> </w:t>
      </w:r>
      <w:r w:rsidR="00C43E57">
        <w:t>Such</w:t>
      </w:r>
      <w:r w:rsidR="00670300">
        <w:t xml:space="preserve"> reporting should </w:t>
      </w:r>
      <w:r w:rsidR="00C43E57">
        <w:t>document</w:t>
      </w:r>
      <w:r w:rsidR="00670300">
        <w:t xml:space="preserve"> </w:t>
      </w:r>
      <w:r w:rsidR="00304856">
        <w:t xml:space="preserve">the program participation levels, expenditures, and revenues of </w:t>
      </w:r>
      <w:r w:rsidR="002C3351">
        <w:t>a proposed</w:t>
      </w:r>
      <w:r w:rsidR="00304856">
        <w:t xml:space="preserve"> EVSE program</w:t>
      </w:r>
      <w:r w:rsidR="00DF416F">
        <w:t>.</w:t>
      </w:r>
      <w:r w:rsidR="00304856">
        <w:rPr>
          <w:rStyle w:val="FootnoteReference"/>
        </w:rPr>
        <w:footnoteReference w:id="7"/>
      </w:r>
      <w:r w:rsidR="00304856">
        <w:t xml:space="preserve">  Second, </w:t>
      </w:r>
      <w:r w:rsidR="002C3351">
        <w:t xml:space="preserve">to the extent the utility EVSE program includes </w:t>
      </w:r>
      <w:r w:rsidR="00065B7A">
        <w:t>direc</w:t>
      </w:r>
      <w:bookmarkStart w:id="0" w:name="_GoBack"/>
      <w:bookmarkEnd w:id="0"/>
      <w:r w:rsidR="00065B7A">
        <w:t>t current (</w:t>
      </w:r>
      <w:r w:rsidR="002C3351">
        <w:t>DC</w:t>
      </w:r>
      <w:r w:rsidR="00065B7A">
        <w:t>)</w:t>
      </w:r>
      <w:r w:rsidR="002C3351">
        <w:t xml:space="preserve"> fast chargers, </w:t>
      </w:r>
      <w:r w:rsidR="0073754B">
        <w:t xml:space="preserve">the location of the DC fast chargers, their utilization rates, and their revenue contribution to </w:t>
      </w:r>
      <w:proofErr w:type="gramStart"/>
      <w:r w:rsidR="0073754B">
        <w:t>fixed</w:t>
      </w:r>
      <w:proofErr w:type="gramEnd"/>
      <w:r w:rsidR="0073754B">
        <w:t xml:space="preserve"> and variable costs</w:t>
      </w:r>
      <w:r w:rsidR="00430B5C">
        <w:t xml:space="preserve"> should be </w:t>
      </w:r>
      <w:r w:rsidR="00430B5C">
        <w:lastRenderedPageBreak/>
        <w:t>reported</w:t>
      </w:r>
      <w:r w:rsidR="002C3351">
        <w:t>, consistent with the requirements for the Avista EVSE pilot.</w:t>
      </w:r>
      <w:r w:rsidR="0073754B">
        <w:rPr>
          <w:rStyle w:val="FootnoteReference"/>
        </w:rPr>
        <w:footnoteReference w:id="8"/>
      </w:r>
      <w:r w:rsidR="00F11FDB">
        <w:t xml:space="preserve"> </w:t>
      </w:r>
      <w:r w:rsidR="00430B5C">
        <w:t xml:space="preserve"> These two metrics, and other proposed metrics identified during this proceeding, will help provide the Commission with a record</w:t>
      </w:r>
      <w:r w:rsidR="00EB0786">
        <w:t xml:space="preserve"> of expenditures and revenues related to EVSE.  </w:t>
      </w:r>
    </w:p>
    <w:p w:rsidR="005258A1" w:rsidRPr="005258A1" w:rsidRDefault="005258A1" w:rsidP="005258A1">
      <w:pPr>
        <w:pStyle w:val="ListParagraph"/>
        <w:numPr>
          <w:ilvl w:val="0"/>
          <w:numId w:val="4"/>
        </w:numPr>
        <w:spacing w:line="480" w:lineRule="auto"/>
        <w:ind w:left="0"/>
        <w:rPr>
          <w:b/>
        </w:rPr>
      </w:pPr>
      <w:r>
        <w:tab/>
      </w:r>
      <w:r w:rsidR="00966408" w:rsidRPr="002308C3">
        <w:t>Third</w:t>
      </w:r>
      <w:r w:rsidR="00632F42" w:rsidRPr="002308C3">
        <w:t xml:space="preserve">, </w:t>
      </w:r>
      <w:r w:rsidR="00821516" w:rsidRPr="002308C3">
        <w:t xml:space="preserve">to assist the Commission’s review of the impacts of EVSE deployment on the utility distribution system, it will also be helpful for utilities to collect and report data regarding the time and duration that EVSE is utilized.  For example, this may include </w:t>
      </w:r>
      <w:r w:rsidR="000C5AA4" w:rsidRPr="002308C3">
        <w:t>reporting metrics</w:t>
      </w:r>
      <w:r w:rsidR="00E10C11" w:rsidRPr="002308C3">
        <w:t xml:space="preserve"> </w:t>
      </w:r>
      <w:r w:rsidR="000C5AA4" w:rsidRPr="002308C3">
        <w:t>of</w:t>
      </w:r>
      <w:r w:rsidR="00632F42" w:rsidRPr="002308C3">
        <w:t xml:space="preserve"> amperage, voltage, date, time, and battery state </w:t>
      </w:r>
      <w:r w:rsidR="000C5AA4" w:rsidRPr="002308C3">
        <w:t>attained from</w:t>
      </w:r>
      <w:r w:rsidR="00632F42" w:rsidRPr="002308C3">
        <w:t xml:space="preserve"> the participants in </w:t>
      </w:r>
      <w:r w:rsidR="00821516" w:rsidRPr="002308C3">
        <w:t>an</w:t>
      </w:r>
      <w:r w:rsidR="00632F42" w:rsidRPr="002308C3">
        <w:t xml:space="preserve"> </w:t>
      </w:r>
      <w:r w:rsidR="00FE42B1" w:rsidRPr="002308C3">
        <w:t xml:space="preserve">EVSE </w:t>
      </w:r>
      <w:r w:rsidR="00632F42" w:rsidRPr="002308C3">
        <w:t>program</w:t>
      </w:r>
      <w:r w:rsidR="00821516" w:rsidRPr="002308C3">
        <w:t>.</w:t>
      </w:r>
      <w:r w:rsidR="0053740B" w:rsidRPr="002308C3">
        <w:rPr>
          <w:rStyle w:val="FootnoteReference"/>
        </w:rPr>
        <w:footnoteReference w:id="9"/>
      </w:r>
      <w:r w:rsidR="005A2238" w:rsidRPr="002308C3">
        <w:t xml:space="preserve"> </w:t>
      </w:r>
      <w:r w:rsidR="002308C3">
        <w:t xml:space="preserve"> </w:t>
      </w:r>
      <w:r w:rsidR="005A2238">
        <w:t xml:space="preserve">Public Counsel </w:t>
      </w:r>
      <w:r w:rsidR="007E7B8A">
        <w:t xml:space="preserve">also </w:t>
      </w:r>
      <w:r w:rsidR="0053740B">
        <w:t>recommend</w:t>
      </w:r>
      <w:r w:rsidR="00797034">
        <w:t>s a</w:t>
      </w:r>
      <w:r w:rsidR="0053740B">
        <w:t xml:space="preserve"> </w:t>
      </w:r>
      <w:r w:rsidR="00F62F05">
        <w:t>supplementary</w:t>
      </w:r>
      <w:r w:rsidR="0053740B">
        <w:t xml:space="preserve"> metric</w:t>
      </w:r>
      <w:r w:rsidR="00E33E64">
        <w:t xml:space="preserve">, </w:t>
      </w:r>
      <w:r w:rsidR="00C62BC3">
        <w:t xml:space="preserve">the </w:t>
      </w:r>
      <w:r w:rsidR="009F61F8">
        <w:t xml:space="preserve">reporting of </w:t>
      </w:r>
      <w:r w:rsidR="006C613B">
        <w:t>incidents</w:t>
      </w:r>
      <w:r w:rsidR="00E33E64">
        <w:t xml:space="preserve"> </w:t>
      </w:r>
      <w:r w:rsidR="009F61F8">
        <w:t xml:space="preserve">and costs </w:t>
      </w:r>
      <w:r w:rsidR="00E33E64">
        <w:t xml:space="preserve">related to </w:t>
      </w:r>
      <w:r w:rsidR="009F61F8">
        <w:t>rewiring for the</w:t>
      </w:r>
      <w:r w:rsidR="00E33E64">
        <w:t xml:space="preserve"> installation of any EVSE, to</w:t>
      </w:r>
      <w:r w:rsidR="0053740B">
        <w:t xml:space="preserve"> be </w:t>
      </w:r>
      <w:r w:rsidR="00F62F05">
        <w:t xml:space="preserve">included in the </w:t>
      </w:r>
      <w:r w:rsidR="00260476">
        <w:t xml:space="preserve">required </w:t>
      </w:r>
      <w:r w:rsidR="00F62F05">
        <w:t>reporting metrics</w:t>
      </w:r>
      <w:r w:rsidR="00797034">
        <w:t xml:space="preserve">. </w:t>
      </w:r>
      <w:r w:rsidR="000E5B6E">
        <w:t xml:space="preserve"> </w:t>
      </w:r>
      <w:r w:rsidR="008A639E">
        <w:t>Public Counsel considers th</w:t>
      </w:r>
      <w:r w:rsidR="007E7B8A">
        <w:t>ese suggested</w:t>
      </w:r>
      <w:r w:rsidR="008A639E">
        <w:t xml:space="preserve"> metrics as a suitable</w:t>
      </w:r>
      <w:r w:rsidR="0021147F">
        <w:t xml:space="preserve"> and necessary</w:t>
      </w:r>
      <w:r w:rsidR="008A639E">
        <w:t xml:space="preserve"> </w:t>
      </w:r>
      <w:r w:rsidR="007E7B8A">
        <w:t>startin</w:t>
      </w:r>
      <w:r w:rsidR="0077151B">
        <w:t xml:space="preserve">g point for consideration of appropriate </w:t>
      </w:r>
      <w:r w:rsidR="008A639E">
        <w:t>tracking mechanism</w:t>
      </w:r>
      <w:r w:rsidR="0077151B">
        <w:t>s</w:t>
      </w:r>
      <w:r w:rsidR="008A639E">
        <w:t xml:space="preserve"> for</w:t>
      </w:r>
      <w:r w:rsidR="0077151B">
        <w:t xml:space="preserve"> monitoring</w:t>
      </w:r>
      <w:r w:rsidR="00F11FDB">
        <w:t>:</w:t>
      </w:r>
      <w:r w:rsidR="00B0343B">
        <w:t xml:space="preserve"> </w:t>
      </w:r>
      <w:r w:rsidR="007A4D36">
        <w:t xml:space="preserve"> </w:t>
      </w:r>
      <w:r w:rsidR="00B0343B">
        <w:t>(1)</w:t>
      </w:r>
      <w:r w:rsidR="008A639E">
        <w:t xml:space="preserve"> </w:t>
      </w:r>
      <w:r w:rsidR="00B0343B">
        <w:t>participant behavior,</w:t>
      </w:r>
      <w:r w:rsidR="008A639E">
        <w:t xml:space="preserve"> </w:t>
      </w:r>
      <w:r w:rsidR="00B0343B">
        <w:t xml:space="preserve">(2) </w:t>
      </w:r>
      <w:r w:rsidR="009F61F8">
        <w:t>reliability of the grid</w:t>
      </w:r>
      <w:r w:rsidR="00260476">
        <w:t xml:space="preserve"> and infrastructure</w:t>
      </w:r>
      <w:r w:rsidR="00B0343B">
        <w:t xml:space="preserve">, and (3) costs associated with EVSE. </w:t>
      </w:r>
    </w:p>
    <w:p w:rsidR="005258A1" w:rsidRPr="005258A1" w:rsidRDefault="005258A1" w:rsidP="005258A1">
      <w:pPr>
        <w:pStyle w:val="ListParagraph"/>
        <w:numPr>
          <w:ilvl w:val="0"/>
          <w:numId w:val="4"/>
        </w:numPr>
        <w:spacing w:line="480" w:lineRule="auto"/>
        <w:ind w:left="0"/>
        <w:rPr>
          <w:b/>
        </w:rPr>
      </w:pPr>
      <w:r>
        <w:tab/>
      </w:r>
      <w:r w:rsidR="00FC0EA7">
        <w:t>In addition</w:t>
      </w:r>
      <w:r w:rsidR="00013898" w:rsidRPr="00564BD2">
        <w:t xml:space="preserve">, any utility charging a retail rate to participants using public charging stations, such as Avista’s DC fast charging stations, </w:t>
      </w:r>
      <w:r w:rsidR="00564BD2" w:rsidRPr="00564BD2">
        <w:t>should report to the Commission regularly to review and revise the retail rate as appropriate.</w:t>
      </w:r>
      <w:r w:rsidR="00564BD2" w:rsidRPr="00564BD2">
        <w:rPr>
          <w:rStyle w:val="FootnoteReference"/>
        </w:rPr>
        <w:t xml:space="preserve"> </w:t>
      </w:r>
      <w:r w:rsidR="00564BD2" w:rsidRPr="00564BD2">
        <w:rPr>
          <w:rStyle w:val="FootnoteReference"/>
        </w:rPr>
        <w:footnoteReference w:id="10"/>
      </w:r>
      <w:r w:rsidR="00564BD2" w:rsidRPr="00564BD2">
        <w:t xml:space="preserve">  </w:t>
      </w:r>
      <w:r w:rsidR="0062414F" w:rsidRPr="00564BD2">
        <w:t xml:space="preserve">As utilization rates of EVSE become available, it will be </w:t>
      </w:r>
      <w:r w:rsidR="009F61F8" w:rsidRPr="00564BD2">
        <w:t>c</w:t>
      </w:r>
      <w:r w:rsidR="00C268FC" w:rsidRPr="00564BD2">
        <w:t>rucial</w:t>
      </w:r>
      <w:r w:rsidR="0062414F" w:rsidRPr="00564BD2">
        <w:t xml:space="preserve"> </w:t>
      </w:r>
      <w:r w:rsidR="00D47183" w:rsidRPr="00564BD2">
        <w:t>to ensure that the</w:t>
      </w:r>
      <w:r w:rsidR="009F61F8" w:rsidRPr="00564BD2">
        <w:t xml:space="preserve"> </w:t>
      </w:r>
      <w:r w:rsidR="000B6D4A">
        <w:t>cost-of-</w:t>
      </w:r>
      <w:r w:rsidR="0062414F" w:rsidRPr="00564BD2">
        <w:t>service</w:t>
      </w:r>
      <w:r w:rsidR="006C613B" w:rsidRPr="00564BD2">
        <w:t xml:space="preserve"> </w:t>
      </w:r>
      <w:r w:rsidR="00FF7993" w:rsidRPr="00564BD2">
        <w:t xml:space="preserve">rate </w:t>
      </w:r>
      <w:r w:rsidR="009F61F8" w:rsidRPr="00564BD2">
        <w:t>for utilizing the</w:t>
      </w:r>
      <w:r w:rsidR="001E783A" w:rsidRPr="00564BD2">
        <w:t xml:space="preserve"> EVSE</w:t>
      </w:r>
      <w:r w:rsidR="009F61F8" w:rsidRPr="00564BD2">
        <w:t xml:space="preserve"> </w:t>
      </w:r>
      <w:r w:rsidR="00D47183" w:rsidRPr="00564BD2">
        <w:t xml:space="preserve">exceeds the costs of serving the new load </w:t>
      </w:r>
      <w:r w:rsidR="00C268FC" w:rsidRPr="00564BD2">
        <w:t xml:space="preserve">in both supply </w:t>
      </w:r>
      <w:r w:rsidR="00D47183" w:rsidRPr="00564BD2">
        <w:t xml:space="preserve">and </w:t>
      </w:r>
      <w:r w:rsidR="00C268FC" w:rsidRPr="00564BD2">
        <w:t>infrastructure costs</w:t>
      </w:r>
      <w:r w:rsidR="002308C3" w:rsidRPr="00564BD2">
        <w:t>.</w:t>
      </w:r>
      <w:r w:rsidR="006C613B" w:rsidRPr="00564BD2">
        <w:rPr>
          <w:rStyle w:val="FootnoteReference"/>
        </w:rPr>
        <w:footnoteReference w:id="11"/>
      </w:r>
      <w:r w:rsidR="008579B7">
        <w:t xml:space="preserve"> </w:t>
      </w:r>
      <w:r w:rsidR="00B8067D">
        <w:t xml:space="preserve"> </w:t>
      </w:r>
      <w:r w:rsidR="00013898" w:rsidRPr="00013898">
        <w:t xml:space="preserve">This report can be employed to </w:t>
      </w:r>
      <w:r w:rsidR="00013898" w:rsidRPr="00013898">
        <w:lastRenderedPageBreak/>
        <w:t>monitor costs, as well as the need for programs with elements of behavior change, such as demand response or tiered pricing.</w:t>
      </w:r>
      <w:r w:rsidR="00BE7553">
        <w:t xml:space="preserve"> </w:t>
      </w:r>
      <w:r w:rsidR="00013898" w:rsidRPr="00013898">
        <w:t xml:space="preserve"> Many other jurisdictions have shown these behavior change features as a necessity for decreasing costs by encouraging off-peak use</w:t>
      </w:r>
      <w:r w:rsidR="00013898">
        <w:t>.</w:t>
      </w:r>
      <w:r w:rsidR="00013898" w:rsidRPr="00013898">
        <w:rPr>
          <w:rStyle w:val="FootnoteReference"/>
        </w:rPr>
        <w:footnoteReference w:id="12"/>
      </w:r>
      <w:r w:rsidR="00013898">
        <w:t xml:space="preserve"> </w:t>
      </w:r>
      <w:r w:rsidR="00013898" w:rsidRPr="00013898">
        <w:t xml:space="preserve"> </w:t>
      </w:r>
      <w:r w:rsidR="00182C20">
        <w:t xml:space="preserve">With these </w:t>
      </w:r>
      <w:r w:rsidR="001418C4">
        <w:t>reporting requirement</w:t>
      </w:r>
      <w:r w:rsidR="00182C20">
        <w:t>s</w:t>
      </w:r>
      <w:r w:rsidR="001418C4">
        <w:t xml:space="preserve">, </w:t>
      </w:r>
      <w:r w:rsidR="00617B85">
        <w:t xml:space="preserve">the Commission and </w:t>
      </w:r>
      <w:r w:rsidR="009A19E3">
        <w:t>stakeholders</w:t>
      </w:r>
      <w:r w:rsidR="00617B85">
        <w:t xml:space="preserve"> </w:t>
      </w:r>
      <w:r w:rsidR="00C268FC">
        <w:t xml:space="preserve">can review </w:t>
      </w:r>
      <w:r w:rsidR="00357CC8">
        <w:t xml:space="preserve">the </w:t>
      </w:r>
      <w:r w:rsidR="00027191">
        <w:t>trends</w:t>
      </w:r>
      <w:r w:rsidR="00357CC8">
        <w:t xml:space="preserve"> </w:t>
      </w:r>
      <w:r w:rsidR="00DF2EBA">
        <w:t xml:space="preserve">and </w:t>
      </w:r>
      <w:r w:rsidR="009A19E3">
        <w:t>impacts</w:t>
      </w:r>
      <w:r w:rsidR="00DF2EBA">
        <w:t xml:space="preserve"> </w:t>
      </w:r>
      <w:r w:rsidR="00357CC8">
        <w:t>of EVSE</w:t>
      </w:r>
      <w:r w:rsidR="00252188">
        <w:t>.</w:t>
      </w:r>
    </w:p>
    <w:p w:rsidR="00FC0EA7" w:rsidRPr="005258A1" w:rsidRDefault="005258A1" w:rsidP="005258A1">
      <w:pPr>
        <w:pStyle w:val="ListParagraph"/>
        <w:numPr>
          <w:ilvl w:val="0"/>
          <w:numId w:val="4"/>
        </w:numPr>
        <w:spacing w:line="480" w:lineRule="auto"/>
        <w:ind w:left="0"/>
        <w:rPr>
          <w:b/>
        </w:rPr>
      </w:pPr>
      <w:r>
        <w:tab/>
      </w:r>
      <w:r w:rsidR="00FC0EA7">
        <w:t xml:space="preserve">Lastly, a proposed schedule for the depreciable life of the EVSE capital investment should be </w:t>
      </w:r>
      <w:r w:rsidR="002932B4">
        <w:t xml:space="preserve">developed and </w:t>
      </w:r>
      <w:r w:rsidR="00FC0EA7">
        <w:t xml:space="preserve">filed with the Commission, </w:t>
      </w:r>
      <w:r w:rsidR="004E09E9">
        <w:t xml:space="preserve">along with supporting documentation, </w:t>
      </w:r>
      <w:r w:rsidR="00FC0EA7">
        <w:t xml:space="preserve">prior to </w:t>
      </w:r>
      <w:r w:rsidR="004E09E9">
        <w:t xml:space="preserve">Commission </w:t>
      </w:r>
      <w:r w:rsidR="00FC0EA7">
        <w:t xml:space="preserve">authorization of an incentive rate of return.  </w:t>
      </w:r>
      <w:r w:rsidR="00F17C0D">
        <w:t>This is consistent with the requirements of RCW 80.28.360(4).</w:t>
      </w:r>
    </w:p>
    <w:p w:rsidR="00A3273B" w:rsidRPr="00944C7D" w:rsidRDefault="00A3273B" w:rsidP="005258A1">
      <w:pPr>
        <w:pStyle w:val="Heading2"/>
      </w:pPr>
      <w:r w:rsidRPr="00944C7D">
        <w:t xml:space="preserve">B. </w:t>
      </w:r>
      <w:r w:rsidR="005B723F">
        <w:t>Demonstration of Real and Tangible Benefits for Ratepayers</w:t>
      </w:r>
      <w:r w:rsidR="00BE7553">
        <w:t xml:space="preserve">. </w:t>
      </w:r>
    </w:p>
    <w:p w:rsidR="005258A1" w:rsidRPr="005258A1" w:rsidRDefault="005258A1" w:rsidP="005258A1">
      <w:pPr>
        <w:pStyle w:val="ListParagraph"/>
        <w:numPr>
          <w:ilvl w:val="0"/>
          <w:numId w:val="4"/>
        </w:numPr>
        <w:spacing w:line="480" w:lineRule="auto"/>
        <w:ind w:left="0"/>
        <w:rPr>
          <w:b/>
        </w:rPr>
      </w:pPr>
      <w:r>
        <w:tab/>
      </w:r>
      <w:r w:rsidR="0049420D">
        <w:t>T</w:t>
      </w:r>
      <w:r w:rsidR="00944C7D">
        <w:t xml:space="preserve">he </w:t>
      </w:r>
      <w:r w:rsidR="0049420D">
        <w:t xml:space="preserve">Notice </w:t>
      </w:r>
      <w:r w:rsidR="00944C7D">
        <w:t>poses a</w:t>
      </w:r>
      <w:r w:rsidR="0049420D">
        <w:t xml:space="preserve"> critical</w:t>
      </w:r>
      <w:r w:rsidR="00944C7D">
        <w:t xml:space="preserve"> question</w:t>
      </w:r>
      <w:r w:rsidR="0049420D">
        <w:t>, as to</w:t>
      </w:r>
      <w:r w:rsidR="00944C7D">
        <w:t xml:space="preserve"> whether an electric company may receive an incentive rate of return on capital investments </w:t>
      </w:r>
      <w:r w:rsidR="00BA3BA2">
        <w:t>intended for the public at large</w:t>
      </w:r>
      <w:r w:rsidR="0049420D">
        <w:t>,</w:t>
      </w:r>
      <w:r w:rsidR="00BA3BA2">
        <w:t xml:space="preserve"> or only those investments intended for the </w:t>
      </w:r>
      <w:r w:rsidR="00564BD2">
        <w:t>electric utility’s</w:t>
      </w:r>
      <w:r w:rsidR="00BA3BA2">
        <w:t xml:space="preserve"> customers. </w:t>
      </w:r>
      <w:r w:rsidR="0049420D">
        <w:t xml:space="preserve"> </w:t>
      </w:r>
      <w:r w:rsidR="00714332">
        <w:t xml:space="preserve">We recognize there may well be </w:t>
      </w:r>
      <w:r w:rsidR="00D12170">
        <w:t>multiple</w:t>
      </w:r>
      <w:r w:rsidR="00714332">
        <w:t xml:space="preserve"> lenses through which to consider the question of who benefits from the EVSE investments.  </w:t>
      </w:r>
      <w:r w:rsidR="00D12170">
        <w:t xml:space="preserve">For example, do benefits largely accrue to those owning or operating electric vehicles, or are there any benefits to the utility’s distribution system? </w:t>
      </w:r>
      <w:r w:rsidR="00CA693E">
        <w:t xml:space="preserve"> </w:t>
      </w:r>
    </w:p>
    <w:p w:rsidR="003C5630" w:rsidRPr="005258A1" w:rsidRDefault="005258A1" w:rsidP="005258A1">
      <w:pPr>
        <w:pStyle w:val="ListParagraph"/>
        <w:numPr>
          <w:ilvl w:val="0"/>
          <w:numId w:val="4"/>
        </w:numPr>
        <w:spacing w:line="480" w:lineRule="auto"/>
        <w:ind w:left="0"/>
        <w:rPr>
          <w:b/>
        </w:rPr>
      </w:pPr>
      <w:r>
        <w:tab/>
      </w:r>
      <w:r w:rsidR="00BA3BA2">
        <w:t xml:space="preserve">While Public Counsel is supportive of EVSE investments, we </w:t>
      </w:r>
      <w:r w:rsidR="00D12170">
        <w:t xml:space="preserve">do not have </w:t>
      </w:r>
      <w:r w:rsidR="00CA693E">
        <w:t xml:space="preserve">a </w:t>
      </w:r>
      <w:r w:rsidR="00D12170">
        <w:t>specific recommendation</w:t>
      </w:r>
      <w:r w:rsidR="00BA3BA2">
        <w:t xml:space="preserve"> at this time </w:t>
      </w:r>
      <w:r w:rsidR="00D12170">
        <w:t>regarding the methods or criteria the Commission should employ to make a determination as to what</w:t>
      </w:r>
      <w:r w:rsidR="00CA693E">
        <w:t xml:space="preserve"> may</w:t>
      </w:r>
      <w:r w:rsidR="00D12170">
        <w:t xml:space="preserve"> constitute “real or tangible benefits for rate payers.” </w:t>
      </w:r>
      <w:r w:rsidR="007B0C61">
        <w:t xml:space="preserve"> </w:t>
      </w:r>
      <w:r w:rsidR="00195342">
        <w:t xml:space="preserve">Preferably, utility investment in EVSE would result in </w:t>
      </w:r>
      <w:r w:rsidR="00195342" w:rsidRPr="00AB35D5">
        <w:t xml:space="preserve">benefits to all ratepayers, not only to those owning electric vehicles or participating in EVSE programs, as all ratepayers will bear the capital and implementation costs of EVSE deployment.  </w:t>
      </w:r>
      <w:r w:rsidR="007B0C61">
        <w:t xml:space="preserve">We believe the Total Resource Cost </w:t>
      </w:r>
      <w:r w:rsidR="007B0C61">
        <w:lastRenderedPageBreak/>
        <w:t xml:space="preserve">(TRC) is worth strong consideration as a potential measure of whether EVSE investments provide benefits to ratepayers.  </w:t>
      </w:r>
      <w:r w:rsidR="00D12170">
        <w:t>We are hopeful that</w:t>
      </w:r>
      <w:r w:rsidR="00BA3BA2">
        <w:t xml:space="preserve"> further information </w:t>
      </w:r>
      <w:r w:rsidR="00D12170">
        <w:t xml:space="preserve">will be gleaned from the Avista pilot, and also possibly from the PSE level two charger program, regarding costs, lessons learned, and participant and system benefits from the EVSE deployment. </w:t>
      </w:r>
      <w:r w:rsidR="00BA3BA2">
        <w:t xml:space="preserve"> </w:t>
      </w:r>
    </w:p>
    <w:p w:rsidR="009A5931" w:rsidRDefault="003C5630" w:rsidP="00600960">
      <w:pPr>
        <w:pStyle w:val="Heading1"/>
      </w:pPr>
      <w:r w:rsidRPr="003C5630">
        <w:t>Fair Competition</w:t>
      </w:r>
      <w:r>
        <w:t xml:space="preserve"> in the </w:t>
      </w:r>
      <w:r w:rsidR="003A4600">
        <w:t xml:space="preserve">EVSE </w:t>
      </w:r>
      <w:r>
        <w:t>Market</w:t>
      </w:r>
    </w:p>
    <w:p w:rsidR="00E6545B" w:rsidRPr="00E6545B" w:rsidRDefault="007E21F0" w:rsidP="0068290E">
      <w:pPr>
        <w:pStyle w:val="ListParagraph"/>
        <w:numPr>
          <w:ilvl w:val="0"/>
          <w:numId w:val="4"/>
        </w:numPr>
        <w:spacing w:line="480" w:lineRule="auto"/>
        <w:ind w:left="0"/>
      </w:pPr>
      <w:r>
        <w:tab/>
      </w:r>
      <w:r w:rsidR="00285ED4">
        <w:t>It will be important to ensure that any utility investments in EVSE promote fair</w:t>
      </w:r>
      <w:r w:rsidR="003A4600">
        <w:t xml:space="preserve"> competition and consumer choice, as specified in RCW 80.28.360(1).  The Commission may wish to coordinate and consult with state, regional, and local agencies working to support electric vehicle infrastructure, including the </w:t>
      </w:r>
      <w:r w:rsidR="00E94E99">
        <w:t xml:space="preserve">Washington State </w:t>
      </w:r>
      <w:r w:rsidR="003A4600">
        <w:t>Department of Transportation (WSDOT)</w:t>
      </w:r>
      <w:r w:rsidR="00B06B0C">
        <w:t>.  There may be a role for Commission Staff in the review of utility procurement for charging equipment, possibly in consultation with other agencies, to ensure the process is fair and competitive.</w:t>
      </w:r>
      <w:r w:rsidR="00F704E9">
        <w:t xml:space="preserve">  Public Counsel </w:t>
      </w:r>
      <w:r w:rsidR="00B06B0C">
        <w:t>looks forward</w:t>
      </w:r>
      <w:r w:rsidR="00F704E9">
        <w:t xml:space="preserve"> to discussions with stakeholders </w:t>
      </w:r>
      <w:r>
        <w:t>regarding</w:t>
      </w:r>
      <w:r w:rsidR="00F704E9">
        <w:t xml:space="preserve"> the best means of achieving </w:t>
      </w:r>
      <w:r w:rsidR="0091566C">
        <w:t>compliance</w:t>
      </w:r>
      <w:r w:rsidR="00F704E9">
        <w:t xml:space="preserve"> wi</w:t>
      </w:r>
      <w:r w:rsidR="00B06B0C">
        <w:t>th this requirement</w:t>
      </w:r>
      <w:r w:rsidR="00F704E9">
        <w:t>.</w:t>
      </w:r>
    </w:p>
    <w:p w:rsidR="00B27A22" w:rsidRPr="00B27A22" w:rsidRDefault="00B27A22" w:rsidP="00600960">
      <w:pPr>
        <w:pStyle w:val="Heading1"/>
      </w:pPr>
      <w:r w:rsidRPr="00B27A22">
        <w:t>Conclusion</w:t>
      </w:r>
    </w:p>
    <w:p w:rsidR="009E77C0" w:rsidRPr="00CC6E83" w:rsidRDefault="0094724B" w:rsidP="00E94E99">
      <w:pPr>
        <w:pStyle w:val="ListParagraph"/>
        <w:numPr>
          <w:ilvl w:val="0"/>
          <w:numId w:val="4"/>
        </w:numPr>
        <w:spacing w:line="480" w:lineRule="auto"/>
        <w:ind w:left="0"/>
      </w:pPr>
      <w:r>
        <w:t xml:space="preserve"> </w:t>
      </w:r>
      <w:r>
        <w:tab/>
      </w:r>
      <w:r w:rsidRPr="00CC6E83">
        <w:t xml:space="preserve">Public Counsel supports </w:t>
      </w:r>
      <w:r w:rsidR="00B5219D" w:rsidRPr="00CC6E83">
        <w:t>thoughtful and timely</w:t>
      </w:r>
      <w:r w:rsidRPr="00CC6E83">
        <w:t xml:space="preserve"> reporting of </w:t>
      </w:r>
      <w:r w:rsidR="00E94E99">
        <w:t>EVSE</w:t>
      </w:r>
      <w:r w:rsidR="00842E1C" w:rsidRPr="00CC6E83">
        <w:t xml:space="preserve"> associated </w:t>
      </w:r>
      <w:r w:rsidRPr="00CC6E83">
        <w:t xml:space="preserve">metrics, which can be employed to </w:t>
      </w:r>
      <w:r w:rsidR="00842E1C" w:rsidRPr="00CC6E83">
        <w:t>document the trends associated with the increased implementation</w:t>
      </w:r>
      <w:r w:rsidR="00C9189B" w:rsidRPr="00CC6E83">
        <w:t xml:space="preserve"> of EVSE</w:t>
      </w:r>
      <w:r w:rsidR="00842E1C" w:rsidRPr="00CC6E83">
        <w:t xml:space="preserve">, but </w:t>
      </w:r>
      <w:r w:rsidR="00B5219D" w:rsidRPr="00CC6E83">
        <w:t xml:space="preserve">may </w:t>
      </w:r>
      <w:r w:rsidR="00842E1C" w:rsidRPr="00CC6E83">
        <w:t>also</w:t>
      </w:r>
      <w:r w:rsidR="002736E7" w:rsidRPr="00CC6E83">
        <w:t xml:space="preserve"> demonstrate</w:t>
      </w:r>
      <w:r w:rsidR="00842E1C" w:rsidRPr="00CC6E83">
        <w:t xml:space="preserve"> </w:t>
      </w:r>
      <w:r w:rsidR="002736E7" w:rsidRPr="00CC6E83">
        <w:t xml:space="preserve">compliance </w:t>
      </w:r>
      <w:r w:rsidR="00B5219D" w:rsidRPr="00CC6E83">
        <w:t xml:space="preserve">with </w:t>
      </w:r>
      <w:r w:rsidR="002736E7" w:rsidRPr="00CC6E83">
        <w:t xml:space="preserve">RCW 80.28.360 and </w:t>
      </w:r>
      <w:r w:rsidR="00210B6D">
        <w:t xml:space="preserve">help determine </w:t>
      </w:r>
      <w:r w:rsidR="002736E7" w:rsidRPr="00CC6E83">
        <w:t>ratepayer benefits.</w:t>
      </w:r>
      <w:r w:rsidR="00992CEB" w:rsidRPr="00CC6E83">
        <w:t xml:space="preserve"> </w:t>
      </w:r>
      <w:r w:rsidR="004B04A7" w:rsidRPr="00CC6E83">
        <w:t xml:space="preserve"> Establishing comprehensive and regular reporting of EVSE metrics will enable the Commission to proactively review issues related to EVSE infrastructure deployment, and</w:t>
      </w:r>
      <w:r w:rsidR="00CC6E83" w:rsidRPr="00CC6E83">
        <w:t xml:space="preserve"> monitor whether any revisions are needed.</w:t>
      </w:r>
      <w:r w:rsidR="004B04A7" w:rsidRPr="00CC6E83">
        <w:rPr>
          <w:rStyle w:val="FootnoteReference"/>
        </w:rPr>
        <w:footnoteReference w:id="13"/>
      </w:r>
    </w:p>
    <w:p w:rsidR="00B27A22" w:rsidRPr="00B27A22" w:rsidRDefault="009E77C0" w:rsidP="00595759">
      <w:pPr>
        <w:pStyle w:val="ListParagraph"/>
        <w:numPr>
          <w:ilvl w:val="0"/>
          <w:numId w:val="4"/>
        </w:numPr>
        <w:spacing w:line="480" w:lineRule="auto"/>
        <w:ind w:left="0"/>
      </w:pPr>
      <w:r>
        <w:lastRenderedPageBreak/>
        <w:tab/>
      </w:r>
      <w:r w:rsidR="00320A73">
        <w:t xml:space="preserve">Public Counsel </w:t>
      </w:r>
      <w:r w:rsidR="00063B81">
        <w:t xml:space="preserve">appreciates the opportunity to submit these comments.  We </w:t>
      </w:r>
      <w:r w:rsidR="00320A73">
        <w:t xml:space="preserve">will attend the Recessed Open Meeting </w:t>
      </w:r>
      <w:r w:rsidR="00063B81">
        <w:t>on September 13, 2016, and look forward to reviewing comments of other stakeholders</w:t>
      </w:r>
      <w:r w:rsidR="00320A73">
        <w:t xml:space="preserve">.  </w:t>
      </w:r>
      <w:r w:rsidR="00992CEB">
        <w:t xml:space="preserve"> </w:t>
      </w:r>
      <w:r w:rsidR="002736E7">
        <w:t xml:space="preserve">  </w:t>
      </w:r>
      <w:r w:rsidR="0094724B">
        <w:t xml:space="preserve"> </w:t>
      </w:r>
    </w:p>
    <w:sectPr w:rsidR="00B27A22" w:rsidRPr="00B27A22" w:rsidSect="008B6D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CC" w:rsidRDefault="00CB28CC" w:rsidP="00EF02A1">
      <w:pPr>
        <w:spacing w:line="240" w:lineRule="auto"/>
      </w:pPr>
      <w:r>
        <w:separator/>
      </w:r>
    </w:p>
  </w:endnote>
  <w:endnote w:type="continuationSeparator" w:id="0">
    <w:p w:rsidR="00CB28CC" w:rsidRDefault="00CB28CC" w:rsidP="00EF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08" w:type="dxa"/>
      <w:tblLayout w:type="fixed"/>
      <w:tblLook w:val="0000" w:firstRow="0" w:lastRow="0" w:firstColumn="0" w:lastColumn="0" w:noHBand="0" w:noVBand="0"/>
    </w:tblPr>
    <w:tblGrid>
      <w:gridCol w:w="3600"/>
      <w:gridCol w:w="1680"/>
      <w:gridCol w:w="4260"/>
    </w:tblGrid>
    <w:tr w:rsidR="00FB74A3" w:rsidRPr="006B2D39" w:rsidTr="00FB74A3">
      <w:tc>
        <w:tcPr>
          <w:tcW w:w="3600" w:type="dxa"/>
        </w:tcPr>
        <w:p w:rsidR="00FB74A3" w:rsidRPr="00FB74A3" w:rsidRDefault="00FB74A3" w:rsidP="006B2D39">
          <w:pPr>
            <w:tabs>
              <w:tab w:val="center" w:pos="4320"/>
              <w:tab w:val="right" w:pos="8640"/>
            </w:tabs>
            <w:spacing w:line="240" w:lineRule="auto"/>
            <w:rPr>
              <w:caps/>
              <w:sz w:val="20"/>
            </w:rPr>
          </w:pPr>
          <w:r w:rsidRPr="00FB74A3">
            <w:rPr>
              <w:caps/>
              <w:sz w:val="20"/>
            </w:rPr>
            <w:t>COMMENTS of Public Counsel</w:t>
          </w:r>
        </w:p>
        <w:p w:rsidR="00FB74A3" w:rsidRPr="00FB74A3" w:rsidRDefault="00FB74A3" w:rsidP="006B2D39">
          <w:pPr>
            <w:tabs>
              <w:tab w:val="center" w:pos="4320"/>
              <w:tab w:val="right" w:pos="8640"/>
            </w:tabs>
            <w:spacing w:line="240" w:lineRule="auto"/>
            <w:rPr>
              <w:caps/>
              <w:sz w:val="20"/>
            </w:rPr>
          </w:pPr>
          <w:r w:rsidRPr="00FB74A3">
            <w:rPr>
              <w:caps/>
              <w:sz w:val="20"/>
            </w:rPr>
            <w:t>docket uE-160799</w:t>
          </w:r>
        </w:p>
      </w:tc>
      <w:tc>
        <w:tcPr>
          <w:tcW w:w="1680" w:type="dxa"/>
        </w:tcPr>
        <w:p w:rsidR="00FB74A3" w:rsidRPr="00FB74A3" w:rsidRDefault="00FB74A3" w:rsidP="006B2D39">
          <w:pPr>
            <w:tabs>
              <w:tab w:val="center" w:pos="4320"/>
              <w:tab w:val="right" w:pos="8640"/>
            </w:tabs>
            <w:spacing w:line="240" w:lineRule="auto"/>
            <w:ind w:left="612"/>
            <w:rPr>
              <w:caps/>
              <w:sz w:val="20"/>
            </w:rPr>
          </w:pPr>
          <w:r w:rsidRPr="00FB74A3">
            <w:rPr>
              <w:caps/>
              <w:sz w:val="20"/>
            </w:rPr>
            <w:t xml:space="preserve">  </w:t>
          </w:r>
          <w:r w:rsidRPr="00FB74A3">
            <w:rPr>
              <w:caps/>
              <w:sz w:val="20"/>
            </w:rPr>
            <w:fldChar w:fldCharType="begin"/>
          </w:r>
          <w:r w:rsidRPr="00FB74A3">
            <w:rPr>
              <w:caps/>
              <w:sz w:val="20"/>
            </w:rPr>
            <w:instrText xml:space="preserve"> PAGE </w:instrText>
          </w:r>
          <w:r w:rsidRPr="00FB74A3">
            <w:rPr>
              <w:caps/>
              <w:sz w:val="20"/>
            </w:rPr>
            <w:fldChar w:fldCharType="separate"/>
          </w:r>
          <w:r w:rsidR="00065B7A">
            <w:rPr>
              <w:caps/>
              <w:noProof/>
              <w:sz w:val="20"/>
            </w:rPr>
            <w:t>3</w:t>
          </w:r>
          <w:r w:rsidRPr="00FB74A3">
            <w:rPr>
              <w:caps/>
              <w:sz w:val="20"/>
            </w:rPr>
            <w:fldChar w:fldCharType="end"/>
          </w:r>
        </w:p>
      </w:tc>
      <w:tc>
        <w:tcPr>
          <w:tcW w:w="4260" w:type="dxa"/>
        </w:tcPr>
        <w:p w:rsidR="00FB74A3" w:rsidRPr="00FB74A3" w:rsidRDefault="00FB74A3" w:rsidP="00FB74A3">
          <w:pPr>
            <w:tabs>
              <w:tab w:val="center" w:pos="4320"/>
              <w:tab w:val="right" w:pos="8640"/>
            </w:tabs>
            <w:spacing w:line="240" w:lineRule="auto"/>
            <w:jc w:val="center"/>
            <w:rPr>
              <w:caps/>
              <w:sz w:val="20"/>
            </w:rPr>
          </w:pPr>
          <w:r w:rsidRPr="00FB74A3">
            <w:rPr>
              <w:caps/>
              <w:sz w:val="20"/>
            </w:rPr>
            <w:t>ATTORNEY GENERAL OF WASHINGTON</w:t>
          </w:r>
        </w:p>
        <w:p w:rsidR="00FB74A3" w:rsidRPr="00FB74A3" w:rsidRDefault="00FB74A3" w:rsidP="00FB74A3">
          <w:pPr>
            <w:tabs>
              <w:tab w:val="right" w:pos="8640"/>
            </w:tabs>
            <w:spacing w:line="240" w:lineRule="auto"/>
            <w:jc w:val="center"/>
            <w:rPr>
              <w:caps/>
              <w:sz w:val="20"/>
            </w:rPr>
          </w:pPr>
          <w:r w:rsidRPr="00FB74A3">
            <w:rPr>
              <w:caps/>
              <w:sz w:val="20"/>
            </w:rPr>
            <w:t>Public Counsel</w:t>
          </w:r>
        </w:p>
        <w:p w:rsidR="00FB74A3" w:rsidRPr="00FB74A3" w:rsidRDefault="00FB74A3" w:rsidP="00FB74A3">
          <w:pPr>
            <w:tabs>
              <w:tab w:val="center" w:pos="4320"/>
              <w:tab w:val="right" w:pos="8640"/>
            </w:tabs>
            <w:spacing w:line="240" w:lineRule="auto"/>
            <w:jc w:val="center"/>
            <w:rPr>
              <w:caps/>
              <w:sz w:val="20"/>
            </w:rPr>
          </w:pPr>
          <w:r w:rsidRPr="00FB74A3">
            <w:rPr>
              <w:caps/>
              <w:sz w:val="20"/>
            </w:rPr>
            <w:t>800 5</w:t>
          </w:r>
          <w:r w:rsidRPr="00FB74A3">
            <w:rPr>
              <w:caps/>
              <w:sz w:val="20"/>
              <w:vertAlign w:val="superscript"/>
            </w:rPr>
            <w:t xml:space="preserve">th </w:t>
          </w:r>
          <w:r w:rsidRPr="00FB74A3">
            <w:rPr>
              <w:caps/>
              <w:sz w:val="20"/>
            </w:rPr>
            <w:t>Ave., Suite 2000</w:t>
          </w:r>
        </w:p>
        <w:p w:rsidR="00FB74A3" w:rsidRPr="00FB74A3" w:rsidRDefault="00FB74A3" w:rsidP="00FB74A3">
          <w:pPr>
            <w:tabs>
              <w:tab w:val="center" w:pos="4320"/>
              <w:tab w:val="right" w:pos="8640"/>
            </w:tabs>
            <w:spacing w:line="240" w:lineRule="auto"/>
            <w:jc w:val="center"/>
            <w:rPr>
              <w:caps/>
              <w:sz w:val="20"/>
            </w:rPr>
          </w:pPr>
          <w:r w:rsidRPr="00FB74A3">
            <w:rPr>
              <w:caps/>
              <w:sz w:val="20"/>
            </w:rPr>
            <w:t>Seattle, WA 98104-3188</w:t>
          </w:r>
        </w:p>
        <w:p w:rsidR="00FB74A3" w:rsidRPr="00FB74A3" w:rsidRDefault="00FB74A3" w:rsidP="00FB74A3">
          <w:pPr>
            <w:tabs>
              <w:tab w:val="center" w:pos="4320"/>
              <w:tab w:val="right" w:pos="8640"/>
            </w:tabs>
            <w:spacing w:line="240" w:lineRule="auto"/>
            <w:jc w:val="center"/>
            <w:rPr>
              <w:caps/>
              <w:sz w:val="15"/>
            </w:rPr>
          </w:pPr>
          <w:r w:rsidRPr="00FB74A3">
            <w:rPr>
              <w:caps/>
              <w:sz w:val="20"/>
            </w:rPr>
            <w:t>(206) 464-7744</w:t>
          </w:r>
        </w:p>
      </w:tc>
    </w:tr>
  </w:tbl>
  <w:p w:rsidR="00B27A22" w:rsidRDefault="00B27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CC" w:rsidRDefault="00CB28CC" w:rsidP="00EF02A1">
      <w:pPr>
        <w:spacing w:line="240" w:lineRule="auto"/>
      </w:pPr>
      <w:r>
        <w:separator/>
      </w:r>
    </w:p>
  </w:footnote>
  <w:footnote w:type="continuationSeparator" w:id="0">
    <w:p w:rsidR="00CB28CC" w:rsidRDefault="00CB28CC" w:rsidP="00EF02A1">
      <w:pPr>
        <w:spacing w:line="240" w:lineRule="auto"/>
      </w:pPr>
      <w:r>
        <w:continuationSeparator/>
      </w:r>
    </w:p>
  </w:footnote>
  <w:footnote w:id="1">
    <w:p w:rsidR="005E0BCD" w:rsidRDefault="005E0BCD" w:rsidP="00595759">
      <w:pPr>
        <w:pStyle w:val="FootnoteText"/>
        <w:ind w:firstLine="0"/>
      </w:pPr>
      <w:r>
        <w:rPr>
          <w:rStyle w:val="FootnoteReference"/>
        </w:rPr>
        <w:footnoteRef/>
      </w:r>
      <w:r>
        <w:t xml:space="preserve"> RCW 80.28.360(1).</w:t>
      </w:r>
    </w:p>
  </w:footnote>
  <w:footnote w:id="2">
    <w:p w:rsidR="005E0BCD" w:rsidRDefault="005E0BCD" w:rsidP="00595759">
      <w:pPr>
        <w:pStyle w:val="FootnoteText"/>
        <w:spacing w:after="0"/>
        <w:ind w:firstLine="0"/>
      </w:pPr>
      <w:r>
        <w:rPr>
          <w:rStyle w:val="FootnoteReference"/>
        </w:rPr>
        <w:footnoteRef/>
      </w:r>
      <w:r>
        <w:t xml:space="preserve"> RCW 80.28.360(3).</w:t>
      </w:r>
    </w:p>
  </w:footnote>
  <w:footnote w:id="3">
    <w:p w:rsidR="00B27A22" w:rsidRDefault="00B27A22" w:rsidP="00595759">
      <w:pPr>
        <w:pStyle w:val="FootnoteText"/>
        <w:spacing w:after="0" w:line="240" w:lineRule="auto"/>
        <w:ind w:firstLine="0"/>
      </w:pPr>
      <w:r>
        <w:rPr>
          <w:rStyle w:val="FootnoteReference"/>
        </w:rPr>
        <w:footnoteRef/>
      </w:r>
      <w:r>
        <w:t xml:space="preserve"> Docket UE-160082, </w:t>
      </w:r>
      <w:r w:rsidR="0025246A">
        <w:rPr>
          <w:i/>
        </w:rPr>
        <w:t>W</w:t>
      </w:r>
      <w:r w:rsidR="00D71FB1">
        <w:rPr>
          <w:i/>
        </w:rPr>
        <w:t xml:space="preserve">ash. Utils. &amp; </w:t>
      </w:r>
      <w:r w:rsidR="0025246A">
        <w:rPr>
          <w:i/>
        </w:rPr>
        <w:t>T</w:t>
      </w:r>
      <w:r w:rsidR="00D71FB1">
        <w:rPr>
          <w:i/>
        </w:rPr>
        <w:t xml:space="preserve">ransp. </w:t>
      </w:r>
      <w:r w:rsidR="0025246A">
        <w:rPr>
          <w:i/>
        </w:rPr>
        <w:t>C</w:t>
      </w:r>
      <w:r w:rsidR="00D71FB1">
        <w:rPr>
          <w:i/>
        </w:rPr>
        <w:t>omm’n</w:t>
      </w:r>
      <w:r w:rsidR="0025246A">
        <w:rPr>
          <w:i/>
        </w:rPr>
        <w:t xml:space="preserve"> v. Av</w:t>
      </w:r>
      <w:r w:rsidR="00D71FB1">
        <w:rPr>
          <w:i/>
        </w:rPr>
        <w:t>ista Corp. d.b.a Avista Util</w:t>
      </w:r>
      <w:r w:rsidR="0025246A">
        <w:rPr>
          <w:i/>
        </w:rPr>
        <w:t>s</w:t>
      </w:r>
      <w:r w:rsidR="00D71FB1">
        <w:rPr>
          <w:i/>
        </w:rPr>
        <w:t>.</w:t>
      </w:r>
      <w:r w:rsidR="0025246A">
        <w:rPr>
          <w:i/>
        </w:rPr>
        <w:t xml:space="preserve">, </w:t>
      </w:r>
      <w:r>
        <w:t xml:space="preserve">Order 01, </w:t>
      </w:r>
      <w:r w:rsidR="0025246A">
        <w:t>Order Allowing Tariff Revisions to Become Effective Subject</w:t>
      </w:r>
      <w:r w:rsidR="00D71FB1">
        <w:t xml:space="preserve"> to Conditions</w:t>
      </w:r>
      <w:r w:rsidR="0025246A">
        <w:t xml:space="preserve"> </w:t>
      </w:r>
      <w:r>
        <w:t>¶</w:t>
      </w:r>
      <w:r w:rsidR="00D71FB1">
        <w:t xml:space="preserve"> </w:t>
      </w:r>
      <w:r>
        <w:t>25</w:t>
      </w:r>
      <w:r w:rsidR="008B6DDA">
        <w:t xml:space="preserve"> </w:t>
      </w:r>
      <w:r w:rsidR="00D71FB1">
        <w:t xml:space="preserve">(Apr. 28, 2016) </w:t>
      </w:r>
      <w:r w:rsidR="008B6DDA">
        <w:t>(hereafter, “Order 01”).</w:t>
      </w:r>
    </w:p>
  </w:footnote>
  <w:footnote w:id="4">
    <w:p w:rsidR="00C13568" w:rsidRDefault="00C13568" w:rsidP="00595759">
      <w:pPr>
        <w:pStyle w:val="FootnoteText"/>
        <w:ind w:firstLine="0"/>
      </w:pPr>
      <w:r>
        <w:rPr>
          <w:rStyle w:val="FootnoteReference"/>
        </w:rPr>
        <w:footnoteRef/>
      </w:r>
      <w:r w:rsidR="00D71FB1">
        <w:t xml:space="preserve"> Notice at</w:t>
      </w:r>
      <w:r>
        <w:t xml:space="preserve"> 2.</w:t>
      </w:r>
    </w:p>
  </w:footnote>
  <w:footnote w:id="5">
    <w:p w:rsidR="00A84033" w:rsidRDefault="00A84033" w:rsidP="00595759">
      <w:pPr>
        <w:pStyle w:val="FootnoteText"/>
        <w:spacing w:after="0"/>
        <w:ind w:firstLine="0"/>
      </w:pPr>
      <w:r>
        <w:rPr>
          <w:rStyle w:val="FootnoteReference"/>
        </w:rPr>
        <w:footnoteRef/>
      </w:r>
      <w:r>
        <w:t xml:space="preserve"> RCW 80.28.360(3).</w:t>
      </w:r>
    </w:p>
  </w:footnote>
  <w:footnote w:id="6">
    <w:p w:rsidR="00B27A22" w:rsidRDefault="00B27A22" w:rsidP="00595759">
      <w:pPr>
        <w:pStyle w:val="FootnoteText"/>
        <w:spacing w:after="0"/>
        <w:ind w:firstLine="0"/>
      </w:pPr>
      <w:r>
        <w:rPr>
          <w:rStyle w:val="FootnoteReference"/>
        </w:rPr>
        <w:footnoteRef/>
      </w:r>
      <w:r w:rsidR="00ED35CB">
        <w:t xml:space="preserve"> Order 01</w:t>
      </w:r>
      <w:r>
        <w:t xml:space="preserve"> ¶</w:t>
      </w:r>
      <w:r w:rsidR="00ED35CB">
        <w:t>¶</w:t>
      </w:r>
      <w:r>
        <w:t xml:space="preserve"> 5-8.</w:t>
      </w:r>
    </w:p>
  </w:footnote>
  <w:footnote w:id="7">
    <w:p w:rsidR="00304856" w:rsidRDefault="00304856" w:rsidP="00595759">
      <w:pPr>
        <w:pStyle w:val="FootnoteText"/>
        <w:spacing w:after="0"/>
        <w:ind w:firstLine="0"/>
      </w:pPr>
      <w:r>
        <w:rPr>
          <w:rStyle w:val="FootnoteReference"/>
        </w:rPr>
        <w:footnoteRef/>
      </w:r>
      <w:r>
        <w:t xml:space="preserve"> </w:t>
      </w:r>
      <w:r w:rsidR="000B476F">
        <w:t xml:space="preserve">Docket </w:t>
      </w:r>
      <w:r>
        <w:t xml:space="preserve">UE-160082, </w:t>
      </w:r>
      <w:r w:rsidR="000B476F">
        <w:rPr>
          <w:i/>
        </w:rPr>
        <w:t xml:space="preserve">Wash. Utils. &amp; Transp. Comm’n v. Avista Corp. d.b.a Avista Utils., </w:t>
      </w:r>
      <w:r>
        <w:t>Open Meeting Memo</w:t>
      </w:r>
      <w:r w:rsidR="00ED35CB">
        <w:t xml:space="preserve"> at 3 (Apr. 28, 2016)</w:t>
      </w:r>
      <w:r>
        <w:t>.</w:t>
      </w:r>
    </w:p>
    <w:p w:rsidR="005258A1" w:rsidRDefault="005258A1" w:rsidP="00034283">
      <w:pPr>
        <w:pStyle w:val="FootnoteText"/>
        <w:spacing w:after="0"/>
        <w:ind w:left="360" w:firstLine="0"/>
      </w:pPr>
    </w:p>
  </w:footnote>
  <w:footnote w:id="8">
    <w:p w:rsidR="00B27A22" w:rsidRDefault="00B27A22" w:rsidP="00BA071E">
      <w:pPr>
        <w:pStyle w:val="FootnoteText"/>
        <w:spacing w:after="0"/>
        <w:ind w:firstLine="0"/>
      </w:pPr>
      <w:r>
        <w:rPr>
          <w:rStyle w:val="FootnoteReference"/>
        </w:rPr>
        <w:footnoteRef/>
      </w:r>
      <w:r w:rsidR="000B476F">
        <w:t xml:space="preserve"> Order 01 </w:t>
      </w:r>
      <w:r>
        <w:t>¶</w:t>
      </w:r>
      <w:r w:rsidR="000B476F">
        <w:t xml:space="preserve"> </w:t>
      </w:r>
      <w:r>
        <w:t xml:space="preserve">5; </w:t>
      </w:r>
      <w:r w:rsidR="0011761A">
        <w:t xml:space="preserve">Docket </w:t>
      </w:r>
      <w:r>
        <w:t xml:space="preserve">UE-160082, </w:t>
      </w:r>
      <w:r w:rsidR="000B476F">
        <w:rPr>
          <w:i/>
        </w:rPr>
        <w:t xml:space="preserve">Wash. Utils. &amp; Transp. Comm’n v. Avista Corp. d.b.a Avista Utils., </w:t>
      </w:r>
      <w:r>
        <w:t xml:space="preserve">Open Meeting Memo </w:t>
      </w:r>
      <w:r w:rsidR="000B476F">
        <w:t>at 3 (Apr. 28, 2016)</w:t>
      </w:r>
      <w:r>
        <w:t>.</w:t>
      </w:r>
    </w:p>
  </w:footnote>
  <w:footnote w:id="9">
    <w:p w:rsidR="00B27A22" w:rsidRDefault="00B27A22" w:rsidP="00BA071E">
      <w:pPr>
        <w:pStyle w:val="FootnoteText"/>
        <w:spacing w:after="0"/>
        <w:ind w:firstLine="0"/>
      </w:pPr>
      <w:r>
        <w:rPr>
          <w:rStyle w:val="FootnoteReference"/>
        </w:rPr>
        <w:footnoteRef/>
      </w:r>
      <w:r>
        <w:t xml:space="preserve"> </w:t>
      </w:r>
      <w:r w:rsidR="00821516">
        <w:rPr>
          <w:i/>
        </w:rPr>
        <w:t xml:space="preserve">See, e.g. </w:t>
      </w:r>
      <w:r w:rsidR="000B476F">
        <w:t xml:space="preserve">Docket </w:t>
      </w:r>
      <w:r>
        <w:t xml:space="preserve">UE-160082, </w:t>
      </w:r>
      <w:r w:rsidR="000B476F">
        <w:rPr>
          <w:i/>
        </w:rPr>
        <w:t>Wash. Utils. &amp; Transp. Comm’n v. Avista Corp. d.b.a Avista Utils.</w:t>
      </w:r>
      <w:r w:rsidR="00ED35CB">
        <w:t xml:space="preserve">, </w:t>
      </w:r>
      <w:r w:rsidR="000B476F">
        <w:t xml:space="preserve">Avista </w:t>
      </w:r>
      <w:r w:rsidR="00ED35CB">
        <w:t>Cover Letter at 16 (Jan.</w:t>
      </w:r>
      <w:r w:rsidR="002308C3">
        <w:t xml:space="preserve"> 14, 2016</w:t>
      </w:r>
      <w:r w:rsidR="00ED35CB">
        <w:t>)</w:t>
      </w:r>
      <w:r>
        <w:t>.</w:t>
      </w:r>
      <w:r w:rsidR="002308C3">
        <w:t xml:space="preserve"> </w:t>
      </w:r>
    </w:p>
  </w:footnote>
  <w:footnote w:id="10">
    <w:p w:rsidR="000B476F" w:rsidRDefault="00564BD2" w:rsidP="00564BD2">
      <w:pPr>
        <w:pStyle w:val="FootnoteText"/>
        <w:spacing w:after="0"/>
        <w:ind w:firstLine="0"/>
      </w:pPr>
      <w:r>
        <w:rPr>
          <w:rStyle w:val="FootnoteReference"/>
        </w:rPr>
        <w:footnoteRef/>
      </w:r>
      <w:r>
        <w:t xml:space="preserve"> </w:t>
      </w:r>
      <w:r w:rsidR="00ED35CB">
        <w:t>Order 01</w:t>
      </w:r>
      <w:r>
        <w:t xml:space="preserve"> ¶ 6.</w:t>
      </w:r>
    </w:p>
  </w:footnote>
  <w:footnote w:id="11">
    <w:p w:rsidR="00B27A22" w:rsidRDefault="00B27A22" w:rsidP="000B476F">
      <w:pPr>
        <w:pStyle w:val="FootnoteText"/>
        <w:spacing w:after="0"/>
        <w:ind w:firstLine="0"/>
      </w:pPr>
      <w:r>
        <w:rPr>
          <w:rStyle w:val="FootnoteReference"/>
        </w:rPr>
        <w:footnoteRef/>
      </w:r>
      <w:r>
        <w:t xml:space="preserve"> </w:t>
      </w:r>
      <w:r w:rsidR="00ED35CB">
        <w:t>Nancy E. Ryan</w:t>
      </w:r>
      <w:r>
        <w:t xml:space="preserve"> &amp; </w:t>
      </w:r>
      <w:r w:rsidR="00ED35CB">
        <w:t xml:space="preserve">Luke Lavin, Energy &amp; Environmental Economics, </w:t>
      </w:r>
      <w:r w:rsidRPr="006C613B">
        <w:rPr>
          <w:i/>
        </w:rPr>
        <w:t>Engaging Utilities and Regulators on Transportation Electrification</w:t>
      </w:r>
      <w:r w:rsidR="00ED35CB">
        <w:t xml:space="preserve"> (Mar.</w:t>
      </w:r>
      <w:r>
        <w:t xml:space="preserve"> 1, 2015</w:t>
      </w:r>
      <w:r w:rsidR="00ED35CB">
        <w:t>)</w:t>
      </w:r>
      <w:r w:rsidR="00573978">
        <w:t>.</w:t>
      </w:r>
    </w:p>
    <w:p w:rsidR="00EE243C" w:rsidRDefault="00EE243C" w:rsidP="000B476F">
      <w:pPr>
        <w:pStyle w:val="FootnoteText"/>
        <w:spacing w:after="0"/>
        <w:ind w:firstLine="0"/>
      </w:pPr>
    </w:p>
  </w:footnote>
  <w:footnote w:id="12">
    <w:p w:rsidR="00013898" w:rsidRDefault="00013898" w:rsidP="00595759">
      <w:pPr>
        <w:pStyle w:val="FootnoteText"/>
        <w:spacing w:after="0"/>
        <w:ind w:firstLine="0"/>
        <w:rPr>
          <w:i/>
        </w:rPr>
      </w:pPr>
      <w:r>
        <w:rPr>
          <w:rStyle w:val="FootnoteReference"/>
        </w:rPr>
        <w:footnoteRef/>
      </w:r>
      <w:r>
        <w:t xml:space="preserve"> </w:t>
      </w:r>
      <w:r w:rsidR="00573978">
        <w:rPr>
          <w:i/>
        </w:rPr>
        <w:t>Id.</w:t>
      </w:r>
    </w:p>
    <w:p w:rsidR="00ED35CB" w:rsidRPr="00573978" w:rsidRDefault="00ED35CB" w:rsidP="00034283">
      <w:pPr>
        <w:pStyle w:val="FootnoteText"/>
        <w:spacing w:after="0"/>
        <w:ind w:left="360" w:firstLine="0"/>
        <w:rPr>
          <w:i/>
        </w:rPr>
      </w:pPr>
    </w:p>
  </w:footnote>
  <w:footnote w:id="13">
    <w:p w:rsidR="004B04A7" w:rsidRDefault="004B04A7" w:rsidP="004B04A7">
      <w:pPr>
        <w:pStyle w:val="FootnoteText"/>
        <w:ind w:firstLine="0"/>
      </w:pPr>
      <w:r>
        <w:rPr>
          <w:rStyle w:val="FootnoteReference"/>
        </w:rPr>
        <w:footnoteRef/>
      </w:r>
      <w:r>
        <w:t xml:space="preserve"> </w:t>
      </w:r>
      <w:r w:rsidR="00E94E99">
        <w:t xml:space="preserve">Garrett Fitzgerald, Chris Nelder </w:t>
      </w:r>
      <w:r>
        <w:t xml:space="preserve">&amp; </w:t>
      </w:r>
      <w:r w:rsidR="00E94E99">
        <w:t>James Newcomb,</w:t>
      </w:r>
      <w:r w:rsidRPr="00315510">
        <w:rPr>
          <w:i/>
        </w:rPr>
        <w:t xml:space="preserve"> </w:t>
      </w:r>
      <w:r w:rsidR="0027042A">
        <w:t>Electricity Innovati</w:t>
      </w:r>
      <w:r w:rsidR="0027042A">
        <w:t>on Lab Rocky Mountain Institute,</w:t>
      </w:r>
      <w:r w:rsidR="0027042A">
        <w:t xml:space="preserve"> </w:t>
      </w:r>
      <w:r w:rsidRPr="00315510">
        <w:rPr>
          <w:i/>
        </w:rPr>
        <w:t>Electric Vehicles as Distributed Energy Resources</w:t>
      </w:r>
      <w:r>
        <w:t xml:space="preserve"> </w:t>
      </w:r>
      <w:r w:rsidR="0027042A">
        <w:t>(r</w:t>
      </w:r>
      <w:r>
        <w:t>etrieved from</w:t>
      </w:r>
      <w:r w:rsidR="0027042A">
        <w:t xml:space="preserve">:  </w:t>
      </w:r>
      <w:r w:rsidRPr="00315510">
        <w:t>http://www.rmi.org/Content/Files/RMI_Electric_Vehicles_as_DERs_Final_V2.pdf</w:t>
      </w:r>
      <w:r w:rsidR="0027042A">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665"/>
    <w:multiLevelType w:val="hybridMultilevel"/>
    <w:tmpl w:val="A69C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93B4B"/>
    <w:multiLevelType w:val="hybridMultilevel"/>
    <w:tmpl w:val="BDD65F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D5F07"/>
    <w:multiLevelType w:val="hybridMultilevel"/>
    <w:tmpl w:val="D83C296E"/>
    <w:lvl w:ilvl="0" w:tplc="A29C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B7A9A"/>
    <w:multiLevelType w:val="hybridMultilevel"/>
    <w:tmpl w:val="CC22E3C0"/>
    <w:lvl w:ilvl="0" w:tplc="DA1270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8642F"/>
    <w:multiLevelType w:val="hybridMultilevel"/>
    <w:tmpl w:val="F6FCB396"/>
    <w:lvl w:ilvl="0" w:tplc="B218B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A77DA2"/>
    <w:multiLevelType w:val="hybridMultilevel"/>
    <w:tmpl w:val="1E065782"/>
    <w:lvl w:ilvl="0" w:tplc="0A7A6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7624B"/>
    <w:multiLevelType w:val="hybridMultilevel"/>
    <w:tmpl w:val="5F0818F0"/>
    <w:lvl w:ilvl="0" w:tplc="2A7E6DB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968D3"/>
    <w:multiLevelType w:val="hybridMultilevel"/>
    <w:tmpl w:val="8A1E14DC"/>
    <w:lvl w:ilvl="0" w:tplc="D52EFED2">
      <w:start w:val="1"/>
      <w:numFmt w:val="decimal"/>
      <w:lvlText w:val="%1."/>
      <w:lvlJc w:val="left"/>
      <w:pPr>
        <w:ind w:left="360" w:hanging="360"/>
      </w:pPr>
      <w:rPr>
        <w:b w:val="0"/>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026D33"/>
    <w:multiLevelType w:val="hybridMultilevel"/>
    <w:tmpl w:val="EFF6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80F10"/>
    <w:multiLevelType w:val="hybridMultilevel"/>
    <w:tmpl w:val="1C066A10"/>
    <w:lvl w:ilvl="0" w:tplc="14E6183C">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F22F03"/>
    <w:multiLevelType w:val="hybridMultilevel"/>
    <w:tmpl w:val="B7FA8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525735"/>
    <w:multiLevelType w:val="hybridMultilevel"/>
    <w:tmpl w:val="C1E2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AA3290"/>
    <w:multiLevelType w:val="hybridMultilevel"/>
    <w:tmpl w:val="0826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1"/>
  </w:num>
  <w:num w:numId="4">
    <w:abstractNumId w:val="7"/>
  </w:num>
  <w:num w:numId="5">
    <w:abstractNumId w:val="4"/>
  </w:num>
  <w:num w:numId="6">
    <w:abstractNumId w:val="9"/>
  </w:num>
  <w:num w:numId="7">
    <w:abstractNumId w:val="2"/>
  </w:num>
  <w:num w:numId="8">
    <w:abstractNumId w:val="0"/>
  </w:num>
  <w:num w:numId="9">
    <w:abstractNumId w:val="10"/>
  </w:num>
  <w:num w:numId="10">
    <w:abstractNumId w:val="8"/>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A3"/>
    <w:rsid w:val="00001383"/>
    <w:rsid w:val="00013898"/>
    <w:rsid w:val="00015399"/>
    <w:rsid w:val="0002464E"/>
    <w:rsid w:val="00027191"/>
    <w:rsid w:val="0003263F"/>
    <w:rsid w:val="00034283"/>
    <w:rsid w:val="00051784"/>
    <w:rsid w:val="00063B81"/>
    <w:rsid w:val="00064346"/>
    <w:rsid w:val="00065B7A"/>
    <w:rsid w:val="00065FC6"/>
    <w:rsid w:val="000701BE"/>
    <w:rsid w:val="00092104"/>
    <w:rsid w:val="000A16F4"/>
    <w:rsid w:val="000B004F"/>
    <w:rsid w:val="000B3CF8"/>
    <w:rsid w:val="000B476F"/>
    <w:rsid w:val="000B6D4A"/>
    <w:rsid w:val="000C5AA4"/>
    <w:rsid w:val="000D33AF"/>
    <w:rsid w:val="000E5B6E"/>
    <w:rsid w:val="000F1386"/>
    <w:rsid w:val="000F373D"/>
    <w:rsid w:val="000F663E"/>
    <w:rsid w:val="00107951"/>
    <w:rsid w:val="00112D13"/>
    <w:rsid w:val="001134DD"/>
    <w:rsid w:val="0011761A"/>
    <w:rsid w:val="00127A75"/>
    <w:rsid w:val="001326DC"/>
    <w:rsid w:val="00140D92"/>
    <w:rsid w:val="001418C4"/>
    <w:rsid w:val="00165436"/>
    <w:rsid w:val="001778C7"/>
    <w:rsid w:val="00182C20"/>
    <w:rsid w:val="00185FEC"/>
    <w:rsid w:val="00190A0D"/>
    <w:rsid w:val="00195342"/>
    <w:rsid w:val="001B0217"/>
    <w:rsid w:val="001B208F"/>
    <w:rsid w:val="001B247E"/>
    <w:rsid w:val="001B7B0B"/>
    <w:rsid w:val="001D3D04"/>
    <w:rsid w:val="001E0D14"/>
    <w:rsid w:val="001E101E"/>
    <w:rsid w:val="001E6A4B"/>
    <w:rsid w:val="001E783A"/>
    <w:rsid w:val="002054F4"/>
    <w:rsid w:val="00210B6D"/>
    <w:rsid w:val="0021147F"/>
    <w:rsid w:val="00220D28"/>
    <w:rsid w:val="002308C3"/>
    <w:rsid w:val="002336F3"/>
    <w:rsid w:val="00233CDB"/>
    <w:rsid w:val="0024124B"/>
    <w:rsid w:val="0024675B"/>
    <w:rsid w:val="0024799C"/>
    <w:rsid w:val="002518E3"/>
    <w:rsid w:val="00252188"/>
    <w:rsid w:val="0025246A"/>
    <w:rsid w:val="0025527E"/>
    <w:rsid w:val="00260476"/>
    <w:rsid w:val="00260DE7"/>
    <w:rsid w:val="002621DC"/>
    <w:rsid w:val="00264350"/>
    <w:rsid w:val="002701B9"/>
    <w:rsid w:val="0027042A"/>
    <w:rsid w:val="002736E7"/>
    <w:rsid w:val="00274506"/>
    <w:rsid w:val="00277A7C"/>
    <w:rsid w:val="00285ED4"/>
    <w:rsid w:val="00290EAE"/>
    <w:rsid w:val="002932B4"/>
    <w:rsid w:val="00295E68"/>
    <w:rsid w:val="0029775C"/>
    <w:rsid w:val="002A4313"/>
    <w:rsid w:val="002A5F3B"/>
    <w:rsid w:val="002B2129"/>
    <w:rsid w:val="002C3351"/>
    <w:rsid w:val="002C571A"/>
    <w:rsid w:val="00302FFE"/>
    <w:rsid w:val="00304856"/>
    <w:rsid w:val="00313594"/>
    <w:rsid w:val="00315B93"/>
    <w:rsid w:val="00320A73"/>
    <w:rsid w:val="00320F89"/>
    <w:rsid w:val="00331305"/>
    <w:rsid w:val="00334342"/>
    <w:rsid w:val="003400BE"/>
    <w:rsid w:val="0034094D"/>
    <w:rsid w:val="003463E0"/>
    <w:rsid w:val="0035772F"/>
    <w:rsid w:val="00357CC8"/>
    <w:rsid w:val="003637F7"/>
    <w:rsid w:val="00365E79"/>
    <w:rsid w:val="00387686"/>
    <w:rsid w:val="00391453"/>
    <w:rsid w:val="00392294"/>
    <w:rsid w:val="003A4600"/>
    <w:rsid w:val="003A6522"/>
    <w:rsid w:val="003A7FAF"/>
    <w:rsid w:val="003B2D04"/>
    <w:rsid w:val="003C225B"/>
    <w:rsid w:val="003C5054"/>
    <w:rsid w:val="003C5630"/>
    <w:rsid w:val="003F317F"/>
    <w:rsid w:val="003F76F2"/>
    <w:rsid w:val="004011D8"/>
    <w:rsid w:val="00412538"/>
    <w:rsid w:val="0042443C"/>
    <w:rsid w:val="00427FBD"/>
    <w:rsid w:val="00430B5C"/>
    <w:rsid w:val="00431DD5"/>
    <w:rsid w:val="004400B0"/>
    <w:rsid w:val="0044014E"/>
    <w:rsid w:val="00441D8A"/>
    <w:rsid w:val="00463D67"/>
    <w:rsid w:val="00475886"/>
    <w:rsid w:val="00482F71"/>
    <w:rsid w:val="00484481"/>
    <w:rsid w:val="00487DA9"/>
    <w:rsid w:val="0049420D"/>
    <w:rsid w:val="00495798"/>
    <w:rsid w:val="004B04A7"/>
    <w:rsid w:val="004E09E9"/>
    <w:rsid w:val="00501358"/>
    <w:rsid w:val="00505F0B"/>
    <w:rsid w:val="00516AEB"/>
    <w:rsid w:val="00517876"/>
    <w:rsid w:val="005258A1"/>
    <w:rsid w:val="0053161F"/>
    <w:rsid w:val="0053740B"/>
    <w:rsid w:val="00564BD2"/>
    <w:rsid w:val="0057020A"/>
    <w:rsid w:val="00573978"/>
    <w:rsid w:val="005766CE"/>
    <w:rsid w:val="00595759"/>
    <w:rsid w:val="005A2238"/>
    <w:rsid w:val="005B723F"/>
    <w:rsid w:val="005D1C8B"/>
    <w:rsid w:val="005E0B70"/>
    <w:rsid w:val="005E0BCD"/>
    <w:rsid w:val="005F2CA3"/>
    <w:rsid w:val="00600960"/>
    <w:rsid w:val="00617B85"/>
    <w:rsid w:val="0062414F"/>
    <w:rsid w:val="00627785"/>
    <w:rsid w:val="00632F42"/>
    <w:rsid w:val="00634527"/>
    <w:rsid w:val="00656206"/>
    <w:rsid w:val="00656BBB"/>
    <w:rsid w:val="00670300"/>
    <w:rsid w:val="0068199B"/>
    <w:rsid w:val="0068290E"/>
    <w:rsid w:val="00686455"/>
    <w:rsid w:val="006A52FA"/>
    <w:rsid w:val="006B2D39"/>
    <w:rsid w:val="006B65C2"/>
    <w:rsid w:val="006B753A"/>
    <w:rsid w:val="006C613B"/>
    <w:rsid w:val="006D1B51"/>
    <w:rsid w:val="006D6599"/>
    <w:rsid w:val="006E4254"/>
    <w:rsid w:val="006E4D7A"/>
    <w:rsid w:val="006F4BFA"/>
    <w:rsid w:val="00702533"/>
    <w:rsid w:val="007059C3"/>
    <w:rsid w:val="00712A88"/>
    <w:rsid w:val="00714332"/>
    <w:rsid w:val="0071657F"/>
    <w:rsid w:val="007323D6"/>
    <w:rsid w:val="00732F25"/>
    <w:rsid w:val="0073754B"/>
    <w:rsid w:val="00741688"/>
    <w:rsid w:val="00747ED0"/>
    <w:rsid w:val="00750763"/>
    <w:rsid w:val="0077151B"/>
    <w:rsid w:val="007762C2"/>
    <w:rsid w:val="007771E1"/>
    <w:rsid w:val="007900D8"/>
    <w:rsid w:val="00791FD1"/>
    <w:rsid w:val="00797034"/>
    <w:rsid w:val="007A4D36"/>
    <w:rsid w:val="007A6753"/>
    <w:rsid w:val="007B0C61"/>
    <w:rsid w:val="007B25AF"/>
    <w:rsid w:val="007B724C"/>
    <w:rsid w:val="007C7AE7"/>
    <w:rsid w:val="007E21F0"/>
    <w:rsid w:val="007E7B8A"/>
    <w:rsid w:val="008007CC"/>
    <w:rsid w:val="00817EB0"/>
    <w:rsid w:val="00821516"/>
    <w:rsid w:val="00831289"/>
    <w:rsid w:val="008338F3"/>
    <w:rsid w:val="00842E1C"/>
    <w:rsid w:val="008451A2"/>
    <w:rsid w:val="008579B7"/>
    <w:rsid w:val="00860937"/>
    <w:rsid w:val="00864CCD"/>
    <w:rsid w:val="00880BD8"/>
    <w:rsid w:val="0088128B"/>
    <w:rsid w:val="00882554"/>
    <w:rsid w:val="00883DAC"/>
    <w:rsid w:val="0089112B"/>
    <w:rsid w:val="008A0673"/>
    <w:rsid w:val="008A262E"/>
    <w:rsid w:val="008A2984"/>
    <w:rsid w:val="008A639E"/>
    <w:rsid w:val="008B06E2"/>
    <w:rsid w:val="008B6DDA"/>
    <w:rsid w:val="008C161B"/>
    <w:rsid w:val="008C7031"/>
    <w:rsid w:val="008D55EB"/>
    <w:rsid w:val="008F57D5"/>
    <w:rsid w:val="0090555F"/>
    <w:rsid w:val="0091566C"/>
    <w:rsid w:val="00944C7D"/>
    <w:rsid w:val="0094724B"/>
    <w:rsid w:val="0095752D"/>
    <w:rsid w:val="009627A1"/>
    <w:rsid w:val="00966408"/>
    <w:rsid w:val="00970E84"/>
    <w:rsid w:val="00972276"/>
    <w:rsid w:val="0097413A"/>
    <w:rsid w:val="00984E39"/>
    <w:rsid w:val="00992CEB"/>
    <w:rsid w:val="00995831"/>
    <w:rsid w:val="009960A4"/>
    <w:rsid w:val="009A19E3"/>
    <w:rsid w:val="009A5931"/>
    <w:rsid w:val="009B43DE"/>
    <w:rsid w:val="009B44FA"/>
    <w:rsid w:val="009D7097"/>
    <w:rsid w:val="009E1DFC"/>
    <w:rsid w:val="009E77C0"/>
    <w:rsid w:val="009F51D7"/>
    <w:rsid w:val="009F61F8"/>
    <w:rsid w:val="00A005FC"/>
    <w:rsid w:val="00A02E12"/>
    <w:rsid w:val="00A06D6A"/>
    <w:rsid w:val="00A1793C"/>
    <w:rsid w:val="00A21A97"/>
    <w:rsid w:val="00A3273B"/>
    <w:rsid w:val="00A34AE7"/>
    <w:rsid w:val="00A356AC"/>
    <w:rsid w:val="00A50FEB"/>
    <w:rsid w:val="00A7404B"/>
    <w:rsid w:val="00A770EE"/>
    <w:rsid w:val="00A80057"/>
    <w:rsid w:val="00A810D2"/>
    <w:rsid w:val="00A8245D"/>
    <w:rsid w:val="00A84033"/>
    <w:rsid w:val="00AA35DA"/>
    <w:rsid w:val="00AB17E5"/>
    <w:rsid w:val="00AB35D5"/>
    <w:rsid w:val="00AC2A4E"/>
    <w:rsid w:val="00AD13FE"/>
    <w:rsid w:val="00AD371D"/>
    <w:rsid w:val="00AD77F2"/>
    <w:rsid w:val="00AE186B"/>
    <w:rsid w:val="00AE2928"/>
    <w:rsid w:val="00AE526C"/>
    <w:rsid w:val="00AF1454"/>
    <w:rsid w:val="00AF4FF1"/>
    <w:rsid w:val="00B0343B"/>
    <w:rsid w:val="00B038BD"/>
    <w:rsid w:val="00B06B0C"/>
    <w:rsid w:val="00B074B8"/>
    <w:rsid w:val="00B15AAC"/>
    <w:rsid w:val="00B27A22"/>
    <w:rsid w:val="00B33E7F"/>
    <w:rsid w:val="00B34EF2"/>
    <w:rsid w:val="00B46D33"/>
    <w:rsid w:val="00B5219D"/>
    <w:rsid w:val="00B52919"/>
    <w:rsid w:val="00B73DA3"/>
    <w:rsid w:val="00B75032"/>
    <w:rsid w:val="00B8067D"/>
    <w:rsid w:val="00B81CB8"/>
    <w:rsid w:val="00B84EA8"/>
    <w:rsid w:val="00B85767"/>
    <w:rsid w:val="00B86005"/>
    <w:rsid w:val="00B96011"/>
    <w:rsid w:val="00BA071E"/>
    <w:rsid w:val="00BA0AE1"/>
    <w:rsid w:val="00BA3BA2"/>
    <w:rsid w:val="00BA4F8A"/>
    <w:rsid w:val="00BB03F7"/>
    <w:rsid w:val="00BD2B60"/>
    <w:rsid w:val="00BD358F"/>
    <w:rsid w:val="00BE2E6B"/>
    <w:rsid w:val="00BE70C3"/>
    <w:rsid w:val="00BE7553"/>
    <w:rsid w:val="00BF1354"/>
    <w:rsid w:val="00C05362"/>
    <w:rsid w:val="00C13568"/>
    <w:rsid w:val="00C16905"/>
    <w:rsid w:val="00C223C5"/>
    <w:rsid w:val="00C268FC"/>
    <w:rsid w:val="00C43E57"/>
    <w:rsid w:val="00C458CD"/>
    <w:rsid w:val="00C56EB5"/>
    <w:rsid w:val="00C60EC2"/>
    <w:rsid w:val="00C62BC3"/>
    <w:rsid w:val="00C86C1C"/>
    <w:rsid w:val="00C87732"/>
    <w:rsid w:val="00C9189B"/>
    <w:rsid w:val="00CA0F84"/>
    <w:rsid w:val="00CA4695"/>
    <w:rsid w:val="00CA693E"/>
    <w:rsid w:val="00CB28CC"/>
    <w:rsid w:val="00CC1487"/>
    <w:rsid w:val="00CC6E83"/>
    <w:rsid w:val="00CD2F12"/>
    <w:rsid w:val="00CD4177"/>
    <w:rsid w:val="00CF37EB"/>
    <w:rsid w:val="00CF6905"/>
    <w:rsid w:val="00D00786"/>
    <w:rsid w:val="00D0198E"/>
    <w:rsid w:val="00D0587D"/>
    <w:rsid w:val="00D12170"/>
    <w:rsid w:val="00D23560"/>
    <w:rsid w:val="00D339EB"/>
    <w:rsid w:val="00D404B4"/>
    <w:rsid w:val="00D47183"/>
    <w:rsid w:val="00D50991"/>
    <w:rsid w:val="00D56423"/>
    <w:rsid w:val="00D67078"/>
    <w:rsid w:val="00D71FB1"/>
    <w:rsid w:val="00D72B78"/>
    <w:rsid w:val="00D7497D"/>
    <w:rsid w:val="00D92F7A"/>
    <w:rsid w:val="00DB5EF2"/>
    <w:rsid w:val="00DD40F0"/>
    <w:rsid w:val="00DE0761"/>
    <w:rsid w:val="00DE305F"/>
    <w:rsid w:val="00DE324D"/>
    <w:rsid w:val="00DE7D6A"/>
    <w:rsid w:val="00DF041E"/>
    <w:rsid w:val="00DF2EBA"/>
    <w:rsid w:val="00DF416F"/>
    <w:rsid w:val="00DF4275"/>
    <w:rsid w:val="00DF7429"/>
    <w:rsid w:val="00E02CC7"/>
    <w:rsid w:val="00E0783E"/>
    <w:rsid w:val="00E10966"/>
    <w:rsid w:val="00E10C11"/>
    <w:rsid w:val="00E15BE8"/>
    <w:rsid w:val="00E16B88"/>
    <w:rsid w:val="00E205A4"/>
    <w:rsid w:val="00E245A3"/>
    <w:rsid w:val="00E33E64"/>
    <w:rsid w:val="00E428EE"/>
    <w:rsid w:val="00E43C71"/>
    <w:rsid w:val="00E550A6"/>
    <w:rsid w:val="00E57EBC"/>
    <w:rsid w:val="00E61E89"/>
    <w:rsid w:val="00E6545B"/>
    <w:rsid w:val="00E71FEF"/>
    <w:rsid w:val="00E94E99"/>
    <w:rsid w:val="00E95BB7"/>
    <w:rsid w:val="00EB0786"/>
    <w:rsid w:val="00EB21A6"/>
    <w:rsid w:val="00EB3E95"/>
    <w:rsid w:val="00EC1B34"/>
    <w:rsid w:val="00EC25E5"/>
    <w:rsid w:val="00EC45F1"/>
    <w:rsid w:val="00ED35CB"/>
    <w:rsid w:val="00ED73EE"/>
    <w:rsid w:val="00EE243C"/>
    <w:rsid w:val="00EE4546"/>
    <w:rsid w:val="00EF02A1"/>
    <w:rsid w:val="00EF5C90"/>
    <w:rsid w:val="00F11FDB"/>
    <w:rsid w:val="00F17C0D"/>
    <w:rsid w:val="00F17E0A"/>
    <w:rsid w:val="00F22C22"/>
    <w:rsid w:val="00F316C8"/>
    <w:rsid w:val="00F62F05"/>
    <w:rsid w:val="00F659C0"/>
    <w:rsid w:val="00F704E9"/>
    <w:rsid w:val="00F71626"/>
    <w:rsid w:val="00F72F86"/>
    <w:rsid w:val="00F94D8E"/>
    <w:rsid w:val="00F97E75"/>
    <w:rsid w:val="00FB658D"/>
    <w:rsid w:val="00FB74A3"/>
    <w:rsid w:val="00FC093F"/>
    <w:rsid w:val="00FC0EA7"/>
    <w:rsid w:val="00FC3BEA"/>
    <w:rsid w:val="00FD0402"/>
    <w:rsid w:val="00FE42B1"/>
    <w:rsid w:val="00FE6303"/>
    <w:rsid w:val="00FF287E"/>
    <w:rsid w:val="00FF58D4"/>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A3"/>
    <w:pPr>
      <w:spacing w:line="240" w:lineRule="exact"/>
    </w:pPr>
    <w:rPr>
      <w:sz w:val="24"/>
    </w:rPr>
  </w:style>
  <w:style w:type="paragraph" w:styleId="Heading1">
    <w:name w:val="heading 1"/>
    <w:basedOn w:val="Normal"/>
    <w:next w:val="Normal"/>
    <w:qFormat/>
    <w:rsid w:val="00FB74A3"/>
    <w:pPr>
      <w:keepNext/>
      <w:numPr>
        <w:numId w:val="13"/>
      </w:numPr>
      <w:spacing w:line="480" w:lineRule="auto"/>
      <w:jc w:val="center"/>
      <w:outlineLvl w:val="0"/>
    </w:pPr>
    <w:rPr>
      <w:b/>
      <w:caps/>
      <w:kern w:val="28"/>
    </w:rPr>
  </w:style>
  <w:style w:type="paragraph" w:styleId="Heading2">
    <w:name w:val="heading 2"/>
    <w:basedOn w:val="Normal"/>
    <w:next w:val="Normal"/>
    <w:qFormat/>
    <w:rsid w:val="005258A1"/>
    <w:pPr>
      <w:keepNext/>
      <w:spacing w:line="480" w:lineRule="auto"/>
      <w:ind w:left="720" w:hanging="720"/>
      <w:outlineLvl w:val="1"/>
    </w:pPr>
    <w:rPr>
      <w:b/>
    </w:rPr>
  </w:style>
  <w:style w:type="paragraph" w:styleId="Heading3">
    <w:name w:val="heading 3"/>
    <w:basedOn w:val="Normal"/>
    <w:next w:val="Normal"/>
    <w:qFormat/>
    <w:rsid w:val="00AD371D"/>
    <w:pPr>
      <w:keepNext/>
      <w:ind w:left="1440" w:hanging="720"/>
      <w:outlineLvl w:val="2"/>
    </w:pPr>
    <w:rPr>
      <w:b/>
    </w:rPr>
  </w:style>
  <w:style w:type="paragraph" w:styleId="Heading4">
    <w:name w:val="heading 4"/>
    <w:basedOn w:val="Normal"/>
    <w:next w:val="Normal"/>
    <w:qFormat/>
    <w:rsid w:val="00AD371D"/>
    <w:pPr>
      <w:keepNext/>
      <w:ind w:left="2160" w:hanging="720"/>
      <w:outlineLvl w:val="3"/>
    </w:pPr>
    <w:rPr>
      <w:b/>
    </w:rPr>
  </w:style>
  <w:style w:type="paragraph" w:styleId="Heading5">
    <w:name w:val="heading 5"/>
    <w:basedOn w:val="Normal"/>
    <w:next w:val="Normal"/>
    <w:qFormat/>
    <w:rsid w:val="00AD371D"/>
    <w:pPr>
      <w:ind w:left="2880" w:hanging="720"/>
      <w:outlineLvl w:val="4"/>
    </w:pPr>
    <w:rPr>
      <w:b/>
    </w:rPr>
  </w:style>
  <w:style w:type="paragraph" w:styleId="Heading6">
    <w:name w:val="heading 6"/>
    <w:basedOn w:val="Normal"/>
    <w:next w:val="Normal"/>
    <w:qFormat/>
    <w:rsid w:val="00AD371D"/>
    <w:pPr>
      <w:ind w:left="3600" w:hanging="720"/>
      <w:outlineLvl w:val="5"/>
    </w:pPr>
    <w:rPr>
      <w:b/>
    </w:rPr>
  </w:style>
  <w:style w:type="paragraph" w:styleId="Heading7">
    <w:name w:val="heading 7"/>
    <w:basedOn w:val="Normal"/>
    <w:next w:val="Normal"/>
    <w:qFormat/>
    <w:rsid w:val="00AD371D"/>
    <w:pPr>
      <w:ind w:left="4320" w:hanging="720"/>
      <w:outlineLvl w:val="6"/>
    </w:pPr>
    <w:rPr>
      <w:b/>
    </w:rPr>
  </w:style>
  <w:style w:type="paragraph" w:styleId="Heading8">
    <w:name w:val="heading 8"/>
    <w:basedOn w:val="Normal"/>
    <w:next w:val="Normal"/>
    <w:qFormat/>
    <w:rsid w:val="00AD371D"/>
    <w:pPr>
      <w:ind w:left="5040" w:hanging="720"/>
      <w:outlineLvl w:val="7"/>
    </w:pPr>
    <w:rPr>
      <w:b/>
    </w:rPr>
  </w:style>
  <w:style w:type="paragraph" w:styleId="Heading9">
    <w:name w:val="heading 9"/>
    <w:basedOn w:val="Normal"/>
    <w:next w:val="Normal"/>
    <w:qFormat/>
    <w:rsid w:val="00AD371D"/>
    <w:pPr>
      <w:keepNext/>
      <w:spacing w:before="240" w:after="60"/>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jc w:val="center"/>
    </w:pPr>
  </w:style>
  <w:style w:type="paragraph" w:customStyle="1" w:styleId="DoubleSpacing">
    <w:name w:val="Double Spacing"/>
    <w:basedOn w:val="Normal"/>
    <w:rsid w:val="00AD371D"/>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ind w:firstLine="720"/>
    </w:pPr>
    <w:rPr>
      <w:sz w:val="20"/>
    </w:rPr>
  </w:style>
  <w:style w:type="paragraph" w:styleId="Header">
    <w:name w:val="header"/>
    <w:basedOn w:val="Normal"/>
    <w:rsid w:val="00AD371D"/>
    <w:pPr>
      <w:tabs>
        <w:tab w:val="center" w:pos="4320"/>
        <w:tab w:val="right" w:pos="8640"/>
      </w:tabs>
    </w:pPr>
  </w:style>
  <w:style w:type="paragraph" w:customStyle="1" w:styleId="LineNumbers">
    <w:name w:val="LineNumbers"/>
    <w:basedOn w:val="Normal"/>
    <w:rsid w:val="00AD371D"/>
    <w:pPr>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ListParagraph">
    <w:name w:val="List Paragraph"/>
    <w:basedOn w:val="Normal"/>
    <w:uiPriority w:val="34"/>
    <w:qFormat/>
    <w:rsid w:val="00EF02A1"/>
    <w:pPr>
      <w:ind w:left="720"/>
      <w:contextualSpacing/>
    </w:pPr>
  </w:style>
  <w:style w:type="paragraph" w:styleId="EndnoteText">
    <w:name w:val="endnote text"/>
    <w:basedOn w:val="Normal"/>
    <w:link w:val="EndnoteTextChar"/>
    <w:uiPriority w:val="99"/>
    <w:semiHidden/>
    <w:unhideWhenUsed/>
    <w:rsid w:val="008C161B"/>
    <w:pPr>
      <w:spacing w:line="240" w:lineRule="auto"/>
    </w:pPr>
    <w:rPr>
      <w:sz w:val="20"/>
    </w:rPr>
  </w:style>
  <w:style w:type="character" w:customStyle="1" w:styleId="EndnoteTextChar">
    <w:name w:val="Endnote Text Char"/>
    <w:basedOn w:val="DefaultParagraphFont"/>
    <w:link w:val="EndnoteText"/>
    <w:uiPriority w:val="99"/>
    <w:semiHidden/>
    <w:rsid w:val="008C161B"/>
  </w:style>
  <w:style w:type="character" w:styleId="EndnoteReference">
    <w:name w:val="endnote reference"/>
    <w:basedOn w:val="DefaultParagraphFont"/>
    <w:uiPriority w:val="99"/>
    <w:semiHidden/>
    <w:unhideWhenUsed/>
    <w:rsid w:val="008C161B"/>
    <w:rPr>
      <w:vertAlign w:val="superscript"/>
    </w:rPr>
  </w:style>
  <w:style w:type="character" w:customStyle="1" w:styleId="apple-converted-space">
    <w:name w:val="apple-converted-space"/>
    <w:basedOn w:val="DefaultParagraphFont"/>
    <w:rsid w:val="003637F7"/>
  </w:style>
  <w:style w:type="character" w:styleId="CommentReference">
    <w:name w:val="annotation reference"/>
    <w:basedOn w:val="DefaultParagraphFont"/>
    <w:uiPriority w:val="99"/>
    <w:semiHidden/>
    <w:unhideWhenUsed/>
    <w:rsid w:val="00632F42"/>
    <w:rPr>
      <w:sz w:val="16"/>
      <w:szCs w:val="16"/>
    </w:rPr>
  </w:style>
  <w:style w:type="paragraph" w:styleId="CommentText">
    <w:name w:val="annotation text"/>
    <w:basedOn w:val="Normal"/>
    <w:link w:val="CommentTextChar"/>
    <w:uiPriority w:val="99"/>
    <w:semiHidden/>
    <w:unhideWhenUsed/>
    <w:rsid w:val="00632F42"/>
    <w:pPr>
      <w:spacing w:line="240" w:lineRule="auto"/>
    </w:pPr>
    <w:rPr>
      <w:sz w:val="20"/>
    </w:rPr>
  </w:style>
  <w:style w:type="character" w:customStyle="1" w:styleId="CommentTextChar">
    <w:name w:val="Comment Text Char"/>
    <w:basedOn w:val="DefaultParagraphFont"/>
    <w:link w:val="CommentText"/>
    <w:uiPriority w:val="99"/>
    <w:semiHidden/>
    <w:rsid w:val="00632F42"/>
  </w:style>
  <w:style w:type="paragraph" w:styleId="CommentSubject">
    <w:name w:val="annotation subject"/>
    <w:basedOn w:val="CommentText"/>
    <w:next w:val="CommentText"/>
    <w:link w:val="CommentSubjectChar"/>
    <w:uiPriority w:val="99"/>
    <w:semiHidden/>
    <w:unhideWhenUsed/>
    <w:rsid w:val="00632F42"/>
    <w:rPr>
      <w:b/>
      <w:bCs/>
    </w:rPr>
  </w:style>
  <w:style w:type="character" w:customStyle="1" w:styleId="CommentSubjectChar">
    <w:name w:val="Comment Subject Char"/>
    <w:basedOn w:val="CommentTextChar"/>
    <w:link w:val="CommentSubject"/>
    <w:uiPriority w:val="99"/>
    <w:semiHidden/>
    <w:rsid w:val="00632F42"/>
    <w:rPr>
      <w:b/>
      <w:bCs/>
    </w:rPr>
  </w:style>
  <w:style w:type="paragraph" w:styleId="BalloonText">
    <w:name w:val="Balloon Text"/>
    <w:basedOn w:val="Normal"/>
    <w:link w:val="BalloonTextChar"/>
    <w:uiPriority w:val="99"/>
    <w:semiHidden/>
    <w:unhideWhenUsed/>
    <w:rsid w:val="00632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A3"/>
    <w:pPr>
      <w:spacing w:line="240" w:lineRule="exact"/>
    </w:pPr>
    <w:rPr>
      <w:sz w:val="24"/>
    </w:rPr>
  </w:style>
  <w:style w:type="paragraph" w:styleId="Heading1">
    <w:name w:val="heading 1"/>
    <w:basedOn w:val="Normal"/>
    <w:next w:val="Normal"/>
    <w:qFormat/>
    <w:rsid w:val="00FB74A3"/>
    <w:pPr>
      <w:keepNext/>
      <w:numPr>
        <w:numId w:val="13"/>
      </w:numPr>
      <w:spacing w:line="480" w:lineRule="auto"/>
      <w:jc w:val="center"/>
      <w:outlineLvl w:val="0"/>
    </w:pPr>
    <w:rPr>
      <w:b/>
      <w:caps/>
      <w:kern w:val="28"/>
    </w:rPr>
  </w:style>
  <w:style w:type="paragraph" w:styleId="Heading2">
    <w:name w:val="heading 2"/>
    <w:basedOn w:val="Normal"/>
    <w:next w:val="Normal"/>
    <w:qFormat/>
    <w:rsid w:val="005258A1"/>
    <w:pPr>
      <w:keepNext/>
      <w:spacing w:line="480" w:lineRule="auto"/>
      <w:ind w:left="720" w:hanging="720"/>
      <w:outlineLvl w:val="1"/>
    </w:pPr>
    <w:rPr>
      <w:b/>
    </w:rPr>
  </w:style>
  <w:style w:type="paragraph" w:styleId="Heading3">
    <w:name w:val="heading 3"/>
    <w:basedOn w:val="Normal"/>
    <w:next w:val="Normal"/>
    <w:qFormat/>
    <w:rsid w:val="00AD371D"/>
    <w:pPr>
      <w:keepNext/>
      <w:ind w:left="1440" w:hanging="720"/>
      <w:outlineLvl w:val="2"/>
    </w:pPr>
    <w:rPr>
      <w:b/>
    </w:rPr>
  </w:style>
  <w:style w:type="paragraph" w:styleId="Heading4">
    <w:name w:val="heading 4"/>
    <w:basedOn w:val="Normal"/>
    <w:next w:val="Normal"/>
    <w:qFormat/>
    <w:rsid w:val="00AD371D"/>
    <w:pPr>
      <w:keepNext/>
      <w:ind w:left="2160" w:hanging="720"/>
      <w:outlineLvl w:val="3"/>
    </w:pPr>
    <w:rPr>
      <w:b/>
    </w:rPr>
  </w:style>
  <w:style w:type="paragraph" w:styleId="Heading5">
    <w:name w:val="heading 5"/>
    <w:basedOn w:val="Normal"/>
    <w:next w:val="Normal"/>
    <w:qFormat/>
    <w:rsid w:val="00AD371D"/>
    <w:pPr>
      <w:ind w:left="2880" w:hanging="720"/>
      <w:outlineLvl w:val="4"/>
    </w:pPr>
    <w:rPr>
      <w:b/>
    </w:rPr>
  </w:style>
  <w:style w:type="paragraph" w:styleId="Heading6">
    <w:name w:val="heading 6"/>
    <w:basedOn w:val="Normal"/>
    <w:next w:val="Normal"/>
    <w:qFormat/>
    <w:rsid w:val="00AD371D"/>
    <w:pPr>
      <w:ind w:left="3600" w:hanging="720"/>
      <w:outlineLvl w:val="5"/>
    </w:pPr>
    <w:rPr>
      <w:b/>
    </w:rPr>
  </w:style>
  <w:style w:type="paragraph" w:styleId="Heading7">
    <w:name w:val="heading 7"/>
    <w:basedOn w:val="Normal"/>
    <w:next w:val="Normal"/>
    <w:qFormat/>
    <w:rsid w:val="00AD371D"/>
    <w:pPr>
      <w:ind w:left="4320" w:hanging="720"/>
      <w:outlineLvl w:val="6"/>
    </w:pPr>
    <w:rPr>
      <w:b/>
    </w:rPr>
  </w:style>
  <w:style w:type="paragraph" w:styleId="Heading8">
    <w:name w:val="heading 8"/>
    <w:basedOn w:val="Normal"/>
    <w:next w:val="Normal"/>
    <w:qFormat/>
    <w:rsid w:val="00AD371D"/>
    <w:pPr>
      <w:ind w:left="5040" w:hanging="720"/>
      <w:outlineLvl w:val="7"/>
    </w:pPr>
    <w:rPr>
      <w:b/>
    </w:rPr>
  </w:style>
  <w:style w:type="paragraph" w:styleId="Heading9">
    <w:name w:val="heading 9"/>
    <w:basedOn w:val="Normal"/>
    <w:next w:val="Normal"/>
    <w:qFormat/>
    <w:rsid w:val="00AD371D"/>
    <w:pPr>
      <w:keepNext/>
      <w:spacing w:before="240" w:after="60"/>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jc w:val="center"/>
    </w:pPr>
  </w:style>
  <w:style w:type="paragraph" w:customStyle="1" w:styleId="DoubleSpacing">
    <w:name w:val="Double Spacing"/>
    <w:basedOn w:val="Normal"/>
    <w:rsid w:val="00AD371D"/>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ind w:firstLine="720"/>
    </w:pPr>
    <w:rPr>
      <w:sz w:val="20"/>
    </w:rPr>
  </w:style>
  <w:style w:type="paragraph" w:styleId="Header">
    <w:name w:val="header"/>
    <w:basedOn w:val="Normal"/>
    <w:rsid w:val="00AD371D"/>
    <w:pPr>
      <w:tabs>
        <w:tab w:val="center" w:pos="4320"/>
        <w:tab w:val="right" w:pos="8640"/>
      </w:tabs>
    </w:pPr>
  </w:style>
  <w:style w:type="paragraph" w:customStyle="1" w:styleId="LineNumbers">
    <w:name w:val="LineNumbers"/>
    <w:basedOn w:val="Normal"/>
    <w:rsid w:val="00AD371D"/>
    <w:pPr>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ListParagraph">
    <w:name w:val="List Paragraph"/>
    <w:basedOn w:val="Normal"/>
    <w:uiPriority w:val="34"/>
    <w:qFormat/>
    <w:rsid w:val="00EF02A1"/>
    <w:pPr>
      <w:ind w:left="720"/>
      <w:contextualSpacing/>
    </w:pPr>
  </w:style>
  <w:style w:type="paragraph" w:styleId="EndnoteText">
    <w:name w:val="endnote text"/>
    <w:basedOn w:val="Normal"/>
    <w:link w:val="EndnoteTextChar"/>
    <w:uiPriority w:val="99"/>
    <w:semiHidden/>
    <w:unhideWhenUsed/>
    <w:rsid w:val="008C161B"/>
    <w:pPr>
      <w:spacing w:line="240" w:lineRule="auto"/>
    </w:pPr>
    <w:rPr>
      <w:sz w:val="20"/>
    </w:rPr>
  </w:style>
  <w:style w:type="character" w:customStyle="1" w:styleId="EndnoteTextChar">
    <w:name w:val="Endnote Text Char"/>
    <w:basedOn w:val="DefaultParagraphFont"/>
    <w:link w:val="EndnoteText"/>
    <w:uiPriority w:val="99"/>
    <w:semiHidden/>
    <w:rsid w:val="008C161B"/>
  </w:style>
  <w:style w:type="character" w:styleId="EndnoteReference">
    <w:name w:val="endnote reference"/>
    <w:basedOn w:val="DefaultParagraphFont"/>
    <w:uiPriority w:val="99"/>
    <w:semiHidden/>
    <w:unhideWhenUsed/>
    <w:rsid w:val="008C161B"/>
    <w:rPr>
      <w:vertAlign w:val="superscript"/>
    </w:rPr>
  </w:style>
  <w:style w:type="character" w:customStyle="1" w:styleId="apple-converted-space">
    <w:name w:val="apple-converted-space"/>
    <w:basedOn w:val="DefaultParagraphFont"/>
    <w:rsid w:val="003637F7"/>
  </w:style>
  <w:style w:type="character" w:styleId="CommentReference">
    <w:name w:val="annotation reference"/>
    <w:basedOn w:val="DefaultParagraphFont"/>
    <w:uiPriority w:val="99"/>
    <w:semiHidden/>
    <w:unhideWhenUsed/>
    <w:rsid w:val="00632F42"/>
    <w:rPr>
      <w:sz w:val="16"/>
      <w:szCs w:val="16"/>
    </w:rPr>
  </w:style>
  <w:style w:type="paragraph" w:styleId="CommentText">
    <w:name w:val="annotation text"/>
    <w:basedOn w:val="Normal"/>
    <w:link w:val="CommentTextChar"/>
    <w:uiPriority w:val="99"/>
    <w:semiHidden/>
    <w:unhideWhenUsed/>
    <w:rsid w:val="00632F42"/>
    <w:pPr>
      <w:spacing w:line="240" w:lineRule="auto"/>
    </w:pPr>
    <w:rPr>
      <w:sz w:val="20"/>
    </w:rPr>
  </w:style>
  <w:style w:type="character" w:customStyle="1" w:styleId="CommentTextChar">
    <w:name w:val="Comment Text Char"/>
    <w:basedOn w:val="DefaultParagraphFont"/>
    <w:link w:val="CommentText"/>
    <w:uiPriority w:val="99"/>
    <w:semiHidden/>
    <w:rsid w:val="00632F42"/>
  </w:style>
  <w:style w:type="paragraph" w:styleId="CommentSubject">
    <w:name w:val="annotation subject"/>
    <w:basedOn w:val="CommentText"/>
    <w:next w:val="CommentText"/>
    <w:link w:val="CommentSubjectChar"/>
    <w:uiPriority w:val="99"/>
    <w:semiHidden/>
    <w:unhideWhenUsed/>
    <w:rsid w:val="00632F42"/>
    <w:rPr>
      <w:b/>
      <w:bCs/>
    </w:rPr>
  </w:style>
  <w:style w:type="character" w:customStyle="1" w:styleId="CommentSubjectChar">
    <w:name w:val="Comment Subject Char"/>
    <w:basedOn w:val="CommentTextChar"/>
    <w:link w:val="CommentSubject"/>
    <w:uiPriority w:val="99"/>
    <w:semiHidden/>
    <w:rsid w:val="00632F42"/>
    <w:rPr>
      <w:b/>
      <w:bCs/>
    </w:rPr>
  </w:style>
  <w:style w:type="paragraph" w:styleId="BalloonText">
    <w:name w:val="Balloon Text"/>
    <w:basedOn w:val="Normal"/>
    <w:link w:val="BalloonTextChar"/>
    <w:uiPriority w:val="99"/>
    <w:semiHidden/>
    <w:unhideWhenUsed/>
    <w:rsid w:val="00632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2016-08-16T07:00:00+00:00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8B86BD-E7D3-4FFF-9A27-2477373A18BC}"/>
</file>

<file path=customXml/itemProps2.xml><?xml version="1.0" encoding="utf-8"?>
<ds:datastoreItem xmlns:ds="http://schemas.openxmlformats.org/officeDocument/2006/customXml" ds:itemID="{7D2FE468-6D73-42C8-B54D-6DC878D9095D}"/>
</file>

<file path=customXml/itemProps3.xml><?xml version="1.0" encoding="utf-8"?>
<ds:datastoreItem xmlns:ds="http://schemas.openxmlformats.org/officeDocument/2006/customXml" ds:itemID="{4F0F4B5F-9EE6-4DFD-BADF-D4C709440893}"/>
</file>

<file path=customXml/itemProps4.xml><?xml version="1.0" encoding="utf-8"?>
<ds:datastoreItem xmlns:ds="http://schemas.openxmlformats.org/officeDocument/2006/customXml" ds:itemID="{31F681E8-4B9B-433F-AD3E-CA81EC7329AA}"/>
</file>

<file path=customXml/itemProps5.xml><?xml version="1.0" encoding="utf-8"?>
<ds:datastoreItem xmlns:ds="http://schemas.openxmlformats.org/officeDocument/2006/customXml" ds:itemID="{1D1E44C6-13D2-4353-A721-678EDA8F9080}"/>
</file>

<file path=docProps/app.xml><?xml version="1.0" encoding="utf-8"?>
<Properties xmlns="http://schemas.openxmlformats.org/officeDocument/2006/extended-properties" xmlns:vt="http://schemas.openxmlformats.org/officeDocument/2006/docPropsVTypes">
  <Template>Normal.dotm</Template>
  <TotalTime>45</TotalTime>
  <Pages>7</Pages>
  <Words>1459</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Colamonici, Carla (ATG)</dc:creator>
  <cp:lastModifiedBy>Mak, Chanda (ATG)</cp:lastModifiedBy>
  <cp:revision>17</cp:revision>
  <cp:lastPrinted>2016-08-16T19:22:00Z</cp:lastPrinted>
  <dcterms:created xsi:type="dcterms:W3CDTF">2016-08-16T20:39:00Z</dcterms:created>
  <dcterms:modified xsi:type="dcterms:W3CDTF">2016-08-16T21:23:00Z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1584849532</vt:i4>
  </property>
  <property fmtid="{D5CDD505-2E9C-101B-9397-08002B2CF9AE}" pid="3" name="_NewReviewCycle">
    <vt:lpwstr/>
  </property>
  <property fmtid="{D5CDD505-2E9C-101B-9397-08002B2CF9AE}" pid="4" name="_EmailSubject">
    <vt:lpwstr>UE-160799 Comments</vt:lpwstr>
  </property>
  <property fmtid="{D5CDD505-2E9C-101B-9397-08002B2CF9AE}" pid="5" name="_AuthorEmail">
    <vt:lpwstr>CarlaC@ATG.WA.GOV</vt:lpwstr>
  </property>
  <property fmtid="{D5CDD505-2E9C-101B-9397-08002B2CF9AE}" pid="6" name="_AuthorEmailDisplayName">
    <vt:lpwstr>Colamonici, Carla (ATG)</vt:lpwstr>
  </property>
  <property fmtid="{D5CDD505-2E9C-101B-9397-08002B2CF9AE}" pid="7" name="_ReviewingToolsShownOnce">
    <vt:lpwstr/>
  </property>
  <property fmtid="{D5CDD505-2E9C-101B-9397-08002B2CF9AE}" pid="8" name="ContentTypeId">
    <vt:lpwstr>0x0101006E56B4D1795A2E4DB2F0B01679ED314A00D9EEA3871B2F2249BFED1F3C498698D3</vt:lpwstr>
  </property>
  <property fmtid="{D5CDD505-2E9C-101B-9397-08002B2CF9AE}" pid="9" name="_docset_NoMedatataSyncRequired">
    <vt:lpwstr>False</vt:lpwstr>
  </property>
</Properties>
</file>