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E8582" w14:textId="4F617E12" w:rsidR="001330A8" w:rsidRDefault="00D23B5D" w:rsidP="00D13B49">
      <w:pPr>
        <w:jc w:val="both"/>
      </w:pPr>
      <w:bookmarkStart w:id="0" w:name="_GoBack"/>
      <w:bookmarkEnd w:id="0"/>
      <w:r>
        <w:t xml:space="preserve">Table 1 </w:t>
      </w:r>
      <w:r w:rsidR="00C95863">
        <w:t xml:space="preserve">also </w:t>
      </w:r>
      <w:r w:rsidR="001330A8">
        <w:t xml:space="preserve">shows the high-level </w:t>
      </w:r>
      <w:r w:rsidR="00C95863">
        <w:t>20</w:t>
      </w:r>
      <w:r w:rsidR="00C32EF7">
        <w:t>1</w:t>
      </w:r>
      <w:r w:rsidR="00A93743">
        <w:t>7</w:t>
      </w:r>
      <w:r w:rsidR="00C95863">
        <w:t xml:space="preserve"> IRP development schedule. Filing of the 201</w:t>
      </w:r>
      <w:r w:rsidR="00A93743">
        <w:t>7</w:t>
      </w:r>
      <w:r w:rsidR="00C95863">
        <w:t xml:space="preserve"> IRP is scheduled for </w:t>
      </w:r>
      <w:r w:rsidR="00D93A41">
        <w:t>April 4</w:t>
      </w:r>
      <w:r w:rsidR="00C95863">
        <w:t>, 201</w:t>
      </w:r>
      <w:r w:rsidR="00A93743">
        <w:t>7</w:t>
      </w:r>
      <w:r w:rsidR="00C95863">
        <w:t>,</w:t>
      </w:r>
      <w:r w:rsidR="0086423A">
        <w:t xml:space="preserve"> consistent with the two-business-day extension request in Docket UE-160353</w:t>
      </w:r>
      <w:r w:rsidR="00C95863">
        <w:t>.</w:t>
      </w:r>
      <w:r w:rsidR="001330A8">
        <w:t xml:space="preserve"> PacifiCorp expects to issue a draft </w:t>
      </w:r>
      <w:r w:rsidR="003C3155">
        <w:t>201</w:t>
      </w:r>
      <w:r w:rsidR="00A93743">
        <w:t>7</w:t>
      </w:r>
      <w:r w:rsidR="003C3155">
        <w:t xml:space="preserve"> </w:t>
      </w:r>
      <w:r w:rsidR="001330A8">
        <w:t xml:space="preserve">IRP for </w:t>
      </w:r>
      <w:r w:rsidR="00C95863">
        <w:t xml:space="preserve">a 30-day </w:t>
      </w:r>
      <w:r w:rsidR="001330A8">
        <w:t>public comment and review</w:t>
      </w:r>
      <w:r w:rsidR="00C95863">
        <w:t xml:space="preserve"> period in </w:t>
      </w:r>
      <w:r w:rsidR="00D0378D">
        <w:t>February</w:t>
      </w:r>
      <w:r w:rsidR="00C95863">
        <w:t xml:space="preserve"> 201</w:t>
      </w:r>
      <w:r w:rsidR="00A93743">
        <w:t>7</w:t>
      </w:r>
      <w:r w:rsidR="00C95863">
        <w:t>.</w:t>
      </w:r>
    </w:p>
    <w:p w14:paraId="0034B189" w14:textId="77777777" w:rsidR="00D86179" w:rsidRDefault="00D86179" w:rsidP="001330A8"/>
    <w:p w14:paraId="008B7811" w14:textId="77777777" w:rsidR="00D23B5D" w:rsidRDefault="00D23B5D" w:rsidP="001330A8">
      <w:pPr>
        <w:rPr>
          <w:b/>
        </w:rPr>
      </w:pPr>
      <w:r>
        <w:rPr>
          <w:b/>
        </w:rPr>
        <w:t>Table</w:t>
      </w:r>
      <w:r w:rsidRPr="003A58AA">
        <w:rPr>
          <w:b/>
        </w:rPr>
        <w:t xml:space="preserve"> </w:t>
      </w:r>
      <w:r>
        <w:rPr>
          <w:b/>
        </w:rPr>
        <w:t>1</w:t>
      </w:r>
      <w:r w:rsidRPr="003A58AA">
        <w:rPr>
          <w:b/>
        </w:rPr>
        <w:t xml:space="preserve"> </w:t>
      </w:r>
      <w:r w:rsidR="00465EA7" w:rsidRPr="003A58AA">
        <w:rPr>
          <w:b/>
        </w:rPr>
        <w:t xml:space="preserve">– </w:t>
      </w:r>
      <w:r w:rsidR="00465EA7">
        <w:rPr>
          <w:b/>
        </w:rPr>
        <w:t>201</w:t>
      </w:r>
      <w:r w:rsidR="00A93743">
        <w:rPr>
          <w:b/>
        </w:rPr>
        <w:t>7</w:t>
      </w:r>
      <w:r w:rsidR="00465EA7">
        <w:rPr>
          <w:b/>
        </w:rPr>
        <w:t xml:space="preserve"> IRP Public Meeting and Development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1"/>
        <w:gridCol w:w="4669"/>
      </w:tblGrid>
      <w:tr w:rsidR="00D23B5D" w14:paraId="5508D9BA" w14:textId="77777777" w:rsidTr="00D23B5D">
        <w:tc>
          <w:tcPr>
            <w:tcW w:w="4788" w:type="dxa"/>
          </w:tcPr>
          <w:p w14:paraId="0189C680" w14:textId="77777777" w:rsidR="00D23B5D" w:rsidRPr="00D23B5D" w:rsidRDefault="00D23B5D" w:rsidP="001330A8">
            <w:pPr>
              <w:rPr>
                <w:b/>
              </w:rPr>
            </w:pPr>
            <w:r w:rsidRPr="00D23B5D">
              <w:rPr>
                <w:b/>
              </w:rPr>
              <w:t>Milestone</w:t>
            </w:r>
          </w:p>
        </w:tc>
        <w:tc>
          <w:tcPr>
            <w:tcW w:w="4788" w:type="dxa"/>
          </w:tcPr>
          <w:p w14:paraId="1D90BF55" w14:textId="77777777" w:rsidR="00D23B5D" w:rsidRPr="00D23B5D" w:rsidRDefault="00D23B5D" w:rsidP="001330A8">
            <w:pPr>
              <w:rPr>
                <w:b/>
              </w:rPr>
            </w:pPr>
            <w:r w:rsidRPr="00D23B5D">
              <w:rPr>
                <w:b/>
              </w:rPr>
              <w:t>Date</w:t>
            </w:r>
          </w:p>
        </w:tc>
      </w:tr>
      <w:tr w:rsidR="00D23B5D" w14:paraId="3341120C" w14:textId="77777777" w:rsidTr="00D23B5D">
        <w:tc>
          <w:tcPr>
            <w:tcW w:w="4788" w:type="dxa"/>
          </w:tcPr>
          <w:p w14:paraId="4F9587BD" w14:textId="77777777" w:rsidR="00D23B5D" w:rsidRPr="00D23B5D" w:rsidRDefault="00D23B5D" w:rsidP="00D23B5D">
            <w:r>
              <w:t xml:space="preserve">PacifiCorp preparation (assumptions, model maintenance, supporting studies) </w:t>
            </w:r>
          </w:p>
        </w:tc>
        <w:tc>
          <w:tcPr>
            <w:tcW w:w="4788" w:type="dxa"/>
          </w:tcPr>
          <w:p w14:paraId="36854F54" w14:textId="77777777" w:rsidR="00D23B5D" w:rsidRPr="00D23B5D" w:rsidRDefault="00D23B5D" w:rsidP="001330A8">
            <w:r>
              <w:t>April 2016 – September 2016</w:t>
            </w:r>
          </w:p>
        </w:tc>
      </w:tr>
      <w:tr w:rsidR="00D23B5D" w14:paraId="2836A58A" w14:textId="77777777" w:rsidTr="00D23B5D">
        <w:tc>
          <w:tcPr>
            <w:tcW w:w="4788" w:type="dxa"/>
          </w:tcPr>
          <w:p w14:paraId="625E299A" w14:textId="77777777" w:rsidR="00D23B5D" w:rsidRPr="00D23B5D" w:rsidRDefault="00D23B5D" w:rsidP="001330A8">
            <w:r>
              <w:t>IRP Stakeholder Meetings (including state meetings in June – July 2016)</w:t>
            </w:r>
          </w:p>
        </w:tc>
        <w:tc>
          <w:tcPr>
            <w:tcW w:w="4788" w:type="dxa"/>
          </w:tcPr>
          <w:p w14:paraId="516EF194" w14:textId="77777777" w:rsidR="00D23B5D" w:rsidRPr="00D23B5D" w:rsidRDefault="00D23B5D" w:rsidP="001330A8">
            <w:r>
              <w:t>June 2016 – February 2017</w:t>
            </w:r>
          </w:p>
        </w:tc>
      </w:tr>
      <w:tr w:rsidR="00D23B5D" w14:paraId="6C770873" w14:textId="77777777" w:rsidTr="00D23B5D">
        <w:tc>
          <w:tcPr>
            <w:tcW w:w="4788" w:type="dxa"/>
          </w:tcPr>
          <w:p w14:paraId="537972C0" w14:textId="77777777" w:rsidR="00D23B5D" w:rsidRPr="00D23B5D" w:rsidRDefault="00D23B5D" w:rsidP="001330A8">
            <w:r>
              <w:t>Portfolio Development</w:t>
            </w:r>
          </w:p>
        </w:tc>
        <w:tc>
          <w:tcPr>
            <w:tcW w:w="4788" w:type="dxa"/>
          </w:tcPr>
          <w:p w14:paraId="753424DC" w14:textId="77777777" w:rsidR="00D23B5D" w:rsidRPr="00D23B5D" w:rsidRDefault="00D23B5D" w:rsidP="001330A8">
            <w:r>
              <w:t>September 2016 -  October 2016</w:t>
            </w:r>
          </w:p>
        </w:tc>
      </w:tr>
      <w:tr w:rsidR="00D23B5D" w14:paraId="2F4DD1F1" w14:textId="77777777" w:rsidTr="00D23B5D">
        <w:tc>
          <w:tcPr>
            <w:tcW w:w="4788" w:type="dxa"/>
          </w:tcPr>
          <w:p w14:paraId="2D8C1FC9" w14:textId="77777777" w:rsidR="00D23B5D" w:rsidRPr="00D23B5D" w:rsidRDefault="00D23B5D" w:rsidP="001330A8">
            <w:r>
              <w:t>Portfolio Risk Analysis</w:t>
            </w:r>
          </w:p>
        </w:tc>
        <w:tc>
          <w:tcPr>
            <w:tcW w:w="4788" w:type="dxa"/>
          </w:tcPr>
          <w:p w14:paraId="73AC2D2B" w14:textId="77777777" w:rsidR="00D23B5D" w:rsidRPr="00D23B5D" w:rsidRDefault="00D23B5D" w:rsidP="001330A8">
            <w:r>
              <w:t>October 2016 – December 2016</w:t>
            </w:r>
          </w:p>
        </w:tc>
      </w:tr>
      <w:tr w:rsidR="00D23B5D" w14:paraId="2EEEA0C4" w14:textId="77777777" w:rsidTr="00D23B5D">
        <w:tc>
          <w:tcPr>
            <w:tcW w:w="4788" w:type="dxa"/>
          </w:tcPr>
          <w:p w14:paraId="577BE630" w14:textId="77777777" w:rsidR="00D23B5D" w:rsidRPr="00D23B5D" w:rsidRDefault="00D23B5D" w:rsidP="001330A8">
            <w:r>
              <w:t>Sensitivity Analysis</w:t>
            </w:r>
          </w:p>
        </w:tc>
        <w:tc>
          <w:tcPr>
            <w:tcW w:w="4788" w:type="dxa"/>
          </w:tcPr>
          <w:p w14:paraId="473A9EE5" w14:textId="77777777" w:rsidR="00D23B5D" w:rsidRPr="00D23B5D" w:rsidRDefault="00D23B5D" w:rsidP="001330A8">
            <w:r>
              <w:t>November 2016 – January 2017</w:t>
            </w:r>
          </w:p>
        </w:tc>
      </w:tr>
      <w:tr w:rsidR="00D23B5D" w14:paraId="40561B56" w14:textId="77777777" w:rsidTr="00D23B5D">
        <w:tc>
          <w:tcPr>
            <w:tcW w:w="4788" w:type="dxa"/>
          </w:tcPr>
          <w:p w14:paraId="139A566C" w14:textId="77777777" w:rsidR="00D23B5D" w:rsidRPr="00D23B5D" w:rsidRDefault="00D23B5D" w:rsidP="001330A8">
            <w:r>
              <w:t>Draft Report</w:t>
            </w:r>
          </w:p>
        </w:tc>
        <w:tc>
          <w:tcPr>
            <w:tcW w:w="4788" w:type="dxa"/>
          </w:tcPr>
          <w:p w14:paraId="22F23132" w14:textId="77777777" w:rsidR="00D23B5D" w:rsidRPr="00D23B5D" w:rsidRDefault="00D23B5D" w:rsidP="001330A8">
            <w:r>
              <w:t>February 2017</w:t>
            </w:r>
          </w:p>
        </w:tc>
      </w:tr>
      <w:tr w:rsidR="00D23B5D" w14:paraId="47235276" w14:textId="77777777" w:rsidTr="00D06293">
        <w:trPr>
          <w:trHeight w:val="70"/>
        </w:trPr>
        <w:tc>
          <w:tcPr>
            <w:tcW w:w="4788" w:type="dxa"/>
          </w:tcPr>
          <w:p w14:paraId="426399B8" w14:textId="77777777" w:rsidR="00D23B5D" w:rsidRPr="00D23B5D" w:rsidRDefault="00D23B5D" w:rsidP="001330A8">
            <w:r>
              <w:t>Commission Filing</w:t>
            </w:r>
          </w:p>
        </w:tc>
        <w:tc>
          <w:tcPr>
            <w:tcW w:w="4788" w:type="dxa"/>
          </w:tcPr>
          <w:p w14:paraId="020CFBC4" w14:textId="77777777" w:rsidR="00D23B5D" w:rsidRPr="00D23B5D" w:rsidRDefault="00A17354" w:rsidP="001330A8">
            <w:r>
              <w:t>April 4, 2017</w:t>
            </w:r>
          </w:p>
        </w:tc>
      </w:tr>
    </w:tbl>
    <w:p w14:paraId="311F64EB" w14:textId="77777777" w:rsidR="003C5DF5" w:rsidRDefault="00070B11" w:rsidP="001330A8">
      <w:r w:rsidRPr="00070B11">
        <w:t xml:space="preserve"> </w:t>
      </w:r>
    </w:p>
    <w:p w14:paraId="1C6F5301" w14:textId="77777777" w:rsidR="001330A8" w:rsidRDefault="001330A8" w:rsidP="001330A8">
      <w:pPr>
        <w:jc w:val="both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Conclusion</w:t>
      </w:r>
    </w:p>
    <w:p w14:paraId="75D019B6" w14:textId="77777777" w:rsidR="001330A8" w:rsidRPr="00B160D3" w:rsidRDefault="001330A8" w:rsidP="001330A8"/>
    <w:p w14:paraId="4B775ED7" w14:textId="77777777" w:rsidR="001330A8" w:rsidRDefault="001330A8" w:rsidP="00465EA7">
      <w:pPr>
        <w:jc w:val="both"/>
      </w:pPr>
      <w:r>
        <w:t xml:space="preserve">PacifiCorp’s </w:t>
      </w:r>
      <w:r w:rsidR="001D32CB">
        <w:t>201</w:t>
      </w:r>
      <w:r w:rsidR="00A93743">
        <w:t>7</w:t>
      </w:r>
      <w:r w:rsidR="001D32CB">
        <w:t xml:space="preserve"> IRP </w:t>
      </w:r>
      <w:r>
        <w:t xml:space="preserve">work plan represents its current view </w:t>
      </w:r>
      <w:r w:rsidR="00AF3948">
        <w:t>of</w:t>
      </w:r>
      <w:r>
        <w:t xml:space="preserve"> the processes and activities needed to file an IRP by </w:t>
      </w:r>
      <w:r w:rsidR="00D93A41">
        <w:t>April 4</w:t>
      </w:r>
      <w:r w:rsidR="005031ED">
        <w:t>,</w:t>
      </w:r>
      <w:r>
        <w:t xml:space="preserve"> 20</w:t>
      </w:r>
      <w:r w:rsidR="005031ED">
        <w:t>1</w:t>
      </w:r>
      <w:r w:rsidR="00A93743">
        <w:t>7</w:t>
      </w:r>
      <w:r w:rsidR="00D93A41">
        <w:t>,</w:t>
      </w:r>
      <w:r>
        <w:t xml:space="preserve"> that meets state IRP standards and guidelines</w:t>
      </w:r>
      <w:r w:rsidR="005031ED">
        <w:t xml:space="preserve"> and aligns with the Company’s </w:t>
      </w:r>
      <w:r w:rsidR="001D32CB">
        <w:t>201</w:t>
      </w:r>
      <w:r w:rsidR="00A93743">
        <w:t>7</w:t>
      </w:r>
      <w:r w:rsidR="001D32CB">
        <w:t xml:space="preserve"> </w:t>
      </w:r>
      <w:r w:rsidR="005031ED">
        <w:t>business plan</w:t>
      </w:r>
      <w:r w:rsidR="00D86179">
        <w:t xml:space="preserve"> and procurement activities</w:t>
      </w:r>
      <w:r>
        <w:t xml:space="preserve">. As discussed above, </w:t>
      </w:r>
      <w:r w:rsidR="005031ED">
        <w:t xml:space="preserve">a </w:t>
      </w:r>
      <w:r>
        <w:t>pending state acknowledgment order</w:t>
      </w:r>
      <w:r w:rsidR="005031ED">
        <w:t xml:space="preserve"> and other factors may require adjustment to the schedule</w:t>
      </w:r>
      <w:r w:rsidR="00D262F9">
        <w:t xml:space="preserve"> and specific contents of the 201</w:t>
      </w:r>
      <w:r w:rsidR="00A93743">
        <w:t>7</w:t>
      </w:r>
      <w:r w:rsidR="00D262F9">
        <w:t xml:space="preserve"> IRP</w:t>
      </w:r>
      <w:r w:rsidR="005031ED">
        <w:t>.</w:t>
      </w:r>
    </w:p>
    <w:p w14:paraId="3D7E4488" w14:textId="77777777" w:rsidR="001330A8" w:rsidRDefault="001330A8" w:rsidP="00465EA7">
      <w:pPr>
        <w:jc w:val="both"/>
      </w:pPr>
    </w:p>
    <w:p w14:paraId="3017FADC" w14:textId="77777777" w:rsidR="00C33E04" w:rsidRDefault="001330A8" w:rsidP="002E5311">
      <w:pPr>
        <w:jc w:val="both"/>
      </w:pPr>
      <w:r>
        <w:t xml:space="preserve">PacifiCorp encourages Washington stakeholders to attend public meetings and actively be involved in this planning process. To join the </w:t>
      </w:r>
      <w:r w:rsidR="003C3155">
        <w:t>201</w:t>
      </w:r>
      <w:r w:rsidR="00A93743">
        <w:t>7</w:t>
      </w:r>
      <w:r w:rsidR="003C3155">
        <w:t xml:space="preserve"> </w:t>
      </w:r>
      <w:r>
        <w:t>IRP participants</w:t>
      </w:r>
      <w:r w:rsidR="00AF3948">
        <w:t>’</w:t>
      </w:r>
      <w:r>
        <w:t xml:space="preserve"> list, send an email request to </w:t>
      </w:r>
      <w:hyperlink r:id="rId7" w:history="1">
        <w:r w:rsidRPr="00F673F7">
          <w:rPr>
            <w:rStyle w:val="Hyperlink"/>
          </w:rPr>
          <w:t>IRP@PacifiCorp.com</w:t>
        </w:r>
      </w:hyperlink>
      <w:r>
        <w:t xml:space="preserve"> or call the </w:t>
      </w:r>
      <w:r w:rsidR="005031ED">
        <w:t xml:space="preserve">PacifiCorp </w:t>
      </w:r>
      <w:r>
        <w:t>IRP phone line at (503) 813-5245.</w:t>
      </w:r>
    </w:p>
    <w:sectPr w:rsidR="00C33E04" w:rsidSect="009D2C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9CAD7" w14:textId="77777777" w:rsidR="007A591B" w:rsidRDefault="007A591B" w:rsidP="009D2CF4">
      <w:r>
        <w:separator/>
      </w:r>
    </w:p>
  </w:endnote>
  <w:endnote w:type="continuationSeparator" w:id="0">
    <w:p w14:paraId="3F80FEBA" w14:textId="77777777" w:rsidR="007A591B" w:rsidRDefault="007A591B" w:rsidP="009D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6DE33" w14:textId="77777777" w:rsidR="00B83852" w:rsidRDefault="00B838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318790"/>
      <w:docPartObj>
        <w:docPartGallery w:val="Page Numbers (Bottom of Page)"/>
        <w:docPartUnique/>
      </w:docPartObj>
    </w:sdtPr>
    <w:sdtEndPr/>
    <w:sdtContent>
      <w:p w14:paraId="486813C9" w14:textId="77777777" w:rsidR="001D32CB" w:rsidRDefault="00D93A41">
        <w:pPr>
          <w:pStyle w:val="Footer"/>
          <w:jc w:val="right"/>
        </w:pPr>
        <w:r>
          <w:t>6</w:t>
        </w:r>
      </w:p>
    </w:sdtContent>
  </w:sdt>
  <w:p w14:paraId="5BCBF3DD" w14:textId="77777777" w:rsidR="001D32CB" w:rsidRPr="00A17354" w:rsidRDefault="00A17354" w:rsidP="00A17354">
    <w:pPr>
      <w:pStyle w:val="Footer"/>
      <w:jc w:val="right"/>
      <w:rPr>
        <w:sz w:val="20"/>
        <w:szCs w:val="20"/>
      </w:rPr>
    </w:pPr>
    <w:r w:rsidRPr="00A17354">
      <w:rPr>
        <w:sz w:val="20"/>
        <w:szCs w:val="20"/>
      </w:rPr>
      <w:t>Revised March 21,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AE809" w14:textId="77777777" w:rsidR="00B83852" w:rsidRDefault="00B838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7A234" w14:textId="77777777" w:rsidR="007A591B" w:rsidRDefault="007A591B" w:rsidP="009D2CF4">
      <w:r>
        <w:separator/>
      </w:r>
    </w:p>
  </w:footnote>
  <w:footnote w:type="continuationSeparator" w:id="0">
    <w:p w14:paraId="742934F0" w14:textId="77777777" w:rsidR="007A591B" w:rsidRDefault="007A591B" w:rsidP="009D2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B3684" w14:textId="77777777" w:rsidR="00B83852" w:rsidRDefault="00B838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E8C08" w14:textId="77777777" w:rsidR="001D32CB" w:rsidRPr="009D2CF4" w:rsidRDefault="001D32CB" w:rsidP="009D2CF4">
    <w:pPr>
      <w:pStyle w:val="Header"/>
      <w:rPr>
        <w:i/>
      </w:rPr>
    </w:pPr>
    <w:r w:rsidRPr="009D2CF4">
      <w:rPr>
        <w:i/>
        <w:sz w:val="20"/>
      </w:rPr>
      <w:t>PacifiCorp 201</w:t>
    </w:r>
    <w:r w:rsidR="002C3FF4">
      <w:rPr>
        <w:i/>
        <w:sz w:val="20"/>
      </w:rPr>
      <w:t>7</w:t>
    </w:r>
    <w:r w:rsidRPr="009D2CF4">
      <w:rPr>
        <w:i/>
        <w:sz w:val="20"/>
      </w:rPr>
      <w:t xml:space="preserve"> IRP Work Plan</w:t>
    </w:r>
    <w:r w:rsidR="009A33BA">
      <w:rPr>
        <w:i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F8210A" wp14:editId="0C1834D5">
              <wp:simplePos x="0" y="0"/>
              <wp:positionH relativeFrom="column">
                <wp:posOffset>-38100</wp:posOffset>
              </wp:positionH>
              <wp:positionV relativeFrom="paragraph">
                <wp:posOffset>200025</wp:posOffset>
              </wp:positionV>
              <wp:extent cx="5991225" cy="0"/>
              <wp:effectExtent l="9525" t="9525" r="9525" b="9525"/>
              <wp:wrapNone/>
              <wp:docPr id="1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401D7C" id="Line 5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5.75pt" to="468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46hEQIAACk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j6EFrTG1dARKV2NhRHz+rZbDX94ZDSVUvUgUeKLxcDeVnISN6khI0zcMG+/6oZxJCj17FP&#10;58Z2ARI6gM5RjstdDn72iMLhdLHIJpMpRnTwJaQYEo11/gvXHQpGiSWQjsDktHU+ECHFEBLuUXoj&#10;pIxqS4X6Ei+mgBw8TkvBgjNu7GFfSYtOJMxL/GJV78KsPioWwVpO2PpmeyLk1YbLpQp4UArQuVnX&#10;gfi5SBfr+Xqej/LJbD3K07oefd5U+Wi2yT5N64e6qursV6CW5UUrGOMqsBuGM8v/TvzbM7mO1X08&#10;721I3qLHfgHZ4R9JRy2DfNdB2Gt22dlBY5jHGHx7O2HgX+/Bfv3CV78BAAD//wMAUEsDBBQABgAI&#10;AAAAIQDD3Iwo3QAAAAgBAAAPAAAAZHJzL2Rvd25yZXYueG1sTI9BT8MwDIXvSPyHyEhcpi3dKjYo&#10;TScE9MaFMcTVa0xb0Thdk22FX48RB7jZfk/P38vXo+vUkYbQejYwnyWgiCtvW64NbF/K6TWoEJEt&#10;dp7JwCcFWBfnZzlm1p/4mY6bWCsJ4ZChgSbGPtM6VA05DDPfE4v27geHUdah1nbAk4S7Ti+SZKkd&#10;tiwfGuzpvqHqY3NwBkL5Svvya1JNkre09rTYPzw9ojGXF+PdLahIY/wzww++oEMhTDt/YBtUZ2C6&#10;lCrRQDq/AiX6TbqSYfd70EWu/xcovgEAAP//AwBQSwECLQAUAAYACAAAACEAtoM4kv4AAADhAQAA&#10;EwAAAAAAAAAAAAAAAAAAAAAAW0NvbnRlbnRfVHlwZXNdLnhtbFBLAQItABQABgAIAAAAIQA4/SH/&#10;1gAAAJQBAAALAAAAAAAAAAAAAAAAAC8BAABfcmVscy8ucmVsc1BLAQItABQABgAIAAAAIQCuo46h&#10;EQIAACkEAAAOAAAAAAAAAAAAAAAAAC4CAABkcnMvZTJvRG9jLnhtbFBLAQItABQABgAIAAAAIQDD&#10;3Iwo3QAAAAgBAAAPAAAAAAAAAAAAAAAAAGsEAABkcnMvZG93bnJldi54bWxQSwUGAAAAAAQABADz&#10;AAAAdQUAAAAA&#10;"/>
          </w:pict>
        </mc:Fallback>
      </mc:AlternateContent>
    </w:r>
    <w:r w:rsidRPr="009D2CF4">
      <w:rPr>
        <w:i/>
      </w:rPr>
      <w:tab/>
    </w:r>
    <w:r w:rsidRPr="009D2CF4">
      <w:rPr>
        <w:i/>
      </w:rPr>
      <w:tab/>
    </w:r>
    <w:r w:rsidRPr="009D2CF4">
      <w:rPr>
        <w:i/>
      </w:rPr>
      <w:tab/>
    </w:r>
    <w:r w:rsidRPr="009D2CF4">
      <w:rPr>
        <w:i/>
      </w:rPr>
      <w:tab/>
    </w:r>
  </w:p>
  <w:p w14:paraId="2EDEC109" w14:textId="77777777" w:rsidR="001D32CB" w:rsidRDefault="001D32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97A62" w14:textId="77777777" w:rsidR="00B83852" w:rsidRDefault="00B838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D4382"/>
    <w:multiLevelType w:val="hybridMultilevel"/>
    <w:tmpl w:val="8222B0BE"/>
    <w:lvl w:ilvl="0" w:tplc="04908B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8891A7D"/>
    <w:multiLevelType w:val="hybridMultilevel"/>
    <w:tmpl w:val="BEB6E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2D3E20"/>
    <w:multiLevelType w:val="hybridMultilevel"/>
    <w:tmpl w:val="191EF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32A4A"/>
    <w:multiLevelType w:val="hybridMultilevel"/>
    <w:tmpl w:val="6B3EC30C"/>
    <w:lvl w:ilvl="0" w:tplc="3092A424">
      <w:start w:val="1"/>
      <w:numFmt w:val="bullet"/>
      <w:lvlText w:val="●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A0F4094"/>
    <w:multiLevelType w:val="hybridMultilevel"/>
    <w:tmpl w:val="4796B67C"/>
    <w:lvl w:ilvl="0" w:tplc="3092A42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CF4"/>
    <w:rsid w:val="00010BDD"/>
    <w:rsid w:val="000365B1"/>
    <w:rsid w:val="0004033E"/>
    <w:rsid w:val="0004697C"/>
    <w:rsid w:val="0005158E"/>
    <w:rsid w:val="00062F5E"/>
    <w:rsid w:val="00065C3F"/>
    <w:rsid w:val="00070B11"/>
    <w:rsid w:val="000745C6"/>
    <w:rsid w:val="00075418"/>
    <w:rsid w:val="000821E8"/>
    <w:rsid w:val="00091272"/>
    <w:rsid w:val="0009662D"/>
    <w:rsid w:val="000E4BE2"/>
    <w:rsid w:val="000E6477"/>
    <w:rsid w:val="000E65C5"/>
    <w:rsid w:val="000F55ED"/>
    <w:rsid w:val="001121A0"/>
    <w:rsid w:val="001330A8"/>
    <w:rsid w:val="00170EA6"/>
    <w:rsid w:val="00174CDA"/>
    <w:rsid w:val="00176D25"/>
    <w:rsid w:val="00190D5C"/>
    <w:rsid w:val="001D32CB"/>
    <w:rsid w:val="001D4B46"/>
    <w:rsid w:val="001D6535"/>
    <w:rsid w:val="001D76D6"/>
    <w:rsid w:val="001E77CB"/>
    <w:rsid w:val="002035F3"/>
    <w:rsid w:val="0021071E"/>
    <w:rsid w:val="002244CB"/>
    <w:rsid w:val="00224E67"/>
    <w:rsid w:val="0022799C"/>
    <w:rsid w:val="0024212A"/>
    <w:rsid w:val="002648D7"/>
    <w:rsid w:val="00271F20"/>
    <w:rsid w:val="0029532D"/>
    <w:rsid w:val="002C1082"/>
    <w:rsid w:val="002C19FE"/>
    <w:rsid w:val="002C3FF4"/>
    <w:rsid w:val="002C7ED9"/>
    <w:rsid w:val="002E5311"/>
    <w:rsid w:val="00314FBB"/>
    <w:rsid w:val="0031632E"/>
    <w:rsid w:val="003447FF"/>
    <w:rsid w:val="00367997"/>
    <w:rsid w:val="00372268"/>
    <w:rsid w:val="00377EC0"/>
    <w:rsid w:val="00394DBF"/>
    <w:rsid w:val="00395CF1"/>
    <w:rsid w:val="00396F24"/>
    <w:rsid w:val="003A2B11"/>
    <w:rsid w:val="003C3155"/>
    <w:rsid w:val="003C5DF5"/>
    <w:rsid w:val="003D6A99"/>
    <w:rsid w:val="004268D0"/>
    <w:rsid w:val="00441723"/>
    <w:rsid w:val="00443D29"/>
    <w:rsid w:val="00447436"/>
    <w:rsid w:val="00454C4C"/>
    <w:rsid w:val="00464E7A"/>
    <w:rsid w:val="00465EA7"/>
    <w:rsid w:val="00466EAE"/>
    <w:rsid w:val="00492E66"/>
    <w:rsid w:val="00497FEB"/>
    <w:rsid w:val="004A339C"/>
    <w:rsid w:val="004C1C9A"/>
    <w:rsid w:val="004C4DC5"/>
    <w:rsid w:val="004D18E5"/>
    <w:rsid w:val="004D65E2"/>
    <w:rsid w:val="004E270F"/>
    <w:rsid w:val="004F62F1"/>
    <w:rsid w:val="005031ED"/>
    <w:rsid w:val="005155DF"/>
    <w:rsid w:val="005406AB"/>
    <w:rsid w:val="00582782"/>
    <w:rsid w:val="00590D72"/>
    <w:rsid w:val="005B26ED"/>
    <w:rsid w:val="005D3813"/>
    <w:rsid w:val="005D43F7"/>
    <w:rsid w:val="005E636D"/>
    <w:rsid w:val="00613A3D"/>
    <w:rsid w:val="00625B9B"/>
    <w:rsid w:val="00654B1D"/>
    <w:rsid w:val="00666407"/>
    <w:rsid w:val="00681836"/>
    <w:rsid w:val="006E666E"/>
    <w:rsid w:val="006F1945"/>
    <w:rsid w:val="007074C2"/>
    <w:rsid w:val="007161F8"/>
    <w:rsid w:val="00717CB0"/>
    <w:rsid w:val="0072587A"/>
    <w:rsid w:val="007447E6"/>
    <w:rsid w:val="00770A7A"/>
    <w:rsid w:val="00776DB2"/>
    <w:rsid w:val="0078132A"/>
    <w:rsid w:val="00783E1E"/>
    <w:rsid w:val="00786AE2"/>
    <w:rsid w:val="00791C3D"/>
    <w:rsid w:val="007965B9"/>
    <w:rsid w:val="007A591B"/>
    <w:rsid w:val="007B2108"/>
    <w:rsid w:val="007F6BDA"/>
    <w:rsid w:val="00802F1D"/>
    <w:rsid w:val="008036F1"/>
    <w:rsid w:val="008356E4"/>
    <w:rsid w:val="00863701"/>
    <w:rsid w:val="0086423A"/>
    <w:rsid w:val="008825EC"/>
    <w:rsid w:val="008912BC"/>
    <w:rsid w:val="00895373"/>
    <w:rsid w:val="008C0185"/>
    <w:rsid w:val="008C3FAD"/>
    <w:rsid w:val="008D69D9"/>
    <w:rsid w:val="008E355C"/>
    <w:rsid w:val="008E72BE"/>
    <w:rsid w:val="00901224"/>
    <w:rsid w:val="00902DB8"/>
    <w:rsid w:val="00916E17"/>
    <w:rsid w:val="00924C3E"/>
    <w:rsid w:val="00933360"/>
    <w:rsid w:val="00941599"/>
    <w:rsid w:val="00960296"/>
    <w:rsid w:val="00967EF7"/>
    <w:rsid w:val="00980AC5"/>
    <w:rsid w:val="009A33BA"/>
    <w:rsid w:val="009B2E54"/>
    <w:rsid w:val="009D2CF4"/>
    <w:rsid w:val="009E5828"/>
    <w:rsid w:val="009E6E1D"/>
    <w:rsid w:val="009F6719"/>
    <w:rsid w:val="00A12DCD"/>
    <w:rsid w:val="00A17354"/>
    <w:rsid w:val="00A2149C"/>
    <w:rsid w:val="00A25F83"/>
    <w:rsid w:val="00A3667E"/>
    <w:rsid w:val="00A52A93"/>
    <w:rsid w:val="00A751D3"/>
    <w:rsid w:val="00A93743"/>
    <w:rsid w:val="00A93C00"/>
    <w:rsid w:val="00AA2A98"/>
    <w:rsid w:val="00AB7A49"/>
    <w:rsid w:val="00AF3948"/>
    <w:rsid w:val="00B36E49"/>
    <w:rsid w:val="00B44944"/>
    <w:rsid w:val="00B66C45"/>
    <w:rsid w:val="00B81F17"/>
    <w:rsid w:val="00B83852"/>
    <w:rsid w:val="00BC36DF"/>
    <w:rsid w:val="00BD13CE"/>
    <w:rsid w:val="00C034A4"/>
    <w:rsid w:val="00C1671A"/>
    <w:rsid w:val="00C255A9"/>
    <w:rsid w:val="00C30315"/>
    <w:rsid w:val="00C32EF7"/>
    <w:rsid w:val="00C33E04"/>
    <w:rsid w:val="00C54109"/>
    <w:rsid w:val="00C559A0"/>
    <w:rsid w:val="00C67237"/>
    <w:rsid w:val="00C8046A"/>
    <w:rsid w:val="00C9027C"/>
    <w:rsid w:val="00C95863"/>
    <w:rsid w:val="00CA7473"/>
    <w:rsid w:val="00CC0BFD"/>
    <w:rsid w:val="00CD7816"/>
    <w:rsid w:val="00CE288E"/>
    <w:rsid w:val="00D0378D"/>
    <w:rsid w:val="00D03FC4"/>
    <w:rsid w:val="00D06293"/>
    <w:rsid w:val="00D13B49"/>
    <w:rsid w:val="00D23B5D"/>
    <w:rsid w:val="00D262F9"/>
    <w:rsid w:val="00D40D8A"/>
    <w:rsid w:val="00D70CAB"/>
    <w:rsid w:val="00D72FE2"/>
    <w:rsid w:val="00D760DD"/>
    <w:rsid w:val="00D86179"/>
    <w:rsid w:val="00D93A41"/>
    <w:rsid w:val="00DA052C"/>
    <w:rsid w:val="00DB00E2"/>
    <w:rsid w:val="00DB2C58"/>
    <w:rsid w:val="00DB5EAA"/>
    <w:rsid w:val="00DB7893"/>
    <w:rsid w:val="00DC2CD9"/>
    <w:rsid w:val="00DC79C6"/>
    <w:rsid w:val="00E04191"/>
    <w:rsid w:val="00E319D9"/>
    <w:rsid w:val="00E50685"/>
    <w:rsid w:val="00E755B1"/>
    <w:rsid w:val="00E94609"/>
    <w:rsid w:val="00EA3231"/>
    <w:rsid w:val="00EA5DD8"/>
    <w:rsid w:val="00EA6855"/>
    <w:rsid w:val="00EB2D48"/>
    <w:rsid w:val="00EB3654"/>
    <w:rsid w:val="00EB3DD2"/>
    <w:rsid w:val="00EB45E8"/>
    <w:rsid w:val="00EC26EF"/>
    <w:rsid w:val="00ED704C"/>
    <w:rsid w:val="00F009A3"/>
    <w:rsid w:val="00F607C3"/>
    <w:rsid w:val="00F61500"/>
    <w:rsid w:val="00F9551D"/>
    <w:rsid w:val="00FA452F"/>
    <w:rsid w:val="00FA7923"/>
    <w:rsid w:val="00FC73C4"/>
    <w:rsid w:val="00FE3816"/>
    <w:rsid w:val="00FF434E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83D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0A8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C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C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D2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CF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D2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CF4"/>
    <w:rPr>
      <w:sz w:val="24"/>
    </w:rPr>
  </w:style>
  <w:style w:type="paragraph" w:styleId="FootnoteText">
    <w:name w:val="footnote text"/>
    <w:basedOn w:val="Normal"/>
    <w:link w:val="FootnoteTextChar"/>
    <w:semiHidden/>
    <w:rsid w:val="00C33E0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33E0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C33E04"/>
    <w:rPr>
      <w:vertAlign w:val="superscript"/>
    </w:rPr>
  </w:style>
  <w:style w:type="character" w:styleId="Hyperlink">
    <w:name w:val="Hyperlink"/>
    <w:basedOn w:val="DefaultParagraphFont"/>
    <w:rsid w:val="00C33E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E7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E666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12D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D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DCD"/>
    <w:rPr>
      <w:rFonts w:ascii="Palatino Linotype" w:eastAsia="Times New Roman" w:hAnsi="Palatino Linotyp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D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DCD"/>
    <w:rPr>
      <w:rFonts w:ascii="Palatino Linotype" w:eastAsia="Times New Roman" w:hAnsi="Palatino Linotype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0B11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table" w:styleId="TableGrid">
    <w:name w:val="Table Grid"/>
    <w:basedOn w:val="TableNormal"/>
    <w:uiPriority w:val="59"/>
    <w:rsid w:val="00D23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IRP@PacifiCorp.com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BCFA278C815EE47ACFBABF05B21CD2B" ma:contentTypeVersion="104" ma:contentTypeDescription="" ma:contentTypeScope="" ma:versionID="b358b08b3791dd5087bd7bf145f390d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140</IndustryCode>
    <CaseStatus xmlns="dc463f71-b30c-4ab2-9473-d307f9d35888">Closed</CaseStatus>
    <OpenedDate xmlns="dc463f71-b30c-4ab2-9473-d307f9d35888">2016-03-30T07:00:00+00:00</OpenedDate>
    <Date1 xmlns="dc463f71-b30c-4ab2-9473-d307f9d35888">2017-03-21T07:00:00+00:00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>2017 IRP</Nickname>
    <DocketNumber xmlns="dc463f71-b30c-4ab2-9473-d307f9d35888">160353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BAC5084-7CC8-47A1-ABEC-DBF7A4732D88}"/>
</file>

<file path=customXml/itemProps2.xml><?xml version="1.0" encoding="utf-8"?>
<ds:datastoreItem xmlns:ds="http://schemas.openxmlformats.org/officeDocument/2006/customXml" ds:itemID="{8EC049D9-39D5-4E2A-B115-40F1653BC19C}"/>
</file>

<file path=customXml/itemProps3.xml><?xml version="1.0" encoding="utf-8"?>
<ds:datastoreItem xmlns:ds="http://schemas.openxmlformats.org/officeDocument/2006/customXml" ds:itemID="{3D1C12FE-3756-46CA-B5C2-E87235FF3C5D}"/>
</file>

<file path=customXml/itemProps4.xml><?xml version="1.0" encoding="utf-8"?>
<ds:datastoreItem xmlns:ds="http://schemas.openxmlformats.org/officeDocument/2006/customXml" ds:itemID="{85016B34-32E7-4CE6-878C-82F9129FA3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2017-03-21T16:02:00Z</dcterms:created>
  <dcterms:modified xsi:type="dcterms:W3CDTF">2017-03-21T20:47:00Z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0x0101006E56B4D1795A2E4DB2F0B01679ED314A00BBCFA278C815EE47ACFBABF05B21CD2B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