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220CB36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C9740D">
        <w:rPr>
          <w:rFonts w:ascii="Times New Roman" w:hAnsi="Times New Roman"/>
        </w:rPr>
        <w:t>s</w:t>
      </w:r>
      <w:r w:rsidRPr="00523713">
        <w:rPr>
          <w:rFonts w:ascii="Times New Roman" w:hAnsi="Times New Roman"/>
        </w:rPr>
        <w:t>:</w:t>
      </w:r>
      <w:r w:rsidRPr="00523713">
        <w:rPr>
          <w:rFonts w:ascii="Times New Roman" w:hAnsi="Times New Roman"/>
        </w:rPr>
        <w:tab/>
      </w:r>
      <w:r w:rsidR="00412629">
        <w:rPr>
          <w:rFonts w:ascii="Times New Roman" w:hAnsi="Times New Roman"/>
        </w:rPr>
        <w:t>A1 and A2</w:t>
      </w:r>
    </w:p>
    <w:p w14:paraId="56BA27A8" w14:textId="77777777" w:rsidR="009420CC" w:rsidRPr="00523713" w:rsidRDefault="009420CC" w:rsidP="00751DD9">
      <w:pPr>
        <w:ind w:left="2160" w:hanging="2160"/>
        <w:rPr>
          <w:rFonts w:ascii="Times New Roman" w:hAnsi="Times New Roman"/>
        </w:rPr>
      </w:pPr>
    </w:p>
    <w:p w14:paraId="782D8F42" w14:textId="5C4ABA66" w:rsidR="00657DEE" w:rsidRPr="00523713" w:rsidRDefault="00657DEE">
      <w:pPr>
        <w:rPr>
          <w:rFonts w:ascii="Times New Roman" w:hAnsi="Times New Roman"/>
          <w:b/>
          <w:bCs/>
        </w:rPr>
      </w:pPr>
      <w:r w:rsidRPr="00523713">
        <w:rPr>
          <w:rFonts w:ascii="Times New Roman" w:hAnsi="Times New Roman"/>
          <w:b/>
          <w:bCs/>
        </w:rPr>
        <w:t>Docket</w:t>
      </w:r>
      <w:r w:rsidR="00C9740D">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UE-160071 and UG-160072</w:t>
      </w:r>
    </w:p>
    <w:p w14:paraId="782D8F43" w14:textId="59FD77E9"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Avista Corporation</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3B999571"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Avista’s filing in Dockets UE-160071 and UG-160072 are a product of the interest generated by that workshop.</w:t>
      </w:r>
    </w:p>
    <w:p w14:paraId="584E3737" w14:textId="77777777" w:rsidR="007360EC" w:rsidRPr="00523713" w:rsidRDefault="007360EC">
      <w:pPr>
        <w:rPr>
          <w:rFonts w:ascii="Times New Roman" w:hAnsi="Times New Roman"/>
        </w:rPr>
      </w:pPr>
    </w:p>
    <w:p w14:paraId="4BA910A5" w14:textId="02EED38C"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7360EC" w:rsidRPr="00523713">
        <w:rPr>
          <w:rFonts w:ascii="Times New Roman" w:hAnsi="Times New Roman"/>
        </w:rPr>
        <w:t xml:space="preserve">Avista </w:t>
      </w:r>
      <w:r w:rsidRPr="00523713">
        <w:rPr>
          <w:rFonts w:ascii="Times New Roman" w:hAnsi="Times New Roman"/>
        </w:rPr>
        <w:t>seek</w:t>
      </w:r>
      <w:r w:rsidR="007360EC" w:rsidRPr="00523713">
        <w:rPr>
          <w:rFonts w:ascii="Times New Roman" w:hAnsi="Times New Roman"/>
        </w:rPr>
        <w:t>s to defer</w:t>
      </w:r>
      <w:r w:rsidR="008A75C9" w:rsidRPr="00523713">
        <w:rPr>
          <w:rFonts w:ascii="Times New Roman" w:hAnsi="Times New Roman"/>
        </w:rPr>
        <w:t>, for up to 36 months,</w:t>
      </w:r>
      <w:r w:rsidR="007360EC" w:rsidRPr="00523713">
        <w:rPr>
          <w:rFonts w:ascii="Times New Roman" w:hAnsi="Times New Roman"/>
        </w:rPr>
        <w:t xml:space="preserve"> all fees paid by Avista related to offering a fee-free program for payment of bills by Washington residential customers</w:t>
      </w:r>
      <w:r w:rsidRPr="00523713">
        <w:rPr>
          <w:rFonts w:ascii="Times New Roman" w:hAnsi="Times New Roman"/>
        </w:rPr>
        <w:t xml:space="preserve"> that use credit and debit cards</w:t>
      </w:r>
      <w:r w:rsidR="007360EC" w:rsidRPr="00523713">
        <w:rPr>
          <w:rFonts w:ascii="Times New Roman" w:hAnsi="Times New Roman"/>
        </w:rPr>
        <w:t xml:space="preserve">. Absent approval of this deferral, the </w:t>
      </w:r>
      <w:r w:rsidR="00D31759">
        <w:rPr>
          <w:rFonts w:ascii="Times New Roman" w:hAnsi="Times New Roman"/>
        </w:rPr>
        <w:t>c</w:t>
      </w:r>
      <w:r w:rsidR="007360EC" w:rsidRPr="00523713">
        <w:rPr>
          <w:rFonts w:ascii="Times New Roman" w:hAnsi="Times New Roman"/>
        </w:rPr>
        <w:t>ompany states that it will not move forward with a fee-free program. Avista has also sought similar treatment in Oregon and Idaho.</w:t>
      </w:r>
    </w:p>
    <w:p w14:paraId="629F93D2" w14:textId="77777777" w:rsidR="007360EC" w:rsidRPr="00523713" w:rsidRDefault="007360EC">
      <w:pPr>
        <w:rPr>
          <w:rFonts w:ascii="Times New Roman" w:hAnsi="Times New Roman"/>
        </w:rPr>
      </w:pPr>
    </w:p>
    <w:p w14:paraId="1EF6C472" w14:textId="3433DEEE" w:rsidR="007360EC" w:rsidRPr="00523713" w:rsidRDefault="00932693">
      <w:pPr>
        <w:rPr>
          <w:rFonts w:ascii="Times New Roman" w:hAnsi="Times New Roman"/>
        </w:rPr>
      </w:pPr>
      <w:r w:rsidRPr="00523713">
        <w:rPr>
          <w:rFonts w:ascii="Times New Roman" w:hAnsi="Times New Roman"/>
        </w:rPr>
        <w:t xml:space="preserve">Under current practices, Avista customers who wish to pay their bills with a credit or debit card are faced with a $3.50 fee that is assessed by the payment processor Avista currently uses. This fee never passes through Avista.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D31759">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0CE15E0F" w14:textId="27F89374" w:rsidR="008B1FFB" w:rsidRPr="00523713" w:rsidRDefault="00932693">
      <w:pPr>
        <w:rPr>
          <w:rFonts w:ascii="Times New Roman" w:hAnsi="Times New Roman"/>
        </w:rPr>
      </w:pPr>
      <w:r w:rsidRPr="00523713">
        <w:rPr>
          <w:rFonts w:ascii="Times New Roman" w:hAnsi="Times New Roman"/>
        </w:rPr>
        <w:t>Avista c</w:t>
      </w:r>
      <w:r w:rsidR="000969AF" w:rsidRPr="00523713">
        <w:rPr>
          <w:rFonts w:ascii="Times New Roman" w:hAnsi="Times New Roman"/>
        </w:rPr>
        <w:t>an substantially reduce the cost</w:t>
      </w:r>
      <w:r w:rsidRPr="00523713">
        <w:rPr>
          <w:rFonts w:ascii="Times New Roman" w:hAnsi="Times New Roman"/>
        </w:rPr>
        <w:t xml:space="preserve"> per transacti</w:t>
      </w:r>
      <w:r w:rsidR="008A75C9" w:rsidRPr="00523713">
        <w:rPr>
          <w:rFonts w:ascii="Times New Roman" w:hAnsi="Times New Roman"/>
        </w:rPr>
        <w:t>on with a new payment processor</w:t>
      </w:r>
      <w:r w:rsidRPr="00523713">
        <w:rPr>
          <w:rFonts w:ascii="Times New Roman" w:hAnsi="Times New Roman"/>
        </w:rPr>
        <w:t xml:space="preserve"> through two </w:t>
      </w:r>
      <w:r w:rsidR="00AD3CD3" w:rsidRPr="00523713">
        <w:rPr>
          <w:rFonts w:ascii="Times New Roman" w:hAnsi="Times New Roman"/>
        </w:rPr>
        <w:t>methods</w:t>
      </w:r>
      <w:r w:rsidRPr="00523713">
        <w:rPr>
          <w:rFonts w:ascii="Times New Roman" w:hAnsi="Times New Roman"/>
        </w:rPr>
        <w:t xml:space="preserve">: by making agreements </w:t>
      </w:r>
      <w:r w:rsidR="000969AF" w:rsidRPr="00523713">
        <w:rPr>
          <w:rFonts w:ascii="Times New Roman" w:hAnsi="Times New Roman"/>
        </w:rPr>
        <w:t>regarding the size of</w:t>
      </w:r>
      <w:r w:rsidR="00826354" w:rsidRPr="00523713">
        <w:rPr>
          <w:rFonts w:ascii="Times New Roman" w:hAnsi="Times New Roman"/>
        </w:rPr>
        <w:t xml:space="preserve"> bills</w:t>
      </w:r>
      <w:r w:rsidR="008B1FFB" w:rsidRPr="00523713">
        <w:rPr>
          <w:rFonts w:ascii="Times New Roman" w:hAnsi="Times New Roman"/>
        </w:rPr>
        <w:t xml:space="preserve"> handled by the payment processor</w:t>
      </w:r>
      <w:r w:rsidR="00826354" w:rsidRPr="00523713">
        <w:rPr>
          <w:rFonts w:ascii="Times New Roman" w:hAnsi="Times New Roman"/>
        </w:rPr>
        <w:t xml:space="preserve">, and by incurring the </w:t>
      </w:r>
      <w:r w:rsidR="000969AF" w:rsidRPr="00523713">
        <w:rPr>
          <w:rFonts w:ascii="Times New Roman" w:hAnsi="Times New Roman"/>
        </w:rPr>
        <w:t>costs of processing these payments</w:t>
      </w:r>
      <w:r w:rsidR="00826354" w:rsidRPr="00523713">
        <w:rPr>
          <w:rFonts w:ascii="Times New Roman" w:hAnsi="Times New Roman"/>
        </w:rPr>
        <w:t xml:space="preserve"> directly.</w:t>
      </w:r>
    </w:p>
    <w:p w14:paraId="4A24FF49" w14:textId="77777777" w:rsidR="008B1FFB" w:rsidRPr="00523713" w:rsidRDefault="008B1FFB">
      <w:pPr>
        <w:rPr>
          <w:rFonts w:ascii="Times New Roman" w:hAnsi="Times New Roman"/>
        </w:rPr>
      </w:pPr>
    </w:p>
    <w:p w14:paraId="7CE7878F" w14:textId="77777777" w:rsidR="00171222" w:rsidRDefault="00AD3CD3">
      <w:pPr>
        <w:rPr>
          <w:rFonts w:ascii="Times New Roman" w:hAnsi="Times New Roman"/>
        </w:rPr>
      </w:pPr>
      <w:r w:rsidRPr="00523713">
        <w:rPr>
          <w:rFonts w:ascii="Times New Roman" w:hAnsi="Times New Roman"/>
        </w:rPr>
        <w:t>In</w:t>
      </w:r>
      <w:r w:rsidR="00826354" w:rsidRPr="00523713">
        <w:rPr>
          <w:rFonts w:ascii="Times New Roman" w:hAnsi="Times New Roman"/>
        </w:rPr>
        <w:t xml:space="preserve"> restricting fee-free payments to those from the residential class, the company has demonstrated to its new payment processor’s satisfaction that these payments will be less costly </w:t>
      </w:r>
    </w:p>
    <w:p w14:paraId="4D429491" w14:textId="77777777" w:rsidR="00171222" w:rsidRDefault="00171222">
      <w:pPr>
        <w:rPr>
          <w:rFonts w:ascii="Times New Roman" w:hAnsi="Times New Roman"/>
        </w:rPr>
      </w:pPr>
    </w:p>
    <w:p w14:paraId="0E4A6E9F" w14:textId="77777777" w:rsidR="00171222" w:rsidRDefault="00171222">
      <w:pPr>
        <w:rPr>
          <w:rFonts w:ascii="Times New Roman" w:hAnsi="Times New Roman"/>
        </w:rPr>
      </w:pPr>
    </w:p>
    <w:p w14:paraId="4FF8DFD4" w14:textId="77777777" w:rsidR="00171222" w:rsidRDefault="00171222">
      <w:pPr>
        <w:rPr>
          <w:rFonts w:ascii="Times New Roman" w:hAnsi="Times New Roman"/>
        </w:rPr>
      </w:pPr>
    </w:p>
    <w:p w14:paraId="19AFAEF8" w14:textId="77777777" w:rsidR="00171222" w:rsidRDefault="00171222">
      <w:pPr>
        <w:rPr>
          <w:rFonts w:ascii="Times New Roman" w:hAnsi="Times New Roman"/>
        </w:rPr>
      </w:pPr>
    </w:p>
    <w:p w14:paraId="03D8299A" w14:textId="77777777" w:rsidR="00171222" w:rsidRDefault="00171222">
      <w:pPr>
        <w:rPr>
          <w:rFonts w:ascii="Times New Roman" w:hAnsi="Times New Roman"/>
        </w:rPr>
      </w:pPr>
    </w:p>
    <w:p w14:paraId="58828B79" w14:textId="77777777" w:rsidR="00171222" w:rsidRDefault="00171222">
      <w:pPr>
        <w:rPr>
          <w:rFonts w:ascii="Times New Roman" w:hAnsi="Times New Roman"/>
        </w:rPr>
      </w:pPr>
    </w:p>
    <w:p w14:paraId="48C8B62D" w14:textId="59487F25" w:rsidR="00D351CF" w:rsidRPr="00523713" w:rsidRDefault="00826354">
      <w:pPr>
        <w:rPr>
          <w:rFonts w:ascii="Times New Roman" w:hAnsi="Times New Roman"/>
        </w:rPr>
      </w:pPr>
      <w:r w:rsidRPr="00523713">
        <w:rPr>
          <w:rFonts w:ascii="Times New Roman" w:hAnsi="Times New Roman"/>
        </w:rPr>
        <w:t>for the payment processor to handle.</w:t>
      </w:r>
      <w:r w:rsidR="008B1FFB" w:rsidRPr="00523713">
        <w:rPr>
          <w:rStyle w:val="FootnoteReference"/>
          <w:rFonts w:ascii="Times New Roman" w:hAnsi="Times New Roman"/>
        </w:rPr>
        <w:footnoteReference w:id="1"/>
      </w:r>
      <w:r w:rsidR="00D351CF" w:rsidRPr="00523713">
        <w:rPr>
          <w:rFonts w:ascii="Times New Roman" w:hAnsi="Times New Roman"/>
        </w:rPr>
        <w:t xml:space="preserve"> This, in turn, allows the payment processor to offer a lower cost per transaction.</w:t>
      </w:r>
      <w:r w:rsidRPr="00523713">
        <w:rPr>
          <w:rFonts w:ascii="Times New Roman" w:hAnsi="Times New Roman"/>
        </w:rPr>
        <w:t xml:space="preserve"> </w:t>
      </w:r>
    </w:p>
    <w:p w14:paraId="767AEF55" w14:textId="77777777" w:rsidR="00D351CF" w:rsidRPr="00523713" w:rsidRDefault="00D351CF">
      <w:pPr>
        <w:rPr>
          <w:rFonts w:ascii="Times New Roman" w:hAnsi="Times New Roman"/>
        </w:rPr>
      </w:pPr>
    </w:p>
    <w:p w14:paraId="4A2ABDC6" w14:textId="5701ADF2" w:rsidR="00932693" w:rsidRPr="00523713" w:rsidRDefault="00826354">
      <w:pPr>
        <w:rPr>
          <w:rFonts w:ascii="Times New Roman" w:hAnsi="Times New Roman"/>
        </w:rPr>
      </w:pPr>
      <w:r w:rsidRPr="00523713">
        <w:rPr>
          <w:rFonts w:ascii="Times New Roman" w:hAnsi="Times New Roman"/>
        </w:rPr>
        <w:t xml:space="preserve">The second method – having Avista incur the payment fees, rather than customers – qualifies Avista for use of the lower “utility rate” interchange rates assessed by </w:t>
      </w:r>
      <w:r w:rsidR="000969AF" w:rsidRPr="00523713">
        <w:rPr>
          <w:rFonts w:ascii="Times New Roman" w:hAnsi="Times New Roman"/>
        </w:rPr>
        <w:t xml:space="preserve">payment networks like </w:t>
      </w:r>
      <w:r w:rsidRPr="00523713">
        <w:rPr>
          <w:rFonts w:ascii="Times New Roman" w:hAnsi="Times New Roman"/>
        </w:rPr>
        <w:t xml:space="preserve">VISA and MasterCard. </w:t>
      </w:r>
      <w:r w:rsidR="000969AF" w:rsidRPr="00523713">
        <w:rPr>
          <w:rFonts w:ascii="Times New Roman" w:hAnsi="Times New Roman"/>
        </w:rPr>
        <w:t>This lower interchange rate is a significant factor in the reduced costs per transaction. 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4CEC0629" w:rsidR="008B1FFB" w:rsidRPr="00523713" w:rsidRDefault="008B1FFB">
      <w:pPr>
        <w:rPr>
          <w:rFonts w:ascii="Times New Roman" w:hAnsi="Times New Roman"/>
        </w:rPr>
      </w:pPr>
      <w:r w:rsidRPr="00523713">
        <w:rPr>
          <w:rFonts w:ascii="Times New Roman" w:hAnsi="Times New Roman"/>
        </w:rPr>
        <w:t>In order to a</w:t>
      </w:r>
      <w:r w:rsidR="00755626" w:rsidRPr="00523713">
        <w:rPr>
          <w:rFonts w:ascii="Times New Roman" w:hAnsi="Times New Roman"/>
        </w:rPr>
        <w:t>chiev</w:t>
      </w:r>
      <w:r w:rsidRPr="00523713">
        <w:rPr>
          <w:rFonts w:ascii="Times New Roman" w:hAnsi="Times New Roman"/>
        </w:rPr>
        <w:t xml:space="preserve">e this second method of cost-reductions for </w:t>
      </w:r>
      <w:r w:rsidR="00755626" w:rsidRPr="00523713">
        <w:rPr>
          <w:rFonts w:ascii="Times New Roman" w:hAnsi="Times New Roman"/>
        </w:rPr>
        <w:t xml:space="preserve">its card-using </w:t>
      </w:r>
      <w:r w:rsidRPr="00523713">
        <w:rPr>
          <w:rFonts w:ascii="Times New Roman" w:hAnsi="Times New Roman"/>
        </w:rPr>
        <w:t>customers</w:t>
      </w:r>
      <w:r w:rsidR="000969AF" w:rsidRPr="00523713">
        <w:rPr>
          <w:rFonts w:ascii="Times New Roman" w:hAnsi="Times New Roman"/>
        </w:rPr>
        <w:t>,</w:t>
      </w:r>
      <w:r w:rsidRPr="00523713">
        <w:rPr>
          <w:rFonts w:ascii="Times New Roman" w:hAnsi="Times New Roman"/>
        </w:rPr>
        <w:t xml:space="preserve"> </w:t>
      </w:r>
      <w:r w:rsidR="00AD3CD3" w:rsidRPr="00523713">
        <w:rPr>
          <w:rFonts w:ascii="Times New Roman" w:hAnsi="Times New Roman"/>
        </w:rPr>
        <w:t>Avista seeks to defer the costs associated with processing these payments</w:t>
      </w:r>
      <w:r w:rsidRPr="00523713">
        <w:rPr>
          <w:rFonts w:ascii="Times New Roman" w:hAnsi="Times New Roman"/>
        </w:rPr>
        <w:t xml:space="preserve">. Approval of the deferral would allow Avista to begin the fee-free program for residential customers in October of this year.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8A75C9" w:rsidRPr="00523713">
        <w:rPr>
          <w:rFonts w:ascii="Times New Roman" w:hAnsi="Times New Roman"/>
        </w:rPr>
        <w:t>21</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suspension date of July 1, 2018</w:t>
      </w:r>
      <w:r w:rsidR="00D31759">
        <w:rPr>
          <w:rFonts w:ascii="Times New Roman" w:hAnsi="Times New Roman"/>
        </w:rPr>
        <w:t>,</w:t>
      </w:r>
      <w:r w:rsidR="00A54F3F" w:rsidRPr="00523713">
        <w:rPr>
          <w:rFonts w:ascii="Times New Roman" w:hAnsi="Times New Roman"/>
        </w:rPr>
        <w:t xml:space="preserve"> of Avista’s </w:t>
      </w:r>
      <w:r w:rsidR="00A54F3F" w:rsidRPr="00523713">
        <w:rPr>
          <w:rFonts w:ascii="Times New Roman" w:hAnsi="Times New Roman"/>
          <w:i/>
        </w:rPr>
        <w:t>next</w:t>
      </w:r>
      <w:r w:rsidR="00A54F3F" w:rsidRPr="00523713">
        <w:rPr>
          <w:rFonts w:ascii="Times New Roman" w:hAnsi="Times New Roman"/>
        </w:rPr>
        <w:t xml:space="preserve"> rate case.</w:t>
      </w:r>
      <w:r w:rsidR="00523713" w:rsidRPr="00523713">
        <w:rPr>
          <w:rStyle w:val="FootnoteReference"/>
          <w:rFonts w:ascii="Times New Roman" w:hAnsi="Times New Roman"/>
        </w:rPr>
        <w:footnoteReference w:id="2"/>
      </w:r>
      <w:r w:rsidR="00A54F3F" w:rsidRPr="00523713">
        <w:rPr>
          <w:rFonts w:ascii="Times New Roman" w:hAnsi="Times New Roman"/>
        </w:rPr>
        <w:t xml:space="preserve"> Assuming a </w:t>
      </w:r>
      <w:r w:rsidR="00596CF2" w:rsidRPr="00523713">
        <w:rPr>
          <w:rFonts w:ascii="Times New Roman" w:hAnsi="Times New Roman"/>
        </w:rPr>
        <w:t xml:space="preserve">future rate case </w:t>
      </w:r>
      <w:r w:rsidR="00A54F3F" w:rsidRPr="00523713">
        <w:rPr>
          <w:rFonts w:ascii="Times New Roman" w:hAnsi="Times New Roman"/>
        </w:rPr>
        <w:t xml:space="preserve">filing date of July 1, 2017, this deferral would be available for review for intervening parties after </w:t>
      </w:r>
      <w:r w:rsidR="00D31759">
        <w:rPr>
          <w:rFonts w:ascii="Times New Roman" w:hAnsi="Times New Roman"/>
        </w:rPr>
        <w:t>nine</w:t>
      </w:r>
      <w:r w:rsidR="00A54F3F" w:rsidRPr="00523713">
        <w:rPr>
          <w:rFonts w:ascii="Times New Roman" w:hAnsi="Times New Roman"/>
        </w:rPr>
        <w:t xml:space="preserve"> months of accrual</w:t>
      </w:r>
      <w:r w:rsidR="008A75C9" w:rsidRPr="00523713">
        <w:rPr>
          <w:rFonts w:ascii="Times New Roman" w:hAnsi="Times New Roman"/>
        </w:rPr>
        <w:t>, and through the pendency of the rate case</w:t>
      </w:r>
      <w:r w:rsidR="00A54F3F" w:rsidRPr="00523713">
        <w:rPr>
          <w:rFonts w:ascii="Times New Roman" w:hAnsi="Times New Roman"/>
        </w:rPr>
        <w:t>.</w:t>
      </w:r>
      <w:r w:rsidR="00755626" w:rsidRPr="00523713">
        <w:rPr>
          <w:rFonts w:ascii="Times New Roman" w:hAnsi="Times New Roman"/>
        </w:rPr>
        <w:t xml:space="preserve"> </w:t>
      </w:r>
      <w:r w:rsidR="008A75C9" w:rsidRPr="00523713">
        <w:rPr>
          <w:rFonts w:ascii="Times New Roman" w:hAnsi="Times New Roman"/>
        </w:rPr>
        <w:t xml:space="preserve">Separately, </w:t>
      </w:r>
      <w:r w:rsidR="00755626" w:rsidRPr="00523713">
        <w:rPr>
          <w:rFonts w:ascii="Times New Roman" w:hAnsi="Times New Roman"/>
        </w:rPr>
        <w:t>Avista has</w:t>
      </w:r>
      <w:r w:rsidR="008A75C9" w:rsidRPr="00523713">
        <w:rPr>
          <w:rFonts w:ascii="Times New Roman" w:hAnsi="Times New Roman"/>
        </w:rPr>
        <w:t xml:space="preserve"> also agreed to provide updates every three months</w:t>
      </w:r>
      <w:r w:rsidR="00755626" w:rsidRPr="00523713">
        <w:rPr>
          <w:rFonts w:ascii="Times New Roman" w:hAnsi="Times New Roman"/>
        </w:rPr>
        <w:t xml:space="preserve"> on how the program is progressing.</w:t>
      </w:r>
    </w:p>
    <w:p w14:paraId="5927DDC1" w14:textId="588594C6" w:rsidR="00AD3CD3" w:rsidRPr="00523713" w:rsidRDefault="00553F02">
      <w:pPr>
        <w:rPr>
          <w:rFonts w:ascii="Times New Roman" w:hAnsi="Times New Roman"/>
        </w:rPr>
      </w:pPr>
      <w:r>
        <w:rPr>
          <w:rFonts w:ascii="Times New Roman" w:hAnsi="Times New Roman"/>
        </w:rPr>
        <w:t>`</w:t>
      </w:r>
    </w:p>
    <w:p w14:paraId="69732D85" w14:textId="751949D1" w:rsidR="00AD3CD3" w:rsidRDefault="00AD3CD3">
      <w:pPr>
        <w:rPr>
          <w:rFonts w:ascii="Times New Roman" w:hAnsi="Times New Roman"/>
        </w:rPr>
      </w:pPr>
      <w:r w:rsidRPr="00523713">
        <w:rPr>
          <w:rFonts w:ascii="Times New Roman" w:hAnsi="Times New Roman"/>
        </w:rPr>
        <w:t>Avista received 4,759,839 residential payments in 2014. Assuming a 15</w:t>
      </w:r>
      <w:r w:rsidR="00D31759">
        <w:rPr>
          <w:rFonts w:ascii="Times New Roman" w:hAnsi="Times New Roman"/>
        </w:rPr>
        <w:t xml:space="preserve"> percent</w:t>
      </w:r>
      <w:r w:rsidRPr="00523713">
        <w:rPr>
          <w:rFonts w:ascii="Times New Roman" w:hAnsi="Times New Roman"/>
        </w:rPr>
        <w:t xml:space="preserve"> adoption rate by these customers – consistent with th</w:t>
      </w:r>
      <w:r w:rsidR="00390A6F" w:rsidRPr="00523713">
        <w:rPr>
          <w:rFonts w:ascii="Times New Roman" w:hAnsi="Times New Roman"/>
        </w:rPr>
        <w:t>e 14</w:t>
      </w:r>
      <w:r w:rsidR="00D31759">
        <w:rPr>
          <w:rFonts w:ascii="Times New Roman" w:hAnsi="Times New Roman"/>
        </w:rPr>
        <w:t xml:space="preserve"> percent</w:t>
      </w:r>
      <w:r w:rsidR="00390A6F" w:rsidRPr="00523713">
        <w:rPr>
          <w:rFonts w:ascii="Times New Roman" w:hAnsi="Times New Roman"/>
        </w:rPr>
        <w:t xml:space="preserve"> adoption rate</w:t>
      </w:r>
      <w:r w:rsidRPr="00523713">
        <w:rPr>
          <w:rFonts w:ascii="Times New Roman" w:hAnsi="Times New Roman"/>
        </w:rPr>
        <w:t xml:space="preserve"> experienced by N</w:t>
      </w:r>
      <w:r w:rsidR="00D31759">
        <w:rPr>
          <w:rFonts w:ascii="Times New Roman" w:hAnsi="Times New Roman"/>
        </w:rPr>
        <w:t>orthwest</w:t>
      </w:r>
      <w:r w:rsidRPr="00523713">
        <w:rPr>
          <w:rFonts w:ascii="Times New Roman" w:hAnsi="Times New Roman"/>
        </w:rPr>
        <w:t xml:space="preserve"> Natural</w:t>
      </w:r>
      <w:r w:rsidR="00FF05C5">
        <w:rPr>
          <w:rStyle w:val="FootnoteReference"/>
          <w:rFonts w:ascii="Times New Roman" w:hAnsi="Times New Roman"/>
        </w:rPr>
        <w:footnoteReference w:id="3"/>
      </w:r>
      <w:r w:rsidRPr="00523713">
        <w:rPr>
          <w:rFonts w:ascii="Times New Roman" w:hAnsi="Times New Roman"/>
        </w:rPr>
        <w:t xml:space="preserve"> </w:t>
      </w:r>
      <w:r w:rsidR="00390A6F" w:rsidRPr="00523713">
        <w:rPr>
          <w:rFonts w:ascii="Times New Roman" w:hAnsi="Times New Roman"/>
        </w:rPr>
        <w:t>–</w:t>
      </w:r>
      <w:r w:rsidRPr="00523713">
        <w:rPr>
          <w:rFonts w:ascii="Times New Roman" w:hAnsi="Times New Roman"/>
        </w:rPr>
        <w:t xml:space="preserve"> </w:t>
      </w:r>
      <w:r w:rsidR="00390A6F" w:rsidRPr="00523713">
        <w:rPr>
          <w:rFonts w:ascii="Times New Roman" w:hAnsi="Times New Roman"/>
        </w:rPr>
        <w:t>Avista expect</w:t>
      </w:r>
      <w:r w:rsidR="00FF05C5">
        <w:rPr>
          <w:rFonts w:ascii="Times New Roman" w:hAnsi="Times New Roman"/>
        </w:rPr>
        <w:t>s</w:t>
      </w:r>
      <w:r w:rsidR="00390A6F" w:rsidRPr="00523713">
        <w:rPr>
          <w:rFonts w:ascii="Times New Roman" w:hAnsi="Times New Roman"/>
        </w:rPr>
        <w:t xml:space="preserve"> to defer roughly $</w:t>
      </w:r>
      <w:r w:rsidR="00F77A50">
        <w:rPr>
          <w:rFonts w:ascii="Times New Roman" w:hAnsi="Times New Roman"/>
        </w:rPr>
        <w:t>607,000</w:t>
      </w:r>
      <w:r w:rsidR="00390A6F" w:rsidRPr="00523713">
        <w:rPr>
          <w:rFonts w:ascii="Times New Roman" w:hAnsi="Times New Roman"/>
        </w:rPr>
        <w:t xml:space="preserve"> over the course of a year. Over a presumed 21 month deferral period, this would amount to approximately $1.</w:t>
      </w:r>
      <w:r w:rsidR="00F77A50">
        <w:rPr>
          <w:rFonts w:ascii="Times New Roman" w:hAnsi="Times New Roman"/>
        </w:rPr>
        <w:t>03</w:t>
      </w:r>
      <w:r w:rsidR="00F77A50" w:rsidRPr="00523713">
        <w:rPr>
          <w:rFonts w:ascii="Times New Roman" w:hAnsi="Times New Roman"/>
        </w:rPr>
        <w:t xml:space="preserve"> </w:t>
      </w:r>
      <w:r w:rsidR="00390A6F" w:rsidRPr="00523713">
        <w:rPr>
          <w:rFonts w:ascii="Times New Roman" w:hAnsi="Times New Roman"/>
        </w:rPr>
        <w:t>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85"/>
        <w:gridCol w:w="4348"/>
        <w:gridCol w:w="3117"/>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4B73C33D" w:rsidR="00FF05C5" w:rsidRDefault="00FF05C5">
            <w:pPr>
              <w:rPr>
                <w:rFonts w:ascii="Times New Roman" w:hAnsi="Times New Roman"/>
              </w:rPr>
            </w:pPr>
            <w:r>
              <w:rPr>
                <w:rFonts w:ascii="Times New Roman" w:hAnsi="Times New Roman"/>
              </w:rPr>
              <w:t>October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410F13E6" w:rsidR="00FF05C5" w:rsidRDefault="00FF05C5">
            <w:pPr>
              <w:rPr>
                <w:rFonts w:ascii="Times New Roman" w:hAnsi="Times New Roman"/>
              </w:rPr>
            </w:pPr>
            <w:r>
              <w:rPr>
                <w:rFonts w:ascii="Times New Roman" w:hAnsi="Times New Roman"/>
              </w:rPr>
              <w:t>July 2017</w:t>
            </w:r>
          </w:p>
        </w:tc>
        <w:tc>
          <w:tcPr>
            <w:tcW w:w="4348" w:type="dxa"/>
          </w:tcPr>
          <w:p w14:paraId="35E510F2" w14:textId="2F9BBF33" w:rsidR="00FF05C5" w:rsidRDefault="00FF05C5">
            <w:pPr>
              <w:rPr>
                <w:rFonts w:ascii="Times New Roman" w:hAnsi="Times New Roman"/>
              </w:rPr>
            </w:pPr>
            <w:r>
              <w:rPr>
                <w:rFonts w:ascii="Times New Roman" w:hAnsi="Times New Roman"/>
              </w:rPr>
              <w:t>Avista files next GRC</w:t>
            </w:r>
          </w:p>
        </w:tc>
        <w:tc>
          <w:tcPr>
            <w:tcW w:w="3117" w:type="dxa"/>
          </w:tcPr>
          <w:p w14:paraId="2FC7D182" w14:textId="6631CD63" w:rsidR="00FF05C5" w:rsidRDefault="00F77A50" w:rsidP="00FF05C5">
            <w:pPr>
              <w:jc w:val="right"/>
              <w:rPr>
                <w:rFonts w:ascii="Times New Roman" w:hAnsi="Times New Roman"/>
              </w:rPr>
            </w:pPr>
            <w:r w:rsidRPr="00F77A50">
              <w:rPr>
                <w:rFonts w:ascii="Times New Roman" w:hAnsi="Times New Roman"/>
              </w:rPr>
              <w:t>$443,233</w:t>
            </w:r>
          </w:p>
        </w:tc>
      </w:tr>
      <w:tr w:rsidR="00FF05C5" w14:paraId="67A244F3" w14:textId="77777777" w:rsidTr="00FF05C5">
        <w:tc>
          <w:tcPr>
            <w:tcW w:w="1885" w:type="dxa"/>
          </w:tcPr>
          <w:p w14:paraId="36A2C5A1" w14:textId="260CADDB" w:rsidR="00FF05C5" w:rsidRDefault="00FF05C5">
            <w:pPr>
              <w:rPr>
                <w:rFonts w:ascii="Times New Roman" w:hAnsi="Times New Roman"/>
              </w:rPr>
            </w:pPr>
            <w:r>
              <w:rPr>
                <w:rFonts w:ascii="Times New Roman" w:hAnsi="Times New Roman"/>
              </w:rPr>
              <w:t>January 2018</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1FA12F8D" w:rsidR="00FF05C5" w:rsidRDefault="00F77A50" w:rsidP="00FF05C5">
            <w:pPr>
              <w:jc w:val="right"/>
              <w:rPr>
                <w:rFonts w:ascii="Times New Roman" w:hAnsi="Times New Roman"/>
              </w:rPr>
            </w:pPr>
            <w:r w:rsidRPr="00F77A50">
              <w:rPr>
                <w:rFonts w:ascii="Times New Roman" w:hAnsi="Times New Roman"/>
              </w:rPr>
              <w:t>$738,722</w:t>
            </w:r>
          </w:p>
        </w:tc>
      </w:tr>
      <w:tr w:rsidR="00FF05C5" w14:paraId="52582DF4" w14:textId="77777777" w:rsidTr="00FF05C5">
        <w:tc>
          <w:tcPr>
            <w:tcW w:w="1885" w:type="dxa"/>
          </w:tcPr>
          <w:p w14:paraId="573C15DD" w14:textId="00FC936B" w:rsidR="00FF05C5" w:rsidRDefault="00FF05C5">
            <w:pPr>
              <w:rPr>
                <w:rFonts w:ascii="Times New Roman" w:hAnsi="Times New Roman"/>
              </w:rPr>
            </w:pPr>
            <w:r>
              <w:rPr>
                <w:rFonts w:ascii="Times New Roman" w:hAnsi="Times New Roman"/>
              </w:rPr>
              <w:t>March 2018</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05A9ECDF" w:rsidR="00FF05C5" w:rsidRDefault="00F77A50" w:rsidP="00FF05C5">
            <w:pPr>
              <w:jc w:val="right"/>
              <w:rPr>
                <w:rFonts w:ascii="Times New Roman" w:hAnsi="Times New Roman"/>
              </w:rPr>
            </w:pPr>
            <w:r w:rsidRPr="00F77A50">
              <w:rPr>
                <w:rFonts w:ascii="Times New Roman" w:hAnsi="Times New Roman"/>
              </w:rPr>
              <w:t>$837,218</w:t>
            </w:r>
          </w:p>
        </w:tc>
      </w:tr>
      <w:tr w:rsidR="00FF05C5" w14:paraId="5722CBF8" w14:textId="77777777" w:rsidTr="00FF05C5">
        <w:tc>
          <w:tcPr>
            <w:tcW w:w="1885" w:type="dxa"/>
          </w:tcPr>
          <w:p w14:paraId="1BE7DDB5" w14:textId="7C2C4383" w:rsidR="00FF05C5" w:rsidRDefault="00FF05C5">
            <w:pPr>
              <w:rPr>
                <w:rFonts w:ascii="Times New Roman" w:hAnsi="Times New Roman"/>
              </w:rPr>
            </w:pPr>
            <w:r>
              <w:rPr>
                <w:rFonts w:ascii="Times New Roman" w:hAnsi="Times New Roman"/>
              </w:rPr>
              <w:t>June 2018</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62F0E6C6" w:rsidR="00FF05C5" w:rsidRDefault="00F77A50" w:rsidP="00FF05C5">
            <w:pPr>
              <w:jc w:val="right"/>
              <w:rPr>
                <w:rFonts w:ascii="Times New Roman" w:hAnsi="Times New Roman"/>
              </w:rPr>
            </w:pPr>
            <w:r w:rsidRPr="00F77A50">
              <w:rPr>
                <w:rFonts w:ascii="Times New Roman" w:hAnsi="Times New Roman"/>
              </w:rPr>
              <w:t>$984,962</w:t>
            </w:r>
          </w:p>
        </w:tc>
      </w:tr>
      <w:tr w:rsidR="00FF05C5" w14:paraId="393496A8" w14:textId="77777777" w:rsidTr="00FF05C5">
        <w:tc>
          <w:tcPr>
            <w:tcW w:w="1885" w:type="dxa"/>
          </w:tcPr>
          <w:p w14:paraId="6CF7D643" w14:textId="17CD3B4C" w:rsidR="00FF05C5" w:rsidRDefault="00FF05C5">
            <w:pPr>
              <w:rPr>
                <w:rFonts w:ascii="Times New Roman" w:hAnsi="Times New Roman"/>
              </w:rPr>
            </w:pPr>
            <w:r>
              <w:rPr>
                <w:rFonts w:ascii="Times New Roman" w:hAnsi="Times New Roman"/>
              </w:rPr>
              <w:t>July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4ED229DF" w:rsidR="00FF05C5" w:rsidRDefault="00F77A50" w:rsidP="00FF05C5">
            <w:pPr>
              <w:jc w:val="right"/>
              <w:rPr>
                <w:rFonts w:ascii="Times New Roman" w:hAnsi="Times New Roman"/>
              </w:rPr>
            </w:pPr>
            <w:r w:rsidRPr="00F77A50">
              <w:rPr>
                <w:rFonts w:ascii="Times New Roman" w:hAnsi="Times New Roman"/>
              </w:rPr>
              <w:t>$1,034,210</w:t>
            </w:r>
          </w:p>
        </w:tc>
      </w:tr>
    </w:tbl>
    <w:p w14:paraId="077E0266" w14:textId="77777777" w:rsidR="00FF05C5" w:rsidRPr="00523713" w:rsidRDefault="00FF05C5">
      <w:pPr>
        <w:rPr>
          <w:rFonts w:ascii="Times New Roman" w:hAnsi="Times New Roman"/>
        </w:rPr>
      </w:pPr>
    </w:p>
    <w:p w14:paraId="16C0B3B1" w14:textId="77777777" w:rsidR="00171222" w:rsidRDefault="00171222">
      <w:pPr>
        <w:rPr>
          <w:rFonts w:ascii="Times New Roman" w:hAnsi="Times New Roman"/>
        </w:rPr>
      </w:pPr>
    </w:p>
    <w:p w14:paraId="79BA505C" w14:textId="77777777" w:rsidR="00171222" w:rsidRDefault="00171222">
      <w:pPr>
        <w:rPr>
          <w:rFonts w:ascii="Times New Roman" w:hAnsi="Times New Roman"/>
        </w:rPr>
      </w:pPr>
    </w:p>
    <w:p w14:paraId="0200C8DF" w14:textId="06BCD30C"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p>
    <w:p w14:paraId="60A31497" w14:textId="77777777" w:rsidR="00A54F3F" w:rsidRPr="00523713" w:rsidRDefault="00A54F3F">
      <w:pPr>
        <w:rPr>
          <w:rFonts w:ascii="Times New Roman" w:hAnsi="Times New Roman"/>
        </w:rPr>
      </w:pPr>
    </w:p>
    <w:p w14:paraId="5B66333A" w14:textId="553D6AE4" w:rsidR="00AD3CD3" w:rsidRPr="00523713" w:rsidRDefault="00AD3CD3">
      <w:pPr>
        <w:rPr>
          <w:rFonts w:ascii="Times New Roman" w:hAnsi="Times New Roman"/>
        </w:rPr>
      </w:pPr>
      <w:r w:rsidRPr="00523713">
        <w:rPr>
          <w:rFonts w:ascii="Times New Roman" w:hAnsi="Times New Roman"/>
        </w:rPr>
        <w:t>Moving to a fee-free program would eliminate the $3.50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390A6F" w:rsidRPr="00523713">
        <w:rPr>
          <w:rFonts w:ascii="Times New Roman" w:hAnsi="Times New Roman"/>
        </w:rPr>
        <w:t xml:space="preserve"> Avista plans on proposing in its next rate case to recover the </w:t>
      </w:r>
      <w:r w:rsidR="00755626" w:rsidRPr="00523713">
        <w:rPr>
          <w:rFonts w:ascii="Times New Roman" w:hAnsi="Times New Roman"/>
        </w:rPr>
        <w:t>deferred balance</w:t>
      </w:r>
      <w:r w:rsidR="00390A6F" w:rsidRPr="00523713">
        <w:rPr>
          <w:rFonts w:ascii="Times New Roman" w:hAnsi="Times New Roman"/>
        </w:rPr>
        <w:t xml:space="preserve"> from all customers</w:t>
      </w:r>
      <w:r w:rsidR="00755626" w:rsidRPr="00523713">
        <w:rPr>
          <w:rFonts w:ascii="Times New Roman" w:hAnsi="Times New Roman"/>
        </w:rPr>
        <w:t xml:space="preserve"> over a two year amortization period</w:t>
      </w:r>
      <w:r w:rsidR="00390A6F" w:rsidRPr="00523713">
        <w:rPr>
          <w:rFonts w:ascii="Times New Roman" w:hAnsi="Times New Roman"/>
        </w:rPr>
        <w:t>.</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05C3CDCB" w:rsidR="000B1B56" w:rsidRPr="00523713" w:rsidRDefault="005B633A" w:rsidP="005B633A">
      <w:pPr>
        <w:rPr>
          <w:rFonts w:ascii="Times New Roman" w:hAnsi="Times New Roman"/>
        </w:rPr>
      </w:pPr>
      <w:r w:rsidRPr="00523713">
        <w:rPr>
          <w:rFonts w:ascii="Times New Roman" w:hAnsi="Times New Roman"/>
        </w:rPr>
        <w:t xml:space="preserve">Avista’s </w:t>
      </w:r>
      <w:r w:rsidR="0052756F" w:rsidRPr="00523713">
        <w:rPr>
          <w:rFonts w:ascii="Times New Roman" w:hAnsi="Times New Roman"/>
        </w:rPr>
        <w:t>proposed accounting treatment would enable the company to proceed with implementing a fee-free program for residential customers paying by credit and debit cards, at a significantly lower cost for each payment processed</w:t>
      </w:r>
      <w:r w:rsidR="0052673F" w:rsidRPr="00523713">
        <w:rPr>
          <w:rFonts w:ascii="Times New Roman" w:hAnsi="Times New Roman"/>
        </w:rPr>
        <w:t>.</w:t>
      </w:r>
      <w:r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rsidSect="00171222">
      <w:headerReference w:type="default" r:id="rId11"/>
      <w:headerReference w:type="firs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DC33AC" w:rsidRDefault="00DC33AC">
      <w:r>
        <w:separator/>
      </w:r>
    </w:p>
  </w:endnote>
  <w:endnote w:type="continuationSeparator" w:id="0">
    <w:p w14:paraId="782D8FC6" w14:textId="77777777" w:rsidR="00DC33AC" w:rsidRDefault="00DC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DC33AC" w:rsidRDefault="00DC33AC">
      <w:r>
        <w:separator/>
      </w:r>
    </w:p>
  </w:footnote>
  <w:footnote w:type="continuationSeparator" w:id="0">
    <w:p w14:paraId="782D8FC4" w14:textId="77777777" w:rsidR="00DC33AC" w:rsidRDefault="00DC33AC">
      <w:r>
        <w:continuationSeparator/>
      </w:r>
    </w:p>
  </w:footnote>
  <w:footnote w:id="1">
    <w:p w14:paraId="3B05EE40" w14:textId="60C85A4E" w:rsidR="00DC33AC" w:rsidRPr="00A54F3F" w:rsidRDefault="00DC33AC">
      <w:pPr>
        <w:pStyle w:val="FootnoteText"/>
        <w:rPr>
          <w:rFonts w:ascii="Times New Roman" w:hAnsi="Times New Roman"/>
        </w:rPr>
      </w:pPr>
      <w:r w:rsidRPr="00A54F3F">
        <w:rPr>
          <w:rStyle w:val="FootnoteReference"/>
          <w:rFonts w:ascii="Times New Roman" w:hAnsi="Times New Roman"/>
        </w:rPr>
        <w:footnoteRef/>
      </w:r>
      <w:r w:rsidRPr="00A54F3F">
        <w:rPr>
          <w:rFonts w:ascii="Times New Roman" w:hAnsi="Times New Roman"/>
        </w:rPr>
        <w:t xml:space="preserve"> </w:t>
      </w:r>
      <w:r>
        <w:rPr>
          <w:rFonts w:ascii="Times New Roman" w:hAnsi="Times New Roman"/>
        </w:rPr>
        <w:t>A large component of the costs borne by the payment processor are due to</w:t>
      </w:r>
      <w:r w:rsidRPr="00A54F3F">
        <w:rPr>
          <w:rFonts w:ascii="Times New Roman" w:hAnsi="Times New Roman"/>
        </w:rPr>
        <w:t xml:space="preserve"> the size of the payment being made; it is for that reason that the payment processor is concerned with the size of the typical payments made by Avista’s customers.</w:t>
      </w:r>
    </w:p>
  </w:footnote>
  <w:footnote w:id="2">
    <w:p w14:paraId="64BAD3F6" w14:textId="1BE31B68" w:rsidR="00523713" w:rsidRPr="00D31759" w:rsidRDefault="00523713">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Avista plans on filing its next rate case on July 1, 2017.</w:t>
      </w:r>
    </w:p>
  </w:footnote>
  <w:footnote w:id="3">
    <w:p w14:paraId="004650DB" w14:textId="54AA5437" w:rsidR="00FF05C5" w:rsidRPr="00D31759" w:rsidRDefault="00FF05C5">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N</w:t>
      </w:r>
      <w:r w:rsidR="00D31759">
        <w:rPr>
          <w:rFonts w:ascii="Times New Roman" w:hAnsi="Times New Roman"/>
        </w:rPr>
        <w:t>orthwest</w:t>
      </w:r>
      <w:r w:rsidRPr="00D31759">
        <w:rPr>
          <w:rFonts w:ascii="Times New Roman" w:hAnsi="Times New Roman"/>
        </w:rPr>
        <w:t xml:space="preserve"> Natural</w:t>
      </w:r>
      <w:r w:rsidR="00D31759">
        <w:rPr>
          <w:rFonts w:ascii="Times New Roman" w:hAnsi="Times New Roman"/>
        </w:rPr>
        <w:t xml:space="preserve"> (NW Natural)</w:t>
      </w:r>
      <w:r w:rsidRPr="00D31759">
        <w:rPr>
          <w:rFonts w:ascii="Times New Roman" w:hAnsi="Times New Roman"/>
        </w:rPr>
        <w:t xml:space="preserve">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1EE7D8A6" w:rsidR="00DC33AC" w:rsidRPr="0052673F" w:rsidRDefault="00171222" w:rsidP="00F77A50">
    <w:pPr>
      <w:pStyle w:val="Header"/>
      <w:tabs>
        <w:tab w:val="clear" w:pos="4320"/>
        <w:tab w:val="clear" w:pos="8640"/>
        <w:tab w:val="right" w:pos="9360"/>
      </w:tabs>
      <w:rPr>
        <w:rFonts w:ascii="Times New Roman" w:hAnsi="Times New Roman"/>
        <w:sz w:val="20"/>
      </w:rPr>
    </w:pPr>
    <w:r>
      <w:rPr>
        <w:rFonts w:ascii="Times New Roman" w:hAnsi="Times New Roman"/>
        <w:sz w:val="20"/>
      </w:rPr>
      <w:t>Dockets UE-160071 and UG-160072</w:t>
    </w:r>
    <w:r w:rsidR="00F77A50">
      <w:rPr>
        <w:rFonts w:ascii="Times New Roman" w:hAnsi="Times New Roman"/>
        <w:sz w:val="20"/>
      </w:rPr>
      <w:tab/>
      <w:t>Revised Memo – March 23, 2016 – 12:30 P.M.</w:t>
    </w:r>
  </w:p>
  <w:p w14:paraId="782D8FCA" w14:textId="3F6F1FDD" w:rsidR="00DC33AC" w:rsidRDefault="00171222">
    <w:pPr>
      <w:pStyle w:val="Header"/>
      <w:rPr>
        <w:rStyle w:val="PageNumber"/>
        <w:sz w:val="20"/>
      </w:rPr>
    </w:pPr>
    <w:r>
      <w:rPr>
        <w:rStyle w:val="PageNumber"/>
        <w:sz w:val="20"/>
      </w:rPr>
      <w:t>March 24, 2016</w:t>
    </w:r>
  </w:p>
  <w:p w14:paraId="782D8FCB" w14:textId="0ED0D77D" w:rsidR="00DC33AC" w:rsidRDefault="00171222">
    <w:pPr>
      <w:pStyle w:val="Header"/>
      <w:rPr>
        <w:sz w:val="20"/>
      </w:rPr>
    </w:pPr>
    <w:r>
      <w:rPr>
        <w:sz w:val="20"/>
      </w:rPr>
      <w:t xml:space="preserve">Page </w:t>
    </w:r>
    <w:r w:rsidRPr="00171222">
      <w:rPr>
        <w:sz w:val="20"/>
      </w:rPr>
      <w:fldChar w:fldCharType="begin"/>
    </w:r>
    <w:r w:rsidRPr="00171222">
      <w:rPr>
        <w:sz w:val="20"/>
      </w:rPr>
      <w:instrText xml:space="preserve"> PAGE   \* MERGEFORMAT </w:instrText>
    </w:r>
    <w:r w:rsidRPr="00171222">
      <w:rPr>
        <w:sz w:val="20"/>
      </w:rPr>
      <w:fldChar w:fldCharType="separate"/>
    </w:r>
    <w:r w:rsidR="00DE5E68">
      <w:rPr>
        <w:noProof/>
        <w:sz w:val="20"/>
      </w:rPr>
      <w:t>3</w:t>
    </w:r>
    <w:r w:rsidRPr="00171222">
      <w:rPr>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B189" w14:textId="51E14A66" w:rsidR="00F77A50" w:rsidRDefault="00F77A50" w:rsidP="00F77A50">
    <w:pPr>
      <w:pStyle w:val="Header"/>
      <w:jc w:val="right"/>
    </w:pPr>
    <w:r>
      <w:t>Revised Memo – March 23, 2016 – 12:30 P.M.</w:t>
    </w:r>
  </w:p>
  <w:p w14:paraId="7D427B51" w14:textId="77777777" w:rsidR="00F77A50" w:rsidRDefault="00F77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36A86"/>
    <w:rsid w:val="00041921"/>
    <w:rsid w:val="000969AF"/>
    <w:rsid w:val="000B1362"/>
    <w:rsid w:val="000B1B56"/>
    <w:rsid w:val="000D20FB"/>
    <w:rsid w:val="000D6E22"/>
    <w:rsid w:val="000F03F4"/>
    <w:rsid w:val="00115C02"/>
    <w:rsid w:val="00130194"/>
    <w:rsid w:val="00136702"/>
    <w:rsid w:val="00157F99"/>
    <w:rsid w:val="00171222"/>
    <w:rsid w:val="001C2364"/>
    <w:rsid w:val="001F5226"/>
    <w:rsid w:val="0020635F"/>
    <w:rsid w:val="002071CB"/>
    <w:rsid w:val="0022715D"/>
    <w:rsid w:val="00242044"/>
    <w:rsid w:val="0024415C"/>
    <w:rsid w:val="002553D7"/>
    <w:rsid w:val="002E566B"/>
    <w:rsid w:val="00331F1A"/>
    <w:rsid w:val="003736ED"/>
    <w:rsid w:val="003747CB"/>
    <w:rsid w:val="00380F67"/>
    <w:rsid w:val="00390A6F"/>
    <w:rsid w:val="003952FD"/>
    <w:rsid w:val="003A683D"/>
    <w:rsid w:val="003D17FB"/>
    <w:rsid w:val="004064B6"/>
    <w:rsid w:val="00412629"/>
    <w:rsid w:val="00415CAD"/>
    <w:rsid w:val="00420758"/>
    <w:rsid w:val="00434A3B"/>
    <w:rsid w:val="00446C55"/>
    <w:rsid w:val="00447652"/>
    <w:rsid w:val="004944FF"/>
    <w:rsid w:val="004D3D39"/>
    <w:rsid w:val="004E3623"/>
    <w:rsid w:val="00506886"/>
    <w:rsid w:val="00514DF5"/>
    <w:rsid w:val="00521DDB"/>
    <w:rsid w:val="00523713"/>
    <w:rsid w:val="00524B4F"/>
    <w:rsid w:val="0052673F"/>
    <w:rsid w:val="0052756F"/>
    <w:rsid w:val="00553F02"/>
    <w:rsid w:val="00564811"/>
    <w:rsid w:val="00596CF2"/>
    <w:rsid w:val="005B5C5F"/>
    <w:rsid w:val="005B633A"/>
    <w:rsid w:val="00654E29"/>
    <w:rsid w:val="00657DEE"/>
    <w:rsid w:val="00666E93"/>
    <w:rsid w:val="006F744B"/>
    <w:rsid w:val="00712B01"/>
    <w:rsid w:val="007360EC"/>
    <w:rsid w:val="00744BCA"/>
    <w:rsid w:val="00751DD9"/>
    <w:rsid w:val="00755626"/>
    <w:rsid w:val="00767FFB"/>
    <w:rsid w:val="00774009"/>
    <w:rsid w:val="00794734"/>
    <w:rsid w:val="00826354"/>
    <w:rsid w:val="00842F1A"/>
    <w:rsid w:val="00862FFC"/>
    <w:rsid w:val="008A75C9"/>
    <w:rsid w:val="008B1FFB"/>
    <w:rsid w:val="00920316"/>
    <w:rsid w:val="00932693"/>
    <w:rsid w:val="009420CC"/>
    <w:rsid w:val="00947AAF"/>
    <w:rsid w:val="00971233"/>
    <w:rsid w:val="00975735"/>
    <w:rsid w:val="009863F2"/>
    <w:rsid w:val="0099144D"/>
    <w:rsid w:val="009A45E2"/>
    <w:rsid w:val="009D6358"/>
    <w:rsid w:val="009E538B"/>
    <w:rsid w:val="00A01784"/>
    <w:rsid w:val="00A26EAD"/>
    <w:rsid w:val="00A32572"/>
    <w:rsid w:val="00A54F3F"/>
    <w:rsid w:val="00A83643"/>
    <w:rsid w:val="00AB2A3E"/>
    <w:rsid w:val="00AB3123"/>
    <w:rsid w:val="00AC3F42"/>
    <w:rsid w:val="00AD3CD3"/>
    <w:rsid w:val="00AD4D61"/>
    <w:rsid w:val="00B33E84"/>
    <w:rsid w:val="00B34050"/>
    <w:rsid w:val="00B37E04"/>
    <w:rsid w:val="00B410FE"/>
    <w:rsid w:val="00B67FF2"/>
    <w:rsid w:val="00B70FE2"/>
    <w:rsid w:val="00B97950"/>
    <w:rsid w:val="00BA6A9A"/>
    <w:rsid w:val="00BD49F7"/>
    <w:rsid w:val="00BD6CA0"/>
    <w:rsid w:val="00C53AE4"/>
    <w:rsid w:val="00C60290"/>
    <w:rsid w:val="00C9740D"/>
    <w:rsid w:val="00D31759"/>
    <w:rsid w:val="00D33B36"/>
    <w:rsid w:val="00D351CF"/>
    <w:rsid w:val="00D60E7F"/>
    <w:rsid w:val="00D70AB2"/>
    <w:rsid w:val="00D82418"/>
    <w:rsid w:val="00D9666D"/>
    <w:rsid w:val="00DC33AC"/>
    <w:rsid w:val="00DE5E68"/>
    <w:rsid w:val="00E27FBC"/>
    <w:rsid w:val="00E43838"/>
    <w:rsid w:val="00F119A4"/>
    <w:rsid w:val="00F240AF"/>
    <w:rsid w:val="00F77A50"/>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77A50"/>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7440">
      <w:bodyDiv w:val="1"/>
      <w:marLeft w:val="0"/>
      <w:marRight w:val="0"/>
      <w:marTop w:val="0"/>
      <w:marBottom w:val="0"/>
      <w:divBdr>
        <w:top w:val="none" w:sz="0" w:space="0" w:color="auto"/>
        <w:left w:val="none" w:sz="0" w:space="0" w:color="auto"/>
        <w:bottom w:val="none" w:sz="0" w:space="0" w:color="auto"/>
        <w:right w:val="none" w:sz="0" w:space="0" w:color="auto"/>
      </w:divBdr>
    </w:div>
    <w:div w:id="897982924">
      <w:bodyDiv w:val="1"/>
      <w:marLeft w:val="0"/>
      <w:marRight w:val="0"/>
      <w:marTop w:val="0"/>
      <w:marBottom w:val="0"/>
      <w:divBdr>
        <w:top w:val="none" w:sz="0" w:space="0" w:color="auto"/>
        <w:left w:val="none" w:sz="0" w:space="0" w:color="auto"/>
        <w:bottom w:val="none" w:sz="0" w:space="0" w:color="auto"/>
        <w:right w:val="none" w:sz="0" w:space="0" w:color="auto"/>
      </w:divBdr>
    </w:div>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2016-01-12T08:00:00+00:00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F29C6FE72E1C408639255C88BC72C9" ma:contentTypeVersion="104" ma:contentTypeDescription="" ma:contentTypeScope="" ma:versionID="130592b1ac7a07f9f908c8abe7717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C5940-9C13-41B5-80B9-5469AA006CC5}"/>
</file>

<file path=customXml/itemProps2.xml><?xml version="1.0" encoding="utf-8"?>
<ds:datastoreItem xmlns:ds="http://schemas.openxmlformats.org/officeDocument/2006/customXml" ds:itemID="{3FD5CEB4-6301-439C-84D7-502D088673EC}"/>
</file>

<file path=customXml/itemProps3.xml><?xml version="1.0" encoding="utf-8"?>
<ds:datastoreItem xmlns:ds="http://schemas.openxmlformats.org/officeDocument/2006/customXml" ds:itemID="{DA66EB31-0DDC-4093-9D01-263E7DC43A8E}"/>
</file>

<file path=customXml/itemProps4.xml><?xml version="1.0" encoding="utf-8"?>
<ds:datastoreItem xmlns:ds="http://schemas.openxmlformats.org/officeDocument/2006/customXml" ds:itemID="{7A11F1D4-56B0-4A23-957A-DE854B8A3CB4}"/>
</file>

<file path=customXml/itemProps5.xml><?xml version="1.0" encoding="utf-8"?>
<ds:datastoreItem xmlns:ds="http://schemas.openxmlformats.org/officeDocument/2006/customXml" ds:itemID="{3502609E-480C-4F47-8B7E-0D9E860E481B}"/>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2016-03-24T15:41:00Z</dcterms:created>
  <dcterms:modified xsi:type="dcterms:W3CDTF">2016-03-24T15:41:00Z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0x0101006E56B4D1795A2E4DB2F0B01679ED314A0051F29C6FE72E1C408639255C88BC72C9</vt:lpwstr>
  </property>
  <property fmtid="{D5CDD505-2E9C-101B-9397-08002B2CF9AE}" pid="3" name="_docset_NoMedatataSyncRequired">
    <vt:lpwstr>False</vt:lpwstr>
  </property>
</Properties>
</file>