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68" w:rsidRDefault="00E77B68">
      <w:pPr>
        <w:rPr>
          <w:rFonts w:ascii="Times New Roman" w:hAnsi="Times New Roman"/>
          <w:szCs w:val="24"/>
        </w:rPr>
      </w:pPr>
    </w:p>
    <w:p w:rsidR="0043677E" w:rsidRDefault="0043677E">
      <w:pPr>
        <w:rPr>
          <w:rFonts w:ascii="Times New Roman" w:hAnsi="Times New Roman"/>
          <w:szCs w:val="24"/>
        </w:rPr>
      </w:pPr>
    </w:p>
    <w:p w:rsidR="00A15E99" w:rsidRPr="00534CB4" w:rsidRDefault="00A15E99">
      <w:pPr>
        <w:rPr>
          <w:rFonts w:ascii="Times New Roman" w:hAnsi="Times New Roman"/>
          <w:szCs w:val="24"/>
        </w:rPr>
      </w:pPr>
    </w:p>
    <w:p w:rsidR="00634C50" w:rsidRPr="00534CB4" w:rsidRDefault="00073D83">
      <w:pPr>
        <w:rPr>
          <w:rFonts w:ascii="Times New Roman" w:hAnsi="Times New Roman"/>
          <w:szCs w:val="24"/>
        </w:rPr>
      </w:pPr>
      <w:r>
        <w:rPr>
          <w:rFonts w:ascii="Times New Roman" w:hAnsi="Times New Roman"/>
          <w:szCs w:val="24"/>
        </w:rPr>
        <w:t>December 23</w:t>
      </w:r>
      <w:r w:rsidR="00FD10B0">
        <w:rPr>
          <w:rFonts w:ascii="Times New Roman" w:hAnsi="Times New Roman"/>
          <w:szCs w:val="24"/>
        </w:rPr>
        <w:t>, 2016</w:t>
      </w:r>
    </w:p>
    <w:p w:rsidR="00E77B68" w:rsidRDefault="00E77B68">
      <w:pPr>
        <w:rPr>
          <w:rFonts w:ascii="Times New Roman" w:hAnsi="Times New Roman"/>
          <w:szCs w:val="24"/>
        </w:rPr>
      </w:pPr>
    </w:p>
    <w:p w:rsidR="00DB3939" w:rsidRDefault="00DB3939">
      <w:pPr>
        <w:rPr>
          <w:rFonts w:ascii="Times New Roman" w:hAnsi="Times New Roman"/>
          <w:szCs w:val="24"/>
        </w:rPr>
      </w:pPr>
      <w:r>
        <w:rPr>
          <w:rFonts w:ascii="Times New Roman" w:hAnsi="Times New Roman"/>
          <w:szCs w:val="24"/>
        </w:rPr>
        <w:t>Steven V. King</w:t>
      </w:r>
    </w:p>
    <w:p w:rsidR="00DB3939" w:rsidRPr="00534CB4" w:rsidRDefault="00DB3939">
      <w:pPr>
        <w:rPr>
          <w:rFonts w:ascii="Times New Roman" w:hAnsi="Times New Roman"/>
          <w:szCs w:val="24"/>
        </w:rPr>
      </w:pPr>
      <w:r>
        <w:rPr>
          <w:rFonts w:ascii="Times New Roman" w:hAnsi="Times New Roman"/>
          <w:szCs w:val="24"/>
        </w:rPr>
        <w:t>Executive Director and Secretary</w:t>
      </w:r>
    </w:p>
    <w:p w:rsidR="005E1395" w:rsidRPr="00534CB4" w:rsidRDefault="005E1395" w:rsidP="005E1395">
      <w:pPr>
        <w:rPr>
          <w:rFonts w:ascii="Times New Roman" w:hAnsi="Times New Roman"/>
          <w:szCs w:val="24"/>
        </w:rPr>
      </w:pPr>
      <w:r w:rsidRPr="00534CB4">
        <w:rPr>
          <w:rFonts w:ascii="Times New Roman" w:hAnsi="Times New Roman"/>
          <w:szCs w:val="24"/>
        </w:rPr>
        <w:t>Washington Utilities and Transportation Commission</w:t>
      </w:r>
    </w:p>
    <w:p w:rsidR="005E1395" w:rsidRPr="00534CB4" w:rsidRDefault="005E1395" w:rsidP="005E1395">
      <w:pPr>
        <w:rPr>
          <w:rFonts w:ascii="Times New Roman" w:hAnsi="Times New Roman"/>
          <w:szCs w:val="24"/>
        </w:rPr>
      </w:pPr>
      <w:r w:rsidRPr="00534CB4">
        <w:rPr>
          <w:rFonts w:ascii="Times New Roman" w:hAnsi="Times New Roman"/>
          <w:szCs w:val="24"/>
        </w:rPr>
        <w:t>1300 Evergreen Park Drive S</w:t>
      </w:r>
      <w:r w:rsidR="00DB3939">
        <w:rPr>
          <w:rFonts w:ascii="Times New Roman" w:hAnsi="Times New Roman"/>
          <w:szCs w:val="24"/>
        </w:rPr>
        <w:t>W</w:t>
      </w:r>
    </w:p>
    <w:p w:rsidR="005E1395" w:rsidRPr="00534CB4" w:rsidRDefault="005E1395" w:rsidP="005E1395">
      <w:pPr>
        <w:rPr>
          <w:rFonts w:ascii="Times New Roman" w:hAnsi="Times New Roman"/>
          <w:szCs w:val="24"/>
        </w:rPr>
      </w:pPr>
      <w:r w:rsidRPr="00534CB4">
        <w:rPr>
          <w:rFonts w:ascii="Times New Roman" w:hAnsi="Times New Roman"/>
          <w:szCs w:val="24"/>
        </w:rPr>
        <w:t>Olympia WA  98504</w:t>
      </w:r>
      <w:r w:rsidR="00DB3939">
        <w:rPr>
          <w:rFonts w:ascii="Times New Roman" w:hAnsi="Times New Roman"/>
          <w:szCs w:val="24"/>
        </w:rPr>
        <w:t>-7250</w:t>
      </w:r>
    </w:p>
    <w:p w:rsidR="005E1395" w:rsidRPr="00534CB4" w:rsidRDefault="005E1395" w:rsidP="005E1395">
      <w:pPr>
        <w:rPr>
          <w:rFonts w:ascii="Times New Roman" w:hAnsi="Times New Roman"/>
          <w:szCs w:val="24"/>
        </w:rPr>
      </w:pPr>
    </w:p>
    <w:p w:rsidR="005E1395" w:rsidRPr="00534CB4" w:rsidRDefault="00DB3939" w:rsidP="005E1395">
      <w:pPr>
        <w:jc w:val="center"/>
        <w:rPr>
          <w:rFonts w:ascii="Times New Roman" w:hAnsi="Times New Roman"/>
          <w:szCs w:val="24"/>
        </w:rPr>
      </w:pPr>
      <w:r>
        <w:rPr>
          <w:rFonts w:ascii="Times New Roman" w:hAnsi="Times New Roman"/>
          <w:szCs w:val="24"/>
        </w:rPr>
        <w:t>WAC 480-100-262 &amp; 480-90-262</w:t>
      </w:r>
    </w:p>
    <w:p w:rsidR="00645E03" w:rsidRDefault="00645E03" w:rsidP="00645E03">
      <w:pPr>
        <w:jc w:val="both"/>
        <w:rPr>
          <w:rFonts w:ascii="Times New Roman" w:hAnsi="Times New Roman"/>
          <w:sz w:val="10"/>
          <w:szCs w:val="10"/>
        </w:rPr>
      </w:pPr>
    </w:p>
    <w:p w:rsidR="00991E7B" w:rsidRPr="0015736F" w:rsidRDefault="00991E7B" w:rsidP="00645E03">
      <w:pPr>
        <w:jc w:val="both"/>
        <w:rPr>
          <w:rFonts w:ascii="Times New Roman" w:hAnsi="Times New Roman"/>
          <w:sz w:val="10"/>
          <w:szCs w:val="10"/>
        </w:rPr>
      </w:pPr>
    </w:p>
    <w:p w:rsidR="000F0F2D" w:rsidRPr="000876DE" w:rsidRDefault="00645E03" w:rsidP="000F0F2D">
      <w:pPr>
        <w:jc w:val="both"/>
        <w:rPr>
          <w:rFonts w:ascii="Times New Roman" w:hAnsi="Times New Roman"/>
          <w:sz w:val="22"/>
          <w:szCs w:val="22"/>
        </w:rPr>
      </w:pPr>
      <w:r w:rsidRPr="0015736F">
        <w:rPr>
          <w:rFonts w:ascii="Times New Roman" w:hAnsi="Times New Roman"/>
          <w:sz w:val="22"/>
          <w:szCs w:val="22"/>
        </w:rPr>
        <w:t xml:space="preserve">We are submitting the following information in compliance </w:t>
      </w:r>
      <w:r w:rsidR="00C12F9E">
        <w:rPr>
          <w:rFonts w:ascii="Times New Roman" w:hAnsi="Times New Roman"/>
          <w:sz w:val="22"/>
          <w:szCs w:val="22"/>
        </w:rPr>
        <w:t xml:space="preserve">with WAC 480-100-262 and 480-90-262 </w:t>
      </w:r>
      <w:r w:rsidRPr="0015736F">
        <w:rPr>
          <w:rFonts w:ascii="Times New Roman" w:hAnsi="Times New Roman"/>
          <w:sz w:val="22"/>
          <w:szCs w:val="22"/>
        </w:rPr>
        <w:t>for the sal</w:t>
      </w:r>
      <w:r w:rsidR="003C5DCC">
        <w:rPr>
          <w:rFonts w:ascii="Times New Roman" w:hAnsi="Times New Roman"/>
          <w:sz w:val="22"/>
          <w:szCs w:val="22"/>
        </w:rPr>
        <w:t>e of securities not to exceed $7</w:t>
      </w:r>
      <w:r w:rsidRPr="0015736F">
        <w:rPr>
          <w:rFonts w:ascii="Times New Roman" w:hAnsi="Times New Roman"/>
          <w:sz w:val="22"/>
          <w:szCs w:val="22"/>
        </w:rPr>
        <w:t>50,000,000</w:t>
      </w:r>
      <w:r w:rsidR="002255A2" w:rsidRPr="00DB3939">
        <w:rPr>
          <w:rStyle w:val="FootnoteReference"/>
        </w:rPr>
        <w:t>2</w:t>
      </w:r>
      <w:r w:rsidRPr="0015736F">
        <w:rPr>
          <w:rFonts w:ascii="Times New Roman" w:hAnsi="Times New Roman"/>
          <w:sz w:val="22"/>
          <w:szCs w:val="22"/>
        </w:rPr>
        <w:t>.</w:t>
      </w:r>
      <w:r w:rsidR="000F0F2D">
        <w:rPr>
          <w:rFonts w:ascii="Times New Roman" w:hAnsi="Times New Roman"/>
          <w:sz w:val="22"/>
          <w:szCs w:val="22"/>
        </w:rPr>
        <w:t xml:space="preserve">  </w:t>
      </w:r>
    </w:p>
    <w:p w:rsidR="00882053" w:rsidRPr="0015736F" w:rsidRDefault="00882053" w:rsidP="00882053">
      <w:pPr>
        <w:jc w:val="center"/>
        <w:rPr>
          <w:rFonts w:ascii="Times New Roman" w:hAnsi="Times New Roman"/>
          <w:sz w:val="10"/>
          <w:szCs w:val="10"/>
        </w:rPr>
      </w:pPr>
    </w:p>
    <w:p w:rsidR="00A32D38" w:rsidRPr="0015736F" w:rsidRDefault="001F7047" w:rsidP="00A32D38">
      <w:pPr>
        <w:rPr>
          <w:rFonts w:ascii="Times New Roman" w:hAnsi="Times New Roman"/>
          <w:sz w:val="22"/>
          <w:szCs w:val="22"/>
        </w:rPr>
      </w:pPr>
      <w:r>
        <w:rPr>
          <w:rFonts w:ascii="Times New Roman" w:hAnsi="Times New Roman"/>
          <w:sz w:val="22"/>
          <w:szCs w:val="22"/>
        </w:rPr>
        <w:t>On December 15, 2016, Avista Corp. issued $175.0 million of 3.54</w:t>
      </w:r>
      <w:r w:rsidR="00A32D38" w:rsidRPr="0015736F">
        <w:rPr>
          <w:rFonts w:ascii="Times New Roman" w:hAnsi="Times New Roman"/>
          <w:sz w:val="22"/>
          <w:szCs w:val="22"/>
        </w:rPr>
        <w:t xml:space="preserve"> percent </w:t>
      </w:r>
      <w:r w:rsidR="00EC7667">
        <w:rPr>
          <w:rFonts w:ascii="Times New Roman" w:hAnsi="Times New Roman"/>
          <w:sz w:val="22"/>
          <w:szCs w:val="22"/>
        </w:rPr>
        <w:t xml:space="preserve">First Mortgage Bonds due in </w:t>
      </w:r>
      <w:r>
        <w:rPr>
          <w:rFonts w:ascii="Times New Roman" w:hAnsi="Times New Roman"/>
          <w:sz w:val="22"/>
          <w:szCs w:val="22"/>
        </w:rPr>
        <w:t>2051</w:t>
      </w:r>
      <w:r w:rsidR="00A32D38" w:rsidRPr="0015736F">
        <w:rPr>
          <w:rFonts w:ascii="Times New Roman" w:hAnsi="Times New Roman"/>
          <w:sz w:val="22"/>
          <w:szCs w:val="22"/>
        </w:rPr>
        <w:t xml:space="preserve"> under a bond purchase agreement with certain institutional investors in the private placement market. The new First Mortgage Bonds were issued under and in accordance with the Mortgage and Deed of Trust, dated as of June 1, 1939, from the Company to Citibank, N.A., trustee, as amended and supplemented by various supplemental indentures and other instruments. </w:t>
      </w:r>
    </w:p>
    <w:p w:rsidR="00A32D38" w:rsidRPr="000F0F2D" w:rsidRDefault="00A32D38"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In connection with pricing of the First Mortgage Bonds, which took place prior to the issuance of these bonds, we cash settled </w:t>
      </w:r>
      <w:r w:rsidR="001F7047">
        <w:rPr>
          <w:rFonts w:ascii="Times New Roman" w:hAnsi="Times New Roman"/>
          <w:sz w:val="22"/>
          <w:szCs w:val="22"/>
        </w:rPr>
        <w:t>seven</w:t>
      </w:r>
      <w:r w:rsidR="00EC7667">
        <w:rPr>
          <w:rFonts w:ascii="Times New Roman" w:hAnsi="Times New Roman"/>
          <w:sz w:val="22"/>
          <w:szCs w:val="22"/>
        </w:rPr>
        <w:t xml:space="preserve"> </w:t>
      </w:r>
      <w:r w:rsidRPr="0015736F">
        <w:rPr>
          <w:rFonts w:ascii="Times New Roman" w:hAnsi="Times New Roman"/>
          <w:sz w:val="22"/>
          <w:szCs w:val="22"/>
        </w:rPr>
        <w:t xml:space="preserve">interest rate swap contracts and </w:t>
      </w:r>
      <w:r w:rsidR="001F7047">
        <w:rPr>
          <w:rFonts w:ascii="Times New Roman" w:hAnsi="Times New Roman"/>
          <w:sz w:val="22"/>
          <w:szCs w:val="22"/>
        </w:rPr>
        <w:t>paid a total of $53.9</w:t>
      </w:r>
      <w:r w:rsidR="00C7184F" w:rsidRPr="0015736F">
        <w:rPr>
          <w:rFonts w:ascii="Times New Roman" w:hAnsi="Times New Roman"/>
          <w:sz w:val="22"/>
          <w:szCs w:val="22"/>
        </w:rPr>
        <w:t xml:space="preserve"> million</w:t>
      </w:r>
      <w:r w:rsidRPr="0015736F">
        <w:rPr>
          <w:rFonts w:ascii="Times New Roman" w:hAnsi="Times New Roman"/>
          <w:sz w:val="22"/>
          <w:szCs w:val="22"/>
        </w:rPr>
        <w:t xml:space="preserve">, which will be amortized as a component of interest expense over the life of the debt. </w:t>
      </w:r>
    </w:p>
    <w:p w:rsidR="00C7184F" w:rsidRPr="000F0F2D" w:rsidRDefault="00C7184F" w:rsidP="00A32D38">
      <w:pPr>
        <w:rPr>
          <w:rFonts w:ascii="Times New Roman" w:hAnsi="Times New Roman"/>
          <w:sz w:val="10"/>
          <w:szCs w:val="10"/>
        </w:rPr>
      </w:pPr>
    </w:p>
    <w:p w:rsidR="00A32D38" w:rsidRPr="0015736F" w:rsidRDefault="00A32D38" w:rsidP="00A32D38">
      <w:pPr>
        <w:rPr>
          <w:rFonts w:ascii="Times New Roman" w:hAnsi="Times New Roman"/>
          <w:sz w:val="22"/>
          <w:szCs w:val="22"/>
        </w:rPr>
      </w:pPr>
      <w:r w:rsidRPr="0015736F">
        <w:rPr>
          <w:rFonts w:ascii="Times New Roman" w:hAnsi="Times New Roman"/>
          <w:sz w:val="22"/>
          <w:szCs w:val="22"/>
        </w:rPr>
        <w:t xml:space="preserve">The bonds have not been, and will not be, registered under the Securities Act of 1933 or any state securities laws and may not be offered or sold in the United States absent registration or an applicable exemption from registration requirements. </w:t>
      </w:r>
    </w:p>
    <w:p w:rsidR="00A32D38" w:rsidRPr="000F0F2D" w:rsidRDefault="00A32D38" w:rsidP="00A32D38">
      <w:pPr>
        <w:rPr>
          <w:rFonts w:ascii="Times New Roman" w:hAnsi="Times New Roman"/>
          <w:sz w:val="10"/>
          <w:szCs w:val="10"/>
        </w:rPr>
      </w:pPr>
      <w:r w:rsidRPr="0015736F">
        <w:rPr>
          <w:rFonts w:ascii="Times New Roman" w:hAnsi="Times New Roman"/>
          <w:sz w:val="22"/>
          <w:szCs w:val="22"/>
        </w:rPr>
        <w:t xml:space="preserve"> </w:t>
      </w:r>
    </w:p>
    <w:p w:rsidR="00A32D38" w:rsidRDefault="00A32D38" w:rsidP="00A32D38">
      <w:pPr>
        <w:rPr>
          <w:rFonts w:ascii="Times New Roman" w:hAnsi="Times New Roman"/>
          <w:sz w:val="22"/>
          <w:szCs w:val="22"/>
        </w:rPr>
      </w:pPr>
      <w:r w:rsidRPr="0015736F">
        <w:rPr>
          <w:rFonts w:ascii="Times New Roman" w:hAnsi="Times New Roman"/>
          <w:sz w:val="22"/>
          <w:szCs w:val="22"/>
        </w:rPr>
        <w:t>The total net procee</w:t>
      </w:r>
      <w:r w:rsidR="00C7184F" w:rsidRPr="0015736F">
        <w:rPr>
          <w:rFonts w:ascii="Times New Roman" w:hAnsi="Times New Roman"/>
          <w:sz w:val="22"/>
          <w:szCs w:val="22"/>
        </w:rPr>
        <w:t xml:space="preserve">ds </w:t>
      </w:r>
      <w:r w:rsidRPr="0015736F">
        <w:rPr>
          <w:rFonts w:ascii="Times New Roman" w:hAnsi="Times New Roman"/>
          <w:sz w:val="22"/>
          <w:szCs w:val="22"/>
        </w:rPr>
        <w:t xml:space="preserve">from the sale of the new bonds were used to repay a portion of the borrowings outstanding under the Company’s $400.0 million committed line of credit and for general corporate purposes. </w:t>
      </w:r>
    </w:p>
    <w:p w:rsidR="00534CB4" w:rsidRDefault="00534CB4" w:rsidP="00A32D38">
      <w:pPr>
        <w:rPr>
          <w:rFonts w:ascii="Times New Roman" w:hAnsi="Times New Roman"/>
          <w:sz w:val="22"/>
          <w:szCs w:val="22"/>
        </w:rPr>
      </w:pPr>
    </w:p>
    <w:p w:rsidR="00A32D38" w:rsidRPr="0015736F" w:rsidRDefault="00A32D38" w:rsidP="00A32D38">
      <w:pPr>
        <w:rPr>
          <w:rFonts w:ascii="Times New Roman" w:hAnsi="Times New Roman"/>
          <w:sz w:val="10"/>
          <w:szCs w:val="10"/>
        </w:rPr>
      </w:pPr>
    </w:p>
    <w:p w:rsidR="00A32D38" w:rsidRDefault="00A32D38" w:rsidP="00A32D38">
      <w:pPr>
        <w:rPr>
          <w:rFonts w:ascii="Times New Roman" w:hAnsi="Times New Roman"/>
          <w:b/>
          <w:sz w:val="20"/>
        </w:rPr>
      </w:pPr>
      <w:r w:rsidRPr="00534BEB">
        <w:rPr>
          <w:rFonts w:ascii="Times New Roman" w:hAnsi="Times New Roman"/>
          <w:b/>
          <w:sz w:val="20"/>
        </w:rPr>
        <w:t>Table 1.</w:t>
      </w:r>
    </w:p>
    <w:p w:rsidR="00C7184F" w:rsidRPr="0015736F" w:rsidRDefault="00C7184F" w:rsidP="00A32D38">
      <w:pPr>
        <w:rPr>
          <w:rFonts w:ascii="Times New Roman" w:hAnsi="Times New Roman"/>
          <w:b/>
          <w:sz w:val="10"/>
          <w:szCs w:val="10"/>
        </w:rPr>
      </w:pPr>
    </w:p>
    <w:p w:rsidR="00A32D38" w:rsidRPr="00551C6A" w:rsidRDefault="00A32D38" w:rsidP="00A32D38">
      <w:pPr>
        <w:rPr>
          <w:rFonts w:ascii="Times New Roman" w:hAnsi="Times New Roman"/>
          <w:b/>
          <w:sz w:val="10"/>
          <w:szCs w:val="10"/>
        </w:rPr>
      </w:pPr>
    </w:p>
    <w:tbl>
      <w:tblPr>
        <w:tblStyle w:val="LightShading-Accent11"/>
        <w:tblW w:w="8010" w:type="dxa"/>
        <w:jc w:val="center"/>
        <w:tblLook w:val="04E0" w:firstRow="1" w:lastRow="1" w:firstColumn="1" w:lastColumn="0" w:noHBand="0" w:noVBand="1"/>
      </w:tblPr>
      <w:tblGrid>
        <w:gridCol w:w="3510"/>
        <w:gridCol w:w="2410"/>
        <w:gridCol w:w="2090"/>
      </w:tblGrid>
      <w:tr w:rsidR="00C7184F" w:rsidRPr="00CC21D5" w:rsidTr="00C7184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Cs w:val="24"/>
              </w:rPr>
            </w:pPr>
            <w:r w:rsidRPr="00CC21D5">
              <w:rPr>
                <w:rFonts w:ascii="Times New Roman" w:hAnsi="Times New Roman"/>
                <w:bCs w:val="0"/>
                <w:color w:val="auto"/>
                <w:szCs w:val="24"/>
              </w:rPr>
              <w:t>Item</w:t>
            </w:r>
          </w:p>
        </w:tc>
        <w:tc>
          <w:tcPr>
            <w:tcW w:w="241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Dollar Amount</w:t>
            </w:r>
          </w:p>
        </w:tc>
        <w:tc>
          <w:tcPr>
            <w:tcW w:w="2090" w:type="dxa"/>
            <w:noWrap/>
            <w:hideMark/>
          </w:tcPr>
          <w:p w:rsidR="00C7184F" w:rsidRPr="00CC21D5" w:rsidRDefault="00C7184F" w:rsidP="00C71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CC21D5">
              <w:rPr>
                <w:rFonts w:ascii="Times New Roman" w:hAnsi="Times New Roman"/>
                <w:bCs w:val="0"/>
                <w:color w:val="auto"/>
                <w:szCs w:val="24"/>
              </w:rPr>
              <w:t>Percent of Total</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Gross Proceeds</w:t>
            </w:r>
          </w:p>
        </w:tc>
        <w:tc>
          <w:tcPr>
            <w:tcW w:w="2410" w:type="dxa"/>
            <w:tcBorders>
              <w:bottom w:val="nil"/>
            </w:tcBorders>
            <w:noWrap/>
            <w:hideMark/>
          </w:tcPr>
          <w:p w:rsidR="00C7184F" w:rsidRPr="00CC21D5" w:rsidRDefault="00E536CC"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$175</w:t>
            </w:r>
            <w:r w:rsidR="00C7184F" w:rsidRPr="00CC21D5">
              <w:rPr>
                <w:rFonts w:ascii="Times New Roman" w:hAnsi="Times New Roman"/>
                <w:color w:val="auto"/>
                <w:sz w:val="21"/>
                <w:szCs w:val="21"/>
              </w:rPr>
              <w:t>,000,000</w:t>
            </w:r>
          </w:p>
        </w:tc>
        <w:tc>
          <w:tcPr>
            <w:tcW w:w="2090" w:type="dxa"/>
            <w:tcBorders>
              <w:bottom w:val="nil"/>
            </w:tcBorders>
            <w:noWrap/>
            <w:hideMark/>
          </w:tcPr>
          <w:p w:rsidR="00C7184F" w:rsidRPr="00CC21D5" w:rsidRDefault="00C7184F"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CC21D5">
              <w:rPr>
                <w:rFonts w:ascii="Times New Roman" w:hAnsi="Times New Roman"/>
                <w:color w:val="auto"/>
                <w:sz w:val="21"/>
                <w:szCs w:val="21"/>
              </w:rPr>
              <w:t>100.0%</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 xml:space="preserve">Arrangement Fees </w:t>
            </w:r>
          </w:p>
        </w:tc>
        <w:tc>
          <w:tcPr>
            <w:tcW w:w="2410" w:type="dxa"/>
            <w:tcBorders>
              <w:top w:val="nil"/>
              <w:bottom w:val="single" w:sz="4" w:space="0" w:color="1F497D" w:themeColor="text2"/>
            </w:tcBorders>
            <w:noWrap/>
            <w:hideMark/>
          </w:tcPr>
          <w:p w:rsidR="00C7184F" w:rsidRPr="00CC21D5" w:rsidRDefault="00E536CC"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(770,000</w:t>
            </w:r>
            <w:r w:rsidR="00767D99">
              <w:rPr>
                <w:rFonts w:ascii="Times New Roman" w:hAnsi="Times New Roman"/>
                <w:color w:val="auto"/>
                <w:sz w:val="21"/>
                <w:szCs w:val="21"/>
              </w:rPr>
              <w:t>)</w:t>
            </w:r>
          </w:p>
        </w:tc>
        <w:tc>
          <w:tcPr>
            <w:tcW w:w="2090" w:type="dxa"/>
            <w:tcBorders>
              <w:top w:val="nil"/>
              <w:bottom w:val="single" w:sz="4" w:space="0" w:color="1F497D" w:themeColor="text2"/>
            </w:tcBorders>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(0.4</w:t>
            </w:r>
            <w:r w:rsidR="00C7184F" w:rsidRPr="00CC21D5">
              <w:rPr>
                <w:rFonts w:ascii="Times New Roman" w:hAnsi="Times New Roman"/>
                <w:color w:val="auto"/>
                <w:sz w:val="21"/>
                <w:szCs w:val="21"/>
              </w:rPr>
              <w:t>)</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Proceeds Payable to Applicant</w:t>
            </w:r>
          </w:p>
        </w:tc>
        <w:tc>
          <w:tcPr>
            <w:tcW w:w="2410" w:type="dxa"/>
            <w:tcBorders>
              <w:top w:val="single" w:sz="4" w:space="0" w:color="1F497D" w:themeColor="text2"/>
            </w:tcBorders>
            <w:noWrap/>
            <w:hideMark/>
          </w:tcPr>
          <w:p w:rsidR="00C7184F" w:rsidRPr="00CC21D5" w:rsidRDefault="0056225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174,230,000</w:t>
            </w:r>
          </w:p>
        </w:tc>
        <w:tc>
          <w:tcPr>
            <w:tcW w:w="2090" w:type="dxa"/>
            <w:tcBorders>
              <w:top w:val="single" w:sz="4" w:space="0" w:color="1F497D" w:themeColor="text2"/>
            </w:tcBorders>
            <w:noWrap/>
            <w:hideMark/>
          </w:tcPr>
          <w:p w:rsidR="00C7184F" w:rsidRPr="00CC21D5" w:rsidRDefault="000F0398"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99.</w:t>
            </w:r>
            <w:r w:rsidR="00EC7667">
              <w:rPr>
                <w:rFonts w:ascii="Times New Roman" w:hAnsi="Times New Roman"/>
                <w:color w:val="auto"/>
                <w:sz w:val="21"/>
                <w:szCs w:val="21"/>
              </w:rPr>
              <w:t>6</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r w:rsidRPr="00CC21D5">
              <w:rPr>
                <w:rFonts w:ascii="Times New Roman" w:hAnsi="Times New Roman"/>
                <w:b w:val="0"/>
                <w:bCs w:val="0"/>
                <w:color w:val="auto"/>
                <w:sz w:val="21"/>
                <w:szCs w:val="21"/>
              </w:rPr>
              <w:t>Interest Rate Swaps</w:t>
            </w:r>
          </w:p>
        </w:tc>
        <w:tc>
          <w:tcPr>
            <w:tcW w:w="2410" w:type="dxa"/>
            <w:noWrap/>
            <w:hideMark/>
          </w:tcPr>
          <w:p w:rsidR="00C7184F" w:rsidRPr="00CC21D5" w:rsidRDefault="00562257" w:rsidP="00EC7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(53</w:t>
            </w:r>
            <w:r w:rsidR="00C7184F">
              <w:rPr>
                <w:rFonts w:ascii="Times New Roman" w:hAnsi="Times New Roman"/>
                <w:color w:val="auto"/>
                <w:sz w:val="21"/>
                <w:szCs w:val="21"/>
              </w:rPr>
              <w:t>,</w:t>
            </w:r>
            <w:r>
              <w:rPr>
                <w:rFonts w:ascii="Times New Roman" w:hAnsi="Times New Roman"/>
                <w:color w:val="auto"/>
                <w:sz w:val="21"/>
                <w:szCs w:val="21"/>
              </w:rPr>
              <w:t>867,043</w:t>
            </w:r>
            <w:r w:rsidR="00EC7667">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w:t>
            </w:r>
            <w:r w:rsidR="00562257">
              <w:rPr>
                <w:rFonts w:ascii="Times New Roman" w:hAnsi="Times New Roman"/>
                <w:color w:val="auto"/>
                <w:sz w:val="21"/>
                <w:szCs w:val="21"/>
              </w:rPr>
              <w:t>30</w:t>
            </w:r>
            <w:r w:rsidR="000F0398">
              <w:rPr>
                <w:rFonts w:ascii="Times New Roman" w:hAnsi="Times New Roman"/>
                <w:color w:val="auto"/>
                <w:sz w:val="21"/>
                <w:szCs w:val="21"/>
              </w:rPr>
              <w:t>.</w:t>
            </w:r>
            <w:r w:rsidR="00562257">
              <w:rPr>
                <w:rFonts w:ascii="Times New Roman" w:hAnsi="Times New Roman"/>
                <w:color w:val="auto"/>
                <w:sz w:val="21"/>
                <w:szCs w:val="21"/>
              </w:rPr>
              <w:t>8</w:t>
            </w:r>
            <w:r>
              <w:rPr>
                <w:rFonts w:ascii="Times New Roman" w:hAnsi="Times New Roman"/>
                <w:color w:val="auto"/>
                <w:sz w:val="21"/>
                <w:szCs w:val="21"/>
              </w:rPr>
              <w:t>)</w:t>
            </w:r>
          </w:p>
        </w:tc>
      </w:tr>
      <w:tr w:rsidR="00C7184F" w:rsidRPr="00CC21D5" w:rsidTr="00C7184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67937" w:rsidP="00C7184F">
            <w:pPr>
              <w:rPr>
                <w:rFonts w:ascii="Times New Roman" w:hAnsi="Times New Roman"/>
                <w:b w:val="0"/>
                <w:bCs w:val="0"/>
                <w:color w:val="auto"/>
                <w:sz w:val="21"/>
                <w:szCs w:val="21"/>
              </w:rPr>
            </w:pPr>
            <w:r>
              <w:rPr>
                <w:rFonts w:ascii="Times New Roman" w:hAnsi="Times New Roman"/>
                <w:b w:val="0"/>
                <w:bCs w:val="0"/>
                <w:color w:val="auto"/>
                <w:sz w:val="21"/>
                <w:szCs w:val="21"/>
              </w:rPr>
              <w:t>Other Issuance/Technical Services Expenses</w:t>
            </w:r>
          </w:p>
        </w:tc>
        <w:tc>
          <w:tcPr>
            <w:tcW w:w="2410" w:type="dxa"/>
            <w:noWrap/>
            <w:hideMark/>
          </w:tcPr>
          <w:p w:rsidR="00C7184F" w:rsidRPr="00CC21D5" w:rsidRDefault="0056225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(331,213</w:t>
            </w:r>
            <w:r w:rsidR="00C67937">
              <w:rPr>
                <w:rFonts w:ascii="Times New Roman" w:hAnsi="Times New Roman"/>
                <w:color w:val="auto"/>
                <w:sz w:val="21"/>
                <w:szCs w:val="21"/>
              </w:rPr>
              <w:t>)</w:t>
            </w:r>
          </w:p>
        </w:tc>
        <w:tc>
          <w:tcPr>
            <w:tcW w:w="2090" w:type="dxa"/>
            <w:noWrap/>
            <w:hideMark/>
          </w:tcPr>
          <w:p w:rsidR="00C7184F" w:rsidRPr="00CC21D5" w:rsidRDefault="00EC7667" w:rsidP="00C718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Pr>
                <w:rFonts w:ascii="Times New Roman" w:hAnsi="Times New Roman"/>
                <w:color w:val="auto"/>
                <w:sz w:val="21"/>
                <w:szCs w:val="21"/>
              </w:rPr>
              <w:t>(0.2</w:t>
            </w:r>
            <w:r w:rsidR="00C67937">
              <w:rPr>
                <w:rFonts w:ascii="Times New Roman" w:hAnsi="Times New Roman"/>
                <w:color w:val="auto"/>
                <w:sz w:val="21"/>
                <w:szCs w:val="21"/>
              </w:rPr>
              <w:t>)</w:t>
            </w:r>
          </w:p>
        </w:tc>
      </w:tr>
      <w:tr w:rsidR="00C7184F" w:rsidRPr="00CC21D5" w:rsidTr="00C7184F">
        <w:trPr>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 w:val="0"/>
                <w:bCs w:val="0"/>
                <w:color w:val="auto"/>
                <w:sz w:val="21"/>
                <w:szCs w:val="21"/>
              </w:rPr>
            </w:pPr>
          </w:p>
        </w:tc>
        <w:tc>
          <w:tcPr>
            <w:tcW w:w="241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c>
          <w:tcPr>
            <w:tcW w:w="2090" w:type="dxa"/>
            <w:noWrap/>
            <w:hideMark/>
          </w:tcPr>
          <w:p w:rsidR="00C7184F" w:rsidRPr="00CC21D5" w:rsidRDefault="00C7184F" w:rsidP="00C71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1"/>
                <w:szCs w:val="21"/>
              </w:rPr>
            </w:pPr>
          </w:p>
        </w:tc>
      </w:tr>
      <w:tr w:rsidR="00C7184F" w:rsidRPr="00CC21D5" w:rsidTr="00C7184F">
        <w:trPr>
          <w:cnfStyle w:val="010000000000" w:firstRow="0" w:lastRow="1"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10" w:type="dxa"/>
            <w:noWrap/>
            <w:hideMark/>
          </w:tcPr>
          <w:p w:rsidR="00C7184F" w:rsidRPr="00CC21D5" w:rsidRDefault="00C7184F" w:rsidP="00C7184F">
            <w:pPr>
              <w:rPr>
                <w:rFonts w:ascii="Times New Roman" w:hAnsi="Times New Roman"/>
                <w:bCs w:val="0"/>
                <w:color w:val="auto"/>
                <w:sz w:val="22"/>
                <w:szCs w:val="22"/>
              </w:rPr>
            </w:pPr>
            <w:r w:rsidRPr="00CC21D5">
              <w:rPr>
                <w:rFonts w:ascii="Times New Roman" w:hAnsi="Times New Roman"/>
                <w:bCs w:val="0"/>
                <w:color w:val="auto"/>
                <w:sz w:val="22"/>
                <w:szCs w:val="22"/>
              </w:rPr>
              <w:t>Net Proceeds</w:t>
            </w:r>
            <w:r w:rsidRPr="00CC21D5">
              <w:rPr>
                <w:rStyle w:val="FootnoteReference"/>
                <w:rFonts w:ascii="Times New Roman" w:hAnsi="Times New Roman"/>
                <w:color w:val="auto"/>
                <w:sz w:val="22"/>
                <w:szCs w:val="22"/>
              </w:rPr>
              <w:footnoteReference w:id="1"/>
            </w:r>
          </w:p>
        </w:tc>
        <w:tc>
          <w:tcPr>
            <w:tcW w:w="2410" w:type="dxa"/>
            <w:noWrap/>
            <w:hideMark/>
          </w:tcPr>
          <w:p w:rsidR="00C7184F" w:rsidRPr="00CC21D5" w:rsidRDefault="00562257"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120,031,744</w:t>
            </w:r>
          </w:p>
        </w:tc>
        <w:tc>
          <w:tcPr>
            <w:tcW w:w="2090" w:type="dxa"/>
            <w:noWrap/>
            <w:hideMark/>
          </w:tcPr>
          <w:p w:rsidR="00C7184F" w:rsidRPr="00CC21D5" w:rsidRDefault="00562257" w:rsidP="00C718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auto"/>
                <w:sz w:val="22"/>
                <w:szCs w:val="22"/>
              </w:rPr>
            </w:pPr>
            <w:r>
              <w:rPr>
                <w:rFonts w:ascii="Times New Roman" w:hAnsi="Times New Roman"/>
                <w:color w:val="auto"/>
                <w:sz w:val="22"/>
                <w:szCs w:val="22"/>
              </w:rPr>
              <w:t>68.6</w:t>
            </w:r>
            <w:r w:rsidR="00C7184F" w:rsidRPr="00CC21D5">
              <w:rPr>
                <w:rFonts w:ascii="Times New Roman" w:hAnsi="Times New Roman"/>
                <w:color w:val="auto"/>
                <w:sz w:val="22"/>
                <w:szCs w:val="22"/>
              </w:rPr>
              <w:t>%</w:t>
            </w:r>
          </w:p>
        </w:tc>
      </w:tr>
    </w:tbl>
    <w:p w:rsidR="00652599" w:rsidRDefault="00652599"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684381" w:rsidRDefault="00684381" w:rsidP="00EA7A16">
      <w:pPr>
        <w:rPr>
          <w:rFonts w:ascii="Times New Roman" w:hAnsi="Times New Roman"/>
          <w:sz w:val="10"/>
          <w:szCs w:val="10"/>
        </w:rPr>
      </w:pPr>
    </w:p>
    <w:p w:rsidR="00E458C7" w:rsidRDefault="00C117D3"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Attached are the </w:t>
      </w:r>
      <w:r w:rsidR="00E536CC">
        <w:rPr>
          <w:rFonts w:ascii="Times New Roman" w:hAnsi="Times New Roman"/>
          <w:sz w:val="22"/>
          <w:szCs w:val="22"/>
        </w:rPr>
        <w:t>59</w:t>
      </w:r>
      <w:r w:rsidRPr="00E458C7">
        <w:rPr>
          <w:rFonts w:ascii="Times New Roman" w:hAnsi="Times New Roman"/>
          <w:sz w:val="22"/>
          <w:szCs w:val="22"/>
        </w:rPr>
        <w:t>th</w:t>
      </w:r>
      <w:r w:rsidRPr="00767B89">
        <w:rPr>
          <w:rFonts w:ascii="Times New Roman" w:hAnsi="Times New Roman"/>
          <w:sz w:val="22"/>
          <w:szCs w:val="22"/>
        </w:rPr>
        <w:t xml:space="preserve"> supplemental indenture</w:t>
      </w:r>
      <w:r>
        <w:rPr>
          <w:rFonts w:ascii="Times New Roman" w:hAnsi="Times New Roman"/>
          <w:sz w:val="22"/>
          <w:szCs w:val="22"/>
        </w:rPr>
        <w:t xml:space="preserve"> and the redacted version of the final </w:t>
      </w:r>
      <w:r w:rsidR="00A86791" w:rsidRPr="00767B89">
        <w:rPr>
          <w:rFonts w:ascii="Times New Roman" w:hAnsi="Times New Roman"/>
          <w:sz w:val="22"/>
          <w:szCs w:val="22"/>
        </w:rPr>
        <w:t>term sheet</w:t>
      </w:r>
      <w:r w:rsidR="00E458C7">
        <w:rPr>
          <w:rFonts w:ascii="Times New Roman" w:hAnsi="Times New Roman"/>
          <w:sz w:val="22"/>
          <w:szCs w:val="22"/>
        </w:rPr>
        <w:t xml:space="preserve">. </w:t>
      </w:r>
    </w:p>
    <w:p w:rsidR="00C117D3" w:rsidRDefault="00E458C7" w:rsidP="0015736F">
      <w:pPr>
        <w:tabs>
          <w:tab w:val="left" w:pos="720"/>
          <w:tab w:val="left" w:pos="1440"/>
          <w:tab w:val="left" w:pos="2880"/>
          <w:tab w:val="right" w:pos="7200"/>
          <w:tab w:val="right" w:pos="9360"/>
        </w:tabs>
        <w:ind w:left="2880" w:right="720" w:hanging="2880"/>
        <w:rPr>
          <w:rFonts w:ascii="Times New Roman" w:hAnsi="Times New Roman"/>
          <w:sz w:val="22"/>
          <w:szCs w:val="22"/>
        </w:rPr>
      </w:pPr>
      <w:r>
        <w:rPr>
          <w:rFonts w:ascii="Times New Roman" w:hAnsi="Times New Roman"/>
          <w:sz w:val="22"/>
          <w:szCs w:val="22"/>
        </w:rPr>
        <w:t xml:space="preserve">In accordance with WAC 480-07-160, </w:t>
      </w:r>
      <w:r w:rsidR="00C117D3">
        <w:rPr>
          <w:rFonts w:ascii="Times New Roman" w:hAnsi="Times New Roman"/>
          <w:sz w:val="22"/>
          <w:szCs w:val="22"/>
        </w:rPr>
        <w:t>the confidential vers</w:t>
      </w:r>
      <w:r>
        <w:rPr>
          <w:rFonts w:ascii="Times New Roman" w:hAnsi="Times New Roman"/>
          <w:sz w:val="22"/>
          <w:szCs w:val="22"/>
        </w:rPr>
        <w:t>ion, printed on yellow</w:t>
      </w:r>
      <w:r w:rsidR="0099606D">
        <w:rPr>
          <w:rFonts w:ascii="Times New Roman" w:hAnsi="Times New Roman"/>
          <w:sz w:val="22"/>
          <w:szCs w:val="22"/>
        </w:rPr>
        <w:t xml:space="preserve">, </w:t>
      </w:r>
      <w:r>
        <w:rPr>
          <w:rFonts w:ascii="Times New Roman" w:hAnsi="Times New Roman"/>
          <w:sz w:val="22"/>
          <w:szCs w:val="22"/>
        </w:rPr>
        <w:t xml:space="preserve">paper is </w:t>
      </w:r>
    </w:p>
    <w:p w:rsidR="009A6CC2" w:rsidRPr="00767B89" w:rsidRDefault="00E458C7" w:rsidP="00C117D3">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provided</w:t>
      </w:r>
      <w:proofErr w:type="gramEnd"/>
      <w:r>
        <w:rPr>
          <w:rFonts w:ascii="Times New Roman" w:hAnsi="Times New Roman"/>
          <w:sz w:val="22"/>
          <w:szCs w:val="22"/>
        </w:rPr>
        <w:t xml:space="preserve"> in a separate sealed envelope </w:t>
      </w:r>
      <w:r w:rsidR="00C117D3">
        <w:rPr>
          <w:rFonts w:ascii="Times New Roman" w:hAnsi="Times New Roman"/>
          <w:sz w:val="22"/>
          <w:szCs w:val="22"/>
        </w:rPr>
        <w:t xml:space="preserve">marked </w:t>
      </w:r>
      <w:r w:rsidR="0099606D">
        <w:rPr>
          <w:rFonts w:ascii="Times New Roman" w:hAnsi="Times New Roman"/>
          <w:sz w:val="22"/>
          <w:szCs w:val="22"/>
        </w:rPr>
        <w:tab/>
        <w:t>CONFIDENTIAL</w:t>
      </w:r>
      <w:r>
        <w:rPr>
          <w:rFonts w:ascii="Times New Roman" w:hAnsi="Times New Roman"/>
          <w:sz w:val="22"/>
          <w:szCs w:val="22"/>
        </w:rPr>
        <w:t>,</w:t>
      </w:r>
      <w:r w:rsidR="00A86791" w:rsidRPr="00767B89">
        <w:rPr>
          <w:rFonts w:ascii="Times New Roman" w:hAnsi="Times New Roman"/>
          <w:sz w:val="22"/>
          <w:szCs w:val="22"/>
        </w:rPr>
        <w:t xml:space="preserve"> that was</w:t>
      </w:r>
      <w:r w:rsidR="00C117D3">
        <w:rPr>
          <w:rFonts w:ascii="Times New Roman" w:hAnsi="Times New Roman"/>
          <w:sz w:val="22"/>
          <w:szCs w:val="22"/>
        </w:rPr>
        <w:t xml:space="preserve"> </w:t>
      </w:r>
      <w:r w:rsidR="00A86791" w:rsidRPr="00767B89">
        <w:rPr>
          <w:rFonts w:ascii="Times New Roman" w:hAnsi="Times New Roman"/>
          <w:sz w:val="22"/>
          <w:szCs w:val="22"/>
        </w:rPr>
        <w:t xml:space="preserve">executed in </w:t>
      </w:r>
    </w:p>
    <w:p w:rsidR="00E458C7" w:rsidRPr="00767B89" w:rsidRDefault="00A026D7" w:rsidP="00E458C7">
      <w:pPr>
        <w:tabs>
          <w:tab w:val="left" w:pos="720"/>
          <w:tab w:val="left" w:pos="1440"/>
          <w:tab w:val="left" w:pos="2880"/>
          <w:tab w:val="right" w:pos="7200"/>
          <w:tab w:val="right" w:pos="9360"/>
        </w:tabs>
        <w:ind w:left="2880" w:right="720" w:hanging="2880"/>
        <w:rPr>
          <w:rFonts w:ascii="Times New Roman" w:hAnsi="Times New Roman"/>
          <w:sz w:val="22"/>
          <w:szCs w:val="22"/>
        </w:rPr>
      </w:pPr>
      <w:proofErr w:type="gramStart"/>
      <w:r>
        <w:rPr>
          <w:rFonts w:ascii="Times New Roman" w:hAnsi="Times New Roman"/>
          <w:sz w:val="22"/>
          <w:szCs w:val="22"/>
        </w:rPr>
        <w:t>c</w:t>
      </w:r>
      <w:r w:rsidR="0099606D" w:rsidRPr="00767B89">
        <w:rPr>
          <w:rFonts w:ascii="Times New Roman" w:hAnsi="Times New Roman"/>
          <w:sz w:val="22"/>
          <w:szCs w:val="22"/>
        </w:rPr>
        <w:t>onnection</w:t>
      </w:r>
      <w:proofErr w:type="gramEnd"/>
      <w:r w:rsidR="0099606D" w:rsidRPr="00767B89">
        <w:rPr>
          <w:rFonts w:ascii="Times New Roman" w:hAnsi="Times New Roman"/>
          <w:sz w:val="22"/>
          <w:szCs w:val="22"/>
        </w:rPr>
        <w:t xml:space="preserve"> to </w:t>
      </w:r>
      <w:r w:rsidR="0099606D">
        <w:rPr>
          <w:rFonts w:ascii="Times New Roman" w:hAnsi="Times New Roman"/>
          <w:sz w:val="22"/>
          <w:szCs w:val="22"/>
        </w:rPr>
        <w:t>t</w:t>
      </w:r>
      <w:r w:rsidR="00E458C7" w:rsidRPr="00767B89">
        <w:rPr>
          <w:rFonts w:ascii="Times New Roman" w:hAnsi="Times New Roman"/>
          <w:sz w:val="22"/>
          <w:szCs w:val="22"/>
        </w:rPr>
        <w:t>his issuance.</w:t>
      </w:r>
    </w:p>
    <w:p w:rsidR="00B077F6" w:rsidRPr="00767B89" w:rsidRDefault="00B077F6">
      <w:pPr>
        <w:rPr>
          <w:rFonts w:ascii="Times New Roman" w:hAnsi="Times New Roman"/>
          <w:sz w:val="22"/>
          <w:szCs w:val="22"/>
        </w:rPr>
      </w:pP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r w:rsidRPr="00767B89">
        <w:rPr>
          <w:rFonts w:ascii="Times New Roman" w:hAnsi="Times New Roman"/>
          <w:sz w:val="22"/>
          <w:szCs w:val="22"/>
        </w:rPr>
        <w:t xml:space="preserve">Please contact </w:t>
      </w:r>
      <w:r w:rsidR="001F7047">
        <w:rPr>
          <w:rFonts w:ascii="Times New Roman" w:hAnsi="Times New Roman"/>
          <w:sz w:val="22"/>
          <w:szCs w:val="22"/>
        </w:rPr>
        <w:t>Jason Lang</w:t>
      </w:r>
      <w:r w:rsidRPr="00767B89">
        <w:rPr>
          <w:rFonts w:ascii="Times New Roman" w:hAnsi="Times New Roman"/>
          <w:sz w:val="22"/>
          <w:szCs w:val="22"/>
        </w:rPr>
        <w:t xml:space="preserve"> at (509) 495-</w:t>
      </w:r>
      <w:r w:rsidR="001F7047">
        <w:rPr>
          <w:rFonts w:ascii="Times New Roman" w:hAnsi="Times New Roman"/>
          <w:sz w:val="22"/>
          <w:szCs w:val="22"/>
        </w:rPr>
        <w:t>2930</w:t>
      </w:r>
      <w:r w:rsidRPr="00767B89">
        <w:rPr>
          <w:rFonts w:ascii="Times New Roman" w:hAnsi="Times New Roman"/>
          <w:sz w:val="22"/>
          <w:szCs w:val="22"/>
        </w:rPr>
        <w:t xml:space="preserve"> if you have any questions.</w:t>
      </w:r>
    </w:p>
    <w:p w:rsidR="00E77B68" w:rsidRPr="00767B89" w:rsidRDefault="00E77B68">
      <w:pPr>
        <w:tabs>
          <w:tab w:val="left" w:pos="720"/>
          <w:tab w:val="right" w:pos="1980"/>
          <w:tab w:val="right" w:pos="7110"/>
          <w:tab w:val="left" w:pos="7380"/>
          <w:tab w:val="right" w:pos="8640"/>
        </w:tabs>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64669F" w:rsidRPr="00767B89" w:rsidRDefault="0064669F" w:rsidP="00A32D38">
      <w:pPr>
        <w:jc w:val="both"/>
        <w:rPr>
          <w:rFonts w:ascii="Times New Roman" w:hAnsi="Times New Roman"/>
          <w:sz w:val="22"/>
          <w:szCs w:val="22"/>
        </w:rPr>
      </w:pPr>
    </w:p>
    <w:p w:rsidR="00A32D38" w:rsidRPr="00767B89" w:rsidRDefault="00A32D38" w:rsidP="00A32D38">
      <w:pPr>
        <w:jc w:val="both"/>
        <w:rPr>
          <w:rFonts w:ascii="Times New Roman" w:hAnsi="Times New Roman"/>
          <w:sz w:val="22"/>
          <w:szCs w:val="22"/>
        </w:rPr>
      </w:pPr>
      <w:r w:rsidRPr="00767B89">
        <w:rPr>
          <w:rFonts w:ascii="Times New Roman" w:hAnsi="Times New Roman"/>
          <w:sz w:val="22"/>
          <w:szCs w:val="22"/>
        </w:rPr>
        <w:t>Sincerely,</w:t>
      </w:r>
    </w:p>
    <w:p w:rsidR="00A32D38" w:rsidRPr="00767B89" w:rsidRDefault="00A32D38" w:rsidP="00A32D38">
      <w:pPr>
        <w:jc w:val="both"/>
        <w:rPr>
          <w:rFonts w:ascii="Times New Roman" w:hAnsi="Times New Roman"/>
          <w:sz w:val="22"/>
          <w:szCs w:val="22"/>
        </w:rPr>
      </w:pPr>
      <w:bookmarkStart w:id="0" w:name="_GoBack"/>
      <w:bookmarkEnd w:id="0"/>
    </w:p>
    <w:p w:rsidR="00A32D38" w:rsidRPr="009576B6" w:rsidRDefault="009576B6" w:rsidP="00A32D38">
      <w:pPr>
        <w:rPr>
          <w:rFonts w:ascii="Lucida Handwriting" w:hAnsi="Lucida Handwriting"/>
          <w:sz w:val="22"/>
          <w:szCs w:val="22"/>
        </w:rPr>
      </w:pPr>
      <w:r w:rsidRPr="009576B6">
        <w:rPr>
          <w:rFonts w:ascii="Lucida Handwriting" w:hAnsi="Lucida Handwriting"/>
          <w:sz w:val="22"/>
          <w:szCs w:val="22"/>
        </w:rPr>
        <w:t>Patrice K Gorton/s/</w:t>
      </w:r>
    </w:p>
    <w:p w:rsidR="00A32D38" w:rsidRPr="00767B89" w:rsidRDefault="00A32D38" w:rsidP="00A32D38">
      <w:pPr>
        <w:rPr>
          <w:rFonts w:ascii="Times New Roman" w:hAnsi="Times New Roman"/>
          <w:sz w:val="22"/>
          <w:szCs w:val="22"/>
        </w:rPr>
      </w:pPr>
    </w:p>
    <w:p w:rsidR="00A32D38" w:rsidRPr="00767B89" w:rsidRDefault="001F7047" w:rsidP="00A32D38">
      <w:pPr>
        <w:rPr>
          <w:rFonts w:ascii="Times New Roman" w:hAnsi="Times New Roman"/>
          <w:sz w:val="22"/>
          <w:szCs w:val="22"/>
        </w:rPr>
      </w:pPr>
      <w:r>
        <w:rPr>
          <w:rFonts w:ascii="Times New Roman" w:hAnsi="Times New Roman"/>
          <w:sz w:val="22"/>
          <w:szCs w:val="22"/>
        </w:rPr>
        <w:t>Patrice K. Gorton</w:t>
      </w:r>
    </w:p>
    <w:p w:rsidR="00A32D38" w:rsidRPr="00767B89" w:rsidRDefault="00EA7A16" w:rsidP="00A32D38">
      <w:pPr>
        <w:rPr>
          <w:rFonts w:ascii="Times New Roman" w:hAnsi="Times New Roman"/>
          <w:sz w:val="22"/>
          <w:szCs w:val="22"/>
        </w:rPr>
      </w:pPr>
      <w:r w:rsidRPr="00767B89">
        <w:rPr>
          <w:rFonts w:ascii="Times New Roman" w:hAnsi="Times New Roman"/>
          <w:sz w:val="22"/>
          <w:szCs w:val="22"/>
        </w:rPr>
        <w:t>Director of Finance</w:t>
      </w:r>
      <w:r w:rsidR="004E3369">
        <w:rPr>
          <w:rFonts w:ascii="Times New Roman" w:hAnsi="Times New Roman"/>
          <w:sz w:val="22"/>
          <w:szCs w:val="22"/>
        </w:rPr>
        <w:t xml:space="preserve"> and Assistant Treasurer</w:t>
      </w:r>
    </w:p>
    <w:p w:rsidR="00E77B68" w:rsidRPr="00C70DDC" w:rsidRDefault="00E77B68" w:rsidP="00A32D38">
      <w:pPr>
        <w:jc w:val="both"/>
        <w:rPr>
          <w:rFonts w:ascii="Times New Roman" w:hAnsi="Times New Roman"/>
          <w:szCs w:val="24"/>
        </w:rPr>
      </w:pPr>
    </w:p>
    <w:sectPr w:rsidR="00E77B68" w:rsidRPr="00C70DDC" w:rsidSect="00DF1C33">
      <w:footerReference w:type="default" r:id="rId7"/>
      <w:footerReference w:type="first" r:id="rId8"/>
      <w:pgSz w:w="12240" w:h="15840"/>
      <w:pgMar w:top="1440" w:right="1440" w:bottom="1440" w:left="1440" w:header="720" w:footer="720" w:gutter="0"/>
      <w:paperSrc w:first="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98" w:rsidRDefault="000F0398">
      <w:r>
        <w:separator/>
      </w:r>
    </w:p>
  </w:endnote>
  <w:endnote w:type="continuationSeparator" w:id="0">
    <w:p w:rsidR="000F0398" w:rsidRDefault="000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p>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9576B6">
      <w:rPr>
        <w:b/>
        <w:noProof/>
      </w:rPr>
      <w:t>2</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9576B6">
      <w:rPr>
        <w:b/>
        <w:noProof/>
      </w:rPr>
      <w:t>2</w:t>
    </w:r>
    <w:r w:rsidR="00663938">
      <w:rPr>
        <w:b/>
        <w:szCs w:val="24"/>
      </w:rPr>
      <w:fldChar w:fldCharType="end"/>
    </w:r>
  </w:p>
  <w:p w:rsidR="000F0398" w:rsidRDefault="000F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98" w:rsidRDefault="000F0398">
    <w:pPr>
      <w:pStyle w:val="Footer"/>
      <w:jc w:val="right"/>
    </w:pPr>
    <w:r>
      <w:t xml:space="preserve">Page </w:t>
    </w:r>
    <w:r w:rsidR="00663938">
      <w:rPr>
        <w:b/>
        <w:szCs w:val="24"/>
      </w:rPr>
      <w:fldChar w:fldCharType="begin"/>
    </w:r>
    <w:r>
      <w:rPr>
        <w:b/>
      </w:rPr>
      <w:instrText xml:space="preserve"> PAGE </w:instrText>
    </w:r>
    <w:r w:rsidR="00663938">
      <w:rPr>
        <w:b/>
        <w:szCs w:val="24"/>
      </w:rPr>
      <w:fldChar w:fldCharType="separate"/>
    </w:r>
    <w:r w:rsidR="009576B6">
      <w:rPr>
        <w:b/>
        <w:noProof/>
      </w:rPr>
      <w:t>1</w:t>
    </w:r>
    <w:r w:rsidR="00663938">
      <w:rPr>
        <w:b/>
        <w:szCs w:val="24"/>
      </w:rPr>
      <w:fldChar w:fldCharType="end"/>
    </w:r>
    <w:r>
      <w:t xml:space="preserve"> of </w:t>
    </w:r>
    <w:r w:rsidR="00663938">
      <w:rPr>
        <w:b/>
        <w:szCs w:val="24"/>
      </w:rPr>
      <w:fldChar w:fldCharType="begin"/>
    </w:r>
    <w:r>
      <w:rPr>
        <w:b/>
      </w:rPr>
      <w:instrText xml:space="preserve"> NUMPAGES  </w:instrText>
    </w:r>
    <w:r w:rsidR="00663938">
      <w:rPr>
        <w:b/>
        <w:szCs w:val="24"/>
      </w:rPr>
      <w:fldChar w:fldCharType="separate"/>
    </w:r>
    <w:r w:rsidR="009576B6">
      <w:rPr>
        <w:b/>
        <w:noProof/>
      </w:rPr>
      <w:t>2</w:t>
    </w:r>
    <w:r w:rsidR="00663938">
      <w:rPr>
        <w:b/>
        <w:szCs w:val="24"/>
      </w:rPr>
      <w:fldChar w:fldCharType="end"/>
    </w:r>
  </w:p>
  <w:p w:rsidR="000F0398" w:rsidRDefault="000F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98" w:rsidRDefault="000F0398">
      <w:r>
        <w:separator/>
      </w:r>
    </w:p>
  </w:footnote>
  <w:footnote w:type="continuationSeparator" w:id="0">
    <w:p w:rsidR="000F0398" w:rsidRDefault="000F0398">
      <w:r>
        <w:continuationSeparator/>
      </w:r>
    </w:p>
  </w:footnote>
  <w:footnote w:id="1">
    <w:p w:rsidR="000F0398" w:rsidRDefault="000F0398" w:rsidP="00C7184F">
      <w:pPr>
        <w:pStyle w:val="FootnoteText"/>
      </w:pPr>
      <w:r>
        <w:rPr>
          <w:rStyle w:val="FootnoteReference"/>
        </w:rPr>
        <w:footnoteRef/>
      </w:r>
      <w:r>
        <w:t xml:space="preserve"> The Company is expecting additional fees primarily related to filing fees and potentially additional legal expenses currently unbilled, which may reduce the Company’s net proceeds.</w:t>
      </w:r>
    </w:p>
    <w:p w:rsidR="00DB3939" w:rsidRDefault="00DB3939" w:rsidP="00C7184F">
      <w:pPr>
        <w:pStyle w:val="FootnoteText"/>
      </w:pPr>
      <w:r w:rsidRPr="00DB3939">
        <w:rPr>
          <w:rStyle w:val="FootnoteReference"/>
        </w:rPr>
        <w:t>2</w:t>
      </w:r>
      <w:r>
        <w:t xml:space="preserve"> This filing is compliant w</w:t>
      </w:r>
      <w:r w:rsidR="002255A2">
        <w:t xml:space="preserve">ith the Commission’s Order </w:t>
      </w:r>
      <w:r w:rsidR="00D129A4">
        <w:t xml:space="preserve">No. 1 under docket UE-151822 and Order </w:t>
      </w:r>
      <w:r w:rsidR="002255A2">
        <w:t>No. 2</w:t>
      </w:r>
      <w:r>
        <w:t xml:space="preserve"> under Docket </w:t>
      </w:r>
      <w:r w:rsidR="003C5DCC">
        <w:t>No. U</w:t>
      </w:r>
      <w:r>
        <w:t>-111176.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3F"/>
    <w:rsid w:val="000177E3"/>
    <w:rsid w:val="0002126D"/>
    <w:rsid w:val="00056D6C"/>
    <w:rsid w:val="00073D83"/>
    <w:rsid w:val="000C0F82"/>
    <w:rsid w:val="000F0398"/>
    <w:rsid w:val="000F0F2D"/>
    <w:rsid w:val="000F27EC"/>
    <w:rsid w:val="000F436E"/>
    <w:rsid w:val="000F5C88"/>
    <w:rsid w:val="00136664"/>
    <w:rsid w:val="001401A5"/>
    <w:rsid w:val="0015736F"/>
    <w:rsid w:val="00171BBD"/>
    <w:rsid w:val="00193B2E"/>
    <w:rsid w:val="001B2C36"/>
    <w:rsid w:val="001C0321"/>
    <w:rsid w:val="001E2808"/>
    <w:rsid w:val="001F7047"/>
    <w:rsid w:val="002255A2"/>
    <w:rsid w:val="00231B63"/>
    <w:rsid w:val="0025739B"/>
    <w:rsid w:val="002D4DE0"/>
    <w:rsid w:val="002D5FC9"/>
    <w:rsid w:val="00316F37"/>
    <w:rsid w:val="0034691A"/>
    <w:rsid w:val="00350401"/>
    <w:rsid w:val="00354589"/>
    <w:rsid w:val="003629A0"/>
    <w:rsid w:val="003712D8"/>
    <w:rsid w:val="003826DB"/>
    <w:rsid w:val="003A224B"/>
    <w:rsid w:val="003C5DCC"/>
    <w:rsid w:val="003D714C"/>
    <w:rsid w:val="00433590"/>
    <w:rsid w:val="0043677E"/>
    <w:rsid w:val="00475AB5"/>
    <w:rsid w:val="004800F0"/>
    <w:rsid w:val="004B7E25"/>
    <w:rsid w:val="004D0E30"/>
    <w:rsid w:val="004E3369"/>
    <w:rsid w:val="00524EA5"/>
    <w:rsid w:val="00526EBC"/>
    <w:rsid w:val="00532841"/>
    <w:rsid w:val="00534CB4"/>
    <w:rsid w:val="00562257"/>
    <w:rsid w:val="00581C7E"/>
    <w:rsid w:val="00595223"/>
    <w:rsid w:val="005D1D08"/>
    <w:rsid w:val="005E1395"/>
    <w:rsid w:val="006038CA"/>
    <w:rsid w:val="0061749A"/>
    <w:rsid w:val="00634C50"/>
    <w:rsid w:val="006365B3"/>
    <w:rsid w:val="006458CB"/>
    <w:rsid w:val="00645E03"/>
    <w:rsid w:val="0064669F"/>
    <w:rsid w:val="00652599"/>
    <w:rsid w:val="00652A14"/>
    <w:rsid w:val="00663938"/>
    <w:rsid w:val="00672F4F"/>
    <w:rsid w:val="00684381"/>
    <w:rsid w:val="006A2F86"/>
    <w:rsid w:val="006A336F"/>
    <w:rsid w:val="006C4E84"/>
    <w:rsid w:val="006C6356"/>
    <w:rsid w:val="006C716B"/>
    <w:rsid w:val="006E1B5B"/>
    <w:rsid w:val="006F27E3"/>
    <w:rsid w:val="006F5FDE"/>
    <w:rsid w:val="007455FE"/>
    <w:rsid w:val="00763DA5"/>
    <w:rsid w:val="00767B89"/>
    <w:rsid w:val="00767D99"/>
    <w:rsid w:val="00792AA8"/>
    <w:rsid w:val="007D17D4"/>
    <w:rsid w:val="007E1C91"/>
    <w:rsid w:val="007F76ED"/>
    <w:rsid w:val="00882053"/>
    <w:rsid w:val="00896600"/>
    <w:rsid w:val="008B3658"/>
    <w:rsid w:val="008D25FC"/>
    <w:rsid w:val="00912E0D"/>
    <w:rsid w:val="009317FC"/>
    <w:rsid w:val="009576B6"/>
    <w:rsid w:val="009713EF"/>
    <w:rsid w:val="00991E7B"/>
    <w:rsid w:val="0099606D"/>
    <w:rsid w:val="009A6CC2"/>
    <w:rsid w:val="009C4DFE"/>
    <w:rsid w:val="00A026D7"/>
    <w:rsid w:val="00A10ADE"/>
    <w:rsid w:val="00A15E99"/>
    <w:rsid w:val="00A32D38"/>
    <w:rsid w:val="00A37BAC"/>
    <w:rsid w:val="00A70592"/>
    <w:rsid w:val="00A847CB"/>
    <w:rsid w:val="00A86791"/>
    <w:rsid w:val="00AE0E23"/>
    <w:rsid w:val="00B077F6"/>
    <w:rsid w:val="00B115E3"/>
    <w:rsid w:val="00B22A3C"/>
    <w:rsid w:val="00B517DB"/>
    <w:rsid w:val="00B52533"/>
    <w:rsid w:val="00B54E9E"/>
    <w:rsid w:val="00B73852"/>
    <w:rsid w:val="00B77A4B"/>
    <w:rsid w:val="00B8097A"/>
    <w:rsid w:val="00B85915"/>
    <w:rsid w:val="00BA4EAC"/>
    <w:rsid w:val="00BD2FC7"/>
    <w:rsid w:val="00C013E3"/>
    <w:rsid w:val="00C035B4"/>
    <w:rsid w:val="00C117D3"/>
    <w:rsid w:val="00C12F9E"/>
    <w:rsid w:val="00C244E7"/>
    <w:rsid w:val="00C67937"/>
    <w:rsid w:val="00C70DDC"/>
    <w:rsid w:val="00C7184F"/>
    <w:rsid w:val="00CA3598"/>
    <w:rsid w:val="00CC3B67"/>
    <w:rsid w:val="00CC70C1"/>
    <w:rsid w:val="00D129A4"/>
    <w:rsid w:val="00D15435"/>
    <w:rsid w:val="00D473DB"/>
    <w:rsid w:val="00D55874"/>
    <w:rsid w:val="00D92656"/>
    <w:rsid w:val="00DB3939"/>
    <w:rsid w:val="00DD47DE"/>
    <w:rsid w:val="00DF1C33"/>
    <w:rsid w:val="00DF22A9"/>
    <w:rsid w:val="00E14DB1"/>
    <w:rsid w:val="00E20C1B"/>
    <w:rsid w:val="00E4058A"/>
    <w:rsid w:val="00E458C7"/>
    <w:rsid w:val="00E536CC"/>
    <w:rsid w:val="00E60AFB"/>
    <w:rsid w:val="00E77B68"/>
    <w:rsid w:val="00EA72D1"/>
    <w:rsid w:val="00EA7A16"/>
    <w:rsid w:val="00EC64DF"/>
    <w:rsid w:val="00EC7667"/>
    <w:rsid w:val="00EC7C86"/>
    <w:rsid w:val="00EE0ACF"/>
    <w:rsid w:val="00F14B47"/>
    <w:rsid w:val="00F305E7"/>
    <w:rsid w:val="00F561F2"/>
    <w:rsid w:val="00F61070"/>
    <w:rsid w:val="00F9084F"/>
    <w:rsid w:val="00F94954"/>
    <w:rsid w:val="00FA6B53"/>
    <w:rsid w:val="00FB1A00"/>
    <w:rsid w:val="00FD0BEA"/>
    <w:rsid w:val="00FD10B0"/>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E7B48-CEED-45CA-B291-A0F82FD0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B2E"/>
    <w:pPr>
      <w:tabs>
        <w:tab w:val="center" w:pos="4320"/>
        <w:tab w:val="right" w:pos="8640"/>
      </w:tabs>
    </w:pPr>
  </w:style>
  <w:style w:type="paragraph" w:styleId="BodyTextIndent">
    <w:name w:val="Body Text Indent"/>
    <w:basedOn w:val="Normal"/>
    <w:rsid w:val="00193B2E"/>
    <w:pPr>
      <w:ind w:firstLine="720"/>
      <w:jc w:val="both"/>
    </w:pPr>
    <w:rPr>
      <w:rFonts w:ascii="Geneva" w:hAnsi="Geneva"/>
      <w:sz w:val="20"/>
    </w:rPr>
  </w:style>
  <w:style w:type="paragraph" w:styleId="BodyText">
    <w:name w:val="Body Text"/>
    <w:basedOn w:val="Normal"/>
    <w:rsid w:val="00193B2E"/>
    <w:pPr>
      <w:tabs>
        <w:tab w:val="right" w:pos="8640"/>
      </w:tabs>
      <w:jc w:val="both"/>
    </w:pPr>
    <w:rPr>
      <w:rFonts w:ascii="Geneva" w:hAnsi="Geneva"/>
      <w:sz w:val="20"/>
    </w:rPr>
  </w:style>
  <w:style w:type="paragraph" w:styleId="BalloonText">
    <w:name w:val="Balloon Text"/>
    <w:basedOn w:val="Normal"/>
    <w:semiHidden/>
    <w:rsid w:val="000C0F82"/>
    <w:rPr>
      <w:rFonts w:ascii="Tahoma" w:hAnsi="Tahoma" w:cs="Tahoma"/>
      <w:sz w:val="16"/>
      <w:szCs w:val="16"/>
    </w:rPr>
  </w:style>
  <w:style w:type="paragraph" w:customStyle="1" w:styleId="Default">
    <w:name w:val="Default"/>
    <w:rsid w:val="003A224B"/>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B2C36"/>
    <w:pPr>
      <w:tabs>
        <w:tab w:val="center" w:pos="4680"/>
        <w:tab w:val="right" w:pos="9360"/>
      </w:tabs>
    </w:pPr>
  </w:style>
  <w:style w:type="character" w:customStyle="1" w:styleId="FooterChar">
    <w:name w:val="Footer Char"/>
    <w:basedOn w:val="DefaultParagraphFont"/>
    <w:link w:val="Footer"/>
    <w:uiPriority w:val="99"/>
    <w:rsid w:val="001B2C36"/>
    <w:rPr>
      <w:sz w:val="24"/>
    </w:rPr>
  </w:style>
  <w:style w:type="paragraph" w:styleId="FootnoteText">
    <w:name w:val="footnote text"/>
    <w:basedOn w:val="Normal"/>
    <w:link w:val="FootnoteTextChar"/>
    <w:rsid w:val="00056D6C"/>
    <w:rPr>
      <w:sz w:val="20"/>
    </w:rPr>
  </w:style>
  <w:style w:type="character" w:customStyle="1" w:styleId="FootnoteTextChar">
    <w:name w:val="Footnote Text Char"/>
    <w:basedOn w:val="DefaultParagraphFont"/>
    <w:link w:val="FootnoteText"/>
    <w:rsid w:val="00056D6C"/>
  </w:style>
  <w:style w:type="character" w:styleId="FootnoteReference">
    <w:name w:val="footnote reference"/>
    <w:basedOn w:val="DefaultParagraphFont"/>
    <w:rsid w:val="00056D6C"/>
    <w:rPr>
      <w:vertAlign w:val="superscript"/>
    </w:rPr>
  </w:style>
  <w:style w:type="table" w:styleId="TableGrid8">
    <w:name w:val="Table Grid 8"/>
    <w:basedOn w:val="TableNormal"/>
    <w:rsid w:val="006C63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sid w:val="00C718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99135">
      <w:bodyDiv w:val="1"/>
      <w:marLeft w:val="0"/>
      <w:marRight w:val="0"/>
      <w:marTop w:val="0"/>
      <w:marBottom w:val="0"/>
      <w:divBdr>
        <w:top w:val="none" w:sz="0" w:space="0" w:color="auto"/>
        <w:left w:val="none" w:sz="0" w:space="0" w:color="auto"/>
        <w:bottom w:val="none" w:sz="0" w:space="0" w:color="auto"/>
        <w:right w:val="none" w:sz="0" w:space="0" w:color="auto"/>
      </w:divBdr>
    </w:div>
    <w:div w:id="666901098">
      <w:bodyDiv w:val="1"/>
      <w:marLeft w:val="0"/>
      <w:marRight w:val="0"/>
      <w:marTop w:val="0"/>
      <w:marBottom w:val="0"/>
      <w:divBdr>
        <w:top w:val="none" w:sz="0" w:space="0" w:color="auto"/>
        <w:left w:val="none" w:sz="0" w:space="0" w:color="auto"/>
        <w:bottom w:val="none" w:sz="0" w:space="0" w:color="auto"/>
        <w:right w:val="none" w:sz="0" w:space="0" w:color="auto"/>
      </w:divBdr>
    </w:div>
    <w:div w:id="1234319480">
      <w:bodyDiv w:val="1"/>
      <w:marLeft w:val="0"/>
      <w:marRight w:val="0"/>
      <w:marTop w:val="0"/>
      <w:marBottom w:val="0"/>
      <w:divBdr>
        <w:top w:val="none" w:sz="0" w:space="0" w:color="auto"/>
        <w:left w:val="none" w:sz="0" w:space="0" w:color="auto"/>
        <w:bottom w:val="none" w:sz="0" w:space="0" w:color="auto"/>
        <w:right w:val="none" w:sz="0" w:space="0" w:color="auto"/>
      </w:divBdr>
    </w:div>
    <w:div w:id="1295909984">
      <w:bodyDiv w:val="1"/>
      <w:marLeft w:val="0"/>
      <w:marRight w:val="0"/>
      <w:marTop w:val="0"/>
      <w:marBottom w:val="0"/>
      <w:divBdr>
        <w:top w:val="none" w:sz="0" w:space="0" w:color="auto"/>
        <w:left w:val="none" w:sz="0" w:space="0" w:color="auto"/>
        <w:bottom w:val="none" w:sz="0" w:space="0" w:color="auto"/>
        <w:right w:val="none" w:sz="0" w:space="0" w:color="auto"/>
      </w:divBdr>
    </w:div>
    <w:div w:id="1593968576">
      <w:bodyDiv w:val="1"/>
      <w:marLeft w:val="0"/>
      <w:marRight w:val="0"/>
      <w:marTop w:val="0"/>
      <w:marBottom w:val="0"/>
      <w:divBdr>
        <w:top w:val="none" w:sz="0" w:space="0" w:color="auto"/>
        <w:left w:val="none" w:sz="0" w:space="0" w:color="auto"/>
        <w:bottom w:val="none" w:sz="0" w:space="0" w:color="auto"/>
        <w:right w:val="none" w:sz="0" w:space="0" w:color="auto"/>
      </w:divBdr>
    </w:div>
    <w:div w:id="17335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F11872C89BD349ADD141CEA0DB887F" ma:contentTypeVersion="119" ma:contentTypeDescription="" ma:contentTypeScope="" ma:versionID="c9ed080a037b008b93570797330ad7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2015-09-11T07:00:00+00:00</OpenedDate>
    <Date1 xmlns="dc463f71-b30c-4ab2-9473-d307f9d35888">2016-12-27T08:00:00+00:00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9D5DA4-8FE3-413F-BF39-7D099F297FC7}">
  <ds:schemaRefs>
    <ds:schemaRef ds:uri="http://schemas.openxmlformats.org/officeDocument/2006/bibliography"/>
  </ds:schemaRefs>
</ds:datastoreItem>
</file>

<file path=customXml/itemProps2.xml><?xml version="1.0" encoding="utf-8"?>
<ds:datastoreItem xmlns:ds="http://schemas.openxmlformats.org/officeDocument/2006/customXml" ds:itemID="{A070E348-8CED-42E5-A123-E163B7D273A1}"/>
</file>

<file path=customXml/itemProps3.xml><?xml version="1.0" encoding="utf-8"?>
<ds:datastoreItem xmlns:ds="http://schemas.openxmlformats.org/officeDocument/2006/customXml" ds:itemID="{D470F90A-7FDE-4CE2-854D-CDB711E44064}"/>
</file>

<file path=customXml/itemProps4.xml><?xml version="1.0" encoding="utf-8"?>
<ds:datastoreItem xmlns:ds="http://schemas.openxmlformats.org/officeDocument/2006/customXml" ds:itemID="{0A42646E-C0E4-4F9E-BDEA-4204FEE13752}"/>
</file>

<file path=customXml/itemProps5.xml><?xml version="1.0" encoding="utf-8"?>
<ds:datastoreItem xmlns:ds="http://schemas.openxmlformats.org/officeDocument/2006/customXml" ds:itemID="{0DE0EFFE-FEE7-417E-BE4C-C69399AD5495}"/>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1997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August 5, 1992</vt:lpstr>
    </vt:vector>
  </TitlesOfParts>
  <Company>Avista Corp</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5, 1992</dc:title>
  <dc:creator>Jason Thackston</dc:creator>
  <cp:lastModifiedBy>Gervais, Linda</cp:lastModifiedBy>
  <cp:revision>2</cp:revision>
  <cp:lastPrinted>2016-12-23T00:53:00Z</cp:lastPrinted>
  <dcterms:created xsi:type="dcterms:W3CDTF">2016-12-28T16:54:00Z</dcterms:created>
  <dcterms:modified xsi:type="dcterms:W3CDTF">2016-12-28T16:54:00Z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0x0101006E56B4D1795A2E4DB2F0B01679ED314A0020F11872C89BD349ADD141CEA0DB887F</vt:lpwstr>
  </property>
  <property fmtid="{D5CDD505-2E9C-101B-9397-08002B2CF9AE}" pid="3" name="_docset_NoMedatataSyncRequired">
    <vt:lpwstr>False</vt:lpwstr>
  </property>
</Properties>
</file>