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5AF53" w14:textId="3AEB5B4A" w:rsidR="00253635" w:rsidRDefault="00253635" w:rsidP="00253635">
      <w:pPr>
        <w:rPr>
          <w:rFonts w:ascii="Times New Roman" w:hAnsi="Times New Roman"/>
        </w:rPr>
      </w:pPr>
      <w:r>
        <w:rPr>
          <w:rFonts w:ascii="Times New Roman" w:hAnsi="Times New Roman"/>
        </w:rPr>
        <w:t>Agenda Date:</w:t>
      </w:r>
      <w:r>
        <w:rPr>
          <w:rFonts w:ascii="Times New Roman" w:hAnsi="Times New Roman"/>
        </w:rPr>
        <w:tab/>
      </w:r>
      <w:r>
        <w:rPr>
          <w:rFonts w:ascii="Times New Roman" w:hAnsi="Times New Roman"/>
        </w:rPr>
        <w:tab/>
        <w:t>Oct</w:t>
      </w:r>
      <w:r w:rsidR="00E70290">
        <w:rPr>
          <w:rFonts w:ascii="Times New Roman" w:hAnsi="Times New Roman"/>
        </w:rPr>
        <w:t>ober</w:t>
      </w:r>
      <w:r>
        <w:rPr>
          <w:rFonts w:ascii="Times New Roman" w:hAnsi="Times New Roman"/>
        </w:rPr>
        <w:t xml:space="preserve"> 29, 2015</w:t>
      </w:r>
    </w:p>
    <w:p w14:paraId="3EC5AF54" w14:textId="1C4ED246" w:rsidR="00253635" w:rsidRDefault="00253635" w:rsidP="00253635">
      <w:pPr>
        <w:ind w:left="2160" w:hanging="2160"/>
        <w:rPr>
          <w:rFonts w:ascii="Times New Roman" w:hAnsi="Times New Roman"/>
        </w:rPr>
      </w:pPr>
      <w:r>
        <w:rPr>
          <w:rFonts w:ascii="Times New Roman" w:hAnsi="Times New Roman"/>
        </w:rPr>
        <w:t>Item Number:</w:t>
      </w:r>
      <w:r>
        <w:rPr>
          <w:rFonts w:ascii="Times New Roman" w:hAnsi="Times New Roman"/>
        </w:rPr>
        <w:tab/>
        <w:t>A</w:t>
      </w:r>
      <w:r w:rsidR="00BA50D6">
        <w:rPr>
          <w:rFonts w:ascii="Times New Roman" w:hAnsi="Times New Roman"/>
        </w:rPr>
        <w:t>1</w:t>
      </w:r>
    </w:p>
    <w:p w14:paraId="3EC5AF55" w14:textId="77777777" w:rsidR="00253635" w:rsidRDefault="00253635" w:rsidP="00253635">
      <w:pPr>
        <w:rPr>
          <w:rFonts w:ascii="Times New Roman" w:hAnsi="Times New Roman"/>
          <w:highlight w:val="yellow"/>
        </w:rPr>
      </w:pPr>
    </w:p>
    <w:p w14:paraId="3EC5AF56" w14:textId="77777777" w:rsidR="00253635" w:rsidRDefault="00253635" w:rsidP="00253635">
      <w:pPr>
        <w:rPr>
          <w:rFonts w:ascii="Times New Roman" w:hAnsi="Times New Roman"/>
          <w:b/>
          <w:bCs/>
        </w:rPr>
      </w:pPr>
      <w:r>
        <w:rPr>
          <w:rFonts w:ascii="Times New Roman" w:hAnsi="Times New Roman"/>
          <w:b/>
          <w:bCs/>
        </w:rPr>
        <w:t>Docket:</w:t>
      </w:r>
      <w:r>
        <w:rPr>
          <w:rFonts w:ascii="Times New Roman" w:hAnsi="Times New Roman"/>
          <w:b/>
          <w:bCs/>
        </w:rPr>
        <w:tab/>
      </w:r>
      <w:r>
        <w:rPr>
          <w:rFonts w:ascii="Times New Roman" w:hAnsi="Times New Roman"/>
          <w:b/>
          <w:bCs/>
        </w:rPr>
        <w:tab/>
        <w:t>UE-151694</w:t>
      </w:r>
    </w:p>
    <w:p w14:paraId="3EC5AF57" w14:textId="77777777" w:rsidR="00253635" w:rsidRDefault="00253635" w:rsidP="00253635">
      <w:pPr>
        <w:ind w:left="2160" w:hanging="2160"/>
        <w:rPr>
          <w:rFonts w:ascii="Times New Roman" w:hAnsi="Times New Roman"/>
        </w:rPr>
      </w:pPr>
      <w:r>
        <w:rPr>
          <w:rFonts w:ascii="Times New Roman" w:hAnsi="Times New Roman"/>
        </w:rPr>
        <w:t>Company:</w:t>
      </w:r>
      <w:r>
        <w:rPr>
          <w:rFonts w:ascii="Times New Roman" w:hAnsi="Times New Roman"/>
        </w:rPr>
        <w:tab/>
        <w:t>Pacific Power &amp; Light Company</w:t>
      </w:r>
    </w:p>
    <w:p w14:paraId="3EC5AF58" w14:textId="77777777" w:rsidR="00253635" w:rsidRDefault="00253635" w:rsidP="00253635">
      <w:pPr>
        <w:rPr>
          <w:rFonts w:ascii="Times New Roman" w:hAnsi="Times New Roman"/>
          <w:highlight w:val="yellow"/>
        </w:rPr>
      </w:pPr>
    </w:p>
    <w:p w14:paraId="3EC5AF59" w14:textId="77777777" w:rsidR="00253635" w:rsidRDefault="00253635" w:rsidP="00253635">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Jeremy Twitchell, Regulatory Analyst</w:t>
      </w:r>
    </w:p>
    <w:p w14:paraId="3EC5AF5A" w14:textId="77777777" w:rsidR="00253635" w:rsidRDefault="00253635" w:rsidP="00253635">
      <w:pPr>
        <w:rPr>
          <w:rFonts w:ascii="Times New Roman" w:hAnsi="Times New Roman"/>
        </w:rPr>
      </w:pPr>
    </w:p>
    <w:p w14:paraId="3EC5AF5B" w14:textId="77777777" w:rsidR="00253635" w:rsidRDefault="00253635" w:rsidP="00253635">
      <w:pPr>
        <w:rPr>
          <w:rFonts w:ascii="Times New Roman" w:hAnsi="Times New Roman"/>
          <w:b/>
          <w:bCs/>
          <w:u w:val="single"/>
        </w:rPr>
      </w:pPr>
      <w:r>
        <w:rPr>
          <w:rFonts w:ascii="Times New Roman" w:hAnsi="Times New Roman"/>
          <w:b/>
          <w:bCs/>
          <w:u w:val="single"/>
        </w:rPr>
        <w:t>Recommendation</w:t>
      </w:r>
    </w:p>
    <w:p w14:paraId="3EC5AF5C" w14:textId="77777777" w:rsidR="00253635" w:rsidRDefault="00253635" w:rsidP="00253635">
      <w:pPr>
        <w:rPr>
          <w:rFonts w:ascii="Times New Roman" w:hAnsi="Times New Roman"/>
        </w:rPr>
      </w:pPr>
    </w:p>
    <w:p w14:paraId="3EC5AF5D" w14:textId="77777777" w:rsidR="00253635" w:rsidRDefault="00253635" w:rsidP="00253635">
      <w:pPr>
        <w:rPr>
          <w:rFonts w:ascii="Times New Roman" w:hAnsi="Times New Roman"/>
        </w:rPr>
      </w:pPr>
      <w:r>
        <w:rPr>
          <w:rFonts w:ascii="Times New Roman" w:hAnsi="Times New Roman"/>
        </w:rPr>
        <w:t>Issue an order in Docket UE-151694 granting Pacific Power &amp; Light Company’s petition for certain waivers of WAC 480-107, subject to the condition tha</w:t>
      </w:r>
      <w:r w:rsidR="0034700E">
        <w:rPr>
          <w:rFonts w:ascii="Times New Roman" w:hAnsi="Times New Roman"/>
        </w:rPr>
        <w:t xml:space="preserve">t Pacific Power &amp; Light Company shall </w:t>
      </w:r>
      <w:r>
        <w:rPr>
          <w:rFonts w:ascii="Times New Roman" w:hAnsi="Times New Roman"/>
        </w:rPr>
        <w:t>incorporate a market reliance risk assess</w:t>
      </w:r>
      <w:r w:rsidR="00043D05">
        <w:rPr>
          <w:rFonts w:ascii="Times New Roman" w:hAnsi="Times New Roman"/>
        </w:rPr>
        <w:t>ment into its 2017 Integrated Resource P</w:t>
      </w:r>
      <w:r w:rsidR="00024A28">
        <w:rPr>
          <w:rFonts w:ascii="Times New Roman" w:hAnsi="Times New Roman"/>
        </w:rPr>
        <w:t>lan.</w:t>
      </w:r>
    </w:p>
    <w:p w14:paraId="3EC5AF5E" w14:textId="77777777" w:rsidR="00253635" w:rsidRDefault="00253635" w:rsidP="00253635">
      <w:pPr>
        <w:rPr>
          <w:rFonts w:ascii="Times New Roman" w:hAnsi="Times New Roman"/>
        </w:rPr>
      </w:pPr>
    </w:p>
    <w:p w14:paraId="3EC5AF5F" w14:textId="77777777" w:rsidR="00253635" w:rsidRDefault="00253635" w:rsidP="00253635">
      <w:pPr>
        <w:rPr>
          <w:rFonts w:ascii="Times New Roman" w:hAnsi="Times New Roman"/>
          <w:u w:val="single"/>
        </w:rPr>
      </w:pPr>
      <w:r>
        <w:rPr>
          <w:rFonts w:ascii="Times New Roman" w:hAnsi="Times New Roman"/>
          <w:b/>
          <w:u w:val="single"/>
        </w:rPr>
        <w:t>Background</w:t>
      </w:r>
    </w:p>
    <w:p w14:paraId="3EC5AF60" w14:textId="77777777" w:rsidR="00253635" w:rsidRDefault="00253635" w:rsidP="00253635">
      <w:pPr>
        <w:rPr>
          <w:rFonts w:ascii="Times New Roman" w:hAnsi="Times New Roman"/>
          <w:u w:val="single"/>
        </w:rPr>
      </w:pPr>
    </w:p>
    <w:p w14:paraId="3EC5AF61" w14:textId="3D5CDB8D" w:rsidR="00024A28" w:rsidRDefault="00E3460A" w:rsidP="00253635">
      <w:pPr>
        <w:rPr>
          <w:rFonts w:ascii="Times New Roman" w:hAnsi="Times New Roman"/>
        </w:rPr>
      </w:pPr>
      <w:r>
        <w:rPr>
          <w:rFonts w:ascii="Times New Roman" w:hAnsi="Times New Roman"/>
        </w:rPr>
        <w:t>WAC 480-107-015(3)</w:t>
      </w:r>
      <w:r w:rsidR="00AC5319">
        <w:rPr>
          <w:rFonts w:ascii="Times New Roman" w:hAnsi="Times New Roman"/>
        </w:rPr>
        <w:t>(b)</w:t>
      </w:r>
      <w:r>
        <w:rPr>
          <w:rFonts w:ascii="Times New Roman" w:hAnsi="Times New Roman"/>
        </w:rPr>
        <w:t xml:space="preserve"> requires that when a utility files an integrated resource plan (IRP) with the Washington Utilities and Transportation Commission (commission) </w:t>
      </w:r>
      <w:r w:rsidR="00024A28">
        <w:rPr>
          <w:rFonts w:ascii="Times New Roman" w:hAnsi="Times New Roman"/>
        </w:rPr>
        <w:t>that identifies</w:t>
      </w:r>
      <w:r w:rsidR="00BB619B">
        <w:rPr>
          <w:rFonts w:ascii="Times New Roman" w:hAnsi="Times New Roman"/>
        </w:rPr>
        <w:t xml:space="preserve"> a capacity need within the following</w:t>
      </w:r>
      <w:r w:rsidR="00024A28">
        <w:rPr>
          <w:rFonts w:ascii="Times New Roman" w:hAnsi="Times New Roman"/>
        </w:rPr>
        <w:t xml:space="preserve"> three years, the utility must file a </w:t>
      </w:r>
      <w:r w:rsidR="00AC5319">
        <w:rPr>
          <w:rFonts w:ascii="Times New Roman" w:hAnsi="Times New Roman"/>
        </w:rPr>
        <w:t>proposed</w:t>
      </w:r>
      <w:r w:rsidR="00024A28">
        <w:rPr>
          <w:rFonts w:ascii="Times New Roman" w:hAnsi="Times New Roman"/>
        </w:rPr>
        <w:t xml:space="preserve"> request for proposals (RFP) </w:t>
      </w:r>
      <w:r w:rsidR="00AC5319">
        <w:rPr>
          <w:rFonts w:ascii="Times New Roman" w:hAnsi="Times New Roman"/>
        </w:rPr>
        <w:t xml:space="preserve">and accompanying documentation </w:t>
      </w:r>
      <w:r w:rsidR="00024A28">
        <w:rPr>
          <w:rFonts w:ascii="Times New Roman" w:hAnsi="Times New Roman"/>
        </w:rPr>
        <w:t xml:space="preserve">with the commission within 135 days. </w:t>
      </w:r>
    </w:p>
    <w:p w14:paraId="3EC5AF62" w14:textId="77777777" w:rsidR="00024A28" w:rsidRDefault="00024A28" w:rsidP="00253635">
      <w:pPr>
        <w:rPr>
          <w:rFonts w:ascii="Times New Roman" w:hAnsi="Times New Roman"/>
        </w:rPr>
      </w:pPr>
    </w:p>
    <w:p w14:paraId="3EC5AF63" w14:textId="494FC8F2" w:rsidR="00253635" w:rsidRDefault="00253635" w:rsidP="00253635">
      <w:pPr>
        <w:rPr>
          <w:rFonts w:ascii="Times New Roman" w:hAnsi="Times New Roman"/>
        </w:rPr>
      </w:pPr>
      <w:r>
        <w:rPr>
          <w:rFonts w:ascii="Times New Roman" w:hAnsi="Times New Roman"/>
        </w:rPr>
        <w:t xml:space="preserve">Pacific Power &amp; Light Company (Pacific Power or company) </w:t>
      </w:r>
      <w:r w:rsidR="00BB619B">
        <w:rPr>
          <w:rFonts w:ascii="Times New Roman" w:hAnsi="Times New Roman"/>
        </w:rPr>
        <w:t xml:space="preserve">filed its 2015 IRP with the commission on March 31, 2015. The company </w:t>
      </w:r>
      <w:r>
        <w:rPr>
          <w:rFonts w:ascii="Times New Roman" w:hAnsi="Times New Roman"/>
        </w:rPr>
        <w:t xml:space="preserve">filed this petition </w:t>
      </w:r>
      <w:r w:rsidR="00BB619B">
        <w:rPr>
          <w:rFonts w:ascii="Times New Roman" w:hAnsi="Times New Roman"/>
        </w:rPr>
        <w:t xml:space="preserve">on </w:t>
      </w:r>
      <w:r w:rsidR="00E3460A">
        <w:rPr>
          <w:rFonts w:ascii="Times New Roman" w:hAnsi="Times New Roman"/>
        </w:rPr>
        <w:t>Aug</w:t>
      </w:r>
      <w:r w:rsidR="00D140F5">
        <w:rPr>
          <w:rFonts w:ascii="Times New Roman" w:hAnsi="Times New Roman"/>
        </w:rPr>
        <w:t>ust</w:t>
      </w:r>
      <w:r w:rsidR="00E3460A">
        <w:rPr>
          <w:rFonts w:ascii="Times New Roman" w:hAnsi="Times New Roman"/>
        </w:rPr>
        <w:t xml:space="preserve"> 14</w:t>
      </w:r>
      <w:r w:rsidR="00BB619B">
        <w:rPr>
          <w:rFonts w:ascii="Times New Roman" w:hAnsi="Times New Roman"/>
        </w:rPr>
        <w:t>, 2015, which requests a waiver of certain RFP requirements</w:t>
      </w:r>
      <w:r w:rsidR="0034700E">
        <w:rPr>
          <w:rFonts w:ascii="Times New Roman" w:hAnsi="Times New Roman"/>
        </w:rPr>
        <w:t xml:space="preserve"> within WAC 480-107</w:t>
      </w:r>
      <w:r w:rsidR="00BB619B">
        <w:rPr>
          <w:rFonts w:ascii="Times New Roman" w:hAnsi="Times New Roman"/>
        </w:rPr>
        <w:t xml:space="preserve"> based on the </w:t>
      </w:r>
      <w:r w:rsidR="0034700E">
        <w:rPr>
          <w:rFonts w:ascii="Times New Roman" w:hAnsi="Times New Roman"/>
        </w:rPr>
        <w:t xml:space="preserve">characteristics of the </w:t>
      </w:r>
      <w:r w:rsidR="00BB619B">
        <w:rPr>
          <w:rFonts w:ascii="Times New Roman" w:hAnsi="Times New Roman"/>
        </w:rPr>
        <w:t xml:space="preserve">resources </w:t>
      </w:r>
      <w:r w:rsidR="0034700E">
        <w:rPr>
          <w:rFonts w:ascii="Times New Roman" w:hAnsi="Times New Roman"/>
        </w:rPr>
        <w:t xml:space="preserve">that </w:t>
      </w:r>
      <w:r w:rsidR="00BB619B">
        <w:rPr>
          <w:rFonts w:ascii="Times New Roman" w:hAnsi="Times New Roman"/>
        </w:rPr>
        <w:t>the company selected in its 2015 IRP.</w:t>
      </w:r>
    </w:p>
    <w:p w14:paraId="3EC5AF64" w14:textId="77777777" w:rsidR="00BB619B" w:rsidRDefault="00BB619B" w:rsidP="00253635">
      <w:pPr>
        <w:rPr>
          <w:rFonts w:ascii="Times New Roman" w:hAnsi="Times New Roman"/>
        </w:rPr>
      </w:pPr>
    </w:p>
    <w:p w14:paraId="3EC5AF65" w14:textId="77777777" w:rsidR="00BB619B" w:rsidRDefault="00BB619B" w:rsidP="00253635">
      <w:pPr>
        <w:rPr>
          <w:rFonts w:ascii="Times New Roman" w:hAnsi="Times New Roman"/>
        </w:rPr>
      </w:pPr>
      <w:r>
        <w:rPr>
          <w:rFonts w:ascii="Times New Roman" w:hAnsi="Times New Roman"/>
        </w:rPr>
        <w:t xml:space="preserve">The company requested and received the same waivers following its 2011 and 2013 IRP filings. </w:t>
      </w:r>
    </w:p>
    <w:p w14:paraId="3EC5AF66" w14:textId="77777777" w:rsidR="002C039A" w:rsidRDefault="002C039A" w:rsidP="00AD3312">
      <w:pPr>
        <w:rPr>
          <w:rFonts w:ascii="Times New Roman" w:hAnsi="Times New Roman"/>
        </w:rPr>
      </w:pPr>
    </w:p>
    <w:p w14:paraId="3EC5AF67" w14:textId="77777777" w:rsidR="00BB619B" w:rsidRDefault="00BB619B" w:rsidP="00AD3312">
      <w:pPr>
        <w:rPr>
          <w:rFonts w:ascii="Times New Roman" w:hAnsi="Times New Roman"/>
        </w:rPr>
      </w:pPr>
      <w:r>
        <w:rPr>
          <w:rFonts w:ascii="Times New Roman" w:hAnsi="Times New Roman"/>
          <w:b/>
          <w:u w:val="single"/>
        </w:rPr>
        <w:t>Discussion</w:t>
      </w:r>
    </w:p>
    <w:p w14:paraId="3EC5AF68" w14:textId="77777777" w:rsidR="00BB619B" w:rsidRDefault="00BB619B" w:rsidP="00AD3312">
      <w:pPr>
        <w:rPr>
          <w:rFonts w:ascii="Times New Roman" w:hAnsi="Times New Roman"/>
        </w:rPr>
      </w:pPr>
    </w:p>
    <w:p w14:paraId="3EC5AF69" w14:textId="77777777" w:rsidR="005E34E1" w:rsidRDefault="005E34E1" w:rsidP="00AD3312">
      <w:pPr>
        <w:rPr>
          <w:rFonts w:ascii="Times New Roman" w:hAnsi="Times New Roman"/>
        </w:rPr>
      </w:pPr>
      <w:r>
        <w:rPr>
          <w:rFonts w:ascii="Times New Roman" w:hAnsi="Times New Roman"/>
        </w:rPr>
        <w:t>Pacific Power’s 2015 IRP selected a preferred portfolio that would meet the company’s identified resource needs</w:t>
      </w:r>
      <w:r w:rsidR="0034700E">
        <w:rPr>
          <w:rFonts w:ascii="Times New Roman" w:hAnsi="Times New Roman"/>
        </w:rPr>
        <w:t xml:space="preserve"> in the next three years</w:t>
      </w:r>
      <w:r>
        <w:rPr>
          <w:rFonts w:ascii="Times New Roman" w:hAnsi="Times New Roman"/>
        </w:rPr>
        <w:t xml:space="preserve"> with market purchases, conservation, and solar.</w:t>
      </w:r>
      <w:r>
        <w:rPr>
          <w:rStyle w:val="FootnoteReference"/>
          <w:rFonts w:ascii="Times New Roman" w:hAnsi="Times New Roman"/>
        </w:rPr>
        <w:footnoteReference w:id="1"/>
      </w:r>
      <w:r>
        <w:rPr>
          <w:rFonts w:ascii="Times New Roman" w:hAnsi="Times New Roman"/>
        </w:rPr>
        <w:t xml:space="preserve"> </w:t>
      </w:r>
      <w:r w:rsidR="00D7732D">
        <w:rPr>
          <w:rFonts w:ascii="Times New Roman" w:hAnsi="Times New Roman"/>
        </w:rPr>
        <w:t xml:space="preserve">This waiver petition requests that the commission allow the company to forego the formal RFP process required by 480-107-015 and acquire the identified resources through alternative, more efficient means. </w:t>
      </w:r>
    </w:p>
    <w:p w14:paraId="3EC5AF6A" w14:textId="77777777" w:rsidR="005E34E1" w:rsidRDefault="005E34E1" w:rsidP="00AD3312">
      <w:pPr>
        <w:rPr>
          <w:rFonts w:ascii="Times New Roman" w:hAnsi="Times New Roman"/>
        </w:rPr>
      </w:pPr>
    </w:p>
    <w:p w14:paraId="3EC5AF6B" w14:textId="77777777" w:rsidR="00BB619B" w:rsidRDefault="00075CCD" w:rsidP="00AD3312">
      <w:pPr>
        <w:rPr>
          <w:rFonts w:ascii="Times New Roman" w:hAnsi="Times New Roman"/>
        </w:rPr>
      </w:pPr>
      <w:r>
        <w:rPr>
          <w:rFonts w:ascii="Times New Roman" w:hAnsi="Times New Roman"/>
        </w:rPr>
        <w:t>Pacific Power requests the following waivers:</w:t>
      </w:r>
    </w:p>
    <w:p w14:paraId="3EC5AF6C" w14:textId="77777777" w:rsidR="005E34E1" w:rsidRDefault="005E34E1" w:rsidP="00AD3312">
      <w:pPr>
        <w:rPr>
          <w:rFonts w:ascii="Times New Roman" w:hAnsi="Times New Roman"/>
        </w:rPr>
      </w:pPr>
    </w:p>
    <w:p w14:paraId="3EC5AF6D" w14:textId="77777777" w:rsidR="00022191" w:rsidRDefault="005E34E1" w:rsidP="004E1594">
      <w:pPr>
        <w:pStyle w:val="ListParagraph"/>
        <w:numPr>
          <w:ilvl w:val="0"/>
          <w:numId w:val="2"/>
        </w:numPr>
        <w:rPr>
          <w:rFonts w:ascii="Times New Roman" w:hAnsi="Times New Roman"/>
        </w:rPr>
      </w:pPr>
      <w:r w:rsidRPr="00022191">
        <w:rPr>
          <w:rFonts w:ascii="Times New Roman" w:hAnsi="Times New Roman"/>
        </w:rPr>
        <w:t>WAC 480-107-015(3</w:t>
      </w:r>
      <w:proofErr w:type="gramStart"/>
      <w:r w:rsidRPr="00022191">
        <w:rPr>
          <w:rFonts w:ascii="Times New Roman" w:hAnsi="Times New Roman"/>
        </w:rPr>
        <w:t>)(</w:t>
      </w:r>
      <w:proofErr w:type="gramEnd"/>
      <w:r w:rsidRPr="00022191">
        <w:rPr>
          <w:rFonts w:ascii="Times New Roman" w:hAnsi="Times New Roman"/>
        </w:rPr>
        <w:t xml:space="preserve">b), which requires the RFP, in relation to the company’s </w:t>
      </w:r>
      <w:r w:rsidR="00D7732D" w:rsidRPr="00022191">
        <w:rPr>
          <w:rFonts w:ascii="Times New Roman" w:hAnsi="Times New Roman"/>
        </w:rPr>
        <w:t xml:space="preserve">selected conservation resources. The company argues that conservation acquisition </w:t>
      </w:r>
      <w:r w:rsidR="00022191">
        <w:rPr>
          <w:rFonts w:ascii="Times New Roman" w:hAnsi="Times New Roman"/>
        </w:rPr>
        <w:t>is already governed through existing tariffs and the commission’s oversight of the company’s conservation program under the Energy Independence Act.</w:t>
      </w:r>
      <w:r w:rsidR="004A405D">
        <w:rPr>
          <w:rStyle w:val="FootnoteReference"/>
          <w:rFonts w:ascii="Times New Roman" w:hAnsi="Times New Roman"/>
        </w:rPr>
        <w:footnoteReference w:id="2"/>
      </w:r>
    </w:p>
    <w:p w14:paraId="3EC5AF6E" w14:textId="77777777" w:rsidR="005E34E1" w:rsidRDefault="005E34E1" w:rsidP="004E1594">
      <w:pPr>
        <w:pStyle w:val="ListParagraph"/>
        <w:numPr>
          <w:ilvl w:val="0"/>
          <w:numId w:val="2"/>
        </w:numPr>
        <w:rPr>
          <w:rFonts w:ascii="Times New Roman" w:hAnsi="Times New Roman"/>
        </w:rPr>
      </w:pPr>
      <w:r w:rsidRPr="00022191">
        <w:rPr>
          <w:rFonts w:ascii="Times New Roman" w:hAnsi="Times New Roman"/>
        </w:rPr>
        <w:lastRenderedPageBreak/>
        <w:t>WAC 480-107-015(3</w:t>
      </w:r>
      <w:proofErr w:type="gramStart"/>
      <w:r w:rsidRPr="00022191">
        <w:rPr>
          <w:rFonts w:ascii="Times New Roman" w:hAnsi="Times New Roman"/>
        </w:rPr>
        <w:t>)(</w:t>
      </w:r>
      <w:proofErr w:type="gramEnd"/>
      <w:r w:rsidRPr="00022191">
        <w:rPr>
          <w:rFonts w:ascii="Times New Roman" w:hAnsi="Times New Roman"/>
        </w:rPr>
        <w:t xml:space="preserve">d), which requires </w:t>
      </w:r>
      <w:r w:rsidR="00022191">
        <w:rPr>
          <w:rFonts w:ascii="Times New Roman" w:hAnsi="Times New Roman"/>
        </w:rPr>
        <w:t xml:space="preserve">sealed bids, in relation to the company’s selected market purchases. </w:t>
      </w:r>
      <w:r w:rsidR="004A405D">
        <w:rPr>
          <w:rFonts w:ascii="Times New Roman" w:hAnsi="Times New Roman"/>
        </w:rPr>
        <w:t>The company argues that sealed bids are not supported by the market solicitation procedures used within the Western Electric Coordination Council (WECC).</w:t>
      </w:r>
      <w:r w:rsidR="004A405D">
        <w:rPr>
          <w:rStyle w:val="FootnoteReference"/>
          <w:rFonts w:ascii="Times New Roman" w:hAnsi="Times New Roman"/>
        </w:rPr>
        <w:footnoteReference w:id="3"/>
      </w:r>
    </w:p>
    <w:p w14:paraId="29BE2A6A" w14:textId="77777777" w:rsidR="00D140F5" w:rsidRDefault="00D140F5" w:rsidP="00D140F5">
      <w:pPr>
        <w:pStyle w:val="ListParagraph"/>
        <w:rPr>
          <w:rFonts w:ascii="Times New Roman" w:hAnsi="Times New Roman"/>
        </w:rPr>
      </w:pPr>
    </w:p>
    <w:p w14:paraId="3EC5AF6F" w14:textId="77777777" w:rsidR="004A405D" w:rsidRDefault="004A405D" w:rsidP="004E1594">
      <w:pPr>
        <w:pStyle w:val="ListParagraph"/>
        <w:numPr>
          <w:ilvl w:val="0"/>
          <w:numId w:val="2"/>
        </w:numPr>
        <w:rPr>
          <w:rFonts w:ascii="Times New Roman" w:hAnsi="Times New Roman"/>
        </w:rPr>
      </w:pPr>
      <w:r>
        <w:rPr>
          <w:rFonts w:ascii="Times New Roman" w:hAnsi="Times New Roman"/>
        </w:rPr>
        <w:t>WAC 480-107, in its entirety, in relation to the company’s selected solar resources. The company argues that the solar</w:t>
      </w:r>
      <w:r w:rsidR="0034700E">
        <w:rPr>
          <w:rFonts w:ascii="Times New Roman" w:hAnsi="Times New Roman"/>
        </w:rPr>
        <w:t xml:space="preserve"> resources in its IRP were </w:t>
      </w:r>
      <w:r>
        <w:rPr>
          <w:rFonts w:ascii="Times New Roman" w:hAnsi="Times New Roman"/>
        </w:rPr>
        <w:t>selected to comply with Oregon’s solar requirements, and that t</w:t>
      </w:r>
      <w:r w:rsidR="00752E57">
        <w:rPr>
          <w:rFonts w:ascii="Times New Roman" w:hAnsi="Times New Roman"/>
        </w:rPr>
        <w:t>he cost of those resources will be directly assigned to Oregon customers.</w:t>
      </w:r>
      <w:r w:rsidR="00752E57">
        <w:rPr>
          <w:rStyle w:val="FootnoteReference"/>
          <w:rFonts w:ascii="Times New Roman" w:hAnsi="Times New Roman"/>
        </w:rPr>
        <w:footnoteReference w:id="4"/>
      </w:r>
    </w:p>
    <w:p w14:paraId="3EC5AF70" w14:textId="77777777" w:rsidR="00752E57" w:rsidRDefault="00752E57" w:rsidP="00752E57">
      <w:pPr>
        <w:rPr>
          <w:rFonts w:ascii="Times New Roman" w:hAnsi="Times New Roman"/>
        </w:rPr>
      </w:pPr>
    </w:p>
    <w:p w14:paraId="3EC5AF71" w14:textId="77777777" w:rsidR="00CA79FC" w:rsidRDefault="00752E57" w:rsidP="00752E57">
      <w:pPr>
        <w:rPr>
          <w:rFonts w:ascii="Times New Roman" w:hAnsi="Times New Roman"/>
        </w:rPr>
      </w:pPr>
      <w:r>
        <w:rPr>
          <w:rFonts w:ascii="Times New Roman" w:hAnsi="Times New Roman"/>
        </w:rPr>
        <w:t xml:space="preserve">Staff </w:t>
      </w:r>
      <w:r w:rsidR="00E31404">
        <w:rPr>
          <w:rFonts w:ascii="Times New Roman" w:hAnsi="Times New Roman"/>
        </w:rPr>
        <w:t>identified a number of initial concerns with the company’s petition</w:t>
      </w:r>
      <w:r w:rsidR="008C7FC1">
        <w:rPr>
          <w:rFonts w:ascii="Times New Roman" w:hAnsi="Times New Roman"/>
        </w:rPr>
        <w:t>, and was</w:t>
      </w:r>
      <w:r w:rsidR="00E31404">
        <w:rPr>
          <w:rFonts w:ascii="Times New Roman" w:hAnsi="Times New Roman"/>
        </w:rPr>
        <w:t xml:space="preserve"> hesitant to recommend approval of these waivers for a third consecutive IRP cycle. The RFP requirement in WAC 480-107 serves two key purposes – acting as a check on the company’s assumed resource cost inputs in the IRP and providing updated resource costs to inform the company’s next annual a</w:t>
      </w:r>
      <w:r w:rsidR="002F3D26">
        <w:rPr>
          <w:rFonts w:ascii="Times New Roman" w:hAnsi="Times New Roman"/>
        </w:rPr>
        <w:t>voided cost filing.</w:t>
      </w:r>
    </w:p>
    <w:p w14:paraId="3EC5AF72" w14:textId="77777777" w:rsidR="00113E6D" w:rsidRDefault="00113E6D" w:rsidP="00752E57">
      <w:pPr>
        <w:rPr>
          <w:rFonts w:ascii="Times New Roman" w:hAnsi="Times New Roman"/>
        </w:rPr>
      </w:pPr>
    </w:p>
    <w:p w14:paraId="3EC5AF73" w14:textId="2A9E6FBF" w:rsidR="0034700E" w:rsidRDefault="00113E6D" w:rsidP="00752E57">
      <w:pPr>
        <w:rPr>
          <w:rFonts w:ascii="Times New Roman" w:hAnsi="Times New Roman"/>
        </w:rPr>
      </w:pPr>
      <w:r>
        <w:rPr>
          <w:rFonts w:ascii="Times New Roman" w:hAnsi="Times New Roman"/>
        </w:rPr>
        <w:t>To better understand Pacific Power’s procedures for setting the cost inputs for the IRP, staff visited</w:t>
      </w:r>
      <w:r w:rsidR="0034700E">
        <w:rPr>
          <w:rFonts w:ascii="Times New Roman" w:hAnsi="Times New Roman"/>
        </w:rPr>
        <w:t xml:space="preserve"> th</w:t>
      </w:r>
      <w:r w:rsidR="00454878">
        <w:rPr>
          <w:rFonts w:ascii="Times New Roman" w:hAnsi="Times New Roman"/>
        </w:rPr>
        <w:t>e company on Sept</w:t>
      </w:r>
      <w:r w:rsidR="00E70290">
        <w:rPr>
          <w:rFonts w:ascii="Times New Roman" w:hAnsi="Times New Roman"/>
        </w:rPr>
        <w:t>ember</w:t>
      </w:r>
      <w:r w:rsidR="00454878">
        <w:rPr>
          <w:rFonts w:ascii="Times New Roman" w:hAnsi="Times New Roman"/>
        </w:rPr>
        <w:t xml:space="preserve"> 16, 2015. The company </w:t>
      </w:r>
      <w:r w:rsidR="00607952">
        <w:rPr>
          <w:rFonts w:ascii="Times New Roman" w:hAnsi="Times New Roman"/>
        </w:rPr>
        <w:t>shared the detailed results from their</w:t>
      </w:r>
      <w:r w:rsidR="00454878">
        <w:rPr>
          <w:rFonts w:ascii="Times New Roman" w:hAnsi="Times New Roman"/>
        </w:rPr>
        <w:t xml:space="preserve"> independent consultant, Black &amp; Veatch, </w:t>
      </w:r>
      <w:r w:rsidR="00607952">
        <w:rPr>
          <w:rFonts w:ascii="Times New Roman" w:hAnsi="Times New Roman"/>
        </w:rPr>
        <w:t xml:space="preserve">who </w:t>
      </w:r>
      <w:r w:rsidR="00454878">
        <w:rPr>
          <w:rFonts w:ascii="Times New Roman" w:hAnsi="Times New Roman"/>
        </w:rPr>
        <w:t>in 2012 identif</w:t>
      </w:r>
      <w:r w:rsidR="00607952">
        <w:rPr>
          <w:rFonts w:ascii="Times New Roman" w:hAnsi="Times New Roman"/>
        </w:rPr>
        <w:t>ied</w:t>
      </w:r>
      <w:r w:rsidR="00454878">
        <w:rPr>
          <w:rFonts w:ascii="Times New Roman" w:hAnsi="Times New Roman"/>
        </w:rPr>
        <w:t xml:space="preserve"> costs associated with a wide range of generation resources for use in the 2013 IRP. For the 2015 IRP, the company</w:t>
      </w:r>
      <w:r w:rsidR="00607952">
        <w:rPr>
          <w:rFonts w:ascii="Times New Roman" w:hAnsi="Times New Roman"/>
        </w:rPr>
        <w:t xml:space="preserve"> update</w:t>
      </w:r>
      <w:r w:rsidR="0033507E">
        <w:rPr>
          <w:rFonts w:ascii="Times New Roman" w:hAnsi="Times New Roman"/>
        </w:rPr>
        <w:t>d</w:t>
      </w:r>
      <w:r w:rsidR="00607952">
        <w:rPr>
          <w:rFonts w:ascii="Times New Roman" w:hAnsi="Times New Roman"/>
        </w:rPr>
        <w:t xml:space="preserve"> the 2013 IRP’s cost estimates by</w:t>
      </w:r>
      <w:r w:rsidR="00454878">
        <w:rPr>
          <w:rFonts w:ascii="Times New Roman" w:hAnsi="Times New Roman"/>
        </w:rPr>
        <w:t xml:space="preserve"> reach</w:t>
      </w:r>
      <w:r w:rsidR="00607952">
        <w:rPr>
          <w:rFonts w:ascii="Times New Roman" w:hAnsi="Times New Roman"/>
        </w:rPr>
        <w:t>ing</w:t>
      </w:r>
      <w:r w:rsidR="00454878">
        <w:rPr>
          <w:rFonts w:ascii="Times New Roman" w:hAnsi="Times New Roman"/>
        </w:rPr>
        <w:t xml:space="preserve"> out directly to developers, including GE, Mitsubishi, </w:t>
      </w:r>
      <w:proofErr w:type="spellStart"/>
      <w:r w:rsidR="00454878">
        <w:rPr>
          <w:rFonts w:ascii="Times New Roman" w:hAnsi="Times New Roman"/>
        </w:rPr>
        <w:t>Wartsila</w:t>
      </w:r>
      <w:proofErr w:type="spellEnd"/>
      <w:r w:rsidR="00454878">
        <w:rPr>
          <w:rFonts w:ascii="Times New Roman" w:hAnsi="Times New Roman"/>
        </w:rPr>
        <w:t>, and various wind and solar developers. Based on the information presented, staff is comfor</w:t>
      </w:r>
      <w:r w:rsidR="00765C34">
        <w:rPr>
          <w:rFonts w:ascii="Times New Roman" w:hAnsi="Times New Roman"/>
        </w:rPr>
        <w:t>table that Pacific Power’s cost inputs for the 2015 IRP were developed using independent and current information, and in general represent reasonable estimates of the costs associated with new resources.</w:t>
      </w:r>
      <w:r w:rsidR="00765C34">
        <w:rPr>
          <w:rStyle w:val="FootnoteReference"/>
          <w:rFonts w:ascii="Times New Roman" w:hAnsi="Times New Roman"/>
        </w:rPr>
        <w:footnoteReference w:id="5"/>
      </w:r>
      <w:r w:rsidR="00765C34">
        <w:rPr>
          <w:rFonts w:ascii="Times New Roman" w:hAnsi="Times New Roman"/>
        </w:rPr>
        <w:t xml:space="preserve"> </w:t>
      </w:r>
    </w:p>
    <w:p w14:paraId="3EC5AF74" w14:textId="77777777" w:rsidR="0034700E" w:rsidRDefault="0034700E" w:rsidP="00752E57">
      <w:pPr>
        <w:rPr>
          <w:rFonts w:ascii="Times New Roman" w:hAnsi="Times New Roman"/>
        </w:rPr>
      </w:pPr>
    </w:p>
    <w:p w14:paraId="3EC5AF75" w14:textId="5C4B37ED" w:rsidR="00113E6D" w:rsidRDefault="00765C34" w:rsidP="00752E57">
      <w:pPr>
        <w:rPr>
          <w:rFonts w:ascii="Times New Roman" w:hAnsi="Times New Roman"/>
        </w:rPr>
      </w:pPr>
      <w:r>
        <w:rPr>
          <w:rFonts w:ascii="Times New Roman" w:hAnsi="Times New Roman"/>
        </w:rPr>
        <w:t>During th</w:t>
      </w:r>
      <w:r w:rsidR="00607952">
        <w:rPr>
          <w:rFonts w:ascii="Times New Roman" w:hAnsi="Times New Roman"/>
        </w:rPr>
        <w:t xml:space="preserve">e </w:t>
      </w:r>
      <w:r w:rsidR="000F67E8">
        <w:rPr>
          <w:rFonts w:ascii="Times New Roman" w:hAnsi="Times New Roman"/>
        </w:rPr>
        <w:t>s</w:t>
      </w:r>
      <w:r w:rsidR="00607952">
        <w:rPr>
          <w:rFonts w:ascii="Times New Roman" w:hAnsi="Times New Roman"/>
        </w:rPr>
        <w:t>taff</w:t>
      </w:r>
      <w:r>
        <w:rPr>
          <w:rFonts w:ascii="Times New Roman" w:hAnsi="Times New Roman"/>
        </w:rPr>
        <w:t xml:space="preserve"> visit, Pacific Power also </w:t>
      </w:r>
      <w:r w:rsidR="00113E6D">
        <w:rPr>
          <w:rFonts w:ascii="Times New Roman" w:hAnsi="Times New Roman"/>
        </w:rPr>
        <w:t>walked staff through its last all-source RFP, which was issued in 201</w:t>
      </w:r>
      <w:r>
        <w:rPr>
          <w:rFonts w:ascii="Times New Roman" w:hAnsi="Times New Roman"/>
        </w:rPr>
        <w:t>2</w:t>
      </w:r>
      <w:r w:rsidR="00113E6D">
        <w:rPr>
          <w:rFonts w:ascii="Times New Roman" w:hAnsi="Times New Roman"/>
        </w:rPr>
        <w:t xml:space="preserve"> for a resource on the company’s eastern system. </w:t>
      </w:r>
      <w:r>
        <w:rPr>
          <w:rFonts w:ascii="Times New Roman" w:hAnsi="Times New Roman"/>
        </w:rPr>
        <w:t>The company did not acquire a r</w:t>
      </w:r>
      <w:r w:rsidR="00043D05">
        <w:rPr>
          <w:rFonts w:ascii="Times New Roman" w:hAnsi="Times New Roman"/>
        </w:rPr>
        <w:t>esource as a result of that RFP,</w:t>
      </w:r>
      <w:r>
        <w:rPr>
          <w:rFonts w:ascii="Times New Roman" w:hAnsi="Times New Roman"/>
        </w:rPr>
        <w:t xml:space="preserve"> due to changing load forecasts that reduced the company’s needs. Had the RFP been followed through to completion, Pacific Power estimates that it would have taken 16-18 months</w:t>
      </w:r>
      <w:r w:rsidR="00607952">
        <w:rPr>
          <w:rFonts w:ascii="Times New Roman" w:hAnsi="Times New Roman"/>
        </w:rPr>
        <w:t xml:space="preserve"> to acquire the proposed resources</w:t>
      </w:r>
      <w:r>
        <w:rPr>
          <w:rFonts w:ascii="Times New Roman" w:hAnsi="Times New Roman"/>
        </w:rPr>
        <w:t xml:space="preserve">. </w:t>
      </w:r>
      <w:r w:rsidR="00A12430">
        <w:rPr>
          <w:rFonts w:ascii="Times New Roman" w:hAnsi="Times New Roman"/>
        </w:rPr>
        <w:t xml:space="preserve">The company received eight bids, which cost the bidders an average of about $500,000 to submit and required several months of employee time for the company to review. </w:t>
      </w:r>
    </w:p>
    <w:p w14:paraId="3EC5AF76" w14:textId="77777777" w:rsidR="004841DF" w:rsidRDefault="004841DF" w:rsidP="00752E57">
      <w:pPr>
        <w:rPr>
          <w:rFonts w:ascii="Times New Roman" w:hAnsi="Times New Roman"/>
        </w:rPr>
      </w:pPr>
    </w:p>
    <w:p w14:paraId="3EC5AF77" w14:textId="1B31BD8B" w:rsidR="004841DF" w:rsidRDefault="00A12430" w:rsidP="00752E57">
      <w:pPr>
        <w:rPr>
          <w:rFonts w:ascii="Times New Roman" w:hAnsi="Times New Roman"/>
        </w:rPr>
      </w:pPr>
      <w:r>
        <w:rPr>
          <w:rFonts w:ascii="Times New Roman" w:hAnsi="Times New Roman"/>
        </w:rPr>
        <w:t>Based on the costs and timetable associated with an all-source RFP process, staff agrees with Pacific Pow</w:t>
      </w:r>
      <w:r w:rsidR="00043D05">
        <w:rPr>
          <w:rFonts w:ascii="Times New Roman" w:hAnsi="Times New Roman"/>
        </w:rPr>
        <w:t xml:space="preserve">er that requiring </w:t>
      </w:r>
      <w:r>
        <w:rPr>
          <w:rFonts w:ascii="Times New Roman" w:hAnsi="Times New Roman"/>
        </w:rPr>
        <w:t>an all-source RFP would not be in the public interest</w:t>
      </w:r>
      <w:r w:rsidR="0033507E">
        <w:rPr>
          <w:rFonts w:ascii="Times New Roman" w:hAnsi="Times New Roman"/>
        </w:rPr>
        <w:t xml:space="preserve"> at this time</w:t>
      </w:r>
      <w:r>
        <w:rPr>
          <w:rFonts w:ascii="Times New Roman" w:hAnsi="Times New Roman"/>
        </w:rPr>
        <w:t>. While it is true that an RFP</w:t>
      </w:r>
      <w:r w:rsidR="004841DF">
        <w:rPr>
          <w:rFonts w:ascii="Times New Roman" w:hAnsi="Times New Roman"/>
        </w:rPr>
        <w:t xml:space="preserve"> may </w:t>
      </w:r>
      <w:r>
        <w:rPr>
          <w:rFonts w:ascii="Times New Roman" w:hAnsi="Times New Roman"/>
        </w:rPr>
        <w:t>further improve the</w:t>
      </w:r>
      <w:r w:rsidR="004841DF">
        <w:rPr>
          <w:rFonts w:ascii="Times New Roman" w:hAnsi="Times New Roman"/>
        </w:rPr>
        <w:t xml:space="preserve"> ac</w:t>
      </w:r>
      <w:bookmarkStart w:id="0" w:name="_GoBack"/>
      <w:bookmarkEnd w:id="0"/>
      <w:r w:rsidR="004841DF">
        <w:rPr>
          <w:rFonts w:ascii="Times New Roman" w:hAnsi="Times New Roman"/>
        </w:rPr>
        <w:t xml:space="preserve">curacy of the company’s </w:t>
      </w:r>
      <w:r w:rsidR="00043D05">
        <w:rPr>
          <w:rFonts w:ascii="Times New Roman" w:hAnsi="Times New Roman"/>
        </w:rPr>
        <w:t>cost inputs, the</w:t>
      </w:r>
      <w:r>
        <w:rPr>
          <w:rFonts w:ascii="Times New Roman" w:hAnsi="Times New Roman"/>
        </w:rPr>
        <w:t xml:space="preserve"> improvement is unlikely to be substantial, and would come at significant costs that </w:t>
      </w:r>
      <w:r w:rsidR="00D514C1">
        <w:rPr>
          <w:rFonts w:ascii="Times New Roman" w:hAnsi="Times New Roman"/>
        </w:rPr>
        <w:t>wou</w:t>
      </w:r>
      <w:r>
        <w:rPr>
          <w:rFonts w:ascii="Times New Roman" w:hAnsi="Times New Roman"/>
        </w:rPr>
        <w:t>ld largely</w:t>
      </w:r>
      <w:r w:rsidR="00D514C1">
        <w:rPr>
          <w:rFonts w:ascii="Times New Roman" w:hAnsi="Times New Roman"/>
        </w:rPr>
        <w:t xml:space="preserve"> be borne by ratepayers.</w:t>
      </w:r>
      <w:r w:rsidR="004841DF">
        <w:rPr>
          <w:rFonts w:ascii="Times New Roman" w:hAnsi="Times New Roman"/>
        </w:rPr>
        <w:t xml:space="preserve"> </w:t>
      </w:r>
      <w:r w:rsidR="00D514C1">
        <w:rPr>
          <w:rFonts w:ascii="Times New Roman" w:hAnsi="Times New Roman"/>
        </w:rPr>
        <w:t xml:space="preserve">Furthermore, given the timetable for an all-source RFP, the company would </w:t>
      </w:r>
      <w:r>
        <w:rPr>
          <w:rFonts w:ascii="Times New Roman" w:hAnsi="Times New Roman"/>
        </w:rPr>
        <w:t xml:space="preserve">likely </w:t>
      </w:r>
      <w:r w:rsidR="00D514C1">
        <w:rPr>
          <w:rFonts w:ascii="Times New Roman" w:hAnsi="Times New Roman"/>
        </w:rPr>
        <w:t xml:space="preserve">not receive </w:t>
      </w:r>
      <w:r>
        <w:rPr>
          <w:rFonts w:ascii="Times New Roman" w:hAnsi="Times New Roman"/>
        </w:rPr>
        <w:t xml:space="preserve">responsive </w:t>
      </w:r>
      <w:r w:rsidR="00D514C1">
        <w:rPr>
          <w:rFonts w:ascii="Times New Roman" w:hAnsi="Times New Roman"/>
        </w:rPr>
        <w:t xml:space="preserve">information </w:t>
      </w:r>
      <w:r>
        <w:rPr>
          <w:rFonts w:ascii="Times New Roman" w:hAnsi="Times New Roman"/>
        </w:rPr>
        <w:t>in time to inform the 2017 IRP.</w:t>
      </w:r>
    </w:p>
    <w:p w14:paraId="3EC5AF78" w14:textId="77777777" w:rsidR="00CA79FC" w:rsidRDefault="00CA79FC" w:rsidP="00752E57">
      <w:pPr>
        <w:rPr>
          <w:rFonts w:ascii="Times New Roman" w:hAnsi="Times New Roman"/>
        </w:rPr>
      </w:pPr>
    </w:p>
    <w:p w14:paraId="3EC5AF79" w14:textId="2EF09E15" w:rsidR="00281524" w:rsidRDefault="004F09DC" w:rsidP="00752E57">
      <w:pPr>
        <w:rPr>
          <w:rFonts w:ascii="Times New Roman" w:hAnsi="Times New Roman"/>
        </w:rPr>
      </w:pPr>
      <w:r>
        <w:rPr>
          <w:rFonts w:ascii="Times New Roman" w:hAnsi="Times New Roman"/>
        </w:rPr>
        <w:lastRenderedPageBreak/>
        <w:t xml:space="preserve">However, staff </w:t>
      </w:r>
      <w:r w:rsidR="00D514C1">
        <w:rPr>
          <w:rFonts w:ascii="Times New Roman" w:hAnsi="Times New Roman"/>
        </w:rPr>
        <w:t>remains</w:t>
      </w:r>
      <w:r w:rsidR="002F3D26">
        <w:rPr>
          <w:rFonts w:ascii="Times New Roman" w:hAnsi="Times New Roman"/>
        </w:rPr>
        <w:t xml:space="preserve"> </w:t>
      </w:r>
      <w:r w:rsidR="00CA79FC">
        <w:rPr>
          <w:rFonts w:ascii="Times New Roman" w:hAnsi="Times New Roman"/>
        </w:rPr>
        <w:t>concerned by the company’s ongoing reliance on market purchases, particularly in light of pla</w:t>
      </w:r>
      <w:r w:rsidR="002F3D26">
        <w:rPr>
          <w:rFonts w:ascii="Times New Roman" w:hAnsi="Times New Roman"/>
        </w:rPr>
        <w:t xml:space="preserve">nt retirements in 2020 that are projected </w:t>
      </w:r>
      <w:r w:rsidR="00C000F8">
        <w:rPr>
          <w:rFonts w:ascii="Times New Roman" w:hAnsi="Times New Roman"/>
        </w:rPr>
        <w:t xml:space="preserve">to </w:t>
      </w:r>
      <w:r w:rsidR="00CA79FC">
        <w:rPr>
          <w:rFonts w:ascii="Times New Roman" w:hAnsi="Times New Roman"/>
        </w:rPr>
        <w:t>leave the Northwest short on capacity in 2021.</w:t>
      </w:r>
      <w:r w:rsidR="00CA79FC">
        <w:rPr>
          <w:rStyle w:val="FootnoteReference"/>
          <w:rFonts w:ascii="Times New Roman" w:hAnsi="Times New Roman"/>
        </w:rPr>
        <w:footnoteReference w:id="6"/>
      </w:r>
      <w:r w:rsidR="00C000F8">
        <w:rPr>
          <w:rFonts w:ascii="Times New Roman" w:hAnsi="Times New Roman"/>
        </w:rPr>
        <w:t xml:space="preserve"> According to its IRP, Pacific Power plans to purchase 769 MW of capacity at hubs in the Pacific Northwest to meet its load in 2021. </w:t>
      </w:r>
      <w:r w:rsidR="00607952">
        <w:rPr>
          <w:rFonts w:ascii="Times New Roman" w:hAnsi="Times New Roman"/>
        </w:rPr>
        <w:t>Staff is somewhat less concerned due to the seasonal peak</w:t>
      </w:r>
      <w:r w:rsidR="00C000F8">
        <w:rPr>
          <w:rFonts w:ascii="Times New Roman" w:hAnsi="Times New Roman"/>
        </w:rPr>
        <w:t xml:space="preserve"> mismatch</w:t>
      </w:r>
      <w:r w:rsidR="00607952">
        <w:rPr>
          <w:rFonts w:ascii="Times New Roman" w:hAnsi="Times New Roman"/>
        </w:rPr>
        <w:t>.</w:t>
      </w:r>
      <w:r w:rsidR="00C000F8">
        <w:rPr>
          <w:rFonts w:ascii="Times New Roman" w:hAnsi="Times New Roman"/>
        </w:rPr>
        <w:t xml:space="preserve"> </w:t>
      </w:r>
      <w:r w:rsidR="00607952">
        <w:rPr>
          <w:rFonts w:ascii="Times New Roman" w:hAnsi="Times New Roman"/>
        </w:rPr>
        <w:t>T</w:t>
      </w:r>
      <w:r w:rsidR="00C000F8">
        <w:rPr>
          <w:rFonts w:ascii="Times New Roman" w:hAnsi="Times New Roman"/>
        </w:rPr>
        <w:t xml:space="preserve">he Northwest region </w:t>
      </w:r>
      <w:r w:rsidR="00281524">
        <w:rPr>
          <w:rFonts w:ascii="Times New Roman" w:hAnsi="Times New Roman"/>
        </w:rPr>
        <w:t>experiences peak electric demand in the wint</w:t>
      </w:r>
      <w:r>
        <w:rPr>
          <w:rFonts w:ascii="Times New Roman" w:hAnsi="Times New Roman"/>
        </w:rPr>
        <w:t xml:space="preserve">er, </w:t>
      </w:r>
      <w:r w:rsidR="00607952">
        <w:rPr>
          <w:rFonts w:ascii="Times New Roman" w:hAnsi="Times New Roman"/>
        </w:rPr>
        <w:t>whereas</w:t>
      </w:r>
      <w:r>
        <w:rPr>
          <w:rFonts w:ascii="Times New Roman" w:hAnsi="Times New Roman"/>
        </w:rPr>
        <w:t xml:space="preserve"> Pacific Power would primarily be making market purchases in the summer.</w:t>
      </w:r>
      <w:r w:rsidR="000F67E8">
        <w:rPr>
          <w:rFonts w:ascii="Times New Roman" w:hAnsi="Times New Roman"/>
        </w:rPr>
        <w:t xml:space="preserve"> </w:t>
      </w:r>
      <w:r w:rsidR="0032404C">
        <w:rPr>
          <w:rFonts w:ascii="Times New Roman" w:hAnsi="Times New Roman"/>
        </w:rPr>
        <w:t>Looking to the future, there are increasing summer peaks in the Northwest which may erase this seasonal peak mismatch, if the Northwest trend continues.</w:t>
      </w:r>
    </w:p>
    <w:p w14:paraId="3EC5AF7A" w14:textId="77777777" w:rsidR="00281524" w:rsidRDefault="00281524" w:rsidP="00752E57">
      <w:pPr>
        <w:rPr>
          <w:rFonts w:ascii="Times New Roman" w:hAnsi="Times New Roman"/>
        </w:rPr>
      </w:pPr>
    </w:p>
    <w:p w14:paraId="3EC5AF7B" w14:textId="77777777" w:rsidR="00D514C1" w:rsidRDefault="00D514C1" w:rsidP="00752E57">
      <w:pPr>
        <w:rPr>
          <w:rFonts w:ascii="Times New Roman" w:hAnsi="Times New Roman"/>
        </w:rPr>
      </w:pPr>
      <w:r>
        <w:rPr>
          <w:rFonts w:ascii="Times New Roman" w:hAnsi="Times New Roman"/>
        </w:rPr>
        <w:t>But wh</w:t>
      </w:r>
      <w:r w:rsidR="00281524">
        <w:rPr>
          <w:rFonts w:ascii="Times New Roman" w:hAnsi="Times New Roman"/>
        </w:rPr>
        <w:t>en staff asked the company to identify its projected market reliance at the winter peak, when the region faces a potential shortfall, the company could not do so. What remains</w:t>
      </w:r>
      <w:r w:rsidR="004F09DC">
        <w:rPr>
          <w:rFonts w:ascii="Times New Roman" w:hAnsi="Times New Roman"/>
        </w:rPr>
        <w:t>, then,</w:t>
      </w:r>
      <w:r w:rsidR="00281524">
        <w:rPr>
          <w:rFonts w:ascii="Times New Roman" w:hAnsi="Times New Roman"/>
        </w:rPr>
        <w:t xml:space="preserve"> is a region that faces a likely capacity shortfall in 2021, a utility that plans to heavily rely on the market in 2021, and no serious analysis of the potential risks associated with that strategy. The Western Resource Adequacy Evaluation that Pacific Power presented in Appendix J of its 2015 IRP is, in staff’s opinion, inadequate and </w:t>
      </w:r>
      <w:r w:rsidR="0059169E">
        <w:rPr>
          <w:rFonts w:ascii="Times New Roman" w:hAnsi="Times New Roman"/>
        </w:rPr>
        <w:t xml:space="preserve">now </w:t>
      </w:r>
      <w:r w:rsidR="00281524">
        <w:rPr>
          <w:rFonts w:ascii="Times New Roman" w:hAnsi="Times New Roman"/>
        </w:rPr>
        <w:t xml:space="preserve">outdated. </w:t>
      </w:r>
      <w:r w:rsidR="0059169E">
        <w:rPr>
          <w:rFonts w:ascii="Times New Roman" w:hAnsi="Times New Roman"/>
        </w:rPr>
        <w:t xml:space="preserve">Based on recent </w:t>
      </w:r>
      <w:r>
        <w:rPr>
          <w:rFonts w:ascii="Times New Roman" w:hAnsi="Times New Roman"/>
        </w:rPr>
        <w:t>analyses that project a regional shortfall, staff strongly believes that any resource plan that relies on market purchases must account for the risk associated with that strategy.</w:t>
      </w:r>
    </w:p>
    <w:p w14:paraId="3EC5AF7C" w14:textId="77777777" w:rsidR="00D514C1" w:rsidRDefault="00D514C1" w:rsidP="00752E57">
      <w:pPr>
        <w:rPr>
          <w:rFonts w:ascii="Times New Roman" w:hAnsi="Times New Roman"/>
        </w:rPr>
      </w:pPr>
    </w:p>
    <w:p w14:paraId="3EC5AF7D" w14:textId="77777777" w:rsidR="00D514C1" w:rsidRDefault="00D514C1" w:rsidP="00752E57">
      <w:pPr>
        <w:rPr>
          <w:rFonts w:ascii="Times New Roman" w:hAnsi="Times New Roman"/>
        </w:rPr>
      </w:pPr>
      <w:r>
        <w:rPr>
          <w:rFonts w:ascii="Times New Roman" w:hAnsi="Times New Roman"/>
        </w:rPr>
        <w:t xml:space="preserve">Staff has discussed its proposed condition with the company, and the company has expressed a willingness to accept it. </w:t>
      </w:r>
      <w:r w:rsidR="004F09DC">
        <w:rPr>
          <w:rFonts w:ascii="Times New Roman" w:hAnsi="Times New Roman"/>
        </w:rPr>
        <w:t>This analysis is an important first step in more clearly identifying the company’s resource needs in 2021 and beyond. It will also generate a more reasonable projection of future market costs. Requiring the company to consider other resources right now through an all-source RFP process won’t accom</w:t>
      </w:r>
      <w:r w:rsidR="002A2E5D">
        <w:rPr>
          <w:rFonts w:ascii="Times New Roman" w:hAnsi="Times New Roman"/>
        </w:rPr>
        <w:t>plish much if those resources</w:t>
      </w:r>
      <w:r w:rsidR="004F09DC">
        <w:rPr>
          <w:rFonts w:ascii="Times New Roman" w:hAnsi="Times New Roman"/>
        </w:rPr>
        <w:t xml:space="preserve"> are compared against an artificially low-cost market alternative. </w:t>
      </w:r>
    </w:p>
    <w:p w14:paraId="3EC5AF7E" w14:textId="77777777" w:rsidR="0059169E" w:rsidRDefault="0059169E" w:rsidP="00752E57">
      <w:pPr>
        <w:rPr>
          <w:rFonts w:ascii="Times New Roman" w:hAnsi="Times New Roman"/>
        </w:rPr>
      </w:pPr>
    </w:p>
    <w:p w14:paraId="3EC5AF7F" w14:textId="77777777" w:rsidR="0059169E" w:rsidRDefault="0059169E" w:rsidP="00752E57">
      <w:pPr>
        <w:rPr>
          <w:rFonts w:ascii="Times New Roman" w:hAnsi="Times New Roman"/>
        </w:rPr>
      </w:pPr>
      <w:r>
        <w:rPr>
          <w:rFonts w:ascii="Times New Roman" w:hAnsi="Times New Roman"/>
        </w:rPr>
        <w:t xml:space="preserve">The company and staff have already begun discussing potential approaches for the market risk assessment, and will continue to work together throughout the 2017 IRP process. </w:t>
      </w:r>
    </w:p>
    <w:p w14:paraId="3EC5AF80" w14:textId="77777777" w:rsidR="00D5384F" w:rsidRDefault="00D5384F" w:rsidP="00752E57">
      <w:pPr>
        <w:rPr>
          <w:rFonts w:ascii="Times New Roman" w:hAnsi="Times New Roman"/>
        </w:rPr>
      </w:pPr>
    </w:p>
    <w:p w14:paraId="3EC5AF81" w14:textId="77777777" w:rsidR="00D5384F" w:rsidRDefault="00D5384F" w:rsidP="00752E57">
      <w:pPr>
        <w:rPr>
          <w:rFonts w:ascii="Times New Roman" w:hAnsi="Times New Roman"/>
        </w:rPr>
      </w:pPr>
      <w:r>
        <w:rPr>
          <w:rFonts w:ascii="Times New Roman" w:hAnsi="Times New Roman"/>
          <w:b/>
          <w:u w:val="single"/>
        </w:rPr>
        <w:t>Conclusion</w:t>
      </w:r>
    </w:p>
    <w:p w14:paraId="3EC5AF82" w14:textId="77777777" w:rsidR="00D5384F" w:rsidRDefault="00D5384F" w:rsidP="00752E57">
      <w:pPr>
        <w:rPr>
          <w:rFonts w:ascii="Times New Roman" w:hAnsi="Times New Roman"/>
        </w:rPr>
      </w:pPr>
    </w:p>
    <w:p w14:paraId="3EC5AF83" w14:textId="77777777" w:rsidR="00D5384F" w:rsidRPr="00D5384F" w:rsidRDefault="00D5384F" w:rsidP="00752E57">
      <w:pPr>
        <w:rPr>
          <w:rFonts w:ascii="Times New Roman" w:hAnsi="Times New Roman"/>
        </w:rPr>
      </w:pPr>
      <w:r>
        <w:rPr>
          <w:rFonts w:ascii="Times New Roman" w:hAnsi="Times New Roman"/>
        </w:rPr>
        <w:t>Based on the costs and lengthy timetable associated with an all-source RFP, staff does not believe that an all-source RFP would be in the public interest at this time, and therefore recommends that the commission grant Pacific Power’s waiver petition. Given the potential for regional market shortfalls in 2021 and beyond, staff recommends that the commission only approve the petition on the condition that the company assess the risk associated with its market resource strategy in its 2017 IRP.</w:t>
      </w:r>
    </w:p>
    <w:p w14:paraId="3EC5AF84" w14:textId="77777777" w:rsidR="00281524" w:rsidRDefault="00281524" w:rsidP="00752E57">
      <w:pPr>
        <w:rPr>
          <w:rFonts w:ascii="Times New Roman" w:hAnsi="Times New Roman"/>
        </w:rPr>
      </w:pPr>
    </w:p>
    <w:p w14:paraId="3EC5AF85" w14:textId="77777777" w:rsidR="00281524" w:rsidRPr="00752E57" w:rsidRDefault="00281524" w:rsidP="00752E57">
      <w:pPr>
        <w:rPr>
          <w:rFonts w:ascii="Times New Roman" w:hAnsi="Times New Roman"/>
        </w:rPr>
      </w:pPr>
    </w:p>
    <w:sectPr w:rsidR="00281524" w:rsidRPr="00752E57" w:rsidSect="00E7029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5AF88" w14:textId="77777777" w:rsidR="004F6C9E" w:rsidRDefault="004F6C9E" w:rsidP="00253635">
      <w:r>
        <w:separator/>
      </w:r>
    </w:p>
  </w:endnote>
  <w:endnote w:type="continuationSeparator" w:id="0">
    <w:p w14:paraId="3EC5AF89" w14:textId="77777777" w:rsidR="004F6C9E" w:rsidRDefault="004F6C9E" w:rsidP="0025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5AF86" w14:textId="77777777" w:rsidR="004F6C9E" w:rsidRDefault="004F6C9E" w:rsidP="00253635">
      <w:r>
        <w:separator/>
      </w:r>
    </w:p>
  </w:footnote>
  <w:footnote w:type="continuationSeparator" w:id="0">
    <w:p w14:paraId="3EC5AF87" w14:textId="77777777" w:rsidR="004F6C9E" w:rsidRDefault="004F6C9E" w:rsidP="00253635">
      <w:r>
        <w:continuationSeparator/>
      </w:r>
    </w:p>
  </w:footnote>
  <w:footnote w:id="1">
    <w:p w14:paraId="3EC5AF8A" w14:textId="54C52235" w:rsidR="005E34E1" w:rsidRPr="00D514C1" w:rsidRDefault="005E34E1">
      <w:pPr>
        <w:pStyle w:val="FootnoteText"/>
        <w:rPr>
          <w:rFonts w:ascii="Times New Roman" w:hAnsi="Times New Roman"/>
        </w:rPr>
      </w:pPr>
      <w:r w:rsidRPr="00D514C1">
        <w:rPr>
          <w:rStyle w:val="FootnoteReference"/>
          <w:rFonts w:ascii="Times New Roman" w:hAnsi="Times New Roman"/>
        </w:rPr>
        <w:footnoteRef/>
      </w:r>
      <w:r w:rsidRPr="00D514C1">
        <w:rPr>
          <w:rFonts w:ascii="Times New Roman" w:hAnsi="Times New Roman"/>
        </w:rPr>
        <w:t xml:space="preserve"> Pacifi</w:t>
      </w:r>
      <w:r w:rsidR="00D140F5">
        <w:rPr>
          <w:rFonts w:ascii="Times New Roman" w:hAnsi="Times New Roman"/>
        </w:rPr>
        <w:t>c Power &amp; Light Company’s</w:t>
      </w:r>
      <w:r w:rsidRPr="00D514C1">
        <w:rPr>
          <w:rFonts w:ascii="Times New Roman" w:hAnsi="Times New Roman"/>
        </w:rPr>
        <w:t xml:space="preserve"> 2015 IRP, page 196. </w:t>
      </w:r>
    </w:p>
  </w:footnote>
  <w:footnote w:id="2">
    <w:p w14:paraId="3EC5AF8B" w14:textId="77777777" w:rsidR="004A405D" w:rsidRPr="00D514C1" w:rsidRDefault="004A405D">
      <w:pPr>
        <w:pStyle w:val="FootnoteText"/>
        <w:rPr>
          <w:rFonts w:ascii="Times New Roman" w:hAnsi="Times New Roman"/>
        </w:rPr>
      </w:pPr>
      <w:r w:rsidRPr="00D514C1">
        <w:rPr>
          <w:rStyle w:val="FootnoteReference"/>
          <w:rFonts w:ascii="Times New Roman" w:hAnsi="Times New Roman"/>
        </w:rPr>
        <w:footnoteRef/>
      </w:r>
      <w:r w:rsidRPr="00D514C1">
        <w:rPr>
          <w:rFonts w:ascii="Times New Roman" w:hAnsi="Times New Roman"/>
        </w:rPr>
        <w:t xml:space="preserve"> Pg. 18-19 of the company’s waiver petition.</w:t>
      </w:r>
    </w:p>
  </w:footnote>
  <w:footnote w:id="3">
    <w:p w14:paraId="3EC5AF8C" w14:textId="77777777" w:rsidR="004A405D" w:rsidRPr="00D514C1" w:rsidRDefault="004A405D">
      <w:pPr>
        <w:pStyle w:val="FootnoteText"/>
        <w:rPr>
          <w:rFonts w:ascii="Times New Roman" w:hAnsi="Times New Roman"/>
        </w:rPr>
      </w:pPr>
      <w:r w:rsidRPr="00D514C1">
        <w:rPr>
          <w:rStyle w:val="FootnoteReference"/>
          <w:rFonts w:ascii="Times New Roman" w:hAnsi="Times New Roman"/>
        </w:rPr>
        <w:footnoteRef/>
      </w:r>
      <w:r w:rsidRPr="00D514C1">
        <w:rPr>
          <w:rFonts w:ascii="Times New Roman" w:hAnsi="Times New Roman"/>
        </w:rPr>
        <w:t xml:space="preserve"> Pgs. 8-10 of the company’s waiver petition.</w:t>
      </w:r>
    </w:p>
  </w:footnote>
  <w:footnote w:id="4">
    <w:p w14:paraId="3EC5AF8D" w14:textId="77777777" w:rsidR="00752E57" w:rsidRPr="00D514C1" w:rsidRDefault="00752E57">
      <w:pPr>
        <w:pStyle w:val="FootnoteText"/>
        <w:rPr>
          <w:rFonts w:ascii="Times New Roman" w:hAnsi="Times New Roman"/>
        </w:rPr>
      </w:pPr>
      <w:r w:rsidRPr="00D514C1">
        <w:rPr>
          <w:rStyle w:val="FootnoteReference"/>
          <w:rFonts w:ascii="Times New Roman" w:hAnsi="Times New Roman"/>
        </w:rPr>
        <w:footnoteRef/>
      </w:r>
      <w:r w:rsidRPr="00D514C1">
        <w:rPr>
          <w:rFonts w:ascii="Times New Roman" w:hAnsi="Times New Roman"/>
        </w:rPr>
        <w:t xml:space="preserve"> Pgs. 19-20 of the company’s waiver petition.</w:t>
      </w:r>
    </w:p>
  </w:footnote>
  <w:footnote w:id="5">
    <w:p w14:paraId="3EC5AF8E" w14:textId="77777777" w:rsidR="00765C34" w:rsidRPr="00E70290" w:rsidRDefault="00765C34">
      <w:pPr>
        <w:pStyle w:val="FootnoteText"/>
        <w:rPr>
          <w:rFonts w:ascii="Times New Roman" w:hAnsi="Times New Roman"/>
        </w:rPr>
      </w:pPr>
      <w:r>
        <w:rPr>
          <w:rStyle w:val="FootnoteReference"/>
        </w:rPr>
        <w:footnoteRef/>
      </w:r>
      <w:r>
        <w:t xml:space="preserve"> </w:t>
      </w:r>
      <w:r w:rsidRPr="00E70290">
        <w:rPr>
          <w:rFonts w:ascii="Times New Roman" w:hAnsi="Times New Roman"/>
        </w:rPr>
        <w:t>Staff still questions some of the company’s cost assumptions regard</w:t>
      </w:r>
      <w:r w:rsidR="004F09DC" w:rsidRPr="00E70290">
        <w:rPr>
          <w:rFonts w:ascii="Times New Roman" w:hAnsi="Times New Roman"/>
        </w:rPr>
        <w:t>ing storage technologies, and</w:t>
      </w:r>
      <w:r w:rsidRPr="00E70290">
        <w:rPr>
          <w:rFonts w:ascii="Times New Roman" w:hAnsi="Times New Roman"/>
        </w:rPr>
        <w:t xml:space="preserve"> will continue to work with the company in that area.</w:t>
      </w:r>
    </w:p>
  </w:footnote>
  <w:footnote w:id="6">
    <w:p w14:paraId="3EC5AF8F" w14:textId="77777777" w:rsidR="00CA79FC" w:rsidRPr="00D514C1" w:rsidRDefault="00CA79FC">
      <w:pPr>
        <w:pStyle w:val="FootnoteText"/>
        <w:rPr>
          <w:rFonts w:ascii="Times New Roman" w:hAnsi="Times New Roman"/>
        </w:rPr>
      </w:pPr>
      <w:r w:rsidRPr="00D514C1">
        <w:rPr>
          <w:rStyle w:val="FootnoteReference"/>
          <w:rFonts w:ascii="Times New Roman" w:hAnsi="Times New Roman"/>
        </w:rPr>
        <w:footnoteRef/>
      </w:r>
      <w:r w:rsidRPr="00D514C1">
        <w:rPr>
          <w:rFonts w:ascii="Times New Roman" w:hAnsi="Times New Roman"/>
        </w:rPr>
        <w:t xml:space="preserve"> </w:t>
      </w:r>
      <w:r w:rsidR="002F3D26" w:rsidRPr="00D514C1">
        <w:rPr>
          <w:rFonts w:ascii="Times New Roman" w:hAnsi="Times New Roman"/>
        </w:rPr>
        <w:t xml:space="preserve">The Northwest Power and Conservation Council’s May 2015 Pacific Northwest Power Supply Adequacy Assessment for 2020-21 identified a need for 1,150 MW of new gas-fired capacity to maintain regional reliability targets. Available at </w:t>
      </w:r>
      <w:hyperlink r:id="rId1" w:history="1">
        <w:r w:rsidR="002F3D26" w:rsidRPr="00D514C1">
          <w:rPr>
            <w:rStyle w:val="Hyperlink"/>
            <w:rFonts w:ascii="Times New Roman" w:hAnsi="Times New Roman"/>
          </w:rPr>
          <w:t>https://www.nwcouncil.org/energy/powersupply/2015-05/</w:t>
        </w:r>
      </w:hyperlink>
      <w:r w:rsidR="002F3D26" w:rsidRPr="00D514C1">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936E5" w14:textId="2EDE25C8" w:rsidR="00D140F5" w:rsidRPr="00E70290" w:rsidRDefault="00E70290">
    <w:pPr>
      <w:pStyle w:val="Header"/>
      <w:rPr>
        <w:rFonts w:ascii="Times New Roman" w:hAnsi="Times New Roman"/>
        <w:sz w:val="20"/>
        <w:szCs w:val="20"/>
      </w:rPr>
    </w:pPr>
    <w:r w:rsidRPr="00E70290">
      <w:rPr>
        <w:rFonts w:ascii="Times New Roman" w:hAnsi="Times New Roman"/>
        <w:sz w:val="20"/>
        <w:szCs w:val="20"/>
      </w:rPr>
      <w:t>Docket UE-151694</w:t>
    </w:r>
  </w:p>
  <w:p w14:paraId="6A7BEA73" w14:textId="3BF56390" w:rsidR="00E70290" w:rsidRPr="00E70290" w:rsidRDefault="00E70290">
    <w:pPr>
      <w:pStyle w:val="Header"/>
      <w:rPr>
        <w:rFonts w:ascii="Times New Roman" w:hAnsi="Times New Roman"/>
        <w:sz w:val="20"/>
        <w:szCs w:val="20"/>
      </w:rPr>
    </w:pPr>
    <w:r w:rsidRPr="00E70290">
      <w:rPr>
        <w:rFonts w:ascii="Times New Roman" w:hAnsi="Times New Roman"/>
        <w:sz w:val="20"/>
        <w:szCs w:val="20"/>
      </w:rPr>
      <w:t>October 29, 2014</w:t>
    </w:r>
  </w:p>
  <w:p w14:paraId="1B5C38A2" w14:textId="3D976E55" w:rsidR="00E70290" w:rsidRDefault="00E70290">
    <w:pPr>
      <w:pStyle w:val="Header"/>
      <w:rPr>
        <w:rFonts w:ascii="Times New Roman" w:hAnsi="Times New Roman"/>
        <w:noProof/>
        <w:sz w:val="20"/>
        <w:szCs w:val="20"/>
      </w:rPr>
    </w:pPr>
    <w:r w:rsidRPr="00E70290">
      <w:rPr>
        <w:rFonts w:ascii="Times New Roman" w:hAnsi="Times New Roman"/>
        <w:sz w:val="20"/>
        <w:szCs w:val="20"/>
      </w:rPr>
      <w:t xml:space="preserve">Page </w:t>
    </w:r>
    <w:r w:rsidRPr="00E70290">
      <w:rPr>
        <w:rFonts w:ascii="Times New Roman" w:hAnsi="Times New Roman"/>
        <w:sz w:val="20"/>
        <w:szCs w:val="20"/>
      </w:rPr>
      <w:fldChar w:fldCharType="begin"/>
    </w:r>
    <w:r w:rsidRPr="00E70290">
      <w:rPr>
        <w:rFonts w:ascii="Times New Roman" w:hAnsi="Times New Roman"/>
        <w:sz w:val="20"/>
        <w:szCs w:val="20"/>
      </w:rPr>
      <w:instrText xml:space="preserve"> PAGE   \* MERGEFORMAT </w:instrText>
    </w:r>
    <w:r w:rsidRPr="00E70290">
      <w:rPr>
        <w:rFonts w:ascii="Times New Roman" w:hAnsi="Times New Roman"/>
        <w:sz w:val="20"/>
        <w:szCs w:val="20"/>
      </w:rPr>
      <w:fldChar w:fldCharType="separate"/>
    </w:r>
    <w:r w:rsidR="0033507E">
      <w:rPr>
        <w:rFonts w:ascii="Times New Roman" w:hAnsi="Times New Roman"/>
        <w:noProof/>
        <w:sz w:val="20"/>
        <w:szCs w:val="20"/>
      </w:rPr>
      <w:t>3</w:t>
    </w:r>
    <w:r w:rsidRPr="00E70290">
      <w:rPr>
        <w:rFonts w:ascii="Times New Roman" w:hAnsi="Times New Roman"/>
        <w:noProof/>
        <w:sz w:val="20"/>
        <w:szCs w:val="20"/>
      </w:rPr>
      <w:fldChar w:fldCharType="end"/>
    </w:r>
  </w:p>
  <w:p w14:paraId="0E189988" w14:textId="77777777" w:rsidR="00E70290" w:rsidRPr="00E70290" w:rsidRDefault="00E7029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3068C"/>
    <w:multiLevelType w:val="hybridMultilevel"/>
    <w:tmpl w:val="864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DA50BB"/>
    <w:multiLevelType w:val="hybridMultilevel"/>
    <w:tmpl w:val="95CC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35"/>
    <w:rsid w:val="00022191"/>
    <w:rsid w:val="00024A28"/>
    <w:rsid w:val="00043D05"/>
    <w:rsid w:val="00075CCD"/>
    <w:rsid w:val="000E640C"/>
    <w:rsid w:val="000F67E8"/>
    <w:rsid w:val="00113E6D"/>
    <w:rsid w:val="001C5AB1"/>
    <w:rsid w:val="001E1D7A"/>
    <w:rsid w:val="00253635"/>
    <w:rsid w:val="00281524"/>
    <w:rsid w:val="002A2E5D"/>
    <w:rsid w:val="002A57B4"/>
    <w:rsid w:val="002C039A"/>
    <w:rsid w:val="002F3D26"/>
    <w:rsid w:val="002F5A0A"/>
    <w:rsid w:val="0032404C"/>
    <w:rsid w:val="0033507E"/>
    <w:rsid w:val="0034700E"/>
    <w:rsid w:val="00454878"/>
    <w:rsid w:val="004841DF"/>
    <w:rsid w:val="004A405D"/>
    <w:rsid w:val="004D573F"/>
    <w:rsid w:val="004F09DC"/>
    <w:rsid w:val="004F6C9E"/>
    <w:rsid w:val="00552600"/>
    <w:rsid w:val="0059169E"/>
    <w:rsid w:val="005A6C74"/>
    <w:rsid w:val="005E34E1"/>
    <w:rsid w:val="00607952"/>
    <w:rsid w:val="00672F7B"/>
    <w:rsid w:val="006A41EE"/>
    <w:rsid w:val="00752E57"/>
    <w:rsid w:val="00765C34"/>
    <w:rsid w:val="008C7FC1"/>
    <w:rsid w:val="00A12430"/>
    <w:rsid w:val="00A84C2A"/>
    <w:rsid w:val="00AC5319"/>
    <w:rsid w:val="00AD3312"/>
    <w:rsid w:val="00AE273E"/>
    <w:rsid w:val="00B13041"/>
    <w:rsid w:val="00BA50D6"/>
    <w:rsid w:val="00BB619B"/>
    <w:rsid w:val="00C000F8"/>
    <w:rsid w:val="00CA79FC"/>
    <w:rsid w:val="00CD518B"/>
    <w:rsid w:val="00D140F5"/>
    <w:rsid w:val="00D15D39"/>
    <w:rsid w:val="00D514C1"/>
    <w:rsid w:val="00D5384F"/>
    <w:rsid w:val="00D7732D"/>
    <w:rsid w:val="00DA1B86"/>
    <w:rsid w:val="00DD2A47"/>
    <w:rsid w:val="00E31404"/>
    <w:rsid w:val="00E3460A"/>
    <w:rsid w:val="00E70290"/>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AF53"/>
  <w15:chartTrackingRefBased/>
  <w15:docId w15:val="{48CDB771-201B-4981-AE74-87AF9F54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35"/>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53635"/>
    <w:pPr>
      <w:ind w:left="720"/>
      <w:contextualSpacing/>
    </w:pPr>
  </w:style>
  <w:style w:type="paragraph" w:styleId="FootnoteText">
    <w:name w:val="footnote text"/>
    <w:basedOn w:val="Normal"/>
    <w:link w:val="FootnoteTextChar"/>
    <w:uiPriority w:val="99"/>
    <w:semiHidden/>
    <w:unhideWhenUsed/>
    <w:rsid w:val="00253635"/>
    <w:rPr>
      <w:sz w:val="20"/>
      <w:szCs w:val="20"/>
    </w:rPr>
  </w:style>
  <w:style w:type="character" w:customStyle="1" w:styleId="FootnoteTextChar">
    <w:name w:val="Footnote Text Char"/>
    <w:basedOn w:val="DefaultParagraphFont"/>
    <w:link w:val="FootnoteText"/>
    <w:uiPriority w:val="99"/>
    <w:semiHidden/>
    <w:rsid w:val="00253635"/>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253635"/>
    <w:rPr>
      <w:vertAlign w:val="superscript"/>
    </w:rPr>
  </w:style>
  <w:style w:type="character" w:styleId="Hyperlink">
    <w:name w:val="Hyperlink"/>
    <w:basedOn w:val="DefaultParagraphFont"/>
    <w:uiPriority w:val="99"/>
    <w:unhideWhenUsed/>
    <w:rsid w:val="002F3D26"/>
    <w:rPr>
      <w:color w:val="0000FF" w:themeColor="hyperlink"/>
      <w:u w:val="single"/>
    </w:rPr>
  </w:style>
  <w:style w:type="paragraph" w:styleId="Header">
    <w:name w:val="header"/>
    <w:basedOn w:val="Normal"/>
    <w:link w:val="HeaderChar"/>
    <w:uiPriority w:val="99"/>
    <w:unhideWhenUsed/>
    <w:rsid w:val="00D140F5"/>
    <w:pPr>
      <w:tabs>
        <w:tab w:val="center" w:pos="4680"/>
        <w:tab w:val="right" w:pos="9360"/>
      </w:tabs>
    </w:pPr>
  </w:style>
  <w:style w:type="character" w:customStyle="1" w:styleId="HeaderChar">
    <w:name w:val="Header Char"/>
    <w:basedOn w:val="DefaultParagraphFont"/>
    <w:link w:val="Header"/>
    <w:uiPriority w:val="99"/>
    <w:rsid w:val="00D140F5"/>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140F5"/>
    <w:pPr>
      <w:tabs>
        <w:tab w:val="center" w:pos="4680"/>
        <w:tab w:val="right" w:pos="9360"/>
      </w:tabs>
    </w:pPr>
  </w:style>
  <w:style w:type="character" w:customStyle="1" w:styleId="FooterChar">
    <w:name w:val="Footer Char"/>
    <w:basedOn w:val="DefaultParagraphFont"/>
    <w:link w:val="Footer"/>
    <w:uiPriority w:val="99"/>
    <w:rsid w:val="00D140F5"/>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nwcouncil.org/energy/powersupply/201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2015-08-14T07:00:00+00:00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151694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A473924D765E41B8CF71BDB5D8510B" ma:contentTypeVersion="119" ma:contentTypeDescription="" ma:contentTypeScope="" ma:versionID="f0fbfbe80f63190b7de0fdd30791f6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0F48F1F-B75C-4BFA-9D63-6378147CBBFE}"/>
</file>

<file path=customXml/itemProps2.xml><?xml version="1.0" encoding="utf-8"?>
<ds:datastoreItem xmlns:ds="http://schemas.openxmlformats.org/officeDocument/2006/customXml" ds:itemID="{216D46CB-5026-45C7-ABE4-906CCFD753E3}"/>
</file>

<file path=customXml/itemProps3.xml><?xml version="1.0" encoding="utf-8"?>
<ds:datastoreItem xmlns:ds="http://schemas.openxmlformats.org/officeDocument/2006/customXml" ds:itemID="{72200A7F-865C-4709-B668-F3734ED27219}"/>
</file>

<file path=customXml/itemProps4.xml><?xml version="1.0" encoding="utf-8"?>
<ds:datastoreItem xmlns:ds="http://schemas.openxmlformats.org/officeDocument/2006/customXml" ds:itemID="{2341A091-5BA3-4517-87DC-E1DA4C7CA10F}"/>
</file>

<file path=customXml/itemProps5.xml><?xml version="1.0" encoding="utf-8"?>
<ds:datastoreItem xmlns:ds="http://schemas.openxmlformats.org/officeDocument/2006/customXml" ds:itemID="{CB4717BF-67C1-4B40-ACCD-10FDF8DAA8E0}"/>
</file>

<file path=docProps/app.xml><?xml version="1.0" encoding="utf-8"?>
<Properties xmlns="http://schemas.openxmlformats.org/officeDocument/2006/extended-properties" xmlns:vt="http://schemas.openxmlformats.org/officeDocument/2006/docPropsVTypes">
  <Template>Normal</Template>
  <TotalTime>15</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Pacific Power's Petition for Waiver of certain RFP requirements of WAC 480-107</vt:lpstr>
    </vt:vector>
  </TitlesOfParts>
  <Company>Washington Utilities and Transportation Commission</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Power's Petition for Waiver of certain RFP requirements of WAC 480-107</dc:title>
  <dc:subject/>
  <dc:creator>Twitchell, Jeremy (UTC)</dc:creator>
  <cp:keywords/>
  <dc:description/>
  <cp:lastModifiedBy>Reynolds, Deborah (UTC)</cp:lastModifiedBy>
  <cp:revision>6</cp:revision>
  <dcterms:created xsi:type="dcterms:W3CDTF">2015-10-20T21:45:00Z</dcterms:created>
  <dcterms:modified xsi:type="dcterms:W3CDTF">2015-10-26T18:11:00Z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0x0101006E56B4D1795A2E4DB2F0B01679ED314A009EA473924D765E41B8CF71BDB5D8510B</vt:lpwstr>
  </property>
  <property fmtid="{D5CDD505-2E9C-101B-9397-08002B2CF9AE}" pid="3" name="_docset_NoMedatataSyncRequired">
    <vt:lpwstr>False</vt:lpwstr>
  </property>
</Properties>
</file>