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1DE7" w14:textId="77777777" w:rsidR="00C011AB" w:rsidRPr="00401D3C" w:rsidRDefault="00C011AB" w:rsidP="0087368D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44F91AC2" w14:textId="77777777" w:rsidR="00C011AB" w:rsidRPr="00401D3C" w:rsidRDefault="00C011AB" w:rsidP="0087368D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23845746" w14:textId="77777777" w:rsidR="000E4BC7" w:rsidRDefault="000E4BC7" w:rsidP="0087368D">
      <w:pPr>
        <w:pStyle w:val="BodyText"/>
        <w:spacing w:line="264" w:lineRule="auto"/>
      </w:pPr>
    </w:p>
    <w:p w14:paraId="2714E742" w14:textId="77777777" w:rsidR="0087368D" w:rsidRPr="00401D3C" w:rsidRDefault="0087368D" w:rsidP="0087368D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7266B3AE" w14:textId="77777777" w:rsidTr="00E17611">
        <w:trPr>
          <w:trHeight w:val="2610"/>
        </w:trPr>
        <w:tc>
          <w:tcPr>
            <w:tcW w:w="4372" w:type="dxa"/>
          </w:tcPr>
          <w:p w14:paraId="67F885BF" w14:textId="77777777" w:rsidR="00DB78B7" w:rsidRPr="00401D3C" w:rsidRDefault="00B97D0B" w:rsidP="0087368D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442FE81F" w14:textId="77777777" w:rsidR="00DB78B7" w:rsidRPr="00401D3C" w:rsidRDefault="00DB78B7" w:rsidP="0087368D">
            <w:pPr>
              <w:spacing w:line="264" w:lineRule="auto"/>
              <w:rPr>
                <w:bCs/>
              </w:rPr>
            </w:pPr>
          </w:p>
          <w:p w14:paraId="7CE8D123" w14:textId="77777777" w:rsidR="00005893" w:rsidRPr="00401D3C" w:rsidRDefault="00516111" w:rsidP="0087368D">
            <w:pPr>
              <w:spacing w:line="264" w:lineRule="auto"/>
              <w:rPr>
                <w:bCs/>
              </w:rPr>
            </w:pPr>
            <w:r>
              <w:rPr>
                <w:bCs/>
              </w:rPr>
              <w:t>GERALD M. JAHN d/b/a SPOKANE MOVERS</w:t>
            </w:r>
          </w:p>
          <w:p w14:paraId="0AAC30CB" w14:textId="77777777" w:rsidR="00F13566" w:rsidRPr="00401D3C" w:rsidRDefault="00F13566" w:rsidP="0087368D">
            <w:pPr>
              <w:spacing w:line="264" w:lineRule="auto"/>
              <w:rPr>
                <w:bCs/>
              </w:rPr>
            </w:pPr>
          </w:p>
          <w:p w14:paraId="0AD87FA4" w14:textId="77777777" w:rsidR="00A01D98" w:rsidRDefault="00A01D98" w:rsidP="0087368D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amount of $</w:t>
            </w:r>
            <w:r w:rsidR="00516111">
              <w:rPr>
                <w:bCs/>
              </w:rPr>
              <w:t>300</w:t>
            </w:r>
          </w:p>
          <w:p w14:paraId="2EA56A48" w14:textId="77777777" w:rsidR="0087368D" w:rsidRPr="00401D3C" w:rsidRDefault="0087368D" w:rsidP="0087368D">
            <w:pPr>
              <w:spacing w:line="264" w:lineRule="auto"/>
            </w:pPr>
          </w:p>
          <w:p w14:paraId="1AEB0C5F" w14:textId="77777777" w:rsidR="00C011AB" w:rsidRPr="00401D3C" w:rsidRDefault="00C011AB" w:rsidP="0087368D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  <w:r w:rsidR="0087368D">
              <w:t xml:space="preserve">. . </w:t>
            </w:r>
          </w:p>
        </w:tc>
        <w:tc>
          <w:tcPr>
            <w:tcW w:w="236" w:type="dxa"/>
          </w:tcPr>
          <w:p w14:paraId="4646658A" w14:textId="77777777" w:rsidR="00C011AB" w:rsidRPr="00401D3C" w:rsidRDefault="00C011AB" w:rsidP="0087368D">
            <w:pPr>
              <w:spacing w:line="264" w:lineRule="auto"/>
            </w:pPr>
            <w:r w:rsidRPr="00401D3C">
              <w:t>)</w:t>
            </w:r>
          </w:p>
          <w:p w14:paraId="15B22E7C" w14:textId="77777777" w:rsidR="00C011AB" w:rsidRPr="00401D3C" w:rsidRDefault="00C011AB" w:rsidP="0087368D">
            <w:pPr>
              <w:spacing w:line="264" w:lineRule="auto"/>
            </w:pPr>
            <w:r w:rsidRPr="00401D3C">
              <w:t>)</w:t>
            </w:r>
          </w:p>
          <w:p w14:paraId="6FAE0C3B" w14:textId="77777777" w:rsidR="00C011AB" w:rsidRPr="00401D3C" w:rsidRDefault="00C011AB" w:rsidP="0087368D">
            <w:pPr>
              <w:spacing w:line="264" w:lineRule="auto"/>
            </w:pPr>
            <w:r w:rsidRPr="00401D3C">
              <w:t>)</w:t>
            </w:r>
          </w:p>
          <w:p w14:paraId="031834B0" w14:textId="77777777" w:rsidR="00C011AB" w:rsidRPr="00401D3C" w:rsidRDefault="00C011AB" w:rsidP="0087368D">
            <w:pPr>
              <w:spacing w:line="264" w:lineRule="auto"/>
            </w:pPr>
            <w:r w:rsidRPr="00401D3C">
              <w:t>)</w:t>
            </w:r>
          </w:p>
          <w:p w14:paraId="52AA0426" w14:textId="77777777" w:rsidR="00C011AB" w:rsidRPr="00401D3C" w:rsidRDefault="00C011AB" w:rsidP="0087368D">
            <w:pPr>
              <w:spacing w:line="264" w:lineRule="auto"/>
            </w:pPr>
            <w:r w:rsidRPr="00401D3C">
              <w:t>)</w:t>
            </w:r>
          </w:p>
          <w:p w14:paraId="5F6E1932" w14:textId="77777777" w:rsidR="00C011AB" w:rsidRDefault="00C011AB" w:rsidP="0087368D">
            <w:pPr>
              <w:spacing w:line="264" w:lineRule="auto"/>
            </w:pPr>
            <w:r w:rsidRPr="00401D3C">
              <w:t>)</w:t>
            </w:r>
          </w:p>
          <w:p w14:paraId="1DC97985" w14:textId="77777777" w:rsidR="0084534A" w:rsidRDefault="0084534A" w:rsidP="0087368D">
            <w:pPr>
              <w:spacing w:line="264" w:lineRule="auto"/>
            </w:pPr>
            <w:r>
              <w:t>)</w:t>
            </w:r>
          </w:p>
          <w:p w14:paraId="55479B70" w14:textId="77777777" w:rsidR="0084534A" w:rsidRDefault="0084534A" w:rsidP="0087368D">
            <w:pPr>
              <w:spacing w:line="264" w:lineRule="auto"/>
            </w:pPr>
            <w:r>
              <w:t>)</w:t>
            </w:r>
          </w:p>
          <w:p w14:paraId="3722F367" w14:textId="77777777" w:rsidR="006C5AA6" w:rsidRPr="00401D3C" w:rsidRDefault="0087368D" w:rsidP="0087368D">
            <w:pPr>
              <w:spacing w:line="264" w:lineRule="auto"/>
            </w:pPr>
            <w:r>
              <w:t>)</w:t>
            </w:r>
          </w:p>
        </w:tc>
        <w:tc>
          <w:tcPr>
            <w:tcW w:w="3888" w:type="dxa"/>
          </w:tcPr>
          <w:p w14:paraId="52E0767B" w14:textId="77777777" w:rsidR="00C011AB" w:rsidRPr="00401D3C" w:rsidRDefault="00C011AB" w:rsidP="0087368D">
            <w:pPr>
              <w:spacing w:line="264" w:lineRule="auto"/>
            </w:pPr>
            <w:r w:rsidRPr="00401D3C">
              <w:t xml:space="preserve">DOCKET </w:t>
            </w:r>
            <w:r w:rsidR="00D91A9A" w:rsidRPr="00401D3C">
              <w:rPr>
                <w:bCs/>
              </w:rPr>
              <w:t>T</w:t>
            </w:r>
            <w:r w:rsidR="00F13566" w:rsidRPr="00401D3C">
              <w:rPr>
                <w:bCs/>
              </w:rPr>
              <w:t>V</w:t>
            </w:r>
            <w:r w:rsidR="00C05407" w:rsidRPr="00401D3C">
              <w:rPr>
                <w:bCs/>
              </w:rPr>
              <w:t>-</w:t>
            </w:r>
            <w:r w:rsidR="00401D3C" w:rsidRPr="00401D3C">
              <w:rPr>
                <w:bCs/>
              </w:rPr>
              <w:t>150</w:t>
            </w:r>
            <w:r w:rsidR="0084534A">
              <w:rPr>
                <w:bCs/>
              </w:rPr>
              <w:t>9</w:t>
            </w:r>
            <w:r w:rsidR="00516111">
              <w:rPr>
                <w:bCs/>
              </w:rPr>
              <w:t>09</w:t>
            </w:r>
          </w:p>
          <w:p w14:paraId="082E3224" w14:textId="77777777" w:rsidR="00C011AB" w:rsidRPr="00401D3C" w:rsidRDefault="00C011AB" w:rsidP="0087368D">
            <w:pPr>
              <w:spacing w:line="264" w:lineRule="auto"/>
            </w:pPr>
          </w:p>
          <w:p w14:paraId="6F46404E" w14:textId="77777777" w:rsidR="00C011AB" w:rsidRPr="00401D3C" w:rsidRDefault="00C011AB" w:rsidP="0087368D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751DD722" w14:textId="77777777" w:rsidR="00C011AB" w:rsidRPr="00401D3C" w:rsidRDefault="00C011AB" w:rsidP="0087368D">
            <w:pPr>
              <w:spacing w:line="264" w:lineRule="auto"/>
            </w:pPr>
          </w:p>
          <w:p w14:paraId="14D33BA6" w14:textId="77777777" w:rsidR="000E4BC7" w:rsidRPr="00401D3C" w:rsidRDefault="00F13566" w:rsidP="0087368D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516111">
              <w:t>75</w:t>
            </w:r>
          </w:p>
          <w:p w14:paraId="06A4125F" w14:textId="77777777" w:rsidR="00830040" w:rsidRPr="00401D3C" w:rsidRDefault="00830040" w:rsidP="0087368D">
            <w:pPr>
              <w:spacing w:line="264" w:lineRule="auto"/>
            </w:pPr>
          </w:p>
          <w:p w14:paraId="5F61696D" w14:textId="77777777" w:rsidR="00117299" w:rsidRPr="00401D3C" w:rsidRDefault="00117299" w:rsidP="0087368D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  <w:p w14:paraId="37166D2A" w14:textId="77777777" w:rsidR="00A84893" w:rsidRPr="00401D3C" w:rsidRDefault="00A84893" w:rsidP="0087368D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690808BA" w14:textId="77777777" w:rsidR="0087368D" w:rsidRDefault="0087368D" w:rsidP="0087368D">
      <w:pPr>
        <w:spacing w:line="264" w:lineRule="auto"/>
        <w:jc w:val="center"/>
      </w:pPr>
    </w:p>
    <w:p w14:paraId="7443C4C6" w14:textId="77777777" w:rsidR="0087368D" w:rsidRPr="0087368D" w:rsidRDefault="0087368D" w:rsidP="0087368D">
      <w:pPr>
        <w:spacing w:line="264" w:lineRule="auto"/>
        <w:jc w:val="center"/>
      </w:pPr>
    </w:p>
    <w:p w14:paraId="66E0CDC6" w14:textId="77777777" w:rsidR="002E3C80" w:rsidRPr="00401D3C" w:rsidRDefault="00F32856" w:rsidP="0087368D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594309DB" w14:textId="77777777" w:rsidR="00841996" w:rsidRPr="00401D3C" w:rsidRDefault="00841996" w:rsidP="0087368D">
      <w:pPr>
        <w:spacing w:line="264" w:lineRule="auto"/>
      </w:pPr>
    </w:p>
    <w:p w14:paraId="7BDE0A18" w14:textId="77777777" w:rsidR="005F24F9" w:rsidRPr="00401D3C" w:rsidRDefault="005F24F9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Washington law requires </w:t>
      </w:r>
      <w:r w:rsidR="00F228D5" w:rsidRPr="00401D3C">
        <w:rPr>
          <w:bCs/>
        </w:rPr>
        <w:t>household goods carriers</w:t>
      </w:r>
      <w:r w:rsidRPr="00401D3C">
        <w:rPr>
          <w:bCs/>
        </w:rPr>
        <w:t xml:space="preserve"> to file annual reports and pay regulatory fees by May 1 </w:t>
      </w:r>
      <w:r w:rsidR="00CD595A" w:rsidRPr="00401D3C">
        <w:rPr>
          <w:bCs/>
        </w:rPr>
        <w:t xml:space="preserve">of each year. WAC </w:t>
      </w:r>
      <w:r w:rsidR="00DE1AD6" w:rsidRPr="00401D3C">
        <w:rPr>
          <w:bCs/>
        </w:rPr>
        <w:t>480-15-480</w:t>
      </w:r>
      <w:r w:rsidR="00CD595A" w:rsidRPr="00401D3C">
        <w:rPr>
          <w:bCs/>
        </w:rPr>
        <w:t xml:space="preserve">. </w:t>
      </w:r>
      <w:r w:rsidR="006F5053" w:rsidRPr="00401D3C">
        <w:rPr>
          <w:bCs/>
        </w:rPr>
        <w:t xml:space="preserve">On </w:t>
      </w:r>
      <w:r w:rsidR="008A54E8" w:rsidRPr="00401D3C">
        <w:rPr>
          <w:bCs/>
        </w:rPr>
        <w:t>February 2</w:t>
      </w:r>
      <w:r w:rsidR="00401D3C">
        <w:rPr>
          <w:bCs/>
        </w:rPr>
        <w:t>7</w:t>
      </w:r>
      <w:r w:rsidR="008A54E8" w:rsidRPr="00401D3C">
        <w:rPr>
          <w:bCs/>
        </w:rPr>
        <w:t>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the Washington Utilities and Transportation Commission (Commission) mailed annual report and regulatory fee packets to all </w:t>
      </w:r>
      <w:r w:rsidR="002728F6" w:rsidRPr="00401D3C">
        <w:rPr>
          <w:bCs/>
        </w:rPr>
        <w:t>household goods carriers</w:t>
      </w:r>
      <w:r w:rsidR="006F5053" w:rsidRPr="00401D3C">
        <w:rPr>
          <w:bCs/>
        </w:rPr>
        <w:t xml:space="preserve">. </w:t>
      </w:r>
      <w:r w:rsidR="008A54E8" w:rsidRPr="00401D3C">
        <w:rPr>
          <w:bCs/>
        </w:rPr>
        <w:t>The forms included a reminder that</w:t>
      </w:r>
      <w:r w:rsidR="006F5053" w:rsidRPr="00401D3C">
        <w:rPr>
          <w:bCs/>
        </w:rPr>
        <w:t xml:space="preserve"> companies </w:t>
      </w:r>
      <w:r w:rsidR="008A54E8" w:rsidRPr="00401D3C">
        <w:rPr>
          <w:bCs/>
        </w:rPr>
        <w:t>must</w:t>
      </w:r>
      <w:r w:rsidR="006F5053" w:rsidRPr="00401D3C">
        <w:rPr>
          <w:bCs/>
        </w:rPr>
        <w:t xml:space="preserve"> file their annual reports and pay their regulatory fees by May 1, 201</w:t>
      </w:r>
      <w:r w:rsidR="00401D3C">
        <w:rPr>
          <w:bCs/>
        </w:rPr>
        <w:t>5</w:t>
      </w:r>
      <w:r w:rsidR="006F5053" w:rsidRPr="00401D3C">
        <w:rPr>
          <w:bCs/>
        </w:rPr>
        <w:t xml:space="preserve">, </w:t>
      </w:r>
      <w:r w:rsidR="008A54E8" w:rsidRPr="00401D3C">
        <w:rPr>
          <w:bCs/>
        </w:rPr>
        <w:t>or face penalties</w:t>
      </w:r>
      <w:r w:rsidR="000426C0" w:rsidRPr="00401D3C">
        <w:rPr>
          <w:bCs/>
        </w:rPr>
        <w:t xml:space="preserve"> of</w:t>
      </w:r>
      <w:r w:rsidR="00F929AB" w:rsidRPr="00401D3C">
        <w:rPr>
          <w:bCs/>
        </w:rPr>
        <w:t xml:space="preserve"> </w:t>
      </w:r>
      <w:r w:rsidRPr="00401D3C">
        <w:rPr>
          <w:bCs/>
        </w:rPr>
        <w:t>$100</w:t>
      </w:r>
      <w:r w:rsidR="00B24948" w:rsidRPr="00401D3C">
        <w:rPr>
          <w:bCs/>
        </w:rPr>
        <w:t xml:space="preserve"> </w:t>
      </w:r>
      <w:r w:rsidRPr="00401D3C">
        <w:rPr>
          <w:bCs/>
        </w:rPr>
        <w:t xml:space="preserve">for </w:t>
      </w:r>
      <w:r w:rsidR="005E3095" w:rsidRPr="00401D3C">
        <w:rPr>
          <w:bCs/>
        </w:rPr>
        <w:t xml:space="preserve">each </w:t>
      </w:r>
      <w:r w:rsidR="008A54E8" w:rsidRPr="00401D3C">
        <w:rPr>
          <w:bCs/>
        </w:rPr>
        <w:t>violati</w:t>
      </w:r>
      <w:bookmarkStart w:id="0" w:name="_GoBack"/>
      <w:bookmarkEnd w:id="0"/>
      <w:r w:rsidR="008A54E8" w:rsidRPr="00401D3C">
        <w:rPr>
          <w:bCs/>
        </w:rPr>
        <w:t>on of Commission rules. I</w:t>
      </w:r>
      <w:r w:rsidRPr="00401D3C">
        <w:rPr>
          <w:bCs/>
        </w:rPr>
        <w:t>n the case of continuing violations, each day’s contin</w:t>
      </w:r>
      <w:r w:rsidR="00172976">
        <w:rPr>
          <w:bCs/>
        </w:rPr>
        <w:t xml:space="preserve">uance is a separate violation. </w:t>
      </w:r>
      <w:r w:rsidR="00B24948" w:rsidRPr="00401D3C">
        <w:rPr>
          <w:bCs/>
        </w:rPr>
        <w:t>RCW 80.04.405.</w:t>
      </w:r>
    </w:p>
    <w:p w14:paraId="10363E5F" w14:textId="77777777" w:rsidR="005F24F9" w:rsidRPr="00401D3C" w:rsidRDefault="005F24F9" w:rsidP="0087368D">
      <w:pPr>
        <w:tabs>
          <w:tab w:val="left" w:pos="720"/>
        </w:tabs>
        <w:spacing w:line="264" w:lineRule="auto"/>
        <w:ind w:left="720"/>
      </w:pPr>
    </w:p>
    <w:p w14:paraId="0C037B89" w14:textId="77777777" w:rsidR="00801D54" w:rsidRPr="00401D3C" w:rsidRDefault="00516111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Gerald M. Jahn d/b/a Spokane Movers</w:t>
      </w:r>
      <w:r w:rsidR="00AD1BA1">
        <w:rPr>
          <w:bCs/>
        </w:rPr>
        <w:t xml:space="preserve"> (</w:t>
      </w:r>
      <w:r>
        <w:rPr>
          <w:bCs/>
        </w:rPr>
        <w:t>Spokane Movers</w:t>
      </w:r>
      <w:r w:rsidR="00AD1BA1">
        <w:rPr>
          <w:bCs/>
        </w:rPr>
        <w:t xml:space="preserve"> or Company)</w:t>
      </w:r>
      <w:r w:rsidR="00401D3C">
        <w:rPr>
          <w:bCs/>
        </w:rPr>
        <w:t xml:space="preserve"> </w:t>
      </w:r>
      <w:r w:rsidR="0084534A">
        <w:rPr>
          <w:bCs/>
        </w:rPr>
        <w:t>late-filed its annual report on May</w:t>
      </w:r>
      <w:r>
        <w:rPr>
          <w:bCs/>
        </w:rPr>
        <w:t xml:space="preserve"> 6</w:t>
      </w:r>
      <w:r w:rsidR="0084534A">
        <w:rPr>
          <w:bCs/>
        </w:rPr>
        <w:t>, 2015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May 29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>
        <w:rPr>
          <w:bCs/>
        </w:rPr>
        <w:t>ission assessed a penalty of $300</w:t>
      </w:r>
      <w:r w:rsidR="000164A8" w:rsidRPr="00401D3C">
        <w:rPr>
          <w:bCs/>
        </w:rPr>
        <w:t xml:space="preserve"> against </w:t>
      </w:r>
      <w:r>
        <w:rPr>
          <w:bCs/>
        </w:rPr>
        <w:t>Spokane Movers</w:t>
      </w:r>
      <w:r w:rsidR="000164A8" w:rsidRPr="00401D3C">
        <w:rPr>
          <w:rStyle w:val="CommentReference"/>
          <w:sz w:val="24"/>
          <w:szCs w:val="24"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6</w:t>
      </w:r>
      <w:r w:rsidR="001D765C" w:rsidRPr="00401D3C">
        <w:rPr>
          <w:rStyle w:val="CommentReference"/>
          <w:sz w:val="24"/>
          <w:szCs w:val="24"/>
        </w:rPr>
        <w:t>.</w:t>
      </w:r>
    </w:p>
    <w:p w14:paraId="7CA6F302" w14:textId="77777777" w:rsidR="004F5E53" w:rsidRPr="00401D3C" w:rsidRDefault="004F5E53" w:rsidP="0087368D">
      <w:pPr>
        <w:spacing w:line="264" w:lineRule="auto"/>
      </w:pPr>
    </w:p>
    <w:p w14:paraId="2BC5956E" w14:textId="77777777" w:rsidR="00776B35" w:rsidRPr="00401D3C" w:rsidRDefault="00264C0F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516111">
        <w:t>June 12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516111">
        <w:rPr>
          <w:bCs/>
        </w:rPr>
        <w:t>Spokane Movers</w:t>
      </w:r>
      <w:r w:rsidR="00AD1BA1">
        <w:rPr>
          <w:bCs/>
        </w:rPr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it </w:t>
      </w:r>
      <w:r w:rsidR="00516111">
        <w:t>employed a temporary staffing agency to complete its report following a staffing change with its bookkeeper on April 27, 2015</w:t>
      </w:r>
      <w:r w:rsidR="00401D3C">
        <w:t xml:space="preserve">. </w:t>
      </w:r>
      <w:r w:rsidR="00516111">
        <w:t>The report was late-filed due to the staffing change.</w:t>
      </w:r>
      <w:r w:rsidR="00307182" w:rsidRPr="00401D3C">
        <w:br/>
      </w:r>
    </w:p>
    <w:p w14:paraId="5602609F" w14:textId="77777777" w:rsidR="008A54E8" w:rsidRPr="00401D3C" w:rsidRDefault="008A54E8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84534A">
        <w:t>2</w:t>
      </w:r>
      <w:r w:rsidR="00516111">
        <w:t>6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recommending a penalty reduction to $</w:t>
      </w:r>
      <w:r w:rsidR="00516111">
        <w:t>25 per day, or $75</w:t>
      </w:r>
      <w:r w:rsidR="00401D3C">
        <w:t>,</w:t>
      </w:r>
      <w:r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Pr="00401D3C">
        <w:t xml:space="preserve"> of WAC 480-15-480.</w:t>
      </w:r>
    </w:p>
    <w:p w14:paraId="34418E6D" w14:textId="77777777" w:rsidR="0084534A" w:rsidRDefault="0087368D" w:rsidP="0087368D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>
        <w:rPr>
          <w:b/>
        </w:rPr>
        <w:br w:type="page"/>
      </w:r>
    </w:p>
    <w:p w14:paraId="5201BD32" w14:textId="77777777" w:rsidR="00841996" w:rsidRPr="00401D3C" w:rsidRDefault="00F32856" w:rsidP="0087368D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27C3F996" w14:textId="77777777" w:rsidR="001A220D" w:rsidRPr="00401D3C" w:rsidRDefault="001A220D" w:rsidP="0087368D">
      <w:pPr>
        <w:spacing w:line="264" w:lineRule="auto"/>
      </w:pPr>
    </w:p>
    <w:p w14:paraId="244AC1D7" w14:textId="77777777" w:rsidR="00F76479" w:rsidRDefault="005D7A9C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480-15-480 requires permitted household goods </w:t>
      </w:r>
      <w:r w:rsidR="00126995" w:rsidRPr="00401D3C">
        <w:rPr>
          <w:bCs/>
        </w:rPr>
        <w:t>carriers</w:t>
      </w:r>
      <w:r w:rsidR="00772D78" w:rsidRPr="00401D3C">
        <w:t xml:space="preserve"> 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516111">
        <w:t>, regardless of employee turnover.</w:t>
      </w:r>
    </w:p>
    <w:p w14:paraId="62FB207B" w14:textId="77777777" w:rsidR="0087368D" w:rsidRDefault="0087368D" w:rsidP="0087368D">
      <w:pPr>
        <w:tabs>
          <w:tab w:val="left" w:pos="0"/>
        </w:tabs>
        <w:spacing w:line="264" w:lineRule="auto"/>
      </w:pPr>
    </w:p>
    <w:p w14:paraId="571A048B" w14:textId="77777777" w:rsidR="0084534A" w:rsidRPr="00725A2B" w:rsidRDefault="005E1EA6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84534A" w:rsidRPr="00725A2B">
        <w:t>including a company’s history of compliance, whether the violation was promptly corrected,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401D3C" w:rsidRPr="00401D3C">
        <w:t xml:space="preserve"> </w:t>
      </w:r>
      <w:r w:rsidR="0084534A">
        <w:t xml:space="preserve">This is </w:t>
      </w:r>
      <w:r w:rsidR="00516111">
        <w:t>Spokane Movers’</w:t>
      </w:r>
      <w:r w:rsidR="0084534A">
        <w:t xml:space="preserve"> first violation of </w:t>
      </w:r>
      <w:r w:rsidR="0084534A" w:rsidRPr="00725A2B">
        <w:t>WAC 480-</w:t>
      </w:r>
      <w:r w:rsidR="0084534A">
        <w:t>15-4</w:t>
      </w:r>
      <w:r w:rsidR="0084534A" w:rsidRPr="00725A2B">
        <w:t>80</w:t>
      </w:r>
      <w:r w:rsidR="0084534A">
        <w:t>. In addition, the Company has been regulated since</w:t>
      </w:r>
      <w:r w:rsidR="00D01768">
        <w:t xml:space="preserve"> 2001;</w:t>
      </w:r>
      <w:r w:rsidR="0084534A">
        <w:t xml:space="preserve"> given its history of compliance, the violation is not likely to recur.</w:t>
      </w:r>
      <w:r w:rsidR="0084534A" w:rsidRPr="00725A2B">
        <w:t xml:space="preserve"> In light of these factors, the Commission will exercise its discretion to reduce the penalty to $</w:t>
      </w:r>
      <w:r w:rsidR="00516111">
        <w:t>75</w:t>
      </w:r>
      <w:r w:rsidR="0084534A" w:rsidRPr="00725A2B">
        <w:t xml:space="preserve">. </w:t>
      </w:r>
    </w:p>
    <w:p w14:paraId="1C2D3DFC" w14:textId="77777777" w:rsidR="00347054" w:rsidRPr="00401D3C" w:rsidRDefault="00347054" w:rsidP="0087368D">
      <w:pPr>
        <w:tabs>
          <w:tab w:val="left" w:pos="0"/>
        </w:tabs>
        <w:spacing w:line="264" w:lineRule="auto"/>
      </w:pPr>
    </w:p>
    <w:p w14:paraId="0EAFBF32" w14:textId="77777777" w:rsidR="00F32856" w:rsidRPr="00401D3C" w:rsidRDefault="00F32856" w:rsidP="0087368D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0746A20E" w14:textId="77777777" w:rsidR="00892232" w:rsidRPr="00401D3C" w:rsidRDefault="00892232" w:rsidP="0087368D">
      <w:pPr>
        <w:pStyle w:val="ListParagraph"/>
        <w:spacing w:line="264" w:lineRule="auto"/>
        <w:ind w:left="0"/>
      </w:pPr>
    </w:p>
    <w:p w14:paraId="3BC3B21A" w14:textId="77777777" w:rsidR="00F32856" w:rsidRPr="00401D3C" w:rsidRDefault="00F32856" w:rsidP="0087368D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5D946011" w14:textId="77777777" w:rsidR="00F32856" w:rsidRPr="00401D3C" w:rsidRDefault="00F32856" w:rsidP="0087368D">
      <w:pPr>
        <w:spacing w:line="264" w:lineRule="auto"/>
        <w:ind w:left="720"/>
      </w:pPr>
    </w:p>
    <w:p w14:paraId="2036571A" w14:textId="77777777" w:rsidR="005E3095" w:rsidRPr="00401D3C" w:rsidRDefault="005E3095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516111">
        <w:rPr>
          <w:bCs/>
        </w:rPr>
        <w:t>Gerald M. Jahn d/b/a Spokane Movers</w:t>
      </w:r>
      <w:r w:rsidR="00516111">
        <w:t xml:space="preserve">’ </w:t>
      </w:r>
      <w:r w:rsidR="00172976">
        <w:t>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516111">
        <w:t>300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516111">
        <w:t>75</w:t>
      </w:r>
      <w:r w:rsidR="00E0789C" w:rsidRPr="00401D3C">
        <w:t xml:space="preserve">.  </w:t>
      </w:r>
    </w:p>
    <w:p w14:paraId="5FB83BA3" w14:textId="77777777" w:rsidR="005E3095" w:rsidRPr="00401D3C" w:rsidRDefault="005E3095" w:rsidP="0087368D">
      <w:pPr>
        <w:spacing w:line="264" w:lineRule="auto"/>
        <w:ind w:left="720"/>
      </w:pPr>
    </w:p>
    <w:p w14:paraId="39D4C916" w14:textId="77777777" w:rsidR="00FA0D05" w:rsidRDefault="005E3095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penalty </w:t>
      </w:r>
      <w:r w:rsidR="00776B35" w:rsidRPr="00401D3C">
        <w:t xml:space="preserve">is due and payable no later than </w:t>
      </w:r>
      <w:r w:rsidR="0084534A">
        <w:t xml:space="preserve">July </w:t>
      </w:r>
      <w:r w:rsidR="00D01768">
        <w:t xml:space="preserve">9, </w:t>
      </w:r>
      <w:r w:rsidR="002A547A" w:rsidRPr="00401D3C">
        <w:t>201</w:t>
      </w:r>
      <w:r w:rsidR="00172976">
        <w:t>5</w:t>
      </w:r>
      <w:r w:rsidR="009B4C93" w:rsidRPr="00401D3C">
        <w:t>.</w:t>
      </w:r>
    </w:p>
    <w:p w14:paraId="333327E9" w14:textId="77777777" w:rsidR="00FA0D05" w:rsidRDefault="00FA0D05" w:rsidP="0087368D">
      <w:pPr>
        <w:pStyle w:val="ListParagraph"/>
        <w:spacing w:line="264" w:lineRule="auto"/>
      </w:pPr>
    </w:p>
    <w:p w14:paraId="4C8EE418" w14:textId="77777777" w:rsidR="006F2E4D" w:rsidRPr="00401D3C" w:rsidRDefault="00860038" w:rsidP="0087368D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20D14D61" w14:textId="77777777" w:rsidR="00860038" w:rsidRPr="00401D3C" w:rsidRDefault="00860038" w:rsidP="0087368D">
      <w:pPr>
        <w:spacing w:line="264" w:lineRule="auto"/>
      </w:pPr>
    </w:p>
    <w:p w14:paraId="189241DB" w14:textId="77777777" w:rsidR="00C011AB" w:rsidRPr="00401D3C" w:rsidRDefault="00BD11E4" w:rsidP="0087368D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72976">
        <w:t xml:space="preserve">June </w:t>
      </w:r>
      <w:r w:rsidR="0084534A">
        <w:t>29</w:t>
      </w:r>
      <w:r w:rsidR="00172976">
        <w:t>, 2015</w:t>
      </w:r>
      <w:r w:rsidR="00C011AB" w:rsidRPr="00401D3C">
        <w:t>.</w:t>
      </w:r>
    </w:p>
    <w:p w14:paraId="3DF52A34" w14:textId="77777777" w:rsidR="00C011AB" w:rsidRPr="00401D3C" w:rsidRDefault="00C011AB" w:rsidP="0087368D">
      <w:pPr>
        <w:pStyle w:val="Header"/>
        <w:tabs>
          <w:tab w:val="clear" w:pos="4320"/>
          <w:tab w:val="clear" w:pos="8640"/>
        </w:tabs>
        <w:spacing w:line="264" w:lineRule="auto"/>
      </w:pPr>
    </w:p>
    <w:p w14:paraId="0160D6D9" w14:textId="77777777" w:rsidR="00C011AB" w:rsidRPr="00401D3C" w:rsidRDefault="00C011AB" w:rsidP="0087368D">
      <w:pPr>
        <w:spacing w:line="264" w:lineRule="auto"/>
        <w:jc w:val="center"/>
      </w:pPr>
      <w:r w:rsidRPr="00401D3C">
        <w:t>WASHINGTON UTILITIES AND TRANSPORTATION COMMISSION</w:t>
      </w:r>
    </w:p>
    <w:p w14:paraId="7B1F0105" w14:textId="77777777" w:rsidR="00981531" w:rsidRPr="00401D3C" w:rsidRDefault="00981531" w:rsidP="0087368D">
      <w:pPr>
        <w:pStyle w:val="Header"/>
        <w:tabs>
          <w:tab w:val="clear" w:pos="4320"/>
          <w:tab w:val="clear" w:pos="8640"/>
        </w:tabs>
        <w:spacing w:line="264" w:lineRule="auto"/>
      </w:pPr>
    </w:p>
    <w:p w14:paraId="6F7713E0" w14:textId="77777777" w:rsidR="00293EC2" w:rsidRPr="00401D3C" w:rsidRDefault="00293EC2" w:rsidP="0087368D">
      <w:pPr>
        <w:spacing w:line="264" w:lineRule="auto"/>
        <w:ind w:left="2880" w:firstLine="720"/>
        <w:jc w:val="center"/>
      </w:pPr>
    </w:p>
    <w:p w14:paraId="464275E1" w14:textId="77777777" w:rsidR="00293EC2" w:rsidRPr="00401D3C" w:rsidRDefault="00293EC2" w:rsidP="0087368D">
      <w:pPr>
        <w:spacing w:line="264" w:lineRule="auto"/>
        <w:ind w:left="2880" w:firstLine="720"/>
        <w:jc w:val="center"/>
      </w:pPr>
    </w:p>
    <w:p w14:paraId="7EB11C2A" w14:textId="77777777" w:rsidR="00C011AB" w:rsidRPr="00401D3C" w:rsidRDefault="008A37A3" w:rsidP="0087368D">
      <w:pPr>
        <w:spacing w:line="264" w:lineRule="auto"/>
        <w:ind w:left="3600" w:firstLine="720"/>
      </w:pPr>
      <w:r w:rsidRPr="00401D3C">
        <w:t>STEVEN V. KING</w:t>
      </w:r>
    </w:p>
    <w:p w14:paraId="6B9278E2" w14:textId="77777777" w:rsidR="00C011AB" w:rsidRPr="00401D3C" w:rsidRDefault="00C011AB" w:rsidP="0087368D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6D34593B" w14:textId="77777777" w:rsidR="0087368D" w:rsidRPr="00401D3C" w:rsidRDefault="0087368D" w:rsidP="0087368D">
      <w:pPr>
        <w:spacing w:line="264" w:lineRule="auto"/>
      </w:pPr>
    </w:p>
    <w:p w14:paraId="0C501244" w14:textId="77777777" w:rsidR="006972FB" w:rsidRPr="00401D3C" w:rsidRDefault="006972FB" w:rsidP="0087368D">
      <w:pPr>
        <w:spacing w:line="264" w:lineRule="auto"/>
        <w:rPr>
          <w:b/>
          <w:bCs/>
        </w:rPr>
      </w:pPr>
      <w:r w:rsidRPr="00401D3C">
        <w:rPr>
          <w:b/>
        </w:rPr>
        <w:lastRenderedPageBreak/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D8059" w14:textId="77777777" w:rsidR="00F91473" w:rsidRDefault="00F91473">
      <w:r>
        <w:separator/>
      </w:r>
    </w:p>
  </w:endnote>
  <w:endnote w:type="continuationSeparator" w:id="0">
    <w:p w14:paraId="613D28EA" w14:textId="77777777" w:rsidR="00F91473" w:rsidRDefault="00F9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BF5E6" w14:textId="77777777" w:rsidR="00F91473" w:rsidRDefault="00F91473">
      <w:r>
        <w:separator/>
      </w:r>
    </w:p>
  </w:footnote>
  <w:footnote w:type="continuationSeparator" w:id="0">
    <w:p w14:paraId="62CC1247" w14:textId="77777777" w:rsidR="00F91473" w:rsidRDefault="00F91473">
      <w:r>
        <w:continuationSeparator/>
      </w:r>
    </w:p>
  </w:footnote>
  <w:footnote w:id="1">
    <w:p w14:paraId="767DF233" w14:textId="77777777" w:rsidR="00401D3C" w:rsidRDefault="00401D3C" w:rsidP="00401D3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F148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F76479">
      <w:rPr>
        <w:b/>
        <w:bCs/>
        <w:sz w:val="20"/>
        <w:szCs w:val="20"/>
      </w:rPr>
      <w:t>50</w:t>
    </w:r>
    <w:r w:rsidR="00516111">
      <w:rPr>
        <w:b/>
        <w:bCs/>
        <w:sz w:val="20"/>
        <w:szCs w:val="20"/>
      </w:rPr>
      <w:t>909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0498A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EB3911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69D19DC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01E1" w14:textId="3B7FAB8A" w:rsidR="00856176" w:rsidRPr="00856176" w:rsidRDefault="00856176" w:rsidP="00856176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856176">
      <w:rPr>
        <w:b/>
        <w:sz w:val="20"/>
        <w:szCs w:val="20"/>
      </w:rPr>
      <w:t>[Service Date June 29,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3CF9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87D"/>
    <w:rsid w:val="00304888"/>
    <w:rsid w:val="0030498A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1732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16111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3DBC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56176"/>
    <w:rsid w:val="00860038"/>
    <w:rsid w:val="00872122"/>
    <w:rsid w:val="0087222E"/>
    <w:rsid w:val="0087368D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E12F5"/>
    <w:rsid w:val="00CF402B"/>
    <w:rsid w:val="00CF46A5"/>
    <w:rsid w:val="00D01768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1473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635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  <w:style w:type="character" w:customStyle="1" w:styleId="HeaderChar">
    <w:name w:val="Header Char"/>
    <w:link w:val="Header"/>
    <w:uiPriority w:val="99"/>
    <w:rsid w:val="00856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2015-06-29T07:00:00+00:00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JAHN, GERALD M.</CaseCompanyNames>
    <DocketNumber xmlns="dc463f71-b30c-4ab2-9473-d307f9d35888">150909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CE2DEF823D6E419E9BA1D4F99FE3C8" ma:contentTypeVersion="119" ma:contentTypeDescription="" ma:contentTypeScope="" ma:versionID="8a23efea25211c2542cb82cf8f49d7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50B98-E09B-4945-8A85-18E07B0156FB}"/>
</file>

<file path=customXml/itemProps2.xml><?xml version="1.0" encoding="utf-8"?>
<ds:datastoreItem xmlns:ds="http://schemas.openxmlformats.org/officeDocument/2006/customXml" ds:itemID="{C1FC542A-57F3-4608-B77E-C166098A1B98}"/>
</file>

<file path=customXml/itemProps3.xml><?xml version="1.0" encoding="utf-8"?>
<ds:datastoreItem xmlns:ds="http://schemas.openxmlformats.org/officeDocument/2006/customXml" ds:itemID="{EDE306D0-32A3-495D-92A0-81AACD33EE31}"/>
</file>

<file path=customXml/itemProps4.xml><?xml version="1.0" encoding="utf-8"?>
<ds:datastoreItem xmlns:ds="http://schemas.openxmlformats.org/officeDocument/2006/customXml" ds:itemID="{C14A473A-7289-42AA-B79E-1E15732BFB79}"/>
</file>

<file path=customXml/itemProps5.xml><?xml version="1.0" encoding="utf-8"?>
<ds:datastoreItem xmlns:ds="http://schemas.openxmlformats.org/officeDocument/2006/customXml" ds:itemID="{C869B39B-B10B-40AE-8992-4C9C9EC16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2015-06-29T16:44:00Z</dcterms:created>
  <dcterms:modified xsi:type="dcterms:W3CDTF">2015-06-29T16:44:00Z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0x0101006E56B4D1795A2E4DB2F0B01679ED314A00C1CE2DEF823D6E419E9BA1D4F99FE3C8</vt:lpwstr>
  </property>
  <property fmtid="{D5CDD505-2E9C-101B-9397-08002B2CF9AE}" pid="3" name="_docset_NoMedatataSyncRequired">
    <vt:lpwstr>False</vt:lpwstr>
  </property>
</Properties>
</file>