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08102" w14:textId="77777777" w:rsidR="00FC6DEC" w:rsidRDefault="00FC6DEC" w:rsidP="00FC6DEC">
      <w:pPr>
        <w:rPr>
          <w:sz w:val="23"/>
          <w:szCs w:val="23"/>
        </w:rPr>
      </w:pPr>
      <w:bookmarkStart w:id="0" w:name="_GoBack"/>
      <w:bookmarkEnd w:id="0"/>
    </w:p>
    <w:p w14:paraId="15ABF226" w14:textId="2F7D482D" w:rsidR="00FC6DEC" w:rsidRPr="007527B9" w:rsidRDefault="00981E52" w:rsidP="00FC6DEC">
      <w:pPr>
        <w:rPr>
          <w:b/>
        </w:rPr>
      </w:pPr>
      <w:r>
        <w:t>Nov. 23</w:t>
      </w:r>
      <w:r w:rsidR="00FC6DEC" w:rsidRPr="007527B9">
        <w:t>, 2015</w:t>
      </w:r>
    </w:p>
    <w:p w14:paraId="00755AAC" w14:textId="77777777" w:rsidR="00FC6DEC" w:rsidRPr="007527B9" w:rsidRDefault="00FC6DEC" w:rsidP="00FC6DEC">
      <w:pPr>
        <w:rPr>
          <w:b/>
        </w:rPr>
      </w:pPr>
    </w:p>
    <w:p w14:paraId="31243B2C" w14:textId="77777777" w:rsidR="00FC6DEC" w:rsidRPr="007527B9" w:rsidRDefault="00FC6DEC" w:rsidP="00FC6DEC">
      <w:pPr>
        <w:rPr>
          <w:b/>
        </w:rPr>
      </w:pPr>
    </w:p>
    <w:p w14:paraId="55FED3C9" w14:textId="77777777" w:rsidR="00FC6DEC" w:rsidRPr="007527B9" w:rsidRDefault="00FC6DEC" w:rsidP="00FC6DEC">
      <w:pPr>
        <w:rPr>
          <w:b/>
        </w:rPr>
      </w:pPr>
    </w:p>
    <w:p w14:paraId="2C0FB254" w14:textId="77777777" w:rsidR="00FC6DEC" w:rsidRPr="007527B9" w:rsidRDefault="00FC6DEC" w:rsidP="00FC6DEC">
      <w:r w:rsidRPr="007527B9">
        <w:t>Steven V. King, Executive Director and Secretary</w:t>
      </w:r>
    </w:p>
    <w:p w14:paraId="71391CAD" w14:textId="77777777" w:rsidR="00FC6DEC" w:rsidRPr="007527B9" w:rsidRDefault="00FC6DEC" w:rsidP="00FC6DEC">
      <w:r w:rsidRPr="007527B9">
        <w:t>Utilities and Transportation Commission</w:t>
      </w:r>
    </w:p>
    <w:p w14:paraId="370E02B9" w14:textId="537D6A13" w:rsidR="00FC6DEC" w:rsidRPr="007527B9" w:rsidRDefault="00FC6DEC" w:rsidP="00FC6DEC">
      <w:r w:rsidRPr="007527B9">
        <w:t>1300 S. Evergreen Park Dr. S</w:t>
      </w:r>
      <w:r w:rsidR="00005228" w:rsidRPr="007527B9">
        <w:t>.</w:t>
      </w:r>
      <w:r w:rsidRPr="007527B9">
        <w:t>W</w:t>
      </w:r>
      <w:r w:rsidR="00005228" w:rsidRPr="007527B9">
        <w:t>.</w:t>
      </w:r>
    </w:p>
    <w:p w14:paraId="2F8B4003" w14:textId="77777777" w:rsidR="00FC6DEC" w:rsidRPr="007527B9" w:rsidRDefault="00FC6DEC" w:rsidP="00FC6DEC">
      <w:r w:rsidRPr="007527B9">
        <w:t>P.O. Box 47250</w:t>
      </w:r>
    </w:p>
    <w:p w14:paraId="0C236D8A" w14:textId="77777777" w:rsidR="00FC6DEC" w:rsidRPr="007527B9" w:rsidRDefault="00FC6DEC" w:rsidP="00FC6DEC">
      <w:r w:rsidRPr="007527B9">
        <w:t>Olympia, WA 98504-7250</w:t>
      </w:r>
    </w:p>
    <w:p w14:paraId="462DEE52" w14:textId="77777777" w:rsidR="00FC6DEC" w:rsidRPr="007527B9" w:rsidRDefault="00FC6DEC" w:rsidP="00FC6DEC">
      <w:pPr>
        <w:rPr>
          <w:b/>
        </w:rPr>
      </w:pPr>
    </w:p>
    <w:p w14:paraId="6B1C998D" w14:textId="77777777" w:rsidR="00FC6DEC" w:rsidRPr="007527B9" w:rsidRDefault="00FC6DEC" w:rsidP="00FC6DEC">
      <w:r w:rsidRPr="007527B9">
        <w:t>Re: Old Town Construction LLC, D-150721 Penalty Assessment</w:t>
      </w:r>
    </w:p>
    <w:p w14:paraId="433BA74A" w14:textId="77777777" w:rsidR="00FC6DEC" w:rsidRPr="007527B9" w:rsidRDefault="00FC6DEC" w:rsidP="00FC6DEC">
      <w:pPr>
        <w:rPr>
          <w:b/>
        </w:rPr>
      </w:pPr>
    </w:p>
    <w:p w14:paraId="628D9F77" w14:textId="77777777" w:rsidR="00FC6DEC" w:rsidRPr="007527B9" w:rsidRDefault="00FC6DEC" w:rsidP="00FC6DEC">
      <w:r w:rsidRPr="007527B9">
        <w:t>Dear Mr. King:</w:t>
      </w:r>
    </w:p>
    <w:p w14:paraId="6E2B9369" w14:textId="77777777" w:rsidR="00FC6DEC" w:rsidRPr="007527B9" w:rsidRDefault="00FC6DEC" w:rsidP="00FC6DEC"/>
    <w:p w14:paraId="18C314AA" w14:textId="516679D9" w:rsidR="00FC6DEC" w:rsidRPr="007527B9" w:rsidRDefault="00FC6DEC" w:rsidP="00FC6DEC">
      <w:pPr>
        <w:pStyle w:val="BodyText"/>
        <w:widowControl/>
      </w:pPr>
      <w:r w:rsidRPr="007527B9">
        <w:t xml:space="preserve">On June 22, 2015, Old Town Construction LLC (Old Town) was assessed a $1,000 penalty for violations of RCW 19.122.031(1)(a). Old Town had the option to have $1,000 of the penalty waived on the conditions that: (1) Old Town’s excavator and office staff attend “Dig Safe” training provided through National Utility Contractors Association (NUCA); and (2) that Old Town commits no further violations of RCW 19.122 within the next 12 months. Old Town </w:t>
      </w:r>
      <w:r w:rsidR="00EC4334" w:rsidRPr="007527B9">
        <w:t>failed</w:t>
      </w:r>
      <w:r w:rsidRPr="007527B9">
        <w:t xml:space="preserve"> to respond to the penalty assessment with its selection within </w:t>
      </w:r>
      <w:r w:rsidR="00EC4334" w:rsidRPr="007527B9">
        <w:t xml:space="preserve">the required </w:t>
      </w:r>
      <w:r w:rsidRPr="007527B9">
        <w:t xml:space="preserve">15 days of </w:t>
      </w:r>
      <w:r w:rsidR="00EC4334" w:rsidRPr="007527B9">
        <w:t>its</w:t>
      </w:r>
      <w:r w:rsidRPr="007527B9">
        <w:t xml:space="preserve"> receipt of the penalty assessment. According to commission records, the penalty assessment was </w:t>
      </w:r>
      <w:r w:rsidR="00005228" w:rsidRPr="007527B9">
        <w:t xml:space="preserve">sent </w:t>
      </w:r>
      <w:r w:rsidR="00FC3EAE" w:rsidRPr="007527B9">
        <w:t xml:space="preserve">by </w:t>
      </w:r>
      <w:r w:rsidRPr="007527B9">
        <w:t>certified</w:t>
      </w:r>
      <w:r w:rsidR="00005228" w:rsidRPr="007527B9">
        <w:t xml:space="preserve"> </w:t>
      </w:r>
      <w:r w:rsidRPr="007527B9">
        <w:t>mail to Old Town on June 22, 2015</w:t>
      </w:r>
      <w:r w:rsidR="00005228" w:rsidRPr="007527B9">
        <w:t>,</w:t>
      </w:r>
      <w:r w:rsidRPr="007527B9">
        <w:t xml:space="preserve"> and </w:t>
      </w:r>
      <w:r w:rsidR="005548A5" w:rsidRPr="007527B9">
        <w:t>the company</w:t>
      </w:r>
      <w:r w:rsidR="002F5E9E" w:rsidRPr="007527B9">
        <w:t xml:space="preserve"> </w:t>
      </w:r>
      <w:r w:rsidR="00FC3EAE" w:rsidRPr="007527B9">
        <w:t xml:space="preserve">signed </w:t>
      </w:r>
      <w:r w:rsidR="00BD7910" w:rsidRPr="007527B9">
        <w:t xml:space="preserve">that it was </w:t>
      </w:r>
      <w:r w:rsidRPr="007527B9">
        <w:t>received on June 27, 2015.</w:t>
      </w:r>
      <w:r w:rsidR="00EC4334" w:rsidRPr="007527B9">
        <w:t xml:space="preserve"> Old Town failed to respond within the required 15-day timeline</w:t>
      </w:r>
      <w:r w:rsidR="00BD7910" w:rsidRPr="007527B9">
        <w:t xml:space="preserve"> and</w:t>
      </w:r>
      <w:r w:rsidR="00EC4334" w:rsidRPr="007527B9">
        <w:t xml:space="preserve"> the full $1,000 penalty became due and payable.</w:t>
      </w:r>
    </w:p>
    <w:p w14:paraId="0EFC786E" w14:textId="77777777" w:rsidR="00FC6DEC" w:rsidRPr="007527B9" w:rsidRDefault="00FC6DEC" w:rsidP="00FC6DEC">
      <w:pPr>
        <w:pStyle w:val="BodyText"/>
        <w:widowControl/>
      </w:pPr>
    </w:p>
    <w:p w14:paraId="06A4D00F" w14:textId="1E21A43C" w:rsidR="00FC6DEC" w:rsidRPr="007527B9" w:rsidRDefault="00FC6DEC" w:rsidP="00FC6DEC">
      <w:pPr>
        <w:pStyle w:val="BodyText"/>
        <w:widowControl/>
      </w:pPr>
      <w:r w:rsidRPr="007527B9">
        <w:t>On Oct. 6, 2015, Old Town submitted a request for a payment plan to satisfy the $1,000 penalty assessed on June 22, 2015. Old Town requested a payment plan consisting of</w:t>
      </w:r>
      <w:r w:rsidR="00EC4334" w:rsidRPr="007527B9">
        <w:t xml:space="preserve"> three payments:</w:t>
      </w:r>
      <w:r w:rsidRPr="007527B9">
        <w:t xml:space="preserve"> $333 on Oct. 15, 2015, $333 on Nov. 15, 2015, and $334 on Dec. 15, 2015.</w:t>
      </w:r>
    </w:p>
    <w:p w14:paraId="7BCE767C" w14:textId="77777777" w:rsidR="00FC6DEC" w:rsidRPr="007527B9" w:rsidRDefault="00FC6DEC" w:rsidP="00FC6DEC">
      <w:pPr>
        <w:pStyle w:val="BodyText"/>
        <w:widowControl/>
      </w:pPr>
    </w:p>
    <w:p w14:paraId="3AA4653D" w14:textId="5D6E0300" w:rsidR="00FC6DEC" w:rsidRPr="007527B9" w:rsidRDefault="00FC6DEC" w:rsidP="00FC3EAE">
      <w:pPr>
        <w:pStyle w:val="BodyText"/>
        <w:widowControl/>
      </w:pPr>
      <w:r w:rsidRPr="007527B9">
        <w:t xml:space="preserve">Staff supports Old Town’s request </w:t>
      </w:r>
      <w:r w:rsidR="00FC3EAE" w:rsidRPr="007527B9">
        <w:t>for a payment plan and recommends the following payment plan:</w:t>
      </w:r>
      <w:r w:rsidR="002F5E9E" w:rsidRPr="007527B9" w:rsidDel="002F5E9E">
        <w:t xml:space="preserve"> </w:t>
      </w:r>
    </w:p>
    <w:p w14:paraId="460C5DC5" w14:textId="77777777" w:rsidR="002F5E9E" w:rsidRPr="007527B9" w:rsidRDefault="002F5E9E" w:rsidP="00FC3EAE">
      <w:pPr>
        <w:pStyle w:val="BodyText"/>
        <w:widowControl/>
      </w:pPr>
    </w:p>
    <w:tbl>
      <w:tblPr>
        <w:tblStyle w:val="TableGrid"/>
        <w:tblW w:w="0" w:type="auto"/>
        <w:tblInd w:w="2605" w:type="dxa"/>
        <w:tblLook w:val="04A0" w:firstRow="1" w:lastRow="0" w:firstColumn="1" w:lastColumn="0" w:noHBand="0" w:noVBand="1"/>
      </w:tblPr>
      <w:tblGrid>
        <w:gridCol w:w="2070"/>
        <w:gridCol w:w="1260"/>
      </w:tblGrid>
      <w:tr w:rsidR="002F5E9E" w:rsidRPr="007527B9" w14:paraId="19157D57" w14:textId="77777777" w:rsidTr="00617140">
        <w:tc>
          <w:tcPr>
            <w:tcW w:w="2070" w:type="dxa"/>
          </w:tcPr>
          <w:p w14:paraId="62AEA120" w14:textId="3C8DEC37" w:rsidR="002F5E9E" w:rsidRPr="007527B9" w:rsidRDefault="00F73250" w:rsidP="00617140">
            <w:pPr>
              <w:pStyle w:val="BodyText"/>
              <w:widowControl/>
              <w:jc w:val="center"/>
            </w:pPr>
            <w:r w:rsidRPr="007527B9">
              <w:t xml:space="preserve">Due </w:t>
            </w:r>
            <w:r w:rsidR="002F5E9E" w:rsidRPr="007527B9">
              <w:t>Date</w:t>
            </w:r>
          </w:p>
        </w:tc>
        <w:tc>
          <w:tcPr>
            <w:tcW w:w="1260" w:type="dxa"/>
          </w:tcPr>
          <w:p w14:paraId="60683711" w14:textId="0BA653F6" w:rsidR="002F5E9E" w:rsidRPr="007527B9" w:rsidRDefault="002F5E9E" w:rsidP="00617140">
            <w:pPr>
              <w:pStyle w:val="BodyText"/>
              <w:widowControl/>
              <w:jc w:val="center"/>
            </w:pPr>
            <w:r w:rsidRPr="007527B9">
              <w:t>Amount</w:t>
            </w:r>
          </w:p>
        </w:tc>
      </w:tr>
      <w:tr w:rsidR="002F5E9E" w:rsidRPr="007527B9" w14:paraId="0C5DAD54" w14:textId="77777777" w:rsidTr="00617140">
        <w:tc>
          <w:tcPr>
            <w:tcW w:w="2070" w:type="dxa"/>
          </w:tcPr>
          <w:p w14:paraId="6876373D" w14:textId="1D0FA387" w:rsidR="002F5E9E" w:rsidRPr="007527B9" w:rsidRDefault="005548A5" w:rsidP="00617140">
            <w:pPr>
              <w:pStyle w:val="BodyText"/>
              <w:widowControl/>
              <w:jc w:val="center"/>
            </w:pPr>
            <w:r w:rsidRPr="007527B9">
              <w:t>Dec</w:t>
            </w:r>
            <w:r w:rsidR="002F5E9E" w:rsidRPr="007527B9">
              <w:t>. 15, 2015</w:t>
            </w:r>
          </w:p>
        </w:tc>
        <w:tc>
          <w:tcPr>
            <w:tcW w:w="1260" w:type="dxa"/>
          </w:tcPr>
          <w:p w14:paraId="1A3207B0" w14:textId="437351C5" w:rsidR="002F5E9E" w:rsidRPr="007527B9" w:rsidRDefault="002F5E9E" w:rsidP="00617140">
            <w:pPr>
              <w:pStyle w:val="BodyText"/>
              <w:widowControl/>
              <w:jc w:val="center"/>
            </w:pPr>
            <w:r w:rsidRPr="007527B9">
              <w:t>$333</w:t>
            </w:r>
          </w:p>
        </w:tc>
      </w:tr>
      <w:tr w:rsidR="002F5E9E" w:rsidRPr="007527B9" w14:paraId="51747C05" w14:textId="77777777" w:rsidTr="00617140">
        <w:tc>
          <w:tcPr>
            <w:tcW w:w="2070" w:type="dxa"/>
          </w:tcPr>
          <w:p w14:paraId="00CF2073" w14:textId="78E5C96D" w:rsidR="002F5E9E" w:rsidRPr="007527B9" w:rsidRDefault="005548A5" w:rsidP="00617140">
            <w:pPr>
              <w:pStyle w:val="BodyText"/>
              <w:widowControl/>
              <w:jc w:val="center"/>
            </w:pPr>
            <w:r w:rsidRPr="007527B9">
              <w:t>Jan</w:t>
            </w:r>
            <w:r w:rsidR="002F5E9E" w:rsidRPr="007527B9">
              <w:t>. 15, 2015</w:t>
            </w:r>
          </w:p>
        </w:tc>
        <w:tc>
          <w:tcPr>
            <w:tcW w:w="1260" w:type="dxa"/>
          </w:tcPr>
          <w:p w14:paraId="251C8058" w14:textId="49BEF14A" w:rsidR="002F5E9E" w:rsidRPr="007527B9" w:rsidRDefault="002F5E9E" w:rsidP="00617140">
            <w:pPr>
              <w:pStyle w:val="BodyText"/>
              <w:widowControl/>
              <w:jc w:val="center"/>
            </w:pPr>
            <w:r w:rsidRPr="007527B9">
              <w:t>$333</w:t>
            </w:r>
          </w:p>
        </w:tc>
      </w:tr>
      <w:tr w:rsidR="002F5E9E" w:rsidRPr="007527B9" w14:paraId="03180D9F" w14:textId="77777777" w:rsidTr="00617140">
        <w:tc>
          <w:tcPr>
            <w:tcW w:w="2070" w:type="dxa"/>
          </w:tcPr>
          <w:p w14:paraId="7CC6BF2A" w14:textId="585B1AFB" w:rsidR="002F5E9E" w:rsidRPr="007527B9" w:rsidRDefault="005548A5" w:rsidP="00617140">
            <w:pPr>
              <w:pStyle w:val="BodyText"/>
              <w:widowControl/>
              <w:jc w:val="center"/>
            </w:pPr>
            <w:r w:rsidRPr="007527B9">
              <w:t>Feb</w:t>
            </w:r>
            <w:r w:rsidR="002F5E9E" w:rsidRPr="007527B9">
              <w:t>. 15, 2015</w:t>
            </w:r>
          </w:p>
        </w:tc>
        <w:tc>
          <w:tcPr>
            <w:tcW w:w="1260" w:type="dxa"/>
          </w:tcPr>
          <w:p w14:paraId="6FA0B3A1" w14:textId="3118F3F0" w:rsidR="002F5E9E" w:rsidRPr="007527B9" w:rsidRDefault="002F5E9E" w:rsidP="00617140">
            <w:pPr>
              <w:pStyle w:val="BodyText"/>
              <w:widowControl/>
              <w:jc w:val="center"/>
            </w:pPr>
            <w:r w:rsidRPr="007527B9">
              <w:t>$334</w:t>
            </w:r>
          </w:p>
        </w:tc>
      </w:tr>
    </w:tbl>
    <w:p w14:paraId="576099A6" w14:textId="77777777" w:rsidR="00FC3EAE" w:rsidRPr="007527B9" w:rsidRDefault="00FC3EAE" w:rsidP="00FC3EAE">
      <w:pPr>
        <w:pStyle w:val="BodyText"/>
        <w:widowControl/>
      </w:pPr>
    </w:p>
    <w:p w14:paraId="2FF35A62" w14:textId="6164082D" w:rsidR="00FC3EAE" w:rsidRPr="007527B9" w:rsidRDefault="002F5E9E" w:rsidP="00FC3EAE">
      <w:pPr>
        <w:pStyle w:val="BodyText"/>
        <w:widowControl/>
      </w:pPr>
      <w:r w:rsidRPr="007527B9">
        <w:lastRenderedPageBreak/>
        <w:t xml:space="preserve">If Old Town misses </w:t>
      </w:r>
      <w:r w:rsidR="0014573F" w:rsidRPr="007527B9">
        <w:t>a payment, the entire amount of the penalty will become due and payable the day after the missed payment was due.</w:t>
      </w:r>
    </w:p>
    <w:p w14:paraId="4FCCA81B" w14:textId="77777777" w:rsidR="00FC6DEC" w:rsidRPr="007527B9" w:rsidRDefault="00FC6DEC" w:rsidP="00FC6DEC"/>
    <w:p w14:paraId="7959F091" w14:textId="77777777" w:rsidR="00FC6DEC" w:rsidRPr="007527B9" w:rsidRDefault="00FC6DEC" w:rsidP="00FC6DEC">
      <w:pPr>
        <w:rPr>
          <w:b/>
        </w:rPr>
      </w:pPr>
      <w:r w:rsidRPr="007527B9">
        <w:t>Sincerely,</w:t>
      </w:r>
    </w:p>
    <w:p w14:paraId="0A6EE5F0" w14:textId="77777777" w:rsidR="00FC6DEC" w:rsidRPr="007527B9" w:rsidRDefault="00FC6DEC" w:rsidP="00FC6DEC">
      <w:pPr>
        <w:rPr>
          <w:b/>
        </w:rPr>
      </w:pPr>
    </w:p>
    <w:p w14:paraId="5B77D405" w14:textId="77777777" w:rsidR="00FC6DEC" w:rsidRPr="007527B9" w:rsidRDefault="00FC6DEC" w:rsidP="00FC6DEC">
      <w:pPr>
        <w:rPr>
          <w:b/>
        </w:rPr>
      </w:pPr>
    </w:p>
    <w:p w14:paraId="1F0DA7A0" w14:textId="77777777" w:rsidR="00FC6DEC" w:rsidRPr="007527B9" w:rsidRDefault="00FC6DEC" w:rsidP="00FC6DEC">
      <w:pPr>
        <w:rPr>
          <w:b/>
        </w:rPr>
      </w:pPr>
    </w:p>
    <w:p w14:paraId="69E45680" w14:textId="77777777" w:rsidR="00FC6DEC" w:rsidRPr="007527B9" w:rsidRDefault="00FC6DEC" w:rsidP="00FC6DEC">
      <w:r w:rsidRPr="007527B9">
        <w:t>Sharon Wallace, Assistant Director</w:t>
      </w:r>
    </w:p>
    <w:p w14:paraId="77D7613C" w14:textId="77777777" w:rsidR="00FC6DEC" w:rsidRPr="007527B9" w:rsidRDefault="00FC6DEC" w:rsidP="00FC6DEC">
      <w:r w:rsidRPr="007527B9">
        <w:t>Consumer Protection and Communications</w:t>
      </w:r>
    </w:p>
    <w:p w14:paraId="04336A66" w14:textId="77777777" w:rsidR="00F84BFD" w:rsidRPr="007527B9" w:rsidRDefault="00F84BFD" w:rsidP="00F84BFD"/>
    <w:p w14:paraId="335BB27D" w14:textId="77777777" w:rsidR="00121610" w:rsidRPr="007527B9" w:rsidRDefault="00F84BFD" w:rsidP="00F84BFD">
      <w:pPr>
        <w:tabs>
          <w:tab w:val="left" w:pos="6262"/>
        </w:tabs>
      </w:pPr>
      <w:r w:rsidRPr="007527B9">
        <w:tab/>
      </w:r>
    </w:p>
    <w:sectPr w:rsidR="00121610" w:rsidRPr="007527B9" w:rsidSect="00AB61BF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67C50" w14:textId="77777777" w:rsidR="00B46551" w:rsidRDefault="00B46551" w:rsidP="00AB61BF">
      <w:r>
        <w:separator/>
      </w:r>
    </w:p>
  </w:endnote>
  <w:endnote w:type="continuationSeparator" w:id="0">
    <w:p w14:paraId="758C0272" w14:textId="77777777" w:rsidR="00B46551" w:rsidRDefault="00B46551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66454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3B5F8" w14:textId="77777777" w:rsidR="00B46551" w:rsidRDefault="00B46551" w:rsidP="00AB61BF">
      <w:r>
        <w:separator/>
      </w:r>
    </w:p>
  </w:footnote>
  <w:footnote w:type="continuationSeparator" w:id="0">
    <w:p w14:paraId="6488C18F" w14:textId="77777777" w:rsidR="00B46551" w:rsidRDefault="00B46551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DACC2" w14:textId="45CD16A2" w:rsidR="00617140" w:rsidRDefault="00981E52">
    <w:pPr>
      <w:pStyle w:val="Header"/>
    </w:pPr>
    <w:r>
      <w:t>Nov. 23</w:t>
    </w:r>
    <w:r w:rsidR="00617140">
      <w:t>, 2015</w:t>
    </w:r>
  </w:p>
  <w:p w14:paraId="78C54E28" w14:textId="72717FF9" w:rsidR="00617140" w:rsidRDefault="00617140">
    <w:pPr>
      <w:pStyle w:val="Header"/>
    </w:pPr>
    <w:r>
      <w:t>Page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D1EE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8C3BB9" w14:textId="77777777" w:rsidR="00AB61BF" w:rsidRDefault="00AB61BF" w:rsidP="00AB61BF">
    <w:pPr>
      <w:rPr>
        <w:sz w:val="14"/>
      </w:rPr>
    </w:pPr>
  </w:p>
  <w:p w14:paraId="36DC251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3688A71F" w14:textId="77777777" w:rsidR="00AB61BF" w:rsidRDefault="00AB61BF" w:rsidP="00AB61BF">
    <w:pPr>
      <w:jc w:val="center"/>
      <w:rPr>
        <w:color w:val="008000"/>
        <w:sz w:val="8"/>
      </w:rPr>
    </w:pPr>
  </w:p>
  <w:p w14:paraId="33802515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61B61C8" w14:textId="77777777" w:rsidR="00AB61BF" w:rsidRDefault="00AB61BF" w:rsidP="00AB61BF">
    <w:pPr>
      <w:jc w:val="center"/>
      <w:rPr>
        <w:i/>
        <w:color w:val="008000"/>
        <w:sz w:val="8"/>
      </w:rPr>
    </w:pPr>
  </w:p>
  <w:p w14:paraId="7383169C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07076087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410EC647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05228"/>
    <w:rsid w:val="000143C4"/>
    <w:rsid w:val="00040682"/>
    <w:rsid w:val="000527DD"/>
    <w:rsid w:val="00063930"/>
    <w:rsid w:val="00063CD6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573F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2F5E9E"/>
    <w:rsid w:val="003225B5"/>
    <w:rsid w:val="00353540"/>
    <w:rsid w:val="0035627B"/>
    <w:rsid w:val="0036446F"/>
    <w:rsid w:val="00364DA6"/>
    <w:rsid w:val="0038696B"/>
    <w:rsid w:val="003B477D"/>
    <w:rsid w:val="003B74A9"/>
    <w:rsid w:val="003C1A7B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0E53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548A5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17140"/>
    <w:rsid w:val="006267CA"/>
    <w:rsid w:val="00637DAF"/>
    <w:rsid w:val="0064615A"/>
    <w:rsid w:val="006463FD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27B9"/>
    <w:rsid w:val="007571E6"/>
    <w:rsid w:val="00763902"/>
    <w:rsid w:val="007A2CAE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7341B"/>
    <w:rsid w:val="009765B2"/>
    <w:rsid w:val="00981E52"/>
    <w:rsid w:val="009D14CC"/>
    <w:rsid w:val="009F496B"/>
    <w:rsid w:val="009F69BF"/>
    <w:rsid w:val="009F6D8C"/>
    <w:rsid w:val="00A11808"/>
    <w:rsid w:val="00A2272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D7910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85E97"/>
    <w:rsid w:val="00D91265"/>
    <w:rsid w:val="00DB7A1B"/>
    <w:rsid w:val="00E142E7"/>
    <w:rsid w:val="00E228DB"/>
    <w:rsid w:val="00E5301C"/>
    <w:rsid w:val="00E95575"/>
    <w:rsid w:val="00EA03FE"/>
    <w:rsid w:val="00EB68AB"/>
    <w:rsid w:val="00EC4334"/>
    <w:rsid w:val="00ED1C3A"/>
    <w:rsid w:val="00EE231D"/>
    <w:rsid w:val="00EE5575"/>
    <w:rsid w:val="00EF79E8"/>
    <w:rsid w:val="00F0157C"/>
    <w:rsid w:val="00F40076"/>
    <w:rsid w:val="00F73250"/>
    <w:rsid w:val="00F84BFD"/>
    <w:rsid w:val="00FA2D09"/>
    <w:rsid w:val="00FA561C"/>
    <w:rsid w:val="00FB12F8"/>
    <w:rsid w:val="00FC3EAE"/>
    <w:rsid w:val="00FC6DEC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FC6DEC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FC6DE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3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E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EA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F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D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2015-04-30T07:00:00+00:00</OpenedDate>
    <Date1 xmlns="dc463f71-b30c-4ab2-9473-d307f9d35888">2015-11-24T20:43:52+00:00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11D6B6B9FCB74B95FCE783F58109A3" ma:contentTypeVersion="119" ma:contentTypeDescription="" ma:contentTypeScope="" ma:versionID="163fde1a62d274e0841c09b402cc19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8C4DB-A1D1-4454-B05E-7F2D60D2A8D5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1A3F5608-27EA-428E-8146-32E17E5B827F}"/>
</file>

<file path=customXml/itemProps5.xml><?xml version="1.0" encoding="utf-8"?>
<ds:datastoreItem xmlns:ds="http://schemas.openxmlformats.org/officeDocument/2006/customXml" ds:itemID="{5942A2F9-858F-44A1-BC9C-7AD0F9E22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2015-10-12 - Recommendation Letter to Steve King - D-150721</vt:lpstr>
    </vt:vector>
  </TitlesOfParts>
  <Company>Washington Utilities and Transportation Commission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2015-10-12 - Recommendation Letter to Steve King - D-150721</dc:title>
  <dc:creator>Information Services</dc:creator>
  <cp:lastModifiedBy>Banks, Megan (UTC)</cp:lastModifiedBy>
  <cp:revision>2</cp:revision>
  <cp:lastPrinted>2015-11-23T18:53:00Z</cp:lastPrinted>
  <dcterms:created xsi:type="dcterms:W3CDTF">2015-11-23T21:20:00Z</dcterms:created>
  <dcterms:modified xsi:type="dcterms:W3CDTF">2015-11-23T21:20:00Z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0x0101006E56B4D1795A2E4DB2F0B01679ED314A006411D6B6B9FCB74B95FCE783F58109A3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