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7BDB6" w14:textId="69F17249" w:rsidR="00E3570F" w:rsidRPr="00C90558" w:rsidRDefault="00E3570F" w:rsidP="00E3570F">
      <w:bookmarkStart w:id="0" w:name="_GoBack"/>
      <w:bookmarkEnd w:id="0"/>
      <w:r w:rsidRPr="00C90558">
        <w:t>Agenda Date:</w:t>
      </w:r>
      <w:r w:rsidRPr="00C90558">
        <w:tab/>
      </w:r>
      <w:r w:rsidRPr="00C90558">
        <w:rPr>
          <w:caps/>
        </w:rPr>
        <w:tab/>
      </w:r>
      <w:r w:rsidR="007312CF">
        <w:t>July</w:t>
      </w:r>
      <w:r w:rsidRPr="00C90558">
        <w:t xml:space="preserve"> </w:t>
      </w:r>
      <w:r w:rsidR="007C0D6D" w:rsidRPr="00C90558">
        <w:t>30</w:t>
      </w:r>
      <w:r w:rsidRPr="00C90558">
        <w:t>, 201</w:t>
      </w:r>
      <w:r w:rsidR="007312CF">
        <w:t>5</w:t>
      </w:r>
    </w:p>
    <w:p w14:paraId="4DC7BDB7" w14:textId="4CE0A39C" w:rsidR="00E3570F" w:rsidRPr="00C90558" w:rsidRDefault="00E3570F" w:rsidP="00E3570F">
      <w:r w:rsidRPr="00C90558">
        <w:t>Item Number</w:t>
      </w:r>
      <w:r w:rsidRPr="00C90558">
        <w:rPr>
          <w:caps/>
        </w:rPr>
        <w:t>:</w:t>
      </w:r>
      <w:r w:rsidRPr="00C90558">
        <w:rPr>
          <w:caps/>
        </w:rPr>
        <w:tab/>
      </w:r>
      <w:r w:rsidRPr="00C90558">
        <w:rPr>
          <w:caps/>
        </w:rPr>
        <w:tab/>
        <w:t>A</w:t>
      </w:r>
      <w:r w:rsidR="006F184A">
        <w:rPr>
          <w:caps/>
        </w:rPr>
        <w:t>2</w:t>
      </w:r>
    </w:p>
    <w:p w14:paraId="4DC7BDB8" w14:textId="77777777" w:rsidR="00E3570F" w:rsidRPr="00C90558" w:rsidRDefault="00E3570F" w:rsidP="00E3570F"/>
    <w:p w14:paraId="4DC7BDB9" w14:textId="2E5A5525" w:rsidR="00E3570F" w:rsidRPr="00C90558" w:rsidRDefault="00E3570F" w:rsidP="00E3570F">
      <w:pPr>
        <w:rPr>
          <w:b/>
        </w:rPr>
      </w:pPr>
      <w:r w:rsidRPr="00C90558">
        <w:rPr>
          <w:b/>
        </w:rPr>
        <w:t>Docket:</w:t>
      </w:r>
      <w:r w:rsidRPr="00C90558">
        <w:rPr>
          <w:b/>
        </w:rPr>
        <w:tab/>
      </w:r>
      <w:r w:rsidRPr="00C90558">
        <w:rPr>
          <w:b/>
        </w:rPr>
        <w:tab/>
        <w:t>U</w:t>
      </w:r>
      <w:r w:rsidR="00B556AF" w:rsidRPr="00C90558">
        <w:rPr>
          <w:b/>
        </w:rPr>
        <w:t>E</w:t>
      </w:r>
      <w:r w:rsidRPr="00C90558">
        <w:rPr>
          <w:b/>
        </w:rPr>
        <w:t>-1</w:t>
      </w:r>
      <w:r w:rsidR="00B556AF" w:rsidRPr="00C90558">
        <w:rPr>
          <w:b/>
        </w:rPr>
        <w:t>50715</w:t>
      </w:r>
    </w:p>
    <w:p w14:paraId="4DC7BDBA" w14:textId="77777777" w:rsidR="00E3570F" w:rsidRPr="00C90558" w:rsidRDefault="00E3570F" w:rsidP="00E3570F">
      <w:r w:rsidRPr="00C90558">
        <w:t>Company Name:</w:t>
      </w:r>
      <w:r w:rsidRPr="00C90558">
        <w:tab/>
        <w:t>Avista Corporation</w:t>
      </w:r>
    </w:p>
    <w:p w14:paraId="4DC7BDBB" w14:textId="77777777" w:rsidR="00E3570F" w:rsidRPr="00C90558" w:rsidRDefault="00E3570F" w:rsidP="00E3570F"/>
    <w:p w14:paraId="4DC7BDBC" w14:textId="0D44F8BE" w:rsidR="00E3570F" w:rsidRPr="00C90558" w:rsidRDefault="00E3570F" w:rsidP="00E3570F">
      <w:r w:rsidRPr="00C90558">
        <w:t>Staff:</w:t>
      </w:r>
      <w:r w:rsidRPr="00C90558">
        <w:tab/>
      </w:r>
      <w:r w:rsidRPr="00C90558">
        <w:tab/>
      </w:r>
      <w:r w:rsidRPr="00C90558">
        <w:tab/>
      </w:r>
      <w:r w:rsidR="00B0010C" w:rsidRPr="00C90558">
        <w:t>Joanna Huang</w:t>
      </w:r>
      <w:r w:rsidRPr="00C90558">
        <w:t>, Regulatory Analyst</w:t>
      </w:r>
    </w:p>
    <w:p w14:paraId="4DC7BDBE" w14:textId="183835BD" w:rsidR="00504B26" w:rsidRPr="00C90558" w:rsidRDefault="0004115E" w:rsidP="00E3570F">
      <w:r w:rsidRPr="00C90558">
        <w:tab/>
      </w:r>
      <w:r w:rsidRPr="00C90558">
        <w:tab/>
      </w:r>
      <w:r w:rsidRPr="00C90558">
        <w:tab/>
      </w:r>
    </w:p>
    <w:p w14:paraId="4DC7BDBF" w14:textId="77777777" w:rsidR="00E3570F" w:rsidRPr="00C90558" w:rsidRDefault="00E3570F" w:rsidP="00E3570F">
      <w:pPr>
        <w:spacing w:after="120"/>
      </w:pPr>
    </w:p>
    <w:p w14:paraId="4DC7BDC0" w14:textId="77777777" w:rsidR="00E3570F" w:rsidRPr="00C90558" w:rsidRDefault="00E3570F" w:rsidP="00E3570F">
      <w:pPr>
        <w:spacing w:after="120"/>
        <w:rPr>
          <w:b/>
          <w:u w:val="single"/>
        </w:rPr>
      </w:pPr>
      <w:r w:rsidRPr="00C90558">
        <w:rPr>
          <w:b/>
          <w:u w:val="single"/>
        </w:rPr>
        <w:t>Recommendation</w:t>
      </w:r>
    </w:p>
    <w:p w14:paraId="65F89307" w14:textId="3AD3B0D0" w:rsidR="00E36A5F" w:rsidRPr="00C90558" w:rsidRDefault="00E36A5F" w:rsidP="00E36A5F">
      <w:r w:rsidRPr="00C90558">
        <w:t>Issue an Order approving the Lease Agreement between Avista Corporation and Mobius Science Center in Docket UE-150715.</w:t>
      </w:r>
    </w:p>
    <w:p w14:paraId="4DC7BDC2" w14:textId="1EEB698C" w:rsidR="00E3570F" w:rsidRPr="00C90558" w:rsidRDefault="00E3570F" w:rsidP="00E3570F">
      <w:pPr>
        <w:spacing w:after="120"/>
        <w:rPr>
          <w:b/>
          <w:u w:val="single"/>
        </w:rPr>
      </w:pPr>
    </w:p>
    <w:p w14:paraId="4DC7BDC3" w14:textId="77777777" w:rsidR="00E3570F" w:rsidRDefault="00E3570F" w:rsidP="00E3570F">
      <w:pPr>
        <w:spacing w:after="120"/>
        <w:rPr>
          <w:b/>
          <w:u w:val="single"/>
        </w:rPr>
      </w:pPr>
      <w:r w:rsidRPr="00C90558">
        <w:rPr>
          <w:b/>
          <w:u w:val="single"/>
        </w:rPr>
        <w:t>Background</w:t>
      </w:r>
    </w:p>
    <w:p w14:paraId="1CFF1E92" w14:textId="77777777" w:rsidR="00834707" w:rsidRPr="00C90558" w:rsidRDefault="00834707" w:rsidP="00E3570F">
      <w:pPr>
        <w:spacing w:after="120"/>
        <w:rPr>
          <w:b/>
          <w:u w:val="single"/>
        </w:rPr>
      </w:pPr>
    </w:p>
    <w:p w14:paraId="08AF00F3" w14:textId="5A905D3E" w:rsidR="00CB53EC" w:rsidRPr="00C90558" w:rsidRDefault="00E3570F" w:rsidP="00B627E3">
      <w:pPr>
        <w:spacing w:after="120"/>
      </w:pPr>
      <w:r w:rsidRPr="00C90558">
        <w:t xml:space="preserve">On </w:t>
      </w:r>
      <w:r w:rsidR="00E36A5F" w:rsidRPr="00C90558">
        <w:t>May</w:t>
      </w:r>
      <w:r w:rsidRPr="00C90558">
        <w:t xml:space="preserve"> 1, 201</w:t>
      </w:r>
      <w:r w:rsidR="00E36A5F" w:rsidRPr="00C90558">
        <w:t>5</w:t>
      </w:r>
      <w:r w:rsidRPr="00C90558">
        <w:t>, Avista</w:t>
      </w:r>
      <w:r w:rsidR="00603BE1" w:rsidRPr="00C90558">
        <w:t xml:space="preserve"> Corporation (Avista or company)</w:t>
      </w:r>
      <w:r w:rsidRPr="00C90558">
        <w:t xml:space="preserve"> filed </w:t>
      </w:r>
      <w:r w:rsidR="002324F0">
        <w:t>a</w:t>
      </w:r>
      <w:r w:rsidR="00E36A5F" w:rsidRPr="00C90558">
        <w:t xml:space="preserve"> petition for an Order approving the Lease Agreement related to the Post </w:t>
      </w:r>
      <w:r w:rsidR="00B627E3" w:rsidRPr="00C90558">
        <w:t>Street</w:t>
      </w:r>
      <w:r w:rsidR="00E36A5F" w:rsidRPr="00C90558">
        <w:t xml:space="preserve"> Street Annex</w:t>
      </w:r>
      <w:r w:rsidR="00B627E3" w:rsidRPr="00C90558">
        <w:t xml:space="preserve"> </w:t>
      </w:r>
      <w:r w:rsidR="00E36A5F" w:rsidRPr="00C90558">
        <w:t>between Avista Corporation and</w:t>
      </w:r>
      <w:r w:rsidR="00787571">
        <w:t xml:space="preserve"> Mobius Science Center (Mobius) </w:t>
      </w:r>
      <w:r w:rsidR="00E36A5F" w:rsidRPr="00C90558">
        <w:t>in Docket UE-150715</w:t>
      </w:r>
      <w:r w:rsidRPr="00C90558">
        <w:t>.</w:t>
      </w:r>
    </w:p>
    <w:p w14:paraId="3AD1A9A2" w14:textId="520D1387" w:rsidR="003A44D8" w:rsidRPr="00C90558" w:rsidRDefault="00B627E3" w:rsidP="00B627E3">
      <w:pPr>
        <w:spacing w:after="120"/>
      </w:pPr>
      <w:r w:rsidRPr="00C90558">
        <w:t xml:space="preserve">Post Street Annex </w:t>
      </w:r>
      <w:r w:rsidR="00E16F23">
        <w:t>is</w:t>
      </w:r>
      <w:r w:rsidR="00E16F23" w:rsidRPr="00C90558">
        <w:t xml:space="preserve"> </w:t>
      </w:r>
      <w:r w:rsidR="00570F7D" w:rsidRPr="00C90558">
        <w:t xml:space="preserve">situated </w:t>
      </w:r>
      <w:r w:rsidRPr="00C90558">
        <w:t xml:space="preserve">between the Post Street Substation, and </w:t>
      </w:r>
      <w:r w:rsidR="00E93C93">
        <w:t xml:space="preserve">the </w:t>
      </w:r>
      <w:r w:rsidRPr="00C90558">
        <w:t>City of Spokane</w:t>
      </w:r>
      <w:r w:rsidR="00E93C93">
        <w:t>’</w:t>
      </w:r>
      <w:r w:rsidRPr="00C90558">
        <w:t xml:space="preserve">s City Hall. </w:t>
      </w:r>
      <w:r w:rsidR="003A44D8" w:rsidRPr="00C90558">
        <w:t xml:space="preserve">This substation has provided electric service to the downtown Spokane </w:t>
      </w:r>
      <w:r w:rsidR="00534D46" w:rsidRPr="00C90558">
        <w:t>cust</w:t>
      </w:r>
      <w:r w:rsidR="00534D46">
        <w:t>o</w:t>
      </w:r>
      <w:r w:rsidR="00534D46" w:rsidRPr="00C90558">
        <w:t xml:space="preserve">mers </w:t>
      </w:r>
      <w:r w:rsidR="003A44D8" w:rsidRPr="00C90558">
        <w:t xml:space="preserve">since 1909. Post Street Annex was built in 1911 originally to provide </w:t>
      </w:r>
      <w:r w:rsidR="00C937E7">
        <w:t xml:space="preserve">a </w:t>
      </w:r>
      <w:r w:rsidR="003A44D8" w:rsidRPr="00C90558">
        <w:t xml:space="preserve">housing facility for back-up power equipment for the Post Street Substation.  </w:t>
      </w:r>
    </w:p>
    <w:p w14:paraId="03E50D21" w14:textId="77234BBC" w:rsidR="007C255F" w:rsidRDefault="00B627E3" w:rsidP="00B627E3">
      <w:pPr>
        <w:spacing w:after="120"/>
      </w:pPr>
      <w:r w:rsidRPr="00C90558">
        <w:t>Post Street Annex</w:t>
      </w:r>
      <w:r w:rsidR="00F81025" w:rsidRPr="00C90558">
        <w:t xml:space="preserve"> is a </w:t>
      </w:r>
      <w:r w:rsidR="00E16F23">
        <w:t>3</w:t>
      </w:r>
      <w:r w:rsidR="00F81025" w:rsidRPr="00C90558">
        <w:t xml:space="preserve">-story facility </w:t>
      </w:r>
      <w:r w:rsidRPr="00C90558">
        <w:t xml:space="preserve">with </w:t>
      </w:r>
      <w:r w:rsidR="00F81025" w:rsidRPr="00C90558">
        <w:t xml:space="preserve">approximately 8,100 </w:t>
      </w:r>
      <w:r w:rsidR="00570F7D" w:rsidRPr="00C90558">
        <w:t>sq</w:t>
      </w:r>
      <w:r w:rsidR="00534D46">
        <w:t>u</w:t>
      </w:r>
      <w:r w:rsidR="00570F7D" w:rsidRPr="00C90558">
        <w:t>a</w:t>
      </w:r>
      <w:r w:rsidR="0082190C" w:rsidRPr="00C90558">
        <w:t>re feet on each floor. The</w:t>
      </w:r>
      <w:r w:rsidR="0082190C" w:rsidRPr="00C90558">
        <w:rPr>
          <w:rFonts w:eastAsiaTheme="minorEastAsia"/>
        </w:rPr>
        <w:t xml:space="preserve"> top </w:t>
      </w:r>
      <w:r w:rsidR="0082190C" w:rsidRPr="0086047F">
        <w:rPr>
          <w:rFonts w:eastAsiaTheme="minorEastAsia"/>
        </w:rPr>
        <w:t>level (</w:t>
      </w:r>
      <w:r w:rsidR="00787571">
        <w:rPr>
          <w:rFonts w:eastAsiaTheme="minorEastAsia"/>
        </w:rPr>
        <w:t xml:space="preserve">which is considered the </w:t>
      </w:r>
      <w:r w:rsidR="0082190C" w:rsidRPr="00C90558">
        <w:rPr>
          <w:rFonts w:eastAsiaTheme="minorEastAsia"/>
        </w:rPr>
        <w:t>ground</w:t>
      </w:r>
      <w:r w:rsidR="0082190C" w:rsidRPr="0086047F">
        <w:rPr>
          <w:rFonts w:eastAsiaTheme="minorEastAsia"/>
        </w:rPr>
        <w:t xml:space="preserve"> floor) </w:t>
      </w:r>
      <w:r w:rsidR="00F81025" w:rsidRPr="00C90558">
        <w:t xml:space="preserve">of Post Street Annex has </w:t>
      </w:r>
      <w:r w:rsidR="00E93C93" w:rsidRPr="00C90558">
        <w:t>stre</w:t>
      </w:r>
      <w:r w:rsidR="00E93C93">
        <w:t>e</w:t>
      </w:r>
      <w:r w:rsidR="00E93C93" w:rsidRPr="00C90558">
        <w:t xml:space="preserve">t </w:t>
      </w:r>
      <w:r w:rsidR="00F81025" w:rsidRPr="00C90558">
        <w:t>ac</w:t>
      </w:r>
      <w:r w:rsidR="00E93C93">
        <w:t>c</w:t>
      </w:r>
      <w:r w:rsidR="00F81025" w:rsidRPr="00C90558">
        <w:t>ess, and the bottom two floor</w:t>
      </w:r>
      <w:r w:rsidR="00E93C93">
        <w:t>s</w:t>
      </w:r>
      <w:r w:rsidR="00952EC4">
        <w:t xml:space="preserve"> </w:t>
      </w:r>
      <w:r w:rsidR="00115313">
        <w:t>being close to river level</w:t>
      </w:r>
      <w:r w:rsidR="00F81025" w:rsidRPr="00C90558">
        <w:t xml:space="preserve"> </w:t>
      </w:r>
      <w:r w:rsidR="00E93C93">
        <w:t>have</w:t>
      </w:r>
      <w:r w:rsidR="00E16F23">
        <w:t xml:space="preserve"> only</w:t>
      </w:r>
      <w:r w:rsidR="00115313">
        <w:t xml:space="preserve"> </w:t>
      </w:r>
      <w:r w:rsidR="00570F7D" w:rsidRPr="00C90558">
        <w:t>limited ac</w:t>
      </w:r>
      <w:r w:rsidR="00534D46">
        <w:t>c</w:t>
      </w:r>
      <w:r w:rsidR="00570F7D" w:rsidRPr="00C90558">
        <w:t>ess.</w:t>
      </w:r>
      <w:r w:rsidR="003A44D8" w:rsidRPr="00C90558">
        <w:t xml:space="preserve"> </w:t>
      </w:r>
      <w:r w:rsidR="00C60E41" w:rsidRPr="00C90558">
        <w:t xml:space="preserve">Two-thirds of the building </w:t>
      </w:r>
      <w:r w:rsidR="004179F2" w:rsidRPr="00C90558">
        <w:t xml:space="preserve">has </w:t>
      </w:r>
      <w:r w:rsidR="00C60E41" w:rsidRPr="00C90558">
        <w:t xml:space="preserve">been used for storage and </w:t>
      </w:r>
      <w:r w:rsidR="00E93C93">
        <w:t>c</w:t>
      </w:r>
      <w:r w:rsidR="00E93C93" w:rsidRPr="00C90558">
        <w:t>ompany</w:t>
      </w:r>
      <w:r w:rsidR="00C60E41" w:rsidRPr="00C90558">
        <w:t xml:space="preserve">-vehicle parking and the remaining one-third has been used as the operations center for the downtown Spokane electric network for the past 60 years. </w:t>
      </w:r>
      <w:r w:rsidR="007C255F">
        <w:t xml:space="preserve"> </w:t>
      </w:r>
    </w:p>
    <w:p w14:paraId="0DA4BD92" w14:textId="3D84AE58" w:rsidR="006300D2" w:rsidRPr="00C90558" w:rsidRDefault="007C255F" w:rsidP="00B627E3">
      <w:pPr>
        <w:spacing w:after="120"/>
      </w:pPr>
      <w:r>
        <w:t xml:space="preserve">Avista will </w:t>
      </w:r>
      <w:r w:rsidR="00386B81">
        <w:t>incur approximately $550,000 of</w:t>
      </w:r>
      <w:r>
        <w:t xml:space="preserve"> make-ready cost</w:t>
      </w:r>
      <w:r w:rsidR="00E16F23">
        <w:t>s</w:t>
      </w:r>
      <w:r>
        <w:t xml:space="preserve"> to accommodate the building use by a third party. </w:t>
      </w:r>
      <w:r w:rsidR="00E16F23">
        <w:t xml:space="preserve">The </w:t>
      </w:r>
      <w:r>
        <w:t>make-ready cost</w:t>
      </w:r>
      <w:r w:rsidR="00E16F23">
        <w:t>s</w:t>
      </w:r>
      <w:r>
        <w:t xml:space="preserve"> </w:t>
      </w:r>
      <w:r w:rsidR="00E16F23">
        <w:t xml:space="preserve">are </w:t>
      </w:r>
      <w:r>
        <w:t>to facilitate the basic mechanical and structural improvements of the building. Costs include</w:t>
      </w:r>
      <w:r w:rsidR="009D7135">
        <w:t>:</w:t>
      </w:r>
      <w:r>
        <w:t xml:space="preserve"> reinforce the roof structure, remove lead based paint on interior brick wall </w:t>
      </w:r>
      <w:r w:rsidR="00386B81">
        <w:t xml:space="preserve">of the </w:t>
      </w:r>
      <w:r w:rsidR="00386B81" w:rsidRPr="00C90558">
        <w:rPr>
          <w:rFonts w:eastAsiaTheme="minorEastAsia"/>
        </w:rPr>
        <w:t>ground</w:t>
      </w:r>
      <w:r w:rsidR="00386B81" w:rsidRPr="0086047F">
        <w:rPr>
          <w:rFonts w:eastAsiaTheme="minorEastAsia"/>
        </w:rPr>
        <w:t xml:space="preserve"> floor</w:t>
      </w:r>
      <w:r w:rsidR="00386B81">
        <w:rPr>
          <w:rFonts w:eastAsiaTheme="minorEastAsia"/>
        </w:rPr>
        <w:t xml:space="preserve"> </w:t>
      </w:r>
      <w:r>
        <w:t xml:space="preserve">and </w:t>
      </w:r>
      <w:r w:rsidR="00386B81">
        <w:t>install electrical safety and separation costs to further protect Mobius from potential electrical surge</w:t>
      </w:r>
      <w:r w:rsidR="00384F35">
        <w:t>s</w:t>
      </w:r>
      <w:r w:rsidR="00386B81">
        <w:t xml:space="preserve"> coming from the </w:t>
      </w:r>
      <w:r w:rsidR="00E209E5">
        <w:t>adjacent</w:t>
      </w:r>
      <w:r w:rsidR="00386B81">
        <w:t xml:space="preserve"> building, </w:t>
      </w:r>
      <w:r w:rsidR="00E209E5">
        <w:t xml:space="preserve">the </w:t>
      </w:r>
      <w:r w:rsidR="00386B81" w:rsidRPr="00C90558">
        <w:t>Post Street Substation</w:t>
      </w:r>
      <w:r w:rsidR="00386B81">
        <w:t>.</w:t>
      </w:r>
    </w:p>
    <w:p w14:paraId="2319E9B0" w14:textId="2C20F0AB" w:rsidR="00C60E41" w:rsidRPr="00C90558" w:rsidRDefault="00C60E41" w:rsidP="00B627E3">
      <w:pPr>
        <w:spacing w:after="120"/>
      </w:pPr>
      <w:r w:rsidRPr="00C90558">
        <w:t>Mobius</w:t>
      </w:r>
      <w:r w:rsidR="003A44D8" w:rsidRPr="00C90558">
        <w:t xml:space="preserve"> is a non-profit science center and opened in Spokane in 2012. It provide</w:t>
      </w:r>
      <w:r w:rsidR="00E93C93">
        <w:t>s</w:t>
      </w:r>
      <w:r w:rsidR="003A44D8" w:rsidRPr="00C90558">
        <w:t xml:space="preserve"> educational resources and opportunities for those who are inspired to explore the scie</w:t>
      </w:r>
      <w:r w:rsidR="00A945A6" w:rsidRPr="00C90558">
        <w:t>ntific world. Mobius</w:t>
      </w:r>
      <w:r w:rsidR="00132DF5" w:rsidRPr="00C90558">
        <w:t>’ current lease</w:t>
      </w:r>
      <w:r w:rsidR="00A945A6" w:rsidRPr="00C90558">
        <w:t xml:space="preserve"> expired on March 31, 2015. Temporarily</w:t>
      </w:r>
      <w:r w:rsidR="00384F35">
        <w:t>,</w:t>
      </w:r>
      <w:r w:rsidR="00A945A6" w:rsidRPr="00C90558">
        <w:t xml:space="preserve"> Mobius </w:t>
      </w:r>
      <w:r w:rsidR="00E93C93">
        <w:t xml:space="preserve">is </w:t>
      </w:r>
      <w:r w:rsidR="00A945A6" w:rsidRPr="00C90558">
        <w:t>housed in the Spokane Public Library in downtown Spokane.</w:t>
      </w:r>
      <w:r w:rsidR="00132DF5" w:rsidRPr="00C90558">
        <w:t xml:space="preserve">  </w:t>
      </w:r>
    </w:p>
    <w:p w14:paraId="34AE6ABA" w14:textId="77777777" w:rsidR="00B627E3" w:rsidRPr="00C90558" w:rsidRDefault="00B627E3" w:rsidP="00B627E3">
      <w:pPr>
        <w:spacing w:after="120"/>
      </w:pPr>
    </w:p>
    <w:p w14:paraId="6BE00536" w14:textId="7B08D422" w:rsidR="00333BB7" w:rsidRPr="00C90558" w:rsidRDefault="00E3570F" w:rsidP="00E3570F">
      <w:pPr>
        <w:spacing w:after="120"/>
        <w:rPr>
          <w:b/>
          <w:u w:val="single"/>
        </w:rPr>
      </w:pPr>
      <w:r w:rsidRPr="00C90558">
        <w:rPr>
          <w:b/>
          <w:u w:val="single"/>
        </w:rPr>
        <w:t>Discussion</w:t>
      </w:r>
    </w:p>
    <w:p w14:paraId="0E7B5854" w14:textId="06BD985B" w:rsidR="007C255F" w:rsidRPr="00C90558" w:rsidRDefault="00132DF5" w:rsidP="00992AAE">
      <w:pPr>
        <w:spacing w:after="120"/>
      </w:pPr>
      <w:r w:rsidRPr="00C90558">
        <w:t>Avista’s and Mobius’ management discussed the lease agreement prior to the expiration of Mobius</w:t>
      </w:r>
      <w:r w:rsidR="00E93C93">
        <w:t>’</w:t>
      </w:r>
      <w:r w:rsidRPr="00C90558">
        <w:t xml:space="preserve"> lease to provide Mobius the Post Street Annex as a longer term solution for their location and also provide Avista with a channel for educating Avista’s electric and natural gas cu</w:t>
      </w:r>
      <w:r w:rsidR="00C06DCA">
        <w:t>s</w:t>
      </w:r>
      <w:r w:rsidRPr="00C90558">
        <w:t xml:space="preserve">tomers on related energy-related issues.  </w:t>
      </w:r>
    </w:p>
    <w:p w14:paraId="2EFFEFE4" w14:textId="77777777" w:rsidR="0086047F" w:rsidRPr="00C90558" w:rsidRDefault="0086047F" w:rsidP="00992AAE">
      <w:pPr>
        <w:spacing w:after="120"/>
      </w:pPr>
    </w:p>
    <w:p w14:paraId="2BA2CDDA" w14:textId="4E64F592" w:rsidR="0086047F" w:rsidRDefault="0086047F" w:rsidP="00992AAE">
      <w:pPr>
        <w:spacing w:after="120"/>
      </w:pPr>
      <w:r w:rsidRPr="00C90558">
        <w:t>Brief summary of the key terms of the lease agreement is as follows:</w:t>
      </w:r>
    </w:p>
    <w:p w14:paraId="65B0172C" w14:textId="77777777" w:rsidR="00386B81" w:rsidRPr="00C90558" w:rsidRDefault="00386B81" w:rsidP="00992AAE">
      <w:pPr>
        <w:spacing w:after="120"/>
      </w:pPr>
    </w:p>
    <w:p w14:paraId="57DFA24F" w14:textId="647787BE" w:rsidR="0086047F" w:rsidRPr="00C90558" w:rsidRDefault="0086047F" w:rsidP="007B3464">
      <w:pPr>
        <w:pStyle w:val="Header"/>
        <w:numPr>
          <w:ilvl w:val="0"/>
          <w:numId w:val="4"/>
        </w:numPr>
        <w:tabs>
          <w:tab w:val="left" w:pos="720"/>
          <w:tab w:val="num" w:pos="1260"/>
        </w:tabs>
        <w:spacing w:after="120"/>
        <w:ind w:left="540" w:hanging="540"/>
        <w:rPr>
          <w:rFonts w:eastAsiaTheme="minorEastAsia"/>
        </w:rPr>
      </w:pPr>
      <w:r w:rsidRPr="00C90558">
        <w:t xml:space="preserve">Lease term: 10 years, </w:t>
      </w:r>
      <w:r w:rsidRPr="00C90558">
        <w:rPr>
          <w:rFonts w:eastAsiaTheme="minorEastAsia"/>
        </w:rPr>
        <w:t>with options to renew</w:t>
      </w:r>
      <w:r w:rsidR="00737090">
        <w:rPr>
          <w:rFonts w:eastAsiaTheme="minorEastAsia"/>
        </w:rPr>
        <w:t xml:space="preserve"> another 10 years twice</w:t>
      </w:r>
      <w:r w:rsidRPr="00C90558">
        <w:rPr>
          <w:rFonts w:eastAsiaTheme="minorEastAsia"/>
        </w:rPr>
        <w:t>.</w:t>
      </w:r>
    </w:p>
    <w:p w14:paraId="39629388" w14:textId="589F6A4D" w:rsidR="0086047F" w:rsidRPr="0086047F" w:rsidRDefault="0086047F" w:rsidP="007B3464">
      <w:pPr>
        <w:numPr>
          <w:ilvl w:val="0"/>
          <w:numId w:val="4"/>
        </w:numPr>
        <w:tabs>
          <w:tab w:val="left" w:pos="720"/>
          <w:tab w:val="num" w:pos="1260"/>
          <w:tab w:val="center" w:pos="4320"/>
          <w:tab w:val="right" w:pos="8640"/>
        </w:tabs>
        <w:spacing w:after="120"/>
        <w:ind w:left="540" w:hanging="540"/>
        <w:rPr>
          <w:rFonts w:eastAsiaTheme="minorEastAsia"/>
        </w:rPr>
      </w:pPr>
      <w:r w:rsidRPr="0086047F">
        <w:rPr>
          <w:rFonts w:eastAsiaTheme="minorEastAsia"/>
        </w:rPr>
        <w:t>Space</w:t>
      </w:r>
      <w:r w:rsidR="00E209E5">
        <w:rPr>
          <w:rFonts w:eastAsiaTheme="minorEastAsia"/>
        </w:rPr>
        <w:t xml:space="preserve">: </w:t>
      </w:r>
      <w:r w:rsidRPr="0086047F">
        <w:rPr>
          <w:rFonts w:eastAsiaTheme="minorEastAsia"/>
        </w:rPr>
        <w:t xml:space="preserve">Mobius </w:t>
      </w:r>
      <w:r w:rsidRPr="00C90558">
        <w:rPr>
          <w:rFonts w:eastAsiaTheme="minorEastAsia"/>
        </w:rPr>
        <w:t>only lease</w:t>
      </w:r>
      <w:r w:rsidR="00B87D22">
        <w:rPr>
          <w:rFonts w:eastAsiaTheme="minorEastAsia"/>
        </w:rPr>
        <w:t>s</w:t>
      </w:r>
      <w:r w:rsidRPr="00C90558">
        <w:rPr>
          <w:rFonts w:eastAsiaTheme="minorEastAsia"/>
        </w:rPr>
        <w:t xml:space="preserve"> </w:t>
      </w:r>
      <w:r w:rsidRPr="0086047F">
        <w:rPr>
          <w:rFonts w:eastAsiaTheme="minorEastAsia"/>
        </w:rPr>
        <w:t xml:space="preserve">the </w:t>
      </w:r>
      <w:r w:rsidRPr="00C90558">
        <w:rPr>
          <w:rFonts w:eastAsiaTheme="minorEastAsia"/>
        </w:rPr>
        <w:t>ground</w:t>
      </w:r>
      <w:r w:rsidRPr="0086047F">
        <w:rPr>
          <w:rFonts w:eastAsiaTheme="minorEastAsia"/>
        </w:rPr>
        <w:t xml:space="preserve"> floor of the </w:t>
      </w:r>
      <w:r w:rsidR="004E6A19">
        <w:rPr>
          <w:rFonts w:eastAsiaTheme="minorEastAsia"/>
        </w:rPr>
        <w:t>3</w:t>
      </w:r>
      <w:r w:rsidR="00737090">
        <w:rPr>
          <w:rFonts w:eastAsiaTheme="minorEastAsia"/>
        </w:rPr>
        <w:t>-</w:t>
      </w:r>
      <w:r w:rsidRPr="0086047F">
        <w:rPr>
          <w:rFonts w:eastAsiaTheme="minorEastAsia"/>
        </w:rPr>
        <w:t xml:space="preserve">story Post Street Annex. Avista will continue to use the other two floors of the Post Street Annex </w:t>
      </w:r>
      <w:r w:rsidRPr="00C90558">
        <w:rPr>
          <w:rFonts w:eastAsiaTheme="minorEastAsia"/>
        </w:rPr>
        <w:t>as a supporting facility for the Post Street Substation as it is today. I</w:t>
      </w:r>
      <w:r w:rsidRPr="0086047F">
        <w:rPr>
          <w:rFonts w:eastAsiaTheme="minorEastAsia"/>
        </w:rPr>
        <w:t xml:space="preserve">f Avista determines that it no longer requires use of </w:t>
      </w:r>
      <w:r w:rsidR="00737090" w:rsidRPr="00C90558">
        <w:t>the bottom two floor</w:t>
      </w:r>
      <w:r w:rsidR="00737090">
        <w:t>s</w:t>
      </w:r>
      <w:r w:rsidR="00737090" w:rsidRPr="0086047F">
        <w:rPr>
          <w:rFonts w:eastAsiaTheme="minorEastAsia"/>
        </w:rPr>
        <w:t xml:space="preserve"> </w:t>
      </w:r>
      <w:r w:rsidRPr="0086047F">
        <w:rPr>
          <w:rFonts w:eastAsiaTheme="minorEastAsia"/>
        </w:rPr>
        <w:t>and if Mobius wishe</w:t>
      </w:r>
      <w:r w:rsidRPr="00C90558">
        <w:rPr>
          <w:rFonts w:eastAsiaTheme="minorEastAsia"/>
        </w:rPr>
        <w:t xml:space="preserve">s to lease the additional space, </w:t>
      </w:r>
      <w:r w:rsidRPr="0086047F">
        <w:rPr>
          <w:rFonts w:eastAsiaTheme="minorEastAsia"/>
        </w:rPr>
        <w:t xml:space="preserve">Mobius has the option for the lease of additional space in the Post Street Annex, </w:t>
      </w:r>
    </w:p>
    <w:p w14:paraId="15C2924A" w14:textId="3BA2D2E9" w:rsidR="0086047F" w:rsidRPr="0086047F" w:rsidRDefault="0086047F" w:rsidP="007B3464">
      <w:pPr>
        <w:numPr>
          <w:ilvl w:val="0"/>
          <w:numId w:val="4"/>
        </w:numPr>
        <w:tabs>
          <w:tab w:val="left" w:pos="720"/>
          <w:tab w:val="num" w:pos="1260"/>
          <w:tab w:val="center" w:pos="4320"/>
          <w:tab w:val="right" w:pos="8640"/>
        </w:tabs>
        <w:spacing w:after="120"/>
        <w:ind w:left="540" w:hanging="540"/>
        <w:rPr>
          <w:rFonts w:eastAsiaTheme="minorEastAsia"/>
        </w:rPr>
      </w:pPr>
      <w:r w:rsidRPr="0086047F">
        <w:rPr>
          <w:rFonts w:eastAsiaTheme="minorEastAsia"/>
        </w:rPr>
        <w:t>Annual Lease Payment</w:t>
      </w:r>
      <w:r w:rsidR="00E209E5">
        <w:rPr>
          <w:rFonts w:eastAsiaTheme="minorEastAsia"/>
        </w:rPr>
        <w:t xml:space="preserve">: </w:t>
      </w:r>
      <w:r w:rsidRPr="0086047F">
        <w:rPr>
          <w:rFonts w:eastAsiaTheme="minorEastAsia"/>
        </w:rPr>
        <w:t>$1 per year</w:t>
      </w:r>
      <w:r w:rsidR="00992AAE" w:rsidRPr="00C90558">
        <w:rPr>
          <w:rFonts w:eastAsiaTheme="minorEastAsia"/>
        </w:rPr>
        <w:t>.</w:t>
      </w:r>
    </w:p>
    <w:p w14:paraId="6472D81A" w14:textId="7081F66E" w:rsidR="0086047F" w:rsidRPr="0086047F" w:rsidRDefault="0086047F" w:rsidP="007B3464">
      <w:pPr>
        <w:numPr>
          <w:ilvl w:val="0"/>
          <w:numId w:val="4"/>
        </w:numPr>
        <w:tabs>
          <w:tab w:val="left" w:pos="720"/>
          <w:tab w:val="num" w:pos="1260"/>
          <w:tab w:val="center" w:pos="4320"/>
          <w:tab w:val="right" w:pos="8640"/>
        </w:tabs>
        <w:spacing w:after="120"/>
        <w:ind w:left="540" w:hanging="540"/>
        <w:rPr>
          <w:rFonts w:eastAsiaTheme="minorEastAsia"/>
        </w:rPr>
      </w:pPr>
      <w:r w:rsidRPr="0086047F">
        <w:rPr>
          <w:rFonts w:eastAsiaTheme="minorEastAsia"/>
        </w:rPr>
        <w:t>Operations and Maintenance</w:t>
      </w:r>
      <w:r w:rsidR="00E209E5">
        <w:rPr>
          <w:rFonts w:eastAsiaTheme="minorEastAsia"/>
        </w:rPr>
        <w:t xml:space="preserve">: </w:t>
      </w:r>
      <w:r w:rsidR="00737090" w:rsidRPr="0086047F">
        <w:rPr>
          <w:rFonts w:eastAsiaTheme="minorEastAsia"/>
        </w:rPr>
        <w:t xml:space="preserve">Mobius </w:t>
      </w:r>
      <w:r w:rsidR="00737090">
        <w:rPr>
          <w:rFonts w:eastAsiaTheme="minorEastAsia"/>
        </w:rPr>
        <w:t>will be responsible for a</w:t>
      </w:r>
      <w:r w:rsidRPr="0086047F">
        <w:rPr>
          <w:rFonts w:eastAsiaTheme="minorEastAsia"/>
        </w:rPr>
        <w:t xml:space="preserve">ny </w:t>
      </w:r>
      <w:r w:rsidR="00992AAE" w:rsidRPr="00C90558">
        <w:rPr>
          <w:rFonts w:eastAsiaTheme="minorEastAsia"/>
        </w:rPr>
        <w:t xml:space="preserve">interior </w:t>
      </w:r>
      <w:r w:rsidRPr="0086047F">
        <w:rPr>
          <w:rFonts w:eastAsiaTheme="minorEastAsia"/>
        </w:rPr>
        <w:t>operations and maintenance costs rel</w:t>
      </w:r>
      <w:r w:rsidR="00737090">
        <w:rPr>
          <w:rFonts w:eastAsiaTheme="minorEastAsia"/>
        </w:rPr>
        <w:t>ated to occupation of the space</w:t>
      </w:r>
      <w:r w:rsidR="00737090" w:rsidRPr="00737090">
        <w:rPr>
          <w:rFonts w:eastAsiaTheme="minorEastAsia"/>
        </w:rPr>
        <w:t xml:space="preserve"> </w:t>
      </w:r>
      <w:r w:rsidR="00737090">
        <w:rPr>
          <w:rFonts w:eastAsiaTheme="minorEastAsia"/>
        </w:rPr>
        <w:t xml:space="preserve">of </w:t>
      </w:r>
      <w:r w:rsidR="00737090" w:rsidRPr="0086047F">
        <w:rPr>
          <w:rFonts w:eastAsiaTheme="minorEastAsia"/>
        </w:rPr>
        <w:t xml:space="preserve">the </w:t>
      </w:r>
      <w:r w:rsidR="00737090" w:rsidRPr="00C90558">
        <w:rPr>
          <w:rFonts w:eastAsiaTheme="minorEastAsia"/>
        </w:rPr>
        <w:t>ground</w:t>
      </w:r>
      <w:r w:rsidR="00737090" w:rsidRPr="0086047F">
        <w:rPr>
          <w:rFonts w:eastAsiaTheme="minorEastAsia"/>
        </w:rPr>
        <w:t xml:space="preserve"> floor of the </w:t>
      </w:r>
      <w:r w:rsidR="00BD57C8">
        <w:rPr>
          <w:rFonts w:eastAsiaTheme="minorEastAsia"/>
        </w:rPr>
        <w:t>3</w:t>
      </w:r>
      <w:r w:rsidR="00737090">
        <w:rPr>
          <w:rFonts w:eastAsiaTheme="minorEastAsia"/>
        </w:rPr>
        <w:t>-story Post Street Annex. Avista will be responsible for a</w:t>
      </w:r>
      <w:r w:rsidRPr="0086047F">
        <w:rPr>
          <w:rFonts w:eastAsiaTheme="minorEastAsia"/>
        </w:rPr>
        <w:t xml:space="preserve">ny </w:t>
      </w:r>
      <w:r w:rsidR="00992AAE" w:rsidRPr="00C90558">
        <w:rPr>
          <w:rFonts w:eastAsiaTheme="minorEastAsia"/>
        </w:rPr>
        <w:t xml:space="preserve">exterior </w:t>
      </w:r>
      <w:r w:rsidRPr="0086047F">
        <w:rPr>
          <w:rFonts w:eastAsiaTheme="minorEastAsia"/>
        </w:rPr>
        <w:t xml:space="preserve">operations and maintenance costs </w:t>
      </w:r>
      <w:r w:rsidR="00E209E5">
        <w:rPr>
          <w:rFonts w:eastAsiaTheme="minorEastAsia"/>
        </w:rPr>
        <w:t>for</w:t>
      </w:r>
      <w:r w:rsidRPr="0086047F">
        <w:rPr>
          <w:rFonts w:eastAsiaTheme="minorEastAsia"/>
        </w:rPr>
        <w:t xml:space="preserve"> the common areas of the building and grounds surrounding the</w:t>
      </w:r>
      <w:r w:rsidR="00737090" w:rsidRPr="00737090">
        <w:t xml:space="preserve"> </w:t>
      </w:r>
      <w:r w:rsidR="00737090" w:rsidRPr="001F44F4">
        <w:t>Post Street Annex</w:t>
      </w:r>
      <w:r w:rsidR="00737090">
        <w:t xml:space="preserve"> building</w:t>
      </w:r>
      <w:r w:rsidRPr="0086047F">
        <w:rPr>
          <w:rFonts w:eastAsiaTheme="minorEastAsia"/>
        </w:rPr>
        <w:t>.</w:t>
      </w:r>
    </w:p>
    <w:p w14:paraId="24D958A1" w14:textId="47A26253" w:rsidR="0086047F" w:rsidRPr="0086047F" w:rsidRDefault="0086047F" w:rsidP="007B3464">
      <w:pPr>
        <w:numPr>
          <w:ilvl w:val="0"/>
          <w:numId w:val="4"/>
        </w:numPr>
        <w:tabs>
          <w:tab w:val="left" w:pos="720"/>
          <w:tab w:val="num" w:pos="1260"/>
          <w:tab w:val="center" w:pos="4320"/>
          <w:tab w:val="right" w:pos="8640"/>
        </w:tabs>
        <w:spacing w:after="120"/>
        <w:ind w:left="540" w:hanging="540"/>
        <w:rPr>
          <w:rFonts w:eastAsiaTheme="minorEastAsia"/>
        </w:rPr>
      </w:pPr>
      <w:r w:rsidRPr="0086047F">
        <w:rPr>
          <w:rFonts w:eastAsiaTheme="minorEastAsia"/>
        </w:rPr>
        <w:t>Tenant Improvements</w:t>
      </w:r>
      <w:r w:rsidR="00E05717">
        <w:rPr>
          <w:rFonts w:eastAsiaTheme="minorEastAsia"/>
        </w:rPr>
        <w:t xml:space="preserve">: </w:t>
      </w:r>
      <w:r w:rsidRPr="0086047F">
        <w:rPr>
          <w:rFonts w:eastAsiaTheme="minorEastAsia"/>
        </w:rPr>
        <w:t>Mobius will make all improvements and renovations required for the permitted uses specified in the Lease at its own cost and expense, but with prior approval from Avista.</w:t>
      </w:r>
    </w:p>
    <w:p w14:paraId="4129E3A4" w14:textId="24DCB168" w:rsidR="0086047F" w:rsidRDefault="005F7EEC" w:rsidP="007B3464">
      <w:pPr>
        <w:tabs>
          <w:tab w:val="left" w:pos="720"/>
          <w:tab w:val="num" w:pos="1260"/>
          <w:tab w:val="num" w:pos="1536"/>
          <w:tab w:val="center" w:pos="4320"/>
          <w:tab w:val="right" w:pos="8640"/>
        </w:tabs>
        <w:spacing w:after="120"/>
        <w:ind w:left="540" w:hanging="540"/>
        <w:rPr>
          <w:rFonts w:eastAsiaTheme="minorEastAsia"/>
        </w:rPr>
      </w:pPr>
      <w:r>
        <w:rPr>
          <w:rFonts w:eastAsiaTheme="minorEastAsia"/>
        </w:rPr>
        <w:t>f)</w:t>
      </w:r>
      <w:r w:rsidR="00D00199">
        <w:rPr>
          <w:rFonts w:eastAsiaTheme="minorEastAsia"/>
        </w:rPr>
        <w:tab/>
      </w:r>
      <w:r w:rsidR="0086047F" w:rsidRPr="005F7EEC">
        <w:rPr>
          <w:rFonts w:eastAsiaTheme="minorEastAsia"/>
        </w:rPr>
        <w:t>Exhibit Space</w:t>
      </w:r>
      <w:r w:rsidR="00E209E5">
        <w:rPr>
          <w:rFonts w:eastAsiaTheme="minorEastAsia"/>
        </w:rPr>
        <w:t>:</w:t>
      </w:r>
      <w:r w:rsidR="00E05717">
        <w:rPr>
          <w:rFonts w:eastAsiaTheme="minorEastAsia"/>
        </w:rPr>
        <w:t xml:space="preserve"> </w:t>
      </w:r>
      <w:r w:rsidRPr="005F7EEC">
        <w:rPr>
          <w:rFonts w:eastAsiaTheme="minorEastAsia"/>
        </w:rPr>
        <w:t>Mobius will develop</w:t>
      </w:r>
      <w:r>
        <w:rPr>
          <w:rFonts w:eastAsiaTheme="minorEastAsia"/>
        </w:rPr>
        <w:t>,</w:t>
      </w:r>
      <w:r w:rsidRPr="005F7EEC">
        <w:rPr>
          <w:rFonts w:eastAsiaTheme="minorEastAsia"/>
        </w:rPr>
        <w:t xml:space="preserve"> </w:t>
      </w:r>
      <w:r w:rsidRPr="0086047F">
        <w:rPr>
          <w:rFonts w:eastAsiaTheme="minorEastAsia"/>
        </w:rPr>
        <w:t xml:space="preserve">construct and display </w:t>
      </w:r>
      <w:r w:rsidRPr="005F7EEC">
        <w:rPr>
          <w:rFonts w:eastAsiaTheme="minorEastAsia"/>
        </w:rPr>
        <w:t>at least three different educational programs per year in collaboration with Avista. Avista will have input into all displays, exhibits and educational programs</w:t>
      </w:r>
      <w:r>
        <w:rPr>
          <w:rFonts w:eastAsiaTheme="minorEastAsia"/>
        </w:rPr>
        <w:t>. These programs will demonstrate and promote</w:t>
      </w:r>
      <w:r w:rsidR="0086047F" w:rsidRPr="0086047F">
        <w:rPr>
          <w:rFonts w:eastAsiaTheme="minorEastAsia"/>
        </w:rPr>
        <w:t xml:space="preserve"> electric and gas utility operations, energy efficiency, public awareness of safety issues, scientific and technological innovations related to the utility industry and Spokane River hydroelectric operations, including related protection and enhancement measures, understanding and appreciation of natural and historic resources, and water quality and fisheries protection.  </w:t>
      </w:r>
    </w:p>
    <w:p w14:paraId="7F0EEB88" w14:textId="02F9AA8D" w:rsidR="0086047F" w:rsidRPr="00370784" w:rsidRDefault="00370784" w:rsidP="00AA248D">
      <w:pPr>
        <w:tabs>
          <w:tab w:val="left" w:pos="540"/>
          <w:tab w:val="num" w:pos="1260"/>
          <w:tab w:val="center" w:pos="4320"/>
          <w:tab w:val="right" w:pos="8640"/>
        </w:tabs>
        <w:spacing w:after="120"/>
        <w:ind w:left="540" w:hanging="540"/>
        <w:rPr>
          <w:rFonts w:eastAsiaTheme="minorEastAsia"/>
        </w:rPr>
      </w:pPr>
      <w:r>
        <w:rPr>
          <w:rFonts w:eastAsiaTheme="minorEastAsia"/>
        </w:rPr>
        <w:t>g)</w:t>
      </w:r>
      <w:r w:rsidR="00AA248D">
        <w:rPr>
          <w:rFonts w:eastAsiaTheme="minorEastAsia"/>
        </w:rPr>
        <w:tab/>
      </w:r>
      <w:r w:rsidR="0086047F" w:rsidRPr="00370784">
        <w:rPr>
          <w:rFonts w:eastAsiaTheme="minorEastAsia"/>
        </w:rPr>
        <w:t>Board Position</w:t>
      </w:r>
      <w:r w:rsidR="00E209E5" w:rsidRPr="00370784">
        <w:rPr>
          <w:rFonts w:eastAsiaTheme="minorEastAsia"/>
        </w:rPr>
        <w:t>:</w:t>
      </w:r>
      <w:r w:rsidR="00E05717" w:rsidRPr="00370784">
        <w:rPr>
          <w:rFonts w:eastAsiaTheme="minorEastAsia"/>
        </w:rPr>
        <w:t xml:space="preserve"> </w:t>
      </w:r>
      <w:r w:rsidR="0086047F" w:rsidRPr="00370784">
        <w:rPr>
          <w:rFonts w:eastAsiaTheme="minorEastAsia"/>
        </w:rPr>
        <w:t xml:space="preserve">Mobius agrees that during the term and any extended term of the lease, Avista will have a permanent seat on its Board of Directors in order to ensure that Avista’s interests related to exhibit space are promoted. </w:t>
      </w:r>
    </w:p>
    <w:p w14:paraId="01937AB4" w14:textId="77777777" w:rsidR="00992AAE" w:rsidRPr="00C90558" w:rsidRDefault="00992AAE" w:rsidP="007B3464">
      <w:pPr>
        <w:tabs>
          <w:tab w:val="left" w:pos="720"/>
          <w:tab w:val="num" w:pos="1536"/>
          <w:tab w:val="center" w:pos="4320"/>
          <w:tab w:val="right" w:pos="8640"/>
        </w:tabs>
        <w:spacing w:after="120"/>
        <w:ind w:left="540" w:hanging="540"/>
        <w:rPr>
          <w:rFonts w:eastAsiaTheme="minorEastAsia"/>
        </w:rPr>
      </w:pPr>
    </w:p>
    <w:p w14:paraId="11D6F37B" w14:textId="159FBB4D" w:rsidR="00992AAE" w:rsidRPr="00C90558" w:rsidRDefault="00992AAE" w:rsidP="007B3464">
      <w:pPr>
        <w:tabs>
          <w:tab w:val="left" w:pos="720"/>
          <w:tab w:val="num" w:pos="1536"/>
          <w:tab w:val="center" w:pos="4320"/>
          <w:tab w:val="right" w:pos="8640"/>
        </w:tabs>
        <w:spacing w:after="120"/>
        <w:rPr>
          <w:rFonts w:eastAsiaTheme="minorEastAsia"/>
        </w:rPr>
      </w:pPr>
      <w:r w:rsidRPr="00C90558">
        <w:rPr>
          <w:rFonts w:eastAsiaTheme="minorEastAsia"/>
        </w:rPr>
        <w:t>Limitations on the building and its location:</w:t>
      </w:r>
    </w:p>
    <w:p w14:paraId="144BE6A5" w14:textId="67C31B75" w:rsidR="0082190C" w:rsidRPr="00C90558" w:rsidRDefault="00787571" w:rsidP="007B3464">
      <w:pPr>
        <w:tabs>
          <w:tab w:val="left" w:pos="720"/>
          <w:tab w:val="num" w:pos="1536"/>
          <w:tab w:val="center" w:pos="4320"/>
          <w:tab w:val="right" w:pos="8640"/>
        </w:tabs>
        <w:spacing w:after="120"/>
        <w:rPr>
          <w:rFonts w:eastAsiaTheme="minorEastAsia"/>
        </w:rPr>
      </w:pPr>
      <w:r>
        <w:rPr>
          <w:rFonts w:eastAsiaTheme="minorEastAsia"/>
        </w:rPr>
        <w:t xml:space="preserve">Staff notes there </w:t>
      </w:r>
      <w:r w:rsidR="0082190C" w:rsidRPr="00C90558">
        <w:rPr>
          <w:rFonts w:eastAsiaTheme="minorEastAsia"/>
        </w:rPr>
        <w:t xml:space="preserve">are some limitations or restrictions to the building and its location that prohibit other </w:t>
      </w:r>
      <w:r w:rsidR="00D23935">
        <w:rPr>
          <w:rFonts w:eastAsiaTheme="minorEastAsia"/>
        </w:rPr>
        <w:t xml:space="preserve">commercial </w:t>
      </w:r>
      <w:r w:rsidR="0082190C" w:rsidRPr="00C90558">
        <w:rPr>
          <w:rFonts w:eastAsiaTheme="minorEastAsia"/>
        </w:rPr>
        <w:t>activities</w:t>
      </w:r>
      <w:r w:rsidR="00386B81">
        <w:rPr>
          <w:rFonts w:eastAsiaTheme="minorEastAsia"/>
        </w:rPr>
        <w:t xml:space="preserve"> or uses</w:t>
      </w:r>
      <w:r>
        <w:rPr>
          <w:rFonts w:eastAsiaTheme="minorEastAsia"/>
        </w:rPr>
        <w:t>, such as office space, restaurants or retail</w:t>
      </w:r>
      <w:r w:rsidR="0082190C" w:rsidRPr="00C90558">
        <w:rPr>
          <w:rFonts w:eastAsiaTheme="minorEastAsia"/>
        </w:rPr>
        <w:t>.</w:t>
      </w:r>
      <w:r w:rsidR="00E05717">
        <w:rPr>
          <w:rFonts w:eastAsiaTheme="minorEastAsia"/>
        </w:rPr>
        <w:t xml:space="preserve"> </w:t>
      </w:r>
      <w:r>
        <w:rPr>
          <w:rFonts w:eastAsiaTheme="minorEastAsia"/>
        </w:rPr>
        <w:t>Commercial constraints include:</w:t>
      </w:r>
    </w:p>
    <w:p w14:paraId="40F311BB" w14:textId="418EB2CE" w:rsidR="00C90558" w:rsidRPr="00C90558" w:rsidRDefault="00377196" w:rsidP="007B3464">
      <w:pPr>
        <w:pStyle w:val="ListParagraph"/>
        <w:numPr>
          <w:ilvl w:val="0"/>
          <w:numId w:val="5"/>
        </w:numPr>
        <w:tabs>
          <w:tab w:val="left" w:pos="720"/>
          <w:tab w:val="num" w:pos="1536"/>
          <w:tab w:val="center" w:pos="4320"/>
          <w:tab w:val="right" w:pos="8640"/>
        </w:tabs>
        <w:spacing w:after="120"/>
        <w:rPr>
          <w:rFonts w:ascii="Times New Roman" w:eastAsiaTheme="minorEastAsia" w:hAnsi="Times New Roman"/>
          <w:sz w:val="24"/>
        </w:rPr>
      </w:pPr>
      <w:r>
        <w:rPr>
          <w:rFonts w:ascii="Times New Roman" w:eastAsiaTheme="minorEastAsia" w:hAnsi="Times New Roman"/>
          <w:sz w:val="24"/>
        </w:rPr>
        <w:t xml:space="preserve">Lack of </w:t>
      </w:r>
      <w:r w:rsidR="0082190C" w:rsidRPr="00C90558">
        <w:rPr>
          <w:rFonts w:ascii="Times New Roman" w:eastAsiaTheme="minorEastAsia" w:hAnsi="Times New Roman"/>
          <w:sz w:val="24"/>
        </w:rPr>
        <w:t>Parki</w:t>
      </w:r>
      <w:r w:rsidR="00C06DCA">
        <w:rPr>
          <w:rFonts w:ascii="Times New Roman" w:eastAsiaTheme="minorEastAsia" w:hAnsi="Times New Roman"/>
          <w:sz w:val="24"/>
        </w:rPr>
        <w:t>n</w:t>
      </w:r>
      <w:r w:rsidR="009D7135">
        <w:rPr>
          <w:rFonts w:ascii="Times New Roman" w:eastAsiaTheme="minorEastAsia" w:hAnsi="Times New Roman"/>
          <w:sz w:val="24"/>
        </w:rPr>
        <w:t>g:</w:t>
      </w:r>
      <w:r w:rsidR="00787571">
        <w:rPr>
          <w:rFonts w:ascii="Times New Roman" w:eastAsiaTheme="minorEastAsia" w:hAnsi="Times New Roman"/>
          <w:sz w:val="24"/>
        </w:rPr>
        <w:t xml:space="preserve"> </w:t>
      </w:r>
      <w:r w:rsidR="0082190C" w:rsidRPr="00C90558">
        <w:rPr>
          <w:rFonts w:ascii="Times New Roman" w:eastAsiaTheme="minorEastAsia" w:hAnsi="Times New Roman"/>
          <w:sz w:val="24"/>
        </w:rPr>
        <w:t>Though only t</w:t>
      </w:r>
      <w:r w:rsidR="0082190C" w:rsidRPr="00C90558">
        <w:rPr>
          <w:rFonts w:ascii="Times New Roman" w:hAnsi="Times New Roman"/>
          <w:sz w:val="24"/>
        </w:rPr>
        <w:t>he</w:t>
      </w:r>
      <w:r w:rsidR="0082190C" w:rsidRPr="00C90558">
        <w:rPr>
          <w:rFonts w:ascii="Times New Roman" w:eastAsiaTheme="minorEastAsia" w:hAnsi="Times New Roman"/>
          <w:sz w:val="24"/>
        </w:rPr>
        <w:t xml:space="preserve"> ground</w:t>
      </w:r>
      <w:r w:rsidR="0082190C" w:rsidRPr="0086047F">
        <w:rPr>
          <w:rFonts w:ascii="Times New Roman" w:eastAsiaTheme="minorEastAsia" w:hAnsi="Times New Roman"/>
          <w:sz w:val="24"/>
        </w:rPr>
        <w:t xml:space="preserve"> floor </w:t>
      </w:r>
      <w:r w:rsidR="0082190C" w:rsidRPr="00C90558">
        <w:rPr>
          <w:rFonts w:ascii="Times New Roman" w:hAnsi="Times New Roman"/>
          <w:sz w:val="24"/>
        </w:rPr>
        <w:t>of Post Street Annex has stre</w:t>
      </w:r>
      <w:r w:rsidR="005D5C25">
        <w:rPr>
          <w:rFonts w:ascii="Times New Roman" w:hAnsi="Times New Roman"/>
          <w:sz w:val="24"/>
        </w:rPr>
        <w:t>e</w:t>
      </w:r>
      <w:r w:rsidR="0082190C" w:rsidRPr="00C90558">
        <w:rPr>
          <w:rFonts w:ascii="Times New Roman" w:hAnsi="Times New Roman"/>
          <w:sz w:val="24"/>
        </w:rPr>
        <w:t>t ac</w:t>
      </w:r>
      <w:r w:rsidR="00C06DCA">
        <w:rPr>
          <w:rFonts w:ascii="Times New Roman" w:hAnsi="Times New Roman"/>
          <w:sz w:val="24"/>
        </w:rPr>
        <w:t>c</w:t>
      </w:r>
      <w:r w:rsidR="0082190C" w:rsidRPr="00C90558">
        <w:rPr>
          <w:rFonts w:ascii="Times New Roman" w:hAnsi="Times New Roman"/>
          <w:sz w:val="24"/>
        </w:rPr>
        <w:t xml:space="preserve">ess, there is no parking designated </w:t>
      </w:r>
      <w:r w:rsidR="00BD57C8">
        <w:rPr>
          <w:rFonts w:ascii="Times New Roman" w:hAnsi="Times New Roman"/>
          <w:sz w:val="24"/>
        </w:rPr>
        <w:t>for</w:t>
      </w:r>
      <w:r w:rsidR="00BD57C8" w:rsidRPr="00C90558">
        <w:rPr>
          <w:rFonts w:ascii="Times New Roman" w:hAnsi="Times New Roman"/>
          <w:sz w:val="24"/>
        </w:rPr>
        <w:t xml:space="preserve"> </w:t>
      </w:r>
      <w:r w:rsidR="0082190C" w:rsidRPr="00C90558">
        <w:rPr>
          <w:rFonts w:ascii="Times New Roman" w:hAnsi="Times New Roman"/>
          <w:sz w:val="24"/>
        </w:rPr>
        <w:t>the g</w:t>
      </w:r>
      <w:r w:rsidR="00C06DCA">
        <w:rPr>
          <w:rFonts w:ascii="Times New Roman" w:hAnsi="Times New Roman"/>
          <w:sz w:val="24"/>
        </w:rPr>
        <w:t>r</w:t>
      </w:r>
      <w:r w:rsidR="0082190C" w:rsidRPr="00C90558">
        <w:rPr>
          <w:rFonts w:ascii="Times New Roman" w:hAnsi="Times New Roman"/>
          <w:sz w:val="24"/>
        </w:rPr>
        <w:t xml:space="preserve">ound floor. </w:t>
      </w:r>
      <w:r w:rsidR="00D83AFD">
        <w:rPr>
          <w:rFonts w:ascii="Times New Roman" w:hAnsi="Times New Roman"/>
          <w:sz w:val="24"/>
        </w:rPr>
        <w:t xml:space="preserve">Avista does not provide parking on or around the building. </w:t>
      </w:r>
      <w:r w:rsidR="0082190C" w:rsidRPr="00C90558">
        <w:rPr>
          <w:rFonts w:ascii="Times New Roman" w:hAnsi="Times New Roman"/>
          <w:sz w:val="24"/>
        </w:rPr>
        <w:t>Street metered</w:t>
      </w:r>
      <w:r w:rsidR="00D83AFD">
        <w:rPr>
          <w:rFonts w:ascii="Times New Roman" w:hAnsi="Times New Roman"/>
          <w:sz w:val="24"/>
        </w:rPr>
        <w:t xml:space="preserve"> parking is very limited</w:t>
      </w:r>
      <w:r w:rsidR="0082190C" w:rsidRPr="00C90558">
        <w:rPr>
          <w:rFonts w:ascii="Times New Roman" w:hAnsi="Times New Roman"/>
          <w:sz w:val="24"/>
        </w:rPr>
        <w:t xml:space="preserve">. </w:t>
      </w:r>
      <w:r w:rsidR="00D10C88" w:rsidRPr="00C90558">
        <w:rPr>
          <w:rFonts w:ascii="Times New Roman" w:hAnsi="Times New Roman"/>
          <w:sz w:val="24"/>
        </w:rPr>
        <w:t>Limited street metered p</w:t>
      </w:r>
      <w:r w:rsidR="0082190C" w:rsidRPr="00C90558">
        <w:rPr>
          <w:rFonts w:ascii="Times New Roman" w:hAnsi="Times New Roman"/>
          <w:sz w:val="24"/>
        </w:rPr>
        <w:t xml:space="preserve">arking </w:t>
      </w:r>
      <w:r w:rsidR="00A7595D">
        <w:rPr>
          <w:rFonts w:ascii="Times New Roman" w:hAnsi="Times New Roman"/>
          <w:sz w:val="24"/>
        </w:rPr>
        <w:t>could deter</w:t>
      </w:r>
      <w:r w:rsidR="0082190C" w:rsidRPr="00C90558">
        <w:rPr>
          <w:rFonts w:ascii="Times New Roman" w:hAnsi="Times New Roman"/>
          <w:sz w:val="24"/>
        </w:rPr>
        <w:t xml:space="preserve"> other commercial activit</w:t>
      </w:r>
      <w:r w:rsidR="00C06DCA">
        <w:rPr>
          <w:rFonts w:ascii="Times New Roman" w:hAnsi="Times New Roman"/>
          <w:sz w:val="24"/>
        </w:rPr>
        <w:t>i</w:t>
      </w:r>
      <w:r w:rsidR="0082190C" w:rsidRPr="00C90558">
        <w:rPr>
          <w:rFonts w:ascii="Times New Roman" w:hAnsi="Times New Roman"/>
          <w:sz w:val="24"/>
        </w:rPr>
        <w:t>es to this building.</w:t>
      </w:r>
    </w:p>
    <w:p w14:paraId="0F0BE9D0" w14:textId="77777777" w:rsidR="00C90558" w:rsidRPr="00C90558" w:rsidRDefault="00C90558" w:rsidP="007B3464">
      <w:pPr>
        <w:pStyle w:val="ListParagraph"/>
        <w:tabs>
          <w:tab w:val="left" w:pos="720"/>
          <w:tab w:val="center" w:pos="4320"/>
          <w:tab w:val="right" w:pos="8640"/>
        </w:tabs>
        <w:spacing w:after="120"/>
        <w:rPr>
          <w:rFonts w:ascii="Times New Roman" w:eastAsiaTheme="minorEastAsia" w:hAnsi="Times New Roman"/>
          <w:sz w:val="24"/>
        </w:rPr>
      </w:pPr>
    </w:p>
    <w:p w14:paraId="321455B3" w14:textId="1A6E6261" w:rsidR="00D10C88" w:rsidRPr="001F44F4" w:rsidRDefault="00377196" w:rsidP="007B3464">
      <w:pPr>
        <w:pStyle w:val="ListParagraph"/>
        <w:numPr>
          <w:ilvl w:val="0"/>
          <w:numId w:val="5"/>
        </w:numPr>
        <w:tabs>
          <w:tab w:val="left" w:pos="720"/>
          <w:tab w:val="num" w:pos="1536"/>
          <w:tab w:val="center" w:pos="4320"/>
          <w:tab w:val="right" w:pos="8640"/>
        </w:tabs>
        <w:spacing w:after="120"/>
        <w:rPr>
          <w:rFonts w:ascii="Times New Roman" w:eastAsiaTheme="minorEastAsia" w:hAnsi="Times New Roman"/>
          <w:sz w:val="24"/>
        </w:rPr>
      </w:pPr>
      <w:r>
        <w:rPr>
          <w:rFonts w:ascii="Times New Roman" w:hAnsi="Times New Roman"/>
          <w:sz w:val="24"/>
        </w:rPr>
        <w:t xml:space="preserve">Limits on </w:t>
      </w:r>
      <w:r w:rsidR="009D7135">
        <w:rPr>
          <w:rFonts w:ascii="Times New Roman" w:hAnsi="Times New Roman"/>
          <w:sz w:val="24"/>
        </w:rPr>
        <w:t xml:space="preserve">Restoration: </w:t>
      </w:r>
      <w:r w:rsidR="005D5C25" w:rsidRPr="001F44F4">
        <w:rPr>
          <w:rFonts w:ascii="Times New Roman" w:hAnsi="Times New Roman"/>
          <w:sz w:val="24"/>
        </w:rPr>
        <w:t xml:space="preserve">Post Street Annex is considered </w:t>
      </w:r>
      <w:r w:rsidR="00B87D22" w:rsidRPr="001F44F4">
        <w:rPr>
          <w:rFonts w:ascii="Times New Roman" w:hAnsi="Times New Roman"/>
          <w:sz w:val="24"/>
        </w:rPr>
        <w:t>a</w:t>
      </w:r>
      <w:r w:rsidR="00B87D22">
        <w:rPr>
          <w:rFonts w:ascii="Times New Roman" w:hAnsi="Times New Roman"/>
          <w:sz w:val="24"/>
        </w:rPr>
        <w:t>n</w:t>
      </w:r>
      <w:r w:rsidR="00B87D22" w:rsidRPr="001F44F4">
        <w:rPr>
          <w:rFonts w:ascii="Times New Roman" w:hAnsi="Times New Roman"/>
          <w:sz w:val="24"/>
        </w:rPr>
        <w:t xml:space="preserve"> </w:t>
      </w:r>
      <w:r w:rsidR="005D5C25" w:rsidRPr="001F44F4">
        <w:rPr>
          <w:rFonts w:ascii="Times New Roman" w:hAnsi="Times New Roman"/>
          <w:sz w:val="24"/>
        </w:rPr>
        <w:t xml:space="preserve">historic building. No exterior alteration is allowed. </w:t>
      </w:r>
      <w:r>
        <w:rPr>
          <w:rFonts w:ascii="Times New Roman" w:hAnsi="Times New Roman"/>
          <w:sz w:val="24"/>
        </w:rPr>
        <w:t>The i</w:t>
      </w:r>
      <w:r w:rsidR="005D5C25" w:rsidRPr="001F44F4">
        <w:rPr>
          <w:rFonts w:ascii="Times New Roman" w:hAnsi="Times New Roman"/>
          <w:sz w:val="24"/>
        </w:rPr>
        <w:t>nterior of the building is outdated and semi-rundown. It is not suitable for any commercial use</w:t>
      </w:r>
      <w:r w:rsidR="00931FF3">
        <w:rPr>
          <w:rFonts w:ascii="Times New Roman" w:hAnsi="Times New Roman"/>
          <w:sz w:val="24"/>
        </w:rPr>
        <w:t xml:space="preserve"> without substantial effort</w:t>
      </w:r>
      <w:r w:rsidR="005D5C25" w:rsidRPr="001F44F4">
        <w:rPr>
          <w:rFonts w:ascii="Times New Roman" w:hAnsi="Times New Roman"/>
          <w:sz w:val="24"/>
        </w:rPr>
        <w:t xml:space="preserve">. </w:t>
      </w:r>
      <w:r w:rsidR="00A7595D" w:rsidRPr="001F44F4">
        <w:rPr>
          <w:rFonts w:ascii="Times New Roman" w:hAnsi="Times New Roman"/>
          <w:sz w:val="24"/>
        </w:rPr>
        <w:t xml:space="preserve">The restoration costs </w:t>
      </w:r>
      <w:r w:rsidR="00BD57C8">
        <w:rPr>
          <w:rFonts w:ascii="Times New Roman" w:hAnsi="Times New Roman"/>
          <w:sz w:val="24"/>
        </w:rPr>
        <w:t>for</w:t>
      </w:r>
      <w:r w:rsidR="00BD57C8" w:rsidRPr="001F44F4">
        <w:rPr>
          <w:rFonts w:ascii="Times New Roman" w:hAnsi="Times New Roman"/>
          <w:sz w:val="24"/>
        </w:rPr>
        <w:t xml:space="preserve"> </w:t>
      </w:r>
      <w:r w:rsidR="00A7595D" w:rsidRPr="001F44F4">
        <w:rPr>
          <w:rFonts w:ascii="Times New Roman" w:hAnsi="Times New Roman"/>
          <w:sz w:val="24"/>
        </w:rPr>
        <w:t xml:space="preserve">any suitable commercial </w:t>
      </w:r>
      <w:r w:rsidR="00D23935">
        <w:rPr>
          <w:rFonts w:ascii="Times New Roman" w:hAnsi="Times New Roman"/>
          <w:sz w:val="24"/>
        </w:rPr>
        <w:t xml:space="preserve">use </w:t>
      </w:r>
      <w:r w:rsidR="00A7595D" w:rsidRPr="001F44F4">
        <w:rPr>
          <w:rFonts w:ascii="Times New Roman" w:hAnsi="Times New Roman"/>
          <w:sz w:val="24"/>
        </w:rPr>
        <w:t>may prohibit</w:t>
      </w:r>
      <w:r w:rsidR="001F44F4" w:rsidRPr="001F44F4">
        <w:rPr>
          <w:rFonts w:ascii="Times New Roman" w:hAnsi="Times New Roman"/>
          <w:sz w:val="24"/>
        </w:rPr>
        <w:t xml:space="preserve"> potential commercial tenant use </w:t>
      </w:r>
      <w:r w:rsidR="00BD57C8">
        <w:rPr>
          <w:rFonts w:ascii="Times New Roman" w:hAnsi="Times New Roman"/>
          <w:sz w:val="24"/>
        </w:rPr>
        <w:t xml:space="preserve">of </w:t>
      </w:r>
      <w:r w:rsidR="001F44F4" w:rsidRPr="001F44F4">
        <w:rPr>
          <w:rFonts w:ascii="Times New Roman" w:hAnsi="Times New Roman"/>
          <w:sz w:val="24"/>
        </w:rPr>
        <w:t>the Post Street Annex.</w:t>
      </w:r>
      <w:r w:rsidR="001F44F4">
        <w:rPr>
          <w:rFonts w:ascii="Times New Roman" w:hAnsi="Times New Roman"/>
          <w:sz w:val="24"/>
        </w:rPr>
        <w:t xml:space="preserve"> </w:t>
      </w:r>
      <w:r w:rsidR="00931FF3">
        <w:rPr>
          <w:rFonts w:ascii="Times New Roman" w:eastAsiaTheme="minorEastAsia" w:hAnsi="Times New Roman"/>
          <w:sz w:val="24"/>
        </w:rPr>
        <w:t>Avista</w:t>
      </w:r>
      <w:r w:rsidR="00D10C88" w:rsidRPr="001F44F4">
        <w:rPr>
          <w:rFonts w:ascii="Times New Roman" w:eastAsiaTheme="minorEastAsia" w:hAnsi="Times New Roman"/>
          <w:sz w:val="24"/>
        </w:rPr>
        <w:t xml:space="preserve"> currently estimate</w:t>
      </w:r>
      <w:r w:rsidR="00931FF3">
        <w:rPr>
          <w:rFonts w:ascii="Times New Roman" w:eastAsiaTheme="minorEastAsia" w:hAnsi="Times New Roman"/>
          <w:sz w:val="24"/>
        </w:rPr>
        <w:t>s</w:t>
      </w:r>
      <w:r w:rsidR="00D10C88" w:rsidRPr="001F44F4">
        <w:rPr>
          <w:rFonts w:ascii="Times New Roman" w:eastAsiaTheme="minorEastAsia" w:hAnsi="Times New Roman"/>
          <w:sz w:val="24"/>
        </w:rPr>
        <w:t xml:space="preserve"> that Mobius </w:t>
      </w:r>
      <w:r w:rsidR="00931FF3">
        <w:rPr>
          <w:rFonts w:ascii="Times New Roman" w:eastAsiaTheme="minorEastAsia" w:hAnsi="Times New Roman"/>
          <w:sz w:val="24"/>
        </w:rPr>
        <w:t>might</w:t>
      </w:r>
      <w:r w:rsidR="00D10C88" w:rsidRPr="001F44F4">
        <w:rPr>
          <w:rFonts w:ascii="Times New Roman" w:eastAsiaTheme="minorEastAsia" w:hAnsi="Times New Roman"/>
          <w:sz w:val="24"/>
        </w:rPr>
        <w:t xml:space="preserve"> spend approximately $1.1 million on its own tenant improvements to </w:t>
      </w:r>
      <w:r w:rsidR="005D5C25" w:rsidRPr="001F44F4">
        <w:rPr>
          <w:rFonts w:ascii="Times New Roman" w:eastAsiaTheme="minorEastAsia" w:hAnsi="Times New Roman"/>
          <w:sz w:val="24"/>
        </w:rPr>
        <w:t xml:space="preserve">restore and </w:t>
      </w:r>
      <w:r w:rsidR="00D10C88" w:rsidRPr="001F44F4">
        <w:rPr>
          <w:rFonts w:ascii="Times New Roman" w:eastAsiaTheme="minorEastAsia" w:hAnsi="Times New Roman"/>
          <w:sz w:val="24"/>
        </w:rPr>
        <w:t xml:space="preserve">make the ground level suitable for its purpose.  </w:t>
      </w:r>
    </w:p>
    <w:p w14:paraId="567F3C2D" w14:textId="77777777" w:rsidR="007B3464" w:rsidRPr="007B3464" w:rsidRDefault="007B3464" w:rsidP="007B3464">
      <w:pPr>
        <w:pStyle w:val="ListParagraph"/>
        <w:rPr>
          <w:rFonts w:ascii="Times New Roman" w:eastAsiaTheme="minorEastAsia" w:hAnsi="Times New Roman"/>
          <w:sz w:val="24"/>
        </w:rPr>
      </w:pPr>
    </w:p>
    <w:p w14:paraId="076E38E3" w14:textId="5C531824" w:rsidR="007B3464" w:rsidRPr="007B3464" w:rsidRDefault="007B3464" w:rsidP="007B3464">
      <w:pPr>
        <w:pStyle w:val="ListParagraph"/>
        <w:numPr>
          <w:ilvl w:val="0"/>
          <w:numId w:val="5"/>
        </w:numPr>
        <w:tabs>
          <w:tab w:val="left" w:pos="270"/>
          <w:tab w:val="center" w:pos="4320"/>
          <w:tab w:val="right" w:pos="8640"/>
        </w:tabs>
        <w:spacing w:after="120"/>
        <w:rPr>
          <w:rFonts w:ascii="Times New Roman" w:hAnsi="Times New Roman"/>
          <w:sz w:val="24"/>
        </w:rPr>
      </w:pPr>
      <w:r>
        <w:rPr>
          <w:rFonts w:ascii="Times New Roman" w:eastAsiaTheme="minorEastAsia" w:hAnsi="Times New Roman"/>
          <w:sz w:val="24"/>
        </w:rPr>
        <w:t>Special</w:t>
      </w:r>
      <w:r w:rsidRPr="007B3464">
        <w:rPr>
          <w:rFonts w:ascii="Times New Roman" w:eastAsiaTheme="minorEastAsia" w:hAnsi="Times New Roman"/>
          <w:sz w:val="24"/>
        </w:rPr>
        <w:t xml:space="preserve"> </w:t>
      </w:r>
      <w:r w:rsidR="00FF13EB">
        <w:rPr>
          <w:rFonts w:ascii="Times New Roman" w:eastAsiaTheme="minorEastAsia" w:hAnsi="Times New Roman"/>
          <w:sz w:val="24"/>
        </w:rPr>
        <w:t xml:space="preserve">access </w:t>
      </w:r>
      <w:r w:rsidRPr="007B3464">
        <w:rPr>
          <w:rFonts w:ascii="Times New Roman" w:eastAsiaTheme="minorEastAsia" w:hAnsi="Times New Roman"/>
          <w:sz w:val="24"/>
        </w:rPr>
        <w:t>clause of the lease agreement</w:t>
      </w:r>
      <w:r>
        <w:rPr>
          <w:rFonts w:ascii="Times New Roman" w:eastAsiaTheme="minorEastAsia" w:hAnsi="Times New Roman"/>
          <w:sz w:val="24"/>
        </w:rPr>
        <w:t xml:space="preserve">: </w:t>
      </w:r>
      <w:r w:rsidR="00FF13EB">
        <w:rPr>
          <w:rFonts w:ascii="Times New Roman" w:eastAsiaTheme="minorEastAsia" w:hAnsi="Times New Roman"/>
          <w:sz w:val="24"/>
        </w:rPr>
        <w:t xml:space="preserve">The </w:t>
      </w:r>
      <w:r w:rsidRPr="007B3464">
        <w:rPr>
          <w:rFonts w:ascii="Times New Roman" w:hAnsi="Times New Roman"/>
          <w:sz w:val="24"/>
        </w:rPr>
        <w:t xml:space="preserve">Mobius </w:t>
      </w:r>
      <w:r w:rsidR="00FF13EB">
        <w:rPr>
          <w:rFonts w:ascii="Times New Roman" w:hAnsi="Times New Roman"/>
          <w:sz w:val="24"/>
        </w:rPr>
        <w:t>contract states</w:t>
      </w:r>
      <w:r w:rsidRPr="007B3464">
        <w:rPr>
          <w:rFonts w:ascii="Times New Roman" w:hAnsi="Times New Roman"/>
          <w:sz w:val="24"/>
        </w:rPr>
        <w:t xml:space="preserve"> that Avista may enter the ground floor of the Post Street Annex in the event of an emergency occur</w:t>
      </w:r>
      <w:r w:rsidR="00FF13EB">
        <w:rPr>
          <w:rFonts w:ascii="Times New Roman" w:hAnsi="Times New Roman"/>
          <w:sz w:val="24"/>
        </w:rPr>
        <w:t>ing</w:t>
      </w:r>
      <w:r w:rsidRPr="007B3464">
        <w:rPr>
          <w:rFonts w:ascii="Times New Roman" w:hAnsi="Times New Roman"/>
          <w:sz w:val="24"/>
        </w:rPr>
        <w:t xml:space="preserve"> within or upon the building without notice. Avista in its sole discretion could close the building including the </w:t>
      </w:r>
      <w:r w:rsidR="00FF13EB">
        <w:rPr>
          <w:rFonts w:ascii="Times New Roman" w:hAnsi="Times New Roman"/>
          <w:sz w:val="24"/>
        </w:rPr>
        <w:t>ground floor</w:t>
      </w:r>
      <w:r w:rsidRPr="007B3464">
        <w:rPr>
          <w:rFonts w:ascii="Times New Roman" w:hAnsi="Times New Roman"/>
          <w:sz w:val="24"/>
        </w:rPr>
        <w:t xml:space="preserve"> of the Post Street Annex. Another commercial tenant may find this </w:t>
      </w:r>
      <w:r w:rsidR="00FF13EB">
        <w:rPr>
          <w:rFonts w:ascii="Times New Roman" w:hAnsi="Times New Roman"/>
          <w:sz w:val="24"/>
        </w:rPr>
        <w:t>contract language onorous</w:t>
      </w:r>
      <w:r w:rsidRPr="007B3464">
        <w:rPr>
          <w:rFonts w:ascii="Times New Roman" w:hAnsi="Times New Roman"/>
          <w:sz w:val="24"/>
        </w:rPr>
        <w:t xml:space="preserve"> </w:t>
      </w:r>
      <w:r w:rsidR="00FF13EB">
        <w:rPr>
          <w:rFonts w:ascii="Times New Roman" w:hAnsi="Times New Roman"/>
          <w:sz w:val="24"/>
        </w:rPr>
        <w:t>and an impediment to</w:t>
      </w:r>
      <w:r w:rsidRPr="007B3464">
        <w:rPr>
          <w:rFonts w:ascii="Times New Roman" w:hAnsi="Times New Roman"/>
          <w:sz w:val="24"/>
        </w:rPr>
        <w:t xml:space="preserve"> commercial </w:t>
      </w:r>
      <w:r w:rsidR="00FF13EB">
        <w:rPr>
          <w:rFonts w:ascii="Times New Roman" w:hAnsi="Times New Roman"/>
          <w:sz w:val="24"/>
        </w:rPr>
        <w:t>success</w:t>
      </w:r>
      <w:r w:rsidRPr="007B3464">
        <w:rPr>
          <w:rFonts w:ascii="Times New Roman" w:hAnsi="Times New Roman"/>
          <w:sz w:val="24"/>
        </w:rPr>
        <w:t xml:space="preserve"> and </w:t>
      </w:r>
      <w:r w:rsidR="00FF13EB">
        <w:rPr>
          <w:rFonts w:ascii="Times New Roman" w:hAnsi="Times New Roman"/>
          <w:sz w:val="24"/>
        </w:rPr>
        <w:t xml:space="preserve">be </w:t>
      </w:r>
      <w:r w:rsidRPr="007B3464">
        <w:rPr>
          <w:rFonts w:ascii="Times New Roman" w:hAnsi="Times New Roman"/>
          <w:sz w:val="24"/>
        </w:rPr>
        <w:t>reluctant to offer this flexibility to Avista.</w:t>
      </w:r>
      <w:r w:rsidR="00FF13EB" w:rsidRPr="00FF13EB">
        <w:rPr>
          <w:rFonts w:ascii="Times New Roman" w:eastAsiaTheme="minorEastAsia" w:hAnsi="Times New Roman"/>
          <w:sz w:val="24"/>
        </w:rPr>
        <w:t xml:space="preserve"> </w:t>
      </w:r>
      <w:r w:rsidR="00FF13EB" w:rsidRPr="007B3464">
        <w:rPr>
          <w:rFonts w:ascii="Times New Roman" w:eastAsiaTheme="minorEastAsia" w:hAnsi="Times New Roman"/>
          <w:sz w:val="24"/>
        </w:rPr>
        <w:t xml:space="preserve">Mobius </w:t>
      </w:r>
      <w:r w:rsidR="00FF13EB">
        <w:rPr>
          <w:rFonts w:ascii="Times New Roman" w:eastAsiaTheme="minorEastAsia" w:hAnsi="Times New Roman"/>
          <w:sz w:val="24"/>
        </w:rPr>
        <w:t>accepts</w:t>
      </w:r>
      <w:r w:rsidR="00FF13EB" w:rsidRPr="007B3464">
        <w:rPr>
          <w:rFonts w:ascii="Times New Roman" w:eastAsiaTheme="minorEastAsia" w:hAnsi="Times New Roman"/>
          <w:sz w:val="24"/>
        </w:rPr>
        <w:t xml:space="preserve"> that Avista </w:t>
      </w:r>
      <w:r w:rsidR="00FF13EB">
        <w:rPr>
          <w:rFonts w:ascii="Times New Roman" w:eastAsiaTheme="minorEastAsia" w:hAnsi="Times New Roman"/>
          <w:sz w:val="24"/>
        </w:rPr>
        <w:t xml:space="preserve">must safely </w:t>
      </w:r>
      <w:r w:rsidR="00FF13EB" w:rsidRPr="007B3464">
        <w:rPr>
          <w:rFonts w:ascii="Times New Roman" w:eastAsiaTheme="minorEastAsia" w:hAnsi="Times New Roman"/>
          <w:sz w:val="24"/>
        </w:rPr>
        <w:t>operate</w:t>
      </w:r>
      <w:r w:rsidR="00FF13EB" w:rsidRPr="007B3464">
        <w:rPr>
          <w:rFonts w:ascii="Times New Roman" w:hAnsi="Times New Roman"/>
          <w:sz w:val="24"/>
        </w:rPr>
        <w:t xml:space="preserve"> the Monroe Street Hydroelectric Project and the Post Street Substation </w:t>
      </w:r>
      <w:r w:rsidR="00FF13EB">
        <w:rPr>
          <w:rFonts w:ascii="Times New Roman" w:hAnsi="Times New Roman"/>
          <w:sz w:val="24"/>
        </w:rPr>
        <w:t xml:space="preserve">and may need to close the </w:t>
      </w:r>
      <w:r w:rsidR="00FF13EB" w:rsidRPr="007B3464">
        <w:rPr>
          <w:rFonts w:ascii="Times New Roman" w:hAnsi="Times New Roman"/>
          <w:sz w:val="24"/>
        </w:rPr>
        <w:t>facility</w:t>
      </w:r>
      <w:r w:rsidR="00FF13EB">
        <w:rPr>
          <w:rFonts w:ascii="Times New Roman" w:hAnsi="Times New Roman"/>
          <w:sz w:val="24"/>
        </w:rPr>
        <w:t xml:space="preserve"> on a moments notice</w:t>
      </w:r>
      <w:r w:rsidR="00FF13EB" w:rsidRPr="007B3464">
        <w:rPr>
          <w:rFonts w:ascii="Times New Roman" w:hAnsi="Times New Roman"/>
          <w:sz w:val="24"/>
        </w:rPr>
        <w:t>.</w:t>
      </w:r>
    </w:p>
    <w:p w14:paraId="43EFB410" w14:textId="77777777" w:rsidR="00787571" w:rsidRPr="00C90558" w:rsidRDefault="00787571" w:rsidP="00787571">
      <w:pPr>
        <w:spacing w:after="120"/>
      </w:pPr>
    </w:p>
    <w:p w14:paraId="5DDB91AB" w14:textId="77777777" w:rsidR="00787571" w:rsidRPr="00C90558" w:rsidRDefault="00787571" w:rsidP="00787571">
      <w:pPr>
        <w:spacing w:after="120"/>
        <w:rPr>
          <w:b/>
          <w:u w:val="single"/>
        </w:rPr>
      </w:pPr>
      <w:r w:rsidRPr="00C90558">
        <w:rPr>
          <w:b/>
          <w:u w:val="single"/>
        </w:rPr>
        <w:t>Discussion</w:t>
      </w:r>
    </w:p>
    <w:p w14:paraId="0C7F5358" w14:textId="12E04202" w:rsidR="00C937A9" w:rsidRDefault="00FF13EB" w:rsidP="007B3464">
      <w:pPr>
        <w:pStyle w:val="Header"/>
        <w:tabs>
          <w:tab w:val="left" w:pos="270"/>
        </w:tabs>
        <w:spacing w:after="120"/>
        <w:rPr>
          <w:rFonts w:eastAsiaTheme="minorEastAsia"/>
        </w:rPr>
      </w:pPr>
      <w:r>
        <w:rPr>
          <w:rFonts w:eastAsiaTheme="minorEastAsia"/>
        </w:rPr>
        <w:t>The b</w:t>
      </w:r>
      <w:r w:rsidR="0035147F">
        <w:rPr>
          <w:rFonts w:eastAsiaTheme="minorEastAsia"/>
        </w:rPr>
        <w:t>enefit of the lease agreement to Avista is the education partnership</w:t>
      </w:r>
      <w:r w:rsidR="00AF6E8F">
        <w:rPr>
          <w:rFonts w:eastAsiaTheme="minorEastAsia"/>
        </w:rPr>
        <w:t xml:space="preserve"> with Mobius</w:t>
      </w:r>
      <w:r w:rsidR="0035147F">
        <w:rPr>
          <w:rFonts w:eastAsiaTheme="minorEastAsia"/>
        </w:rPr>
        <w:t xml:space="preserve">. </w:t>
      </w:r>
      <w:r>
        <w:rPr>
          <w:rFonts w:eastAsiaTheme="minorEastAsia"/>
        </w:rPr>
        <w:t xml:space="preserve">Avista has hydro-dam relicensing requirements to provide educational displays on the operations and environmental aspects of </w:t>
      </w:r>
      <w:r w:rsidR="00C937A9">
        <w:rPr>
          <w:rFonts w:eastAsiaTheme="minorEastAsia"/>
        </w:rPr>
        <w:t>hydro power. The Mobius programs will fulfill that requirement.</w:t>
      </w:r>
    </w:p>
    <w:p w14:paraId="27FEDDBC" w14:textId="7DBEA7FD" w:rsidR="005D26E1" w:rsidRPr="005D26E1" w:rsidRDefault="00AF6E8F" w:rsidP="007B3464">
      <w:pPr>
        <w:pStyle w:val="Header"/>
        <w:tabs>
          <w:tab w:val="left" w:pos="270"/>
        </w:tabs>
        <w:spacing w:after="120"/>
        <w:rPr>
          <w:rFonts w:eastAsiaTheme="minorEastAsia"/>
        </w:rPr>
      </w:pPr>
      <w:r>
        <w:t xml:space="preserve">The </w:t>
      </w:r>
      <w:r w:rsidRPr="00C90558">
        <w:t xml:space="preserve">Post Street Annex </w:t>
      </w:r>
      <w:r>
        <w:t xml:space="preserve">is adjacent not only to the Monroe Street Hydroelectric Project and to </w:t>
      </w:r>
      <w:r w:rsidR="007E49E4">
        <w:t xml:space="preserve">the </w:t>
      </w:r>
      <w:r>
        <w:t>Post Street Substation, but also to Riverfront Park, Huntington Park, City of Spokane’s City Hall, and River</w:t>
      </w:r>
      <w:r w:rsidR="00C06DCA">
        <w:t xml:space="preserve"> P</w:t>
      </w:r>
      <w:r>
        <w:t xml:space="preserve">ark Square. </w:t>
      </w:r>
      <w:r w:rsidR="00952EC4" w:rsidRPr="00C90558">
        <w:t xml:space="preserve">The </w:t>
      </w:r>
      <w:r w:rsidR="00952EC4">
        <w:t xml:space="preserve">location of the </w:t>
      </w:r>
      <w:r w:rsidR="00952EC4" w:rsidRPr="00C90558">
        <w:t xml:space="preserve">Post Street Annex </w:t>
      </w:r>
      <w:r w:rsidR="00952EC4">
        <w:t>is ideal to provide Mobius with a well</w:t>
      </w:r>
      <w:r w:rsidR="00C06DCA">
        <w:t>-</w:t>
      </w:r>
      <w:r w:rsidR="00952EC4">
        <w:t xml:space="preserve">established and convenient venue. </w:t>
      </w:r>
      <w:r w:rsidR="005D26E1" w:rsidRPr="005D26E1">
        <w:rPr>
          <w:rFonts w:eastAsiaTheme="minorEastAsia"/>
        </w:rPr>
        <w:t>With an excellent location and a higher level of foot traffic</w:t>
      </w:r>
      <w:r w:rsidR="00952EC4">
        <w:rPr>
          <w:rFonts w:eastAsiaTheme="minorEastAsia"/>
        </w:rPr>
        <w:t xml:space="preserve"> from all different directions</w:t>
      </w:r>
      <w:r w:rsidR="005D26E1" w:rsidRPr="005D26E1">
        <w:rPr>
          <w:rFonts w:eastAsiaTheme="minorEastAsia"/>
        </w:rPr>
        <w:t xml:space="preserve">, Avista’s educational materials will be </w:t>
      </w:r>
      <w:r w:rsidR="00952EC4">
        <w:rPr>
          <w:rFonts w:eastAsiaTheme="minorEastAsia"/>
        </w:rPr>
        <w:t>exposed</w:t>
      </w:r>
      <w:r w:rsidR="005D26E1" w:rsidRPr="005D26E1">
        <w:rPr>
          <w:rFonts w:eastAsiaTheme="minorEastAsia"/>
        </w:rPr>
        <w:t xml:space="preserve"> </w:t>
      </w:r>
      <w:r w:rsidR="00952EC4">
        <w:rPr>
          <w:rFonts w:eastAsiaTheme="minorEastAsia"/>
        </w:rPr>
        <w:t xml:space="preserve">to </w:t>
      </w:r>
      <w:r w:rsidR="005D26E1" w:rsidRPr="005D26E1">
        <w:rPr>
          <w:rFonts w:eastAsiaTheme="minorEastAsia"/>
        </w:rPr>
        <w:t>more members of</w:t>
      </w:r>
      <w:r w:rsidR="009D7135">
        <w:rPr>
          <w:rFonts w:eastAsiaTheme="minorEastAsia"/>
        </w:rPr>
        <w:t xml:space="preserve"> </w:t>
      </w:r>
      <w:r w:rsidR="00787571">
        <w:rPr>
          <w:rFonts w:eastAsiaTheme="minorEastAsia"/>
        </w:rPr>
        <w:t>the Spokane</w:t>
      </w:r>
      <w:r w:rsidR="009D7135">
        <w:rPr>
          <w:rFonts w:eastAsiaTheme="minorEastAsia"/>
        </w:rPr>
        <w:t xml:space="preserve"> community and the public.</w:t>
      </w:r>
      <w:r w:rsidR="005D26E1" w:rsidRPr="005D26E1">
        <w:rPr>
          <w:rFonts w:eastAsiaTheme="minorEastAsia"/>
        </w:rPr>
        <w:t xml:space="preserve"> </w:t>
      </w:r>
    </w:p>
    <w:p w14:paraId="1EAC28AD" w14:textId="77777777" w:rsidR="00FD7795" w:rsidRDefault="00952EC4" w:rsidP="007B3464">
      <w:pPr>
        <w:tabs>
          <w:tab w:val="left" w:pos="270"/>
          <w:tab w:val="center" w:pos="4320"/>
          <w:tab w:val="right" w:pos="8640"/>
        </w:tabs>
        <w:spacing w:after="120"/>
        <w:rPr>
          <w:rFonts w:eastAsiaTheme="minorEastAsia"/>
        </w:rPr>
      </w:pPr>
      <w:r>
        <w:rPr>
          <w:rFonts w:eastAsiaTheme="minorEastAsia"/>
        </w:rPr>
        <w:t xml:space="preserve">Though Mobius will pay </w:t>
      </w:r>
      <w:r w:rsidRPr="005D26E1">
        <w:rPr>
          <w:rFonts w:eastAsiaTheme="minorEastAsia"/>
        </w:rPr>
        <w:t>a nominal lease rate of $1 per year for the first floor of the Post Street Annex</w:t>
      </w:r>
      <w:r>
        <w:rPr>
          <w:rFonts w:eastAsiaTheme="minorEastAsia"/>
        </w:rPr>
        <w:t xml:space="preserve">, in exchange </w:t>
      </w:r>
      <w:r w:rsidR="005D26E1" w:rsidRPr="005D26E1">
        <w:rPr>
          <w:rFonts w:eastAsiaTheme="minorEastAsia"/>
        </w:rPr>
        <w:t xml:space="preserve">Avista will </w:t>
      </w:r>
      <w:r w:rsidR="00157350">
        <w:rPr>
          <w:rFonts w:eastAsiaTheme="minorEastAsia"/>
        </w:rPr>
        <w:t xml:space="preserve">benefit </w:t>
      </w:r>
      <w:r w:rsidR="005D26E1" w:rsidRPr="005D26E1">
        <w:rPr>
          <w:rFonts w:eastAsiaTheme="minorEastAsia"/>
        </w:rPr>
        <w:t>from having the dedicated exhibition space, as well as having Mobius’ technical and professional expertise in designing and displaying energy</w:t>
      </w:r>
      <w:r>
        <w:rPr>
          <w:rFonts w:eastAsiaTheme="minorEastAsia"/>
        </w:rPr>
        <w:t>-related educational materials.</w:t>
      </w:r>
      <w:r w:rsidR="002324F0">
        <w:rPr>
          <w:rFonts w:eastAsiaTheme="minorEastAsia"/>
        </w:rPr>
        <w:t xml:space="preserve">  </w:t>
      </w:r>
    </w:p>
    <w:p w14:paraId="5633B00F" w14:textId="46A9F86F" w:rsidR="00F27308" w:rsidRDefault="002324F0" w:rsidP="007B3464">
      <w:pPr>
        <w:tabs>
          <w:tab w:val="left" w:pos="270"/>
          <w:tab w:val="center" w:pos="4320"/>
          <w:tab w:val="right" w:pos="8640"/>
        </w:tabs>
        <w:spacing w:after="120"/>
        <w:rPr>
          <w:rFonts w:eastAsiaTheme="minorEastAsia"/>
        </w:rPr>
      </w:pPr>
      <w:r>
        <w:rPr>
          <w:rFonts w:eastAsiaTheme="minorEastAsia"/>
        </w:rPr>
        <w:t xml:space="preserve">Note that </w:t>
      </w:r>
      <w:r w:rsidRPr="00C90558">
        <w:t xml:space="preserve">the Lease Agreement </w:t>
      </w:r>
      <w:r w:rsidR="00FD7795">
        <w:t>for</w:t>
      </w:r>
      <w:r w:rsidRPr="00C90558">
        <w:t xml:space="preserve"> the Post Street Street Annex between Avista Corporation and</w:t>
      </w:r>
      <w:r>
        <w:t xml:space="preserve"> Mobius </w:t>
      </w:r>
      <w:r w:rsidR="00FD7795">
        <w:t>is</w:t>
      </w:r>
      <w:r>
        <w:t xml:space="preserve"> confine</w:t>
      </w:r>
      <w:r w:rsidR="00FD7795">
        <w:t>d</w:t>
      </w:r>
      <w:r>
        <w:t xml:space="preserve"> to this </w:t>
      </w:r>
      <w:r w:rsidR="00BD7E0B">
        <w:t xml:space="preserve">filing only. </w:t>
      </w:r>
      <w:r w:rsidR="008F11A9">
        <w:t xml:space="preserve">It </w:t>
      </w:r>
      <w:r w:rsidR="00FD7795">
        <w:t>may</w:t>
      </w:r>
      <w:r w:rsidR="008F11A9">
        <w:t xml:space="preserve"> not be </w:t>
      </w:r>
      <w:r w:rsidR="00FD7795">
        <w:t>considered precedent for any future fi</w:t>
      </w:r>
      <w:r>
        <w:t>lings.</w:t>
      </w:r>
    </w:p>
    <w:p w14:paraId="034543AB" w14:textId="77777777" w:rsidR="00F27308" w:rsidRPr="00C90558" w:rsidRDefault="00F27308" w:rsidP="007B3464">
      <w:pPr>
        <w:tabs>
          <w:tab w:val="left" w:pos="270"/>
          <w:tab w:val="center" w:pos="4320"/>
          <w:tab w:val="right" w:pos="8640"/>
        </w:tabs>
        <w:spacing w:after="120"/>
      </w:pPr>
    </w:p>
    <w:p w14:paraId="4DC7BE3B" w14:textId="77777777" w:rsidR="00E3570F" w:rsidRPr="00C90558" w:rsidRDefault="00E3570F" w:rsidP="00E3570F">
      <w:pPr>
        <w:spacing w:after="120"/>
        <w:rPr>
          <w:b/>
          <w:u w:val="single"/>
        </w:rPr>
      </w:pPr>
      <w:r w:rsidRPr="00C90558">
        <w:rPr>
          <w:b/>
          <w:u w:val="single"/>
        </w:rPr>
        <w:t>Conclusion</w:t>
      </w:r>
    </w:p>
    <w:p w14:paraId="7AF5BDEC" w14:textId="74C246E7" w:rsidR="009E43AE" w:rsidRPr="00C90558" w:rsidRDefault="009E43AE" w:rsidP="00AD3312">
      <w:r w:rsidRPr="00C90558">
        <w:t xml:space="preserve">Staff has reviewed </w:t>
      </w:r>
      <w:r w:rsidR="005D26E1">
        <w:t xml:space="preserve">the lease agreement between Avista </w:t>
      </w:r>
      <w:r w:rsidR="00534D46">
        <w:t xml:space="preserve">and </w:t>
      </w:r>
      <w:r w:rsidR="005D26E1">
        <w:t>Mobius</w:t>
      </w:r>
      <w:r w:rsidRPr="00C90558">
        <w:t xml:space="preserve"> and </w:t>
      </w:r>
      <w:r w:rsidR="005D26E1">
        <w:t xml:space="preserve">physically </w:t>
      </w:r>
      <w:r w:rsidR="00E10111">
        <w:t xml:space="preserve">visited </w:t>
      </w:r>
      <w:r w:rsidR="005D26E1">
        <w:t>the</w:t>
      </w:r>
      <w:r w:rsidR="005D26E1" w:rsidRPr="005D26E1">
        <w:t xml:space="preserve"> </w:t>
      </w:r>
      <w:r w:rsidR="005D26E1">
        <w:t xml:space="preserve">Post Street Annex’s building. Staff </w:t>
      </w:r>
      <w:r w:rsidRPr="00C90558">
        <w:t xml:space="preserve">find </w:t>
      </w:r>
      <w:r w:rsidR="005D26E1">
        <w:t xml:space="preserve">the lease agreement </w:t>
      </w:r>
      <w:r w:rsidRPr="00C90558">
        <w:t xml:space="preserve">to be reasonable. Therefore staff recommends the commission </w:t>
      </w:r>
      <w:r w:rsidR="005D26E1">
        <w:t xml:space="preserve">issue an Order </w:t>
      </w:r>
      <w:r w:rsidR="005D26E1" w:rsidRPr="00C90558">
        <w:t>approving the Lease Agreement between Avista Corporation and Mobius Science Center in Docket UE-150715</w:t>
      </w:r>
      <w:r w:rsidR="005D26E1">
        <w:t>.</w:t>
      </w:r>
    </w:p>
    <w:sectPr w:rsidR="009E43AE" w:rsidRPr="00C90558" w:rsidSect="001A7617">
      <w:headerReference w:type="default" r:id="rId11"/>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0DFFE" w14:textId="77777777" w:rsidR="00CA71C9" w:rsidRDefault="00CA71C9" w:rsidP="00E3570F">
      <w:r>
        <w:separator/>
      </w:r>
    </w:p>
  </w:endnote>
  <w:endnote w:type="continuationSeparator" w:id="0">
    <w:p w14:paraId="1CF72323" w14:textId="77777777" w:rsidR="00CA71C9" w:rsidRDefault="00CA71C9"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CD886" w14:textId="77777777" w:rsidR="00CA71C9" w:rsidRDefault="00CA71C9" w:rsidP="00E3570F">
      <w:r>
        <w:separator/>
      </w:r>
    </w:p>
  </w:footnote>
  <w:footnote w:type="continuationSeparator" w:id="0">
    <w:p w14:paraId="26E6A250" w14:textId="77777777" w:rsidR="00CA71C9" w:rsidRDefault="00CA71C9" w:rsidP="00E35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921E9" w14:textId="77777777" w:rsidR="00E93C93" w:rsidRPr="00E17B05" w:rsidRDefault="00E93C93" w:rsidP="00E93C93">
    <w:pPr>
      <w:pStyle w:val="Header"/>
      <w:rPr>
        <w:sz w:val="20"/>
        <w:szCs w:val="20"/>
      </w:rPr>
    </w:pPr>
    <w:r w:rsidRPr="00E17B05">
      <w:rPr>
        <w:sz w:val="20"/>
        <w:szCs w:val="20"/>
      </w:rPr>
      <w:t>Docket UG-1</w:t>
    </w:r>
    <w:r>
      <w:rPr>
        <w:sz w:val="20"/>
        <w:szCs w:val="20"/>
      </w:rPr>
      <w:t>50715</w:t>
    </w:r>
  </w:p>
  <w:p w14:paraId="28A6EA2C" w14:textId="5E4DA9CA" w:rsidR="00E93C93" w:rsidRPr="00E17B05" w:rsidRDefault="00E05717" w:rsidP="00E93C93">
    <w:pPr>
      <w:pStyle w:val="Header"/>
      <w:rPr>
        <w:sz w:val="20"/>
        <w:szCs w:val="20"/>
      </w:rPr>
    </w:pPr>
    <w:r>
      <w:rPr>
        <w:sz w:val="20"/>
        <w:szCs w:val="20"/>
      </w:rPr>
      <w:t>July</w:t>
    </w:r>
    <w:r w:rsidR="00E93C93" w:rsidRPr="00E17B05">
      <w:rPr>
        <w:sz w:val="20"/>
        <w:szCs w:val="20"/>
      </w:rPr>
      <w:t xml:space="preserve"> </w:t>
    </w:r>
    <w:r w:rsidR="00E93C93">
      <w:rPr>
        <w:sz w:val="20"/>
        <w:szCs w:val="20"/>
      </w:rPr>
      <w:t>30</w:t>
    </w:r>
    <w:r w:rsidR="00E93C93" w:rsidRPr="00E17B05">
      <w:rPr>
        <w:sz w:val="20"/>
        <w:szCs w:val="20"/>
      </w:rPr>
      <w:t>, 201</w:t>
    </w:r>
    <w:r w:rsidR="00E93C93">
      <w:rPr>
        <w:sz w:val="20"/>
        <w:szCs w:val="20"/>
      </w:rPr>
      <w:t>5</w:t>
    </w:r>
  </w:p>
  <w:p w14:paraId="53264B8C" w14:textId="4A498A39" w:rsidR="00E93C93" w:rsidRPr="00E93C93" w:rsidRDefault="00E93C93">
    <w:pPr>
      <w:pStyle w:val="Header"/>
      <w:rPr>
        <w:sz w:val="20"/>
        <w:szCs w:val="20"/>
      </w:rPr>
    </w:pPr>
    <w:r w:rsidRPr="00E93C93">
      <w:rPr>
        <w:sz w:val="20"/>
        <w:szCs w:val="20"/>
      </w:rPr>
      <w:t xml:space="preserve">Page </w:t>
    </w:r>
    <w:r w:rsidRPr="00E93C93">
      <w:rPr>
        <w:sz w:val="20"/>
        <w:szCs w:val="20"/>
      </w:rPr>
      <w:fldChar w:fldCharType="begin"/>
    </w:r>
    <w:r w:rsidRPr="00E93C93">
      <w:rPr>
        <w:sz w:val="20"/>
        <w:szCs w:val="20"/>
      </w:rPr>
      <w:instrText xml:space="preserve"> PAGE   \* MERGEFORMAT </w:instrText>
    </w:r>
    <w:r w:rsidRPr="00E93C93">
      <w:rPr>
        <w:sz w:val="20"/>
        <w:szCs w:val="20"/>
      </w:rPr>
      <w:fldChar w:fldCharType="separate"/>
    </w:r>
    <w:r w:rsidR="006D272D">
      <w:rPr>
        <w:noProof/>
        <w:sz w:val="20"/>
        <w:szCs w:val="20"/>
      </w:rPr>
      <w:t>3</w:t>
    </w:r>
    <w:r w:rsidRPr="00E93C93">
      <w:rPr>
        <w:noProof/>
        <w:sz w:val="20"/>
        <w:szCs w:val="20"/>
      </w:rPr>
      <w:fldChar w:fldCharType="end"/>
    </w:r>
  </w:p>
  <w:p w14:paraId="0705B44A" w14:textId="77777777" w:rsidR="00E93C93" w:rsidRDefault="00E93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28BC"/>
    <w:multiLevelType w:val="hybridMultilevel"/>
    <w:tmpl w:val="306E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709"/>
    <w:multiLevelType w:val="hybridMultilevel"/>
    <w:tmpl w:val="E50C8CE4"/>
    <w:lvl w:ilvl="0" w:tplc="60AAC4B8">
      <w:start w:val="1"/>
      <w:numFmt w:val="lowerLetter"/>
      <w:lvlText w:val="%1)"/>
      <w:lvlJc w:val="left"/>
      <w:pPr>
        <w:tabs>
          <w:tab w:val="num" w:pos="816"/>
        </w:tabs>
        <w:ind w:left="816" w:hanging="816"/>
      </w:pPr>
      <w:rPr>
        <w:rFonts w:hint="default"/>
        <w:b w:val="0"/>
        <w:bCs w:val="0"/>
        <w:i w:val="0"/>
        <w:iCs/>
        <w:color w:val="auto"/>
        <w:sz w:val="24"/>
        <w:szCs w:val="24"/>
      </w:rPr>
    </w:lvl>
    <w:lvl w:ilvl="1" w:tplc="04090019">
      <w:start w:val="1"/>
      <w:numFmt w:val="lowerLetter"/>
      <w:lvlText w:val="%2."/>
      <w:lvlJc w:val="left"/>
      <w:pPr>
        <w:tabs>
          <w:tab w:val="num" w:pos="2256"/>
        </w:tabs>
        <w:ind w:left="2256" w:hanging="360"/>
      </w:pPr>
      <w:rPr>
        <w:rFonts w:cs="Times New Roman"/>
      </w:rPr>
    </w:lvl>
    <w:lvl w:ilvl="2" w:tplc="0409001B">
      <w:start w:val="1"/>
      <w:numFmt w:val="lowerRoman"/>
      <w:lvlText w:val="%3."/>
      <w:lvlJc w:val="right"/>
      <w:pPr>
        <w:tabs>
          <w:tab w:val="num" w:pos="2976"/>
        </w:tabs>
        <w:ind w:left="2976" w:hanging="180"/>
      </w:pPr>
      <w:rPr>
        <w:rFonts w:cs="Times New Roman"/>
      </w:rPr>
    </w:lvl>
    <w:lvl w:ilvl="3" w:tplc="0409000F">
      <w:start w:val="1"/>
      <w:numFmt w:val="decimal"/>
      <w:lvlText w:val="%4."/>
      <w:lvlJc w:val="left"/>
      <w:pPr>
        <w:tabs>
          <w:tab w:val="num" w:pos="3696"/>
        </w:tabs>
        <w:ind w:left="3696" w:hanging="360"/>
      </w:pPr>
      <w:rPr>
        <w:rFonts w:cs="Times New Roman"/>
      </w:rPr>
    </w:lvl>
    <w:lvl w:ilvl="4" w:tplc="04090019">
      <w:start w:val="1"/>
      <w:numFmt w:val="lowerLetter"/>
      <w:lvlText w:val="%5."/>
      <w:lvlJc w:val="left"/>
      <w:pPr>
        <w:tabs>
          <w:tab w:val="num" w:pos="4416"/>
        </w:tabs>
        <w:ind w:left="4416" w:hanging="360"/>
      </w:pPr>
      <w:rPr>
        <w:rFonts w:cs="Times New Roman"/>
      </w:rPr>
    </w:lvl>
    <w:lvl w:ilvl="5" w:tplc="0409001B">
      <w:start w:val="1"/>
      <w:numFmt w:val="lowerRoman"/>
      <w:lvlText w:val="%6."/>
      <w:lvlJc w:val="right"/>
      <w:pPr>
        <w:tabs>
          <w:tab w:val="num" w:pos="5136"/>
        </w:tabs>
        <w:ind w:left="5136" w:hanging="180"/>
      </w:pPr>
      <w:rPr>
        <w:rFonts w:cs="Times New Roman"/>
      </w:rPr>
    </w:lvl>
    <w:lvl w:ilvl="6" w:tplc="0409000F">
      <w:start w:val="1"/>
      <w:numFmt w:val="decimal"/>
      <w:lvlText w:val="%7."/>
      <w:lvlJc w:val="left"/>
      <w:pPr>
        <w:tabs>
          <w:tab w:val="num" w:pos="5856"/>
        </w:tabs>
        <w:ind w:left="5856" w:hanging="360"/>
      </w:pPr>
      <w:rPr>
        <w:rFonts w:cs="Times New Roman"/>
      </w:rPr>
    </w:lvl>
    <w:lvl w:ilvl="7" w:tplc="04090019">
      <w:start w:val="1"/>
      <w:numFmt w:val="lowerLetter"/>
      <w:lvlText w:val="%8."/>
      <w:lvlJc w:val="left"/>
      <w:pPr>
        <w:tabs>
          <w:tab w:val="num" w:pos="6576"/>
        </w:tabs>
        <w:ind w:left="6576" w:hanging="360"/>
      </w:pPr>
      <w:rPr>
        <w:rFonts w:cs="Times New Roman"/>
      </w:rPr>
    </w:lvl>
    <w:lvl w:ilvl="8" w:tplc="0409001B">
      <w:start w:val="1"/>
      <w:numFmt w:val="lowerRoman"/>
      <w:lvlText w:val="%9."/>
      <w:lvlJc w:val="right"/>
      <w:pPr>
        <w:tabs>
          <w:tab w:val="num" w:pos="7296"/>
        </w:tabs>
        <w:ind w:left="7296" w:hanging="180"/>
      </w:pPr>
      <w:rPr>
        <w:rFonts w:cs="Times New Roman"/>
      </w:rPr>
    </w:lvl>
  </w:abstractNum>
  <w:abstractNum w:abstractNumId="2" w15:restartNumberingAfterBreak="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335E9"/>
    <w:multiLevelType w:val="hybridMultilevel"/>
    <w:tmpl w:val="D3CA7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77285"/>
    <w:multiLevelType w:val="hybridMultilevel"/>
    <w:tmpl w:val="CD6C4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C79BD"/>
    <w:multiLevelType w:val="hybridMultilevel"/>
    <w:tmpl w:val="C54C822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6" w15:restartNumberingAfterBreak="0">
    <w:nsid w:val="5C1D7E47"/>
    <w:multiLevelType w:val="hybridMultilevel"/>
    <w:tmpl w:val="34D0776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0F"/>
    <w:rsid w:val="00007415"/>
    <w:rsid w:val="00020414"/>
    <w:rsid w:val="0002649B"/>
    <w:rsid w:val="00027207"/>
    <w:rsid w:val="000375D4"/>
    <w:rsid w:val="0004115E"/>
    <w:rsid w:val="000475F2"/>
    <w:rsid w:val="00052A7A"/>
    <w:rsid w:val="00057BA7"/>
    <w:rsid w:val="00075D51"/>
    <w:rsid w:val="00082716"/>
    <w:rsid w:val="00090C03"/>
    <w:rsid w:val="000933E5"/>
    <w:rsid w:val="000C2A56"/>
    <w:rsid w:val="000E22CB"/>
    <w:rsid w:val="000E640C"/>
    <w:rsid w:val="000E6A57"/>
    <w:rsid w:val="000F1D48"/>
    <w:rsid w:val="000F5C5A"/>
    <w:rsid w:val="001148E4"/>
    <w:rsid w:val="00115313"/>
    <w:rsid w:val="00132DF5"/>
    <w:rsid w:val="00141192"/>
    <w:rsid w:val="00157350"/>
    <w:rsid w:val="001A46D2"/>
    <w:rsid w:val="001A7617"/>
    <w:rsid w:val="001B286C"/>
    <w:rsid w:val="001C582A"/>
    <w:rsid w:val="001C5AB1"/>
    <w:rsid w:val="001E1D7A"/>
    <w:rsid w:val="001F44F4"/>
    <w:rsid w:val="001F461D"/>
    <w:rsid w:val="001F4FE5"/>
    <w:rsid w:val="00210068"/>
    <w:rsid w:val="00225A3D"/>
    <w:rsid w:val="002324F0"/>
    <w:rsid w:val="00235454"/>
    <w:rsid w:val="002374DD"/>
    <w:rsid w:val="00256511"/>
    <w:rsid w:val="002A07C2"/>
    <w:rsid w:val="002A2D5C"/>
    <w:rsid w:val="002B00BA"/>
    <w:rsid w:val="002B1413"/>
    <w:rsid w:val="002B55A9"/>
    <w:rsid w:val="002B579F"/>
    <w:rsid w:val="002B6533"/>
    <w:rsid w:val="002C039A"/>
    <w:rsid w:val="002D3D0B"/>
    <w:rsid w:val="002E4CB6"/>
    <w:rsid w:val="002F5878"/>
    <w:rsid w:val="00307586"/>
    <w:rsid w:val="00333BB7"/>
    <w:rsid w:val="00337864"/>
    <w:rsid w:val="0035147F"/>
    <w:rsid w:val="00354A2D"/>
    <w:rsid w:val="00356656"/>
    <w:rsid w:val="00367122"/>
    <w:rsid w:val="00370784"/>
    <w:rsid w:val="00372428"/>
    <w:rsid w:val="003749AB"/>
    <w:rsid w:val="00377196"/>
    <w:rsid w:val="00381A28"/>
    <w:rsid w:val="00384F35"/>
    <w:rsid w:val="00386B81"/>
    <w:rsid w:val="003918C9"/>
    <w:rsid w:val="003A44D8"/>
    <w:rsid w:val="003B1A1C"/>
    <w:rsid w:val="003B203C"/>
    <w:rsid w:val="003B2585"/>
    <w:rsid w:val="003B556F"/>
    <w:rsid w:val="003C0D1D"/>
    <w:rsid w:val="003C7E19"/>
    <w:rsid w:val="00411B71"/>
    <w:rsid w:val="0041214F"/>
    <w:rsid w:val="004179F2"/>
    <w:rsid w:val="004C3434"/>
    <w:rsid w:val="004C400A"/>
    <w:rsid w:val="004E6A19"/>
    <w:rsid w:val="00504B26"/>
    <w:rsid w:val="00506B41"/>
    <w:rsid w:val="00522EA2"/>
    <w:rsid w:val="005245A4"/>
    <w:rsid w:val="0052523E"/>
    <w:rsid w:val="00532492"/>
    <w:rsid w:val="00532978"/>
    <w:rsid w:val="00534D46"/>
    <w:rsid w:val="00552600"/>
    <w:rsid w:val="005571D9"/>
    <w:rsid w:val="00570F7D"/>
    <w:rsid w:val="00581620"/>
    <w:rsid w:val="00590274"/>
    <w:rsid w:val="005A6C74"/>
    <w:rsid w:val="005C5EC6"/>
    <w:rsid w:val="005C6BD3"/>
    <w:rsid w:val="005D146A"/>
    <w:rsid w:val="005D26E1"/>
    <w:rsid w:val="005D5C25"/>
    <w:rsid w:val="005D5E39"/>
    <w:rsid w:val="005F7EEC"/>
    <w:rsid w:val="00603BE1"/>
    <w:rsid w:val="00604833"/>
    <w:rsid w:val="00610579"/>
    <w:rsid w:val="0061563F"/>
    <w:rsid w:val="00616438"/>
    <w:rsid w:val="00620B9A"/>
    <w:rsid w:val="006300D2"/>
    <w:rsid w:val="00630C80"/>
    <w:rsid w:val="00672F7B"/>
    <w:rsid w:val="00673B40"/>
    <w:rsid w:val="00680C5D"/>
    <w:rsid w:val="006A2958"/>
    <w:rsid w:val="006A41EE"/>
    <w:rsid w:val="006B28E6"/>
    <w:rsid w:val="006D0FDE"/>
    <w:rsid w:val="006D272D"/>
    <w:rsid w:val="006F0499"/>
    <w:rsid w:val="006F184A"/>
    <w:rsid w:val="006F7F00"/>
    <w:rsid w:val="00704A79"/>
    <w:rsid w:val="00726B7D"/>
    <w:rsid w:val="007312CF"/>
    <w:rsid w:val="00737090"/>
    <w:rsid w:val="00745BFF"/>
    <w:rsid w:val="0074668E"/>
    <w:rsid w:val="00747B1D"/>
    <w:rsid w:val="007858D6"/>
    <w:rsid w:val="00787571"/>
    <w:rsid w:val="007B3336"/>
    <w:rsid w:val="007B3464"/>
    <w:rsid w:val="007C0D6D"/>
    <w:rsid w:val="007C255F"/>
    <w:rsid w:val="007D24F7"/>
    <w:rsid w:val="007D4327"/>
    <w:rsid w:val="007E0D0B"/>
    <w:rsid w:val="007E49E4"/>
    <w:rsid w:val="007F6A8E"/>
    <w:rsid w:val="00807CB9"/>
    <w:rsid w:val="008202E4"/>
    <w:rsid w:val="0082190C"/>
    <w:rsid w:val="008221C8"/>
    <w:rsid w:val="0083185B"/>
    <w:rsid w:val="00834466"/>
    <w:rsid w:val="00834707"/>
    <w:rsid w:val="00837AA7"/>
    <w:rsid w:val="0086047F"/>
    <w:rsid w:val="00863004"/>
    <w:rsid w:val="008745CB"/>
    <w:rsid w:val="00874C59"/>
    <w:rsid w:val="00883699"/>
    <w:rsid w:val="0088589E"/>
    <w:rsid w:val="0088789B"/>
    <w:rsid w:val="008D52AB"/>
    <w:rsid w:val="008D5D4F"/>
    <w:rsid w:val="008E14B6"/>
    <w:rsid w:val="008F08B2"/>
    <w:rsid w:val="008F11A9"/>
    <w:rsid w:val="0091691B"/>
    <w:rsid w:val="00931FF3"/>
    <w:rsid w:val="00935675"/>
    <w:rsid w:val="00952EC4"/>
    <w:rsid w:val="00954023"/>
    <w:rsid w:val="00962083"/>
    <w:rsid w:val="00971811"/>
    <w:rsid w:val="0097382C"/>
    <w:rsid w:val="00973AE2"/>
    <w:rsid w:val="00974D1B"/>
    <w:rsid w:val="00992AAE"/>
    <w:rsid w:val="009A1B6B"/>
    <w:rsid w:val="009D7135"/>
    <w:rsid w:val="009E43AE"/>
    <w:rsid w:val="009F5886"/>
    <w:rsid w:val="00A1689C"/>
    <w:rsid w:val="00A37D56"/>
    <w:rsid w:val="00A406C3"/>
    <w:rsid w:val="00A5138D"/>
    <w:rsid w:val="00A66602"/>
    <w:rsid w:val="00A7009C"/>
    <w:rsid w:val="00A7595D"/>
    <w:rsid w:val="00A82791"/>
    <w:rsid w:val="00A84C2A"/>
    <w:rsid w:val="00A945A6"/>
    <w:rsid w:val="00AA05CE"/>
    <w:rsid w:val="00AA0F8A"/>
    <w:rsid w:val="00AA248D"/>
    <w:rsid w:val="00AA380A"/>
    <w:rsid w:val="00AA5E5D"/>
    <w:rsid w:val="00AA7F24"/>
    <w:rsid w:val="00AD3312"/>
    <w:rsid w:val="00AD4584"/>
    <w:rsid w:val="00AE18D1"/>
    <w:rsid w:val="00AE191B"/>
    <w:rsid w:val="00AE273E"/>
    <w:rsid w:val="00AE5F90"/>
    <w:rsid w:val="00AF3234"/>
    <w:rsid w:val="00AF4467"/>
    <w:rsid w:val="00AF6E8F"/>
    <w:rsid w:val="00B0010C"/>
    <w:rsid w:val="00B13041"/>
    <w:rsid w:val="00B2554B"/>
    <w:rsid w:val="00B27ADA"/>
    <w:rsid w:val="00B34D3B"/>
    <w:rsid w:val="00B43B36"/>
    <w:rsid w:val="00B51B69"/>
    <w:rsid w:val="00B53595"/>
    <w:rsid w:val="00B556AF"/>
    <w:rsid w:val="00B62575"/>
    <w:rsid w:val="00B627E3"/>
    <w:rsid w:val="00B87D22"/>
    <w:rsid w:val="00B97DFC"/>
    <w:rsid w:val="00BA4BE0"/>
    <w:rsid w:val="00BB0FBD"/>
    <w:rsid w:val="00BC13EC"/>
    <w:rsid w:val="00BC40D6"/>
    <w:rsid w:val="00BD14AD"/>
    <w:rsid w:val="00BD57C8"/>
    <w:rsid w:val="00BD7E0B"/>
    <w:rsid w:val="00BE428D"/>
    <w:rsid w:val="00C06DCA"/>
    <w:rsid w:val="00C07F00"/>
    <w:rsid w:val="00C1663F"/>
    <w:rsid w:val="00C27F60"/>
    <w:rsid w:val="00C43F97"/>
    <w:rsid w:val="00C45553"/>
    <w:rsid w:val="00C607A0"/>
    <w:rsid w:val="00C60E41"/>
    <w:rsid w:val="00C62BBB"/>
    <w:rsid w:val="00C66D1A"/>
    <w:rsid w:val="00C726A6"/>
    <w:rsid w:val="00C87A47"/>
    <w:rsid w:val="00C90558"/>
    <w:rsid w:val="00C929AD"/>
    <w:rsid w:val="00C92BE4"/>
    <w:rsid w:val="00C937A9"/>
    <w:rsid w:val="00C937E7"/>
    <w:rsid w:val="00CA2F5A"/>
    <w:rsid w:val="00CA3484"/>
    <w:rsid w:val="00CA71C9"/>
    <w:rsid w:val="00CB53EC"/>
    <w:rsid w:val="00CD0A6F"/>
    <w:rsid w:val="00CE23E4"/>
    <w:rsid w:val="00D00199"/>
    <w:rsid w:val="00D10C88"/>
    <w:rsid w:val="00D23935"/>
    <w:rsid w:val="00D4215E"/>
    <w:rsid w:val="00D56B5A"/>
    <w:rsid w:val="00D571E1"/>
    <w:rsid w:val="00D83AFD"/>
    <w:rsid w:val="00D96D68"/>
    <w:rsid w:val="00DA1B86"/>
    <w:rsid w:val="00DA5977"/>
    <w:rsid w:val="00DD2A47"/>
    <w:rsid w:val="00E055A3"/>
    <w:rsid w:val="00E05717"/>
    <w:rsid w:val="00E10111"/>
    <w:rsid w:val="00E16F23"/>
    <w:rsid w:val="00E209E5"/>
    <w:rsid w:val="00E30986"/>
    <w:rsid w:val="00E33FD0"/>
    <w:rsid w:val="00E3570F"/>
    <w:rsid w:val="00E36A5F"/>
    <w:rsid w:val="00E44142"/>
    <w:rsid w:val="00E576C6"/>
    <w:rsid w:val="00E66102"/>
    <w:rsid w:val="00E7690E"/>
    <w:rsid w:val="00E76C46"/>
    <w:rsid w:val="00E82AEA"/>
    <w:rsid w:val="00E8385D"/>
    <w:rsid w:val="00E9385F"/>
    <w:rsid w:val="00E93C93"/>
    <w:rsid w:val="00EB7528"/>
    <w:rsid w:val="00EC63CD"/>
    <w:rsid w:val="00F20CA3"/>
    <w:rsid w:val="00F21B68"/>
    <w:rsid w:val="00F261B4"/>
    <w:rsid w:val="00F27308"/>
    <w:rsid w:val="00F314B5"/>
    <w:rsid w:val="00F42DCE"/>
    <w:rsid w:val="00F81025"/>
    <w:rsid w:val="00F8196A"/>
    <w:rsid w:val="00F878EC"/>
    <w:rsid w:val="00F879C1"/>
    <w:rsid w:val="00FA0F8D"/>
    <w:rsid w:val="00FA5115"/>
    <w:rsid w:val="00FA62BD"/>
    <w:rsid w:val="00FA6DE4"/>
    <w:rsid w:val="00FB22A6"/>
    <w:rsid w:val="00FB7F6B"/>
    <w:rsid w:val="00FD0D1F"/>
    <w:rsid w:val="00FD2C74"/>
    <w:rsid w:val="00FD7795"/>
    <w:rsid w:val="00FF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C7BDB6"/>
  <w15:docId w15:val="{80067164-0453-478D-9EB2-E2FB72FB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table" w:styleId="LightShading">
    <w:name w:val="Light Shading"/>
    <w:basedOn w:val="TableNormal"/>
    <w:uiPriority w:val="60"/>
    <w:rsid w:val="008836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A7009C"/>
    <w:rPr>
      <w:sz w:val="20"/>
      <w:szCs w:val="20"/>
    </w:rPr>
  </w:style>
  <w:style w:type="character" w:customStyle="1" w:styleId="EndnoteTextChar">
    <w:name w:val="Endnote Text Char"/>
    <w:basedOn w:val="DefaultParagraphFont"/>
    <w:link w:val="EndnoteText"/>
    <w:uiPriority w:val="99"/>
    <w:semiHidden/>
    <w:rsid w:val="00A7009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009C"/>
    <w:rPr>
      <w:vertAlign w:val="superscript"/>
    </w:rPr>
  </w:style>
  <w:style w:type="paragraph" w:styleId="Footer">
    <w:name w:val="footer"/>
    <w:basedOn w:val="Normal"/>
    <w:link w:val="FooterChar"/>
    <w:uiPriority w:val="99"/>
    <w:unhideWhenUsed/>
    <w:rsid w:val="00E30986"/>
    <w:pPr>
      <w:tabs>
        <w:tab w:val="center" w:pos="4680"/>
        <w:tab w:val="right" w:pos="9360"/>
      </w:tabs>
    </w:pPr>
  </w:style>
  <w:style w:type="character" w:customStyle="1" w:styleId="FooterChar">
    <w:name w:val="Footer Char"/>
    <w:basedOn w:val="DefaultParagraphFont"/>
    <w:link w:val="Footer"/>
    <w:uiPriority w:val="99"/>
    <w:rsid w:val="00E309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33E5"/>
    <w:rPr>
      <w:sz w:val="16"/>
      <w:szCs w:val="16"/>
    </w:rPr>
  </w:style>
  <w:style w:type="character" w:styleId="Hyperlink">
    <w:name w:val="Hyperlink"/>
    <w:basedOn w:val="DefaultParagraphFont"/>
    <w:uiPriority w:val="99"/>
    <w:unhideWhenUsed/>
    <w:rsid w:val="009E43AE"/>
    <w:rPr>
      <w:color w:val="0000FF" w:themeColor="hyperlink"/>
      <w:u w:val="single"/>
    </w:rPr>
  </w:style>
  <w:style w:type="paragraph" w:styleId="CommentText">
    <w:name w:val="annotation text"/>
    <w:basedOn w:val="Normal"/>
    <w:link w:val="CommentTextChar"/>
    <w:uiPriority w:val="99"/>
    <w:semiHidden/>
    <w:unhideWhenUsed/>
    <w:rsid w:val="00931FF3"/>
    <w:rPr>
      <w:sz w:val="20"/>
      <w:szCs w:val="20"/>
    </w:rPr>
  </w:style>
  <w:style w:type="character" w:customStyle="1" w:styleId="CommentTextChar">
    <w:name w:val="Comment Text Char"/>
    <w:basedOn w:val="DefaultParagraphFont"/>
    <w:link w:val="CommentText"/>
    <w:uiPriority w:val="99"/>
    <w:semiHidden/>
    <w:rsid w:val="00931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1FF3"/>
    <w:rPr>
      <w:b/>
      <w:bCs/>
    </w:rPr>
  </w:style>
  <w:style w:type="character" w:customStyle="1" w:styleId="CommentSubjectChar">
    <w:name w:val="Comment Subject Char"/>
    <w:basedOn w:val="CommentTextChar"/>
    <w:link w:val="CommentSubject"/>
    <w:uiPriority w:val="99"/>
    <w:semiHidden/>
    <w:rsid w:val="00931F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2015-05-01T07:00:00+00:00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C8F596DDADBA46B2D0190F8F1ED104" ma:contentTypeVersion="119" ma:contentTypeDescription="" ma:contentTypeScope="" ma:versionID="e619e7e418a8dc93a9e75f690ff17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CE1EDE-6F46-414E-901F-94F8A62A5E8F}"/>
</file>

<file path=customXml/itemProps2.xml><?xml version="1.0" encoding="utf-8"?>
<ds:datastoreItem xmlns:ds="http://schemas.openxmlformats.org/officeDocument/2006/customXml" ds:itemID="{FDB12748-5266-4637-81B7-80402070DAB0}"/>
</file>

<file path=customXml/itemProps3.xml><?xml version="1.0" encoding="utf-8"?>
<ds:datastoreItem xmlns:ds="http://schemas.openxmlformats.org/officeDocument/2006/customXml" ds:itemID="{734D0F66-6A79-423E-8938-30D0305A762F}"/>
</file>

<file path=customXml/itemProps4.xml><?xml version="1.0" encoding="utf-8"?>
<ds:datastoreItem xmlns:ds="http://schemas.openxmlformats.org/officeDocument/2006/customXml" ds:itemID="{95337B35-188D-4E24-8F44-C75A9AAAB02C}"/>
</file>

<file path=customXml/itemProps5.xml><?xml version="1.0" encoding="utf-8"?>
<ds:datastoreItem xmlns:ds="http://schemas.openxmlformats.org/officeDocument/2006/customXml" ds:itemID="{9397885A-7F0B-4E8E-8B73-828512D25C8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6654</Characters>
  <Application>Microsoft Office Word</Application>
  <DocSecurity>0</DocSecurity>
  <Lines>166</Lines>
  <Paragraphs>59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 Keating</dc:creator>
  <cp:lastModifiedBy>Wyse, Lisa (UTC)</cp:lastModifiedBy>
  <cp:revision>2</cp:revision>
  <cp:lastPrinted>2015-07-16T22:34:00Z</cp:lastPrinted>
  <dcterms:created xsi:type="dcterms:W3CDTF">2015-07-28T15:56:00Z</dcterms:created>
  <dcterms:modified xsi:type="dcterms:W3CDTF">2015-07-28T15:56:00Z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0x0101006E56B4D1795A2E4DB2F0B01679ED314A0000C8F596DDADBA46B2D0190F8F1ED104</vt:lpwstr>
  </property>
  <property fmtid="{D5CDD505-2E9C-101B-9397-08002B2CF9AE}" pid="3" name="_docset_NoMedatataSyncRequired">
    <vt:lpwstr>False</vt:lpwstr>
  </property>
</Properties>
</file>