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58" w:rsidRDefault="00472958" w:rsidP="0004025A">
      <w:pPr>
        <w:ind w:left="1440" w:right="1530"/>
        <w:jc w:val="center"/>
        <w:rPr>
          <w:b/>
          <w:bCs/>
        </w:rPr>
      </w:pPr>
    </w:p>
    <w:p w:rsidR="00472958" w:rsidRDefault="00472958" w:rsidP="0004025A">
      <w:pPr>
        <w:ind w:left="1440" w:right="1530"/>
        <w:jc w:val="center"/>
        <w:rPr>
          <w:b/>
          <w:bCs/>
        </w:rPr>
      </w:pPr>
    </w:p>
    <w:p w:rsidR="00472958" w:rsidRDefault="00472958" w:rsidP="0004025A">
      <w:pPr>
        <w:ind w:left="1440" w:right="1530"/>
        <w:jc w:val="center"/>
        <w:rPr>
          <w:b/>
          <w:bCs/>
        </w:rPr>
      </w:pPr>
    </w:p>
    <w:p w:rsidR="00472958" w:rsidRDefault="00472958" w:rsidP="0004025A">
      <w:pPr>
        <w:ind w:left="1440" w:right="1530"/>
        <w:jc w:val="center"/>
        <w:rPr>
          <w:b/>
          <w:bCs/>
        </w:rPr>
      </w:pPr>
    </w:p>
    <w:p w:rsidR="00EF26F1" w:rsidRDefault="00EF26F1" w:rsidP="0004025A">
      <w:pPr>
        <w:ind w:left="1440" w:right="1530"/>
        <w:jc w:val="center"/>
        <w:rPr>
          <w:b/>
          <w:bCs/>
        </w:rPr>
      </w:pPr>
      <w:r>
        <w:rPr>
          <w:b/>
          <w:bCs/>
        </w:rPr>
        <w:t>CAMANO HILLS WATER CO., INC.</w:t>
      </w:r>
    </w:p>
    <w:p w:rsidR="00967F53" w:rsidRDefault="00EF26F1" w:rsidP="00D43E83">
      <w:pPr>
        <w:jc w:val="center"/>
        <w:rPr>
          <w:b/>
          <w:bCs/>
        </w:rPr>
      </w:pPr>
      <w:r>
        <w:rPr>
          <w:b/>
          <w:bCs/>
        </w:rPr>
        <w:t>P.O. BOX 2703</w:t>
      </w:r>
      <w:r w:rsidR="00D43E83">
        <w:rPr>
          <w:b/>
          <w:bCs/>
        </w:rPr>
        <w:t xml:space="preserve"> </w:t>
      </w:r>
    </w:p>
    <w:p w:rsidR="00EF26F1" w:rsidRDefault="00D43E83" w:rsidP="00D43E83">
      <w:pPr>
        <w:jc w:val="center"/>
        <w:rPr>
          <w:b/>
          <w:bCs/>
        </w:rPr>
      </w:pPr>
      <w:r>
        <w:rPr>
          <w:b/>
          <w:bCs/>
        </w:rPr>
        <w:t xml:space="preserve">  </w:t>
      </w:r>
      <w:r w:rsidR="00EF26F1">
        <w:rPr>
          <w:b/>
          <w:bCs/>
        </w:rPr>
        <w:t>STANWOOD, WA 98292</w:t>
      </w:r>
    </w:p>
    <w:p w:rsidR="00EF26F1" w:rsidRDefault="006C624C">
      <w:pPr>
        <w:jc w:val="center"/>
        <w:rPr>
          <w:b/>
          <w:bCs/>
        </w:rPr>
      </w:pPr>
      <w:r>
        <w:rPr>
          <w:b/>
          <w:bCs/>
        </w:rPr>
        <w:t>(360) 387-6409</w:t>
      </w:r>
    </w:p>
    <w:p w:rsidR="004E3C45" w:rsidRDefault="004E3C45">
      <w:pPr>
        <w:jc w:val="center"/>
        <w:rPr>
          <w:b/>
          <w:bCs/>
        </w:rPr>
      </w:pPr>
      <w:r>
        <w:rPr>
          <w:b/>
          <w:bCs/>
        </w:rPr>
        <w:t>lholbeck@w</w:t>
      </w:r>
      <w:r w:rsidR="008E17A7">
        <w:rPr>
          <w:b/>
          <w:bCs/>
        </w:rPr>
        <w:t>a</w:t>
      </w:r>
      <w:r>
        <w:rPr>
          <w:b/>
          <w:bCs/>
        </w:rPr>
        <w:t>vecable.com</w:t>
      </w:r>
    </w:p>
    <w:p w:rsidR="007F6446" w:rsidRDefault="007F6446" w:rsidP="00D43E83">
      <w:pPr>
        <w:rPr>
          <w:b/>
          <w:bCs/>
        </w:rPr>
      </w:pPr>
    </w:p>
    <w:p w:rsidR="007F6446" w:rsidRDefault="007F6446">
      <w:pPr>
        <w:jc w:val="center"/>
        <w:rPr>
          <w:b/>
          <w:bCs/>
          <w:u w:val="single"/>
        </w:rPr>
      </w:pPr>
      <w:r w:rsidRPr="007F6446">
        <w:rPr>
          <w:b/>
          <w:bCs/>
          <w:u w:val="single"/>
        </w:rPr>
        <w:t>NOTICE OF RATE INCREASE</w:t>
      </w:r>
    </w:p>
    <w:p w:rsidR="007F6446" w:rsidRDefault="008E17A7" w:rsidP="007F6446">
      <w:pPr>
        <w:jc w:val="center"/>
      </w:pPr>
      <w:r>
        <w:t>January 28</w:t>
      </w:r>
      <w:r w:rsidR="0004025A">
        <w:t>, 2015</w:t>
      </w:r>
    </w:p>
    <w:p w:rsidR="00D43E83" w:rsidRPr="00E61E2C" w:rsidRDefault="00D43E83" w:rsidP="0004025A">
      <w:pPr>
        <w:ind w:left="1440" w:right="1530"/>
        <w:rPr>
          <w:rStyle w:val="Emphasis"/>
        </w:rPr>
      </w:pPr>
    </w:p>
    <w:p w:rsidR="009A499F" w:rsidRDefault="00FB0B30" w:rsidP="0004025A">
      <w:pPr>
        <w:ind w:left="1440" w:right="1530"/>
        <w:rPr>
          <w:rStyle w:val="Emphasis"/>
        </w:rPr>
      </w:pPr>
      <w:r>
        <w:rPr>
          <w:rStyle w:val="Emphasis"/>
        </w:rPr>
        <w:t>Higher costs and economic</w:t>
      </w:r>
      <w:r w:rsidR="00BB3962">
        <w:rPr>
          <w:rStyle w:val="Emphasis"/>
        </w:rPr>
        <w:t xml:space="preserve"> slowdow</w:t>
      </w:r>
      <w:r>
        <w:rPr>
          <w:rStyle w:val="Emphasis"/>
        </w:rPr>
        <w:t>ns continue to contribute to sluggish business trends</w:t>
      </w:r>
      <w:r w:rsidR="00BB3962">
        <w:rPr>
          <w:rStyle w:val="Emphasis"/>
        </w:rPr>
        <w:t>.  Camano Hills Water Company (CHWC) is not insulated from the economic pressures facing many businesses today.</w:t>
      </w:r>
      <w:r w:rsidR="00D918B1" w:rsidRPr="00E61E2C">
        <w:rPr>
          <w:rStyle w:val="Emphasis"/>
        </w:rPr>
        <w:t xml:space="preserve">  Therefore, CHWC </w:t>
      </w:r>
      <w:r w:rsidR="00AC74B6" w:rsidRPr="00E61E2C">
        <w:rPr>
          <w:rStyle w:val="Emphasis"/>
        </w:rPr>
        <w:t xml:space="preserve">has filed for approval from the Washington </w:t>
      </w:r>
      <w:r w:rsidR="00E4170C" w:rsidRPr="00E61E2C">
        <w:rPr>
          <w:rStyle w:val="Emphasis"/>
        </w:rPr>
        <w:t xml:space="preserve">Utilities </w:t>
      </w:r>
      <w:r w:rsidR="00AC74B6" w:rsidRPr="00E61E2C">
        <w:rPr>
          <w:rStyle w:val="Emphasis"/>
        </w:rPr>
        <w:t xml:space="preserve">and </w:t>
      </w:r>
      <w:r w:rsidR="00E4170C" w:rsidRPr="00E61E2C">
        <w:rPr>
          <w:rStyle w:val="Emphasis"/>
        </w:rPr>
        <w:t xml:space="preserve">Transportation Commission </w:t>
      </w:r>
      <w:r w:rsidR="000D1DE0" w:rsidRPr="00E61E2C">
        <w:rPr>
          <w:rStyle w:val="Emphasis"/>
        </w:rPr>
        <w:t xml:space="preserve">(commission) </w:t>
      </w:r>
      <w:r w:rsidR="00AC74B6" w:rsidRPr="00E61E2C">
        <w:rPr>
          <w:rStyle w:val="Emphasis"/>
        </w:rPr>
        <w:t xml:space="preserve">to increase rates </w:t>
      </w:r>
      <w:r w:rsidR="00070124" w:rsidRPr="00E61E2C">
        <w:rPr>
          <w:rStyle w:val="Emphasis"/>
        </w:rPr>
        <w:t>by</w:t>
      </w:r>
      <w:r w:rsidR="000D1DE0" w:rsidRPr="00E61E2C">
        <w:rPr>
          <w:rStyle w:val="Emphasis"/>
        </w:rPr>
        <w:t xml:space="preserve"> </w:t>
      </w:r>
    </w:p>
    <w:p w:rsidR="00D7455A" w:rsidRDefault="0004025A" w:rsidP="0004025A">
      <w:pPr>
        <w:ind w:left="1440" w:right="1530"/>
        <w:rPr>
          <w:rStyle w:val="Emphasis"/>
        </w:rPr>
      </w:pPr>
      <w:proofErr w:type="gramStart"/>
      <w:r>
        <w:rPr>
          <w:rStyle w:val="Emphasis"/>
        </w:rPr>
        <w:t>$</w:t>
      </w:r>
      <w:r w:rsidR="009A499F">
        <w:rPr>
          <w:rStyle w:val="Emphasis"/>
        </w:rPr>
        <w:t xml:space="preserve">22,602.00 </w:t>
      </w:r>
      <w:r w:rsidR="00E31D22" w:rsidRPr="00E61E2C">
        <w:rPr>
          <w:rStyle w:val="Emphasis"/>
        </w:rPr>
        <w:t>annually</w:t>
      </w:r>
      <w:r w:rsidR="00AC74B6" w:rsidRPr="00E61E2C">
        <w:rPr>
          <w:rStyle w:val="Emphasis"/>
        </w:rPr>
        <w:t>.</w:t>
      </w:r>
      <w:proofErr w:type="gramEnd"/>
      <w:r w:rsidR="00AC74B6" w:rsidRPr="00E61E2C">
        <w:rPr>
          <w:rStyle w:val="Emphasis"/>
        </w:rPr>
        <w:t xml:space="preserve"> </w:t>
      </w:r>
      <w:r w:rsidR="00BE2D29" w:rsidRPr="00E61E2C">
        <w:rPr>
          <w:rStyle w:val="Emphasis"/>
        </w:rPr>
        <w:t xml:space="preserve">This </w:t>
      </w:r>
      <w:r w:rsidR="00070124" w:rsidRPr="00E61E2C">
        <w:rPr>
          <w:rStyle w:val="Emphasis"/>
        </w:rPr>
        <w:t xml:space="preserve">would </w:t>
      </w:r>
      <w:r>
        <w:rPr>
          <w:rStyle w:val="Emphasis"/>
        </w:rPr>
        <w:t xml:space="preserve">result in </w:t>
      </w:r>
      <w:proofErr w:type="gramStart"/>
      <w:r>
        <w:rPr>
          <w:rStyle w:val="Emphasis"/>
        </w:rPr>
        <w:t>a</w:t>
      </w:r>
      <w:proofErr w:type="gramEnd"/>
      <w:r>
        <w:rPr>
          <w:rStyle w:val="Emphasis"/>
        </w:rPr>
        <w:t xml:space="preserve"> </w:t>
      </w:r>
      <w:r w:rsidR="009A499F">
        <w:rPr>
          <w:rStyle w:val="Emphasis"/>
        </w:rPr>
        <w:t>11.8</w:t>
      </w:r>
      <w:r w:rsidR="00BE2D29" w:rsidRPr="00E61E2C">
        <w:rPr>
          <w:rStyle w:val="Emphasis"/>
        </w:rPr>
        <w:t>%</w:t>
      </w:r>
      <w:r w:rsidR="007637A2" w:rsidRPr="00E61E2C">
        <w:rPr>
          <w:rStyle w:val="Emphasis"/>
        </w:rPr>
        <w:t xml:space="preserve"> </w:t>
      </w:r>
      <w:r w:rsidR="00070124" w:rsidRPr="00E61E2C">
        <w:rPr>
          <w:rStyle w:val="Emphasis"/>
        </w:rPr>
        <w:t xml:space="preserve">increase in </w:t>
      </w:r>
      <w:r w:rsidR="007637A2" w:rsidRPr="00E61E2C">
        <w:rPr>
          <w:rStyle w:val="Emphasis"/>
        </w:rPr>
        <w:t>annual revenue</w:t>
      </w:r>
      <w:r w:rsidR="00BE2D29" w:rsidRPr="00E61E2C">
        <w:rPr>
          <w:rStyle w:val="Emphasis"/>
        </w:rPr>
        <w:t xml:space="preserve">.  </w:t>
      </w:r>
      <w:r w:rsidR="00AC74B6" w:rsidRPr="00E61E2C">
        <w:rPr>
          <w:rStyle w:val="Emphasis"/>
        </w:rPr>
        <w:t xml:space="preserve">If approved, the rates will </w:t>
      </w:r>
      <w:r>
        <w:rPr>
          <w:rStyle w:val="Emphasis"/>
        </w:rPr>
        <w:t xml:space="preserve">be effective on </w:t>
      </w:r>
      <w:r w:rsidR="00E043C7" w:rsidRPr="00D246D7">
        <w:rPr>
          <w:rStyle w:val="Emphasis"/>
          <w:b/>
        </w:rPr>
        <w:t>April</w:t>
      </w:r>
      <w:r w:rsidR="00321950" w:rsidRPr="00D246D7">
        <w:rPr>
          <w:rStyle w:val="Emphasis"/>
          <w:b/>
        </w:rPr>
        <w:t xml:space="preserve"> 1, 2</w:t>
      </w:r>
      <w:r w:rsidRPr="00D246D7">
        <w:rPr>
          <w:rStyle w:val="Emphasis"/>
          <w:b/>
        </w:rPr>
        <w:t>015</w:t>
      </w:r>
      <w:r w:rsidR="00F34EB9" w:rsidRPr="00E61E2C">
        <w:rPr>
          <w:rStyle w:val="Emphasis"/>
        </w:rPr>
        <w:t xml:space="preserve"> and reflected on </w:t>
      </w:r>
      <w:r w:rsidR="00D246D7">
        <w:rPr>
          <w:rStyle w:val="Emphasis"/>
        </w:rPr>
        <w:t>your May</w:t>
      </w:r>
      <w:r w:rsidR="00070124" w:rsidRPr="00E61E2C">
        <w:rPr>
          <w:rStyle w:val="Emphasis"/>
        </w:rPr>
        <w:t xml:space="preserve"> </w:t>
      </w:r>
      <w:r w:rsidR="00F34EB9" w:rsidRPr="00E61E2C">
        <w:rPr>
          <w:rStyle w:val="Emphasis"/>
        </w:rPr>
        <w:t>billing</w:t>
      </w:r>
      <w:r w:rsidR="00D521C3" w:rsidRPr="00E61E2C">
        <w:rPr>
          <w:rStyle w:val="Emphasis"/>
        </w:rPr>
        <w:t>.</w:t>
      </w:r>
    </w:p>
    <w:p w:rsidR="00D246D7" w:rsidRPr="00E61E2C" w:rsidRDefault="00D246D7" w:rsidP="0004025A">
      <w:pPr>
        <w:ind w:left="1440" w:right="1530"/>
        <w:rPr>
          <w:rStyle w:val="Emphasis"/>
        </w:rPr>
      </w:pPr>
      <w:r>
        <w:rPr>
          <w:rStyle w:val="Emphasis"/>
        </w:rPr>
        <w:t>This will fall in the middle of the billing period.  You will receive two billings, one with the old rate and the other with the new rates.  You will be paying from the second billing as they will be combined.  These will not be sent on the blue cards you are used to seeing for this billing period.  The blue cards will be sent thereafter.</w:t>
      </w:r>
    </w:p>
    <w:p w:rsidR="00AC74B6" w:rsidRPr="00E61E2C" w:rsidRDefault="00AC74B6" w:rsidP="0004025A">
      <w:pPr>
        <w:ind w:left="1440" w:right="1530"/>
        <w:rPr>
          <w:rStyle w:val="Emphasis"/>
        </w:rPr>
      </w:pPr>
    </w:p>
    <w:p w:rsidR="00AC74B6" w:rsidRPr="00E61E2C" w:rsidRDefault="00D918B1" w:rsidP="0004025A">
      <w:pPr>
        <w:ind w:left="1440" w:right="1530"/>
        <w:rPr>
          <w:rStyle w:val="Emphasis"/>
        </w:rPr>
      </w:pPr>
      <w:r w:rsidRPr="00E61E2C">
        <w:rPr>
          <w:rStyle w:val="Emphasis"/>
        </w:rPr>
        <w:t>We understand and are sensitive to the impact of rate</w:t>
      </w:r>
      <w:r w:rsidR="00497C15" w:rsidRPr="00E61E2C">
        <w:rPr>
          <w:rStyle w:val="Emphasis"/>
        </w:rPr>
        <w:t xml:space="preserve"> </w:t>
      </w:r>
      <w:r w:rsidRPr="00E61E2C">
        <w:rPr>
          <w:rStyle w:val="Emphasis"/>
        </w:rPr>
        <w:t xml:space="preserve">increases, which is why we are continually </w:t>
      </w:r>
      <w:r w:rsidR="00497C15" w:rsidRPr="00E61E2C">
        <w:rPr>
          <w:rStyle w:val="Emphasis"/>
        </w:rPr>
        <w:t>looking for ways to cut operati</w:t>
      </w:r>
      <w:r w:rsidRPr="00E61E2C">
        <w:rPr>
          <w:rStyle w:val="Emphasis"/>
        </w:rPr>
        <w:t>ng costs and operate as effic</w:t>
      </w:r>
      <w:r w:rsidR="00497C15" w:rsidRPr="00E61E2C">
        <w:rPr>
          <w:rStyle w:val="Emphasis"/>
        </w:rPr>
        <w:t>iently as possible while providi</w:t>
      </w:r>
      <w:r w:rsidRPr="00E61E2C">
        <w:rPr>
          <w:rStyle w:val="Emphasis"/>
        </w:rPr>
        <w:t xml:space="preserve">ng </w:t>
      </w:r>
      <w:r w:rsidR="00497C15" w:rsidRPr="00E61E2C">
        <w:rPr>
          <w:rStyle w:val="Emphasis"/>
        </w:rPr>
        <w:t xml:space="preserve">excellent customer service and </w:t>
      </w:r>
      <w:r w:rsidRPr="00E61E2C">
        <w:rPr>
          <w:rStyle w:val="Emphasis"/>
        </w:rPr>
        <w:t xml:space="preserve">a reliable water supply that </w:t>
      </w:r>
      <w:r w:rsidR="00497C15" w:rsidRPr="00E61E2C">
        <w:rPr>
          <w:rStyle w:val="Emphasis"/>
        </w:rPr>
        <w:t xml:space="preserve">meets </w:t>
      </w:r>
      <w:r w:rsidR="001403EF">
        <w:rPr>
          <w:rStyle w:val="Emphasis"/>
        </w:rPr>
        <w:t xml:space="preserve">or exceeds </w:t>
      </w:r>
      <w:r w:rsidR="00497C15" w:rsidRPr="00E61E2C">
        <w:rPr>
          <w:rStyle w:val="Emphasis"/>
        </w:rPr>
        <w:t>water quality standards.</w:t>
      </w:r>
    </w:p>
    <w:p w:rsidR="008E18CA" w:rsidRPr="00E61E2C" w:rsidRDefault="008E18CA" w:rsidP="0004025A">
      <w:pPr>
        <w:ind w:left="1440" w:right="1530"/>
        <w:rPr>
          <w:rStyle w:val="Emphasis"/>
        </w:rPr>
      </w:pPr>
    </w:p>
    <w:p w:rsidR="0004025A" w:rsidRDefault="008E18CA" w:rsidP="0004025A">
      <w:pPr>
        <w:ind w:left="1440" w:right="1530"/>
        <w:rPr>
          <w:rStyle w:val="Emphasis"/>
        </w:rPr>
      </w:pPr>
      <w:r w:rsidRPr="00E61E2C">
        <w:rPr>
          <w:rStyle w:val="Emphasis"/>
        </w:rPr>
        <w:t>CHWC</w:t>
      </w:r>
      <w:r w:rsidR="00FC4569">
        <w:rPr>
          <w:rStyle w:val="Emphasis"/>
        </w:rPr>
        <w:t xml:space="preserve"> has not applied for</w:t>
      </w:r>
      <w:r w:rsidRPr="00E61E2C">
        <w:rPr>
          <w:rStyle w:val="Emphasis"/>
        </w:rPr>
        <w:t xml:space="preserve"> a rate change</w:t>
      </w:r>
      <w:r w:rsidR="0004025A">
        <w:rPr>
          <w:rStyle w:val="Emphasis"/>
        </w:rPr>
        <w:t xml:space="preserve"> in five</w:t>
      </w:r>
      <w:r w:rsidR="002A7AFC">
        <w:rPr>
          <w:rStyle w:val="Emphasis"/>
        </w:rPr>
        <w:t xml:space="preserve"> years.  We are currently </w:t>
      </w:r>
      <w:r w:rsidR="00BB3962">
        <w:rPr>
          <w:rStyle w:val="Emphasis"/>
        </w:rPr>
        <w:t xml:space="preserve">charging </w:t>
      </w:r>
      <w:r w:rsidR="0004025A">
        <w:rPr>
          <w:rStyle w:val="Emphasis"/>
        </w:rPr>
        <w:t>a basic monthly rate of $23.00 and a capital improvement surcharge of $4.14</w:t>
      </w:r>
      <w:r w:rsidR="008E17A7">
        <w:rPr>
          <w:rStyle w:val="Emphasis"/>
        </w:rPr>
        <w:t>,</w:t>
      </w:r>
      <w:r w:rsidR="0004025A">
        <w:rPr>
          <w:rStyle w:val="Emphasis"/>
        </w:rPr>
        <w:t xml:space="preserve"> </w:t>
      </w:r>
      <w:proofErr w:type="gramStart"/>
      <w:r w:rsidR="0004025A">
        <w:rPr>
          <w:rStyle w:val="Emphasis"/>
        </w:rPr>
        <w:t>wit</w:t>
      </w:r>
      <w:r w:rsidR="001B280E">
        <w:rPr>
          <w:rStyle w:val="Emphasis"/>
        </w:rPr>
        <w:t>h 0 consumption</w:t>
      </w:r>
      <w:proofErr w:type="gramEnd"/>
      <w:r w:rsidR="001B280E">
        <w:rPr>
          <w:rStyle w:val="Emphasis"/>
        </w:rPr>
        <w:t>.  We added the 3</w:t>
      </w:r>
      <w:r w:rsidR="0004025A">
        <w:rPr>
          <w:rStyle w:val="Emphasis"/>
        </w:rPr>
        <w:t xml:space="preserve"> tier rate structure so those who use the most water pay the higher consumption rate.  We feel the tiered rate structure is equitable to all our customers and encourages conservation.</w:t>
      </w:r>
    </w:p>
    <w:p w:rsidR="005073EB" w:rsidRPr="00E61E2C" w:rsidRDefault="005073EB" w:rsidP="004E3C45">
      <w:pPr>
        <w:ind w:right="1530"/>
        <w:rPr>
          <w:rStyle w:val="Emphasis"/>
        </w:rPr>
      </w:pPr>
    </w:p>
    <w:p w:rsidR="007F6446" w:rsidRPr="00E61E2C" w:rsidRDefault="00D268BA" w:rsidP="0004025A">
      <w:pPr>
        <w:ind w:left="1440" w:right="1530"/>
        <w:rPr>
          <w:rStyle w:val="Emphasis"/>
        </w:rPr>
      </w:pPr>
      <w:r>
        <w:rPr>
          <w:rStyle w:val="Emphasis"/>
        </w:rPr>
        <w:t>The Arseni</w:t>
      </w:r>
      <w:r w:rsidR="0004025A">
        <w:rPr>
          <w:rStyle w:val="Emphasis"/>
        </w:rPr>
        <w:t xml:space="preserve">c treatment plant </w:t>
      </w:r>
      <w:r>
        <w:rPr>
          <w:rStyle w:val="Emphasis"/>
        </w:rPr>
        <w:t>was approved by the Washington State Department of Health</w:t>
      </w:r>
      <w:r w:rsidR="00321950">
        <w:rPr>
          <w:rStyle w:val="Emphasis"/>
        </w:rPr>
        <w:t xml:space="preserve"> and</w:t>
      </w:r>
      <w:r>
        <w:rPr>
          <w:rStyle w:val="Emphasis"/>
        </w:rPr>
        <w:t xml:space="preserve"> </w:t>
      </w:r>
      <w:r w:rsidR="00321950">
        <w:rPr>
          <w:rStyle w:val="Emphasis"/>
        </w:rPr>
        <w:t xml:space="preserve">went on line </w:t>
      </w:r>
      <w:r>
        <w:rPr>
          <w:rStyle w:val="Emphasis"/>
        </w:rPr>
        <w:t>in July 2014.</w:t>
      </w:r>
      <w:r w:rsidR="001403EF">
        <w:rPr>
          <w:rStyle w:val="Emphasis"/>
        </w:rPr>
        <w:t>Our rate increase will help cover costs for the</w:t>
      </w:r>
      <w:r w:rsidR="008E152E">
        <w:rPr>
          <w:rStyle w:val="Emphasis"/>
        </w:rPr>
        <w:t xml:space="preserve"> </w:t>
      </w:r>
      <w:r w:rsidR="001403EF">
        <w:rPr>
          <w:rStyle w:val="Emphasis"/>
        </w:rPr>
        <w:t>i</w:t>
      </w:r>
      <w:r w:rsidR="007F6446" w:rsidRPr="00E61E2C">
        <w:rPr>
          <w:rStyle w:val="Emphasis"/>
        </w:rPr>
        <w:t>ncreases in th</w:t>
      </w:r>
      <w:r w:rsidR="001403EF">
        <w:rPr>
          <w:rStyle w:val="Emphasis"/>
        </w:rPr>
        <w:t>e costs of all areas of the treatment plant</w:t>
      </w:r>
      <w:r w:rsidR="007F6446" w:rsidRPr="00E61E2C">
        <w:rPr>
          <w:rStyle w:val="Emphasis"/>
        </w:rPr>
        <w:t xml:space="preserve"> operation</w:t>
      </w:r>
      <w:r w:rsidR="001C4CE3" w:rsidRPr="00E61E2C">
        <w:rPr>
          <w:rStyle w:val="Emphasis"/>
        </w:rPr>
        <w:t xml:space="preserve"> such as</w:t>
      </w:r>
      <w:r w:rsidR="00BE2D29" w:rsidRPr="00E61E2C">
        <w:rPr>
          <w:rStyle w:val="Emphasis"/>
        </w:rPr>
        <w:t xml:space="preserve">, </w:t>
      </w:r>
      <w:r w:rsidR="007F6446" w:rsidRPr="00E61E2C">
        <w:rPr>
          <w:rStyle w:val="Emphasis"/>
        </w:rPr>
        <w:t>power, fuel, insu</w:t>
      </w:r>
      <w:r w:rsidR="00765586" w:rsidRPr="00E61E2C">
        <w:rPr>
          <w:rStyle w:val="Emphasis"/>
        </w:rPr>
        <w:t>rance</w:t>
      </w:r>
      <w:r w:rsidR="001C4CE3" w:rsidRPr="00E61E2C">
        <w:rPr>
          <w:rStyle w:val="Emphasis"/>
        </w:rPr>
        <w:t>,</w:t>
      </w:r>
      <w:r w:rsidR="00FB49D1">
        <w:rPr>
          <w:rStyle w:val="Emphasis"/>
        </w:rPr>
        <w:t xml:space="preserve"> the costs of chemicals used for treatment,</w:t>
      </w:r>
      <w:r w:rsidR="00BB3962" w:rsidRPr="00BB3962">
        <w:rPr>
          <w:rStyle w:val="Emphasis"/>
        </w:rPr>
        <w:t xml:space="preserve"> </w:t>
      </w:r>
      <w:r w:rsidR="00BB3962" w:rsidRPr="00E61E2C">
        <w:rPr>
          <w:rStyle w:val="Emphasis"/>
        </w:rPr>
        <w:t>increas</w:t>
      </w:r>
      <w:r w:rsidR="001403EF">
        <w:rPr>
          <w:rStyle w:val="Emphasis"/>
        </w:rPr>
        <w:t>ed testing requirements and labor cost.  In November of 2014 the water company purchased a used utility/service truck to better serve our customers. These additions</w:t>
      </w:r>
      <w:r w:rsidR="00BE2D29" w:rsidRPr="00E61E2C">
        <w:rPr>
          <w:rStyle w:val="Emphasis"/>
        </w:rPr>
        <w:t xml:space="preserve"> </w:t>
      </w:r>
      <w:r w:rsidR="001403EF">
        <w:rPr>
          <w:rStyle w:val="Emphasis"/>
        </w:rPr>
        <w:t xml:space="preserve">make up most of the need for </w:t>
      </w:r>
      <w:r w:rsidR="007F6446" w:rsidRPr="00E61E2C">
        <w:rPr>
          <w:rStyle w:val="Emphasis"/>
        </w:rPr>
        <w:t>the requested increase.</w:t>
      </w:r>
    </w:p>
    <w:p w:rsidR="00497C15" w:rsidRPr="00E61E2C" w:rsidRDefault="00497C15" w:rsidP="0004025A">
      <w:pPr>
        <w:ind w:left="1440" w:right="1530"/>
        <w:rPr>
          <w:rStyle w:val="Emphasis"/>
        </w:rPr>
      </w:pPr>
    </w:p>
    <w:p w:rsidR="00497C15" w:rsidRPr="00E61E2C" w:rsidRDefault="00497C15" w:rsidP="0004025A">
      <w:pPr>
        <w:ind w:left="1440" w:right="1530"/>
        <w:rPr>
          <w:rStyle w:val="Emphasis"/>
        </w:rPr>
      </w:pPr>
      <w:r w:rsidRPr="00E61E2C">
        <w:rPr>
          <w:rStyle w:val="Emphasis"/>
        </w:rPr>
        <w:t>The requested rate increase will allow us to continue to replace and improve the facilities and equipment necessary to provide you with reliable water service and meet increasingly stringent water quality standards for Washington State.</w:t>
      </w:r>
    </w:p>
    <w:p w:rsidR="00E17D3D" w:rsidRPr="00E61E2C" w:rsidRDefault="00E17D3D" w:rsidP="0004025A">
      <w:pPr>
        <w:ind w:left="1440" w:right="1530"/>
        <w:rPr>
          <w:rStyle w:val="Emphasis"/>
        </w:rPr>
      </w:pPr>
    </w:p>
    <w:p w:rsidR="00E17D3D" w:rsidRPr="004D508B" w:rsidRDefault="004D508B" w:rsidP="0004025A">
      <w:pPr>
        <w:ind w:left="1440" w:right="1530" w:firstLine="720"/>
        <w:rPr>
          <w:rStyle w:val="Emphasis"/>
          <w:i w:val="0"/>
        </w:rPr>
      </w:pPr>
      <w:r w:rsidRPr="004D508B">
        <w:rPr>
          <w:rStyle w:val="Emphasis"/>
          <w:i w:val="0"/>
        </w:rPr>
        <w:t xml:space="preserve">                                                 </w:t>
      </w:r>
      <w:r w:rsidR="00E17D3D" w:rsidRPr="004D508B">
        <w:rPr>
          <w:rStyle w:val="Emphasis"/>
          <w:i w:val="0"/>
        </w:rPr>
        <w:t>Current Rate</w:t>
      </w:r>
      <w:r w:rsidR="00385ACA" w:rsidRPr="004D508B">
        <w:rPr>
          <w:rStyle w:val="Emphasis"/>
          <w:i w:val="0"/>
        </w:rPr>
        <w:t xml:space="preserve">   </w:t>
      </w:r>
      <w:r w:rsidRPr="004D508B">
        <w:rPr>
          <w:rStyle w:val="Emphasis"/>
          <w:i w:val="0"/>
        </w:rPr>
        <w:t xml:space="preserve">    </w:t>
      </w:r>
      <w:r w:rsidR="00E17D3D" w:rsidRPr="004D508B">
        <w:rPr>
          <w:rStyle w:val="Emphasis"/>
          <w:i w:val="0"/>
        </w:rPr>
        <w:t>Proposed Rate</w:t>
      </w:r>
    </w:p>
    <w:p w:rsidR="00385ACA" w:rsidRPr="004D508B" w:rsidRDefault="00385ACA" w:rsidP="0004025A">
      <w:pPr>
        <w:ind w:left="1440" w:right="1530" w:firstLine="720"/>
        <w:rPr>
          <w:rStyle w:val="Emphasis"/>
          <w:i w:val="0"/>
        </w:rPr>
      </w:pPr>
    </w:p>
    <w:p w:rsidR="009A499F" w:rsidRPr="004D508B" w:rsidRDefault="00385ACA" w:rsidP="009A499F">
      <w:pPr>
        <w:ind w:left="1440" w:right="1530" w:firstLine="720"/>
        <w:rPr>
          <w:rStyle w:val="Emphasis"/>
          <w:i w:val="0"/>
        </w:rPr>
      </w:pPr>
      <w:r w:rsidRPr="004D508B">
        <w:rPr>
          <w:rStyle w:val="Emphasis"/>
          <w:i w:val="0"/>
        </w:rPr>
        <w:t>Base Charge, zero cubic feet</w:t>
      </w:r>
    </w:p>
    <w:p w:rsidR="00385ACA" w:rsidRPr="00D246D7" w:rsidRDefault="00385ACA" w:rsidP="00D246D7">
      <w:pPr>
        <w:pStyle w:val="ListParagraph"/>
        <w:numPr>
          <w:ilvl w:val="0"/>
          <w:numId w:val="4"/>
        </w:numPr>
        <w:ind w:right="1530"/>
        <w:rPr>
          <w:rStyle w:val="Emphasis"/>
          <w:i w:val="0"/>
        </w:rPr>
      </w:pPr>
      <w:r w:rsidRPr="00D246D7">
        <w:rPr>
          <w:rStyle w:val="Emphasis"/>
          <w:i w:val="0"/>
        </w:rPr>
        <w:t xml:space="preserve">¾” or smaller service      $23.00    </w:t>
      </w:r>
      <w:r w:rsidR="009A499F" w:rsidRPr="00D246D7">
        <w:rPr>
          <w:rStyle w:val="Emphasis"/>
          <w:i w:val="0"/>
        </w:rPr>
        <w:t xml:space="preserve">            </w:t>
      </w:r>
      <w:r w:rsidR="009A499F" w:rsidRPr="00D246D7">
        <w:rPr>
          <w:rStyle w:val="Emphasis"/>
          <w:i w:val="0"/>
        </w:rPr>
        <w:tab/>
        <w:t>$30.00</w:t>
      </w:r>
    </w:p>
    <w:p w:rsidR="00385ACA" w:rsidRPr="00D246D7" w:rsidRDefault="00385ACA" w:rsidP="00D246D7">
      <w:pPr>
        <w:pStyle w:val="ListParagraph"/>
        <w:numPr>
          <w:ilvl w:val="0"/>
          <w:numId w:val="4"/>
        </w:numPr>
        <w:ind w:right="1530"/>
        <w:rPr>
          <w:rStyle w:val="Emphasis"/>
          <w:i w:val="0"/>
        </w:rPr>
      </w:pPr>
      <w:r w:rsidRPr="00D246D7">
        <w:rPr>
          <w:rStyle w:val="Emphasis"/>
          <w:i w:val="0"/>
        </w:rPr>
        <w:lastRenderedPageBreak/>
        <w:t xml:space="preserve">1” meter service           </w:t>
      </w:r>
      <w:r w:rsidR="008D7FF5" w:rsidRPr="00D246D7">
        <w:rPr>
          <w:rStyle w:val="Emphasis"/>
          <w:i w:val="0"/>
        </w:rPr>
        <w:t xml:space="preserve"> </w:t>
      </w:r>
      <w:r w:rsidRPr="00D246D7">
        <w:rPr>
          <w:rStyle w:val="Emphasis"/>
          <w:i w:val="0"/>
        </w:rPr>
        <w:t xml:space="preserve">   $38.41    </w:t>
      </w:r>
      <w:r w:rsidR="009A499F" w:rsidRPr="00D246D7">
        <w:rPr>
          <w:rStyle w:val="Emphasis"/>
          <w:i w:val="0"/>
        </w:rPr>
        <w:tab/>
      </w:r>
      <w:r w:rsidR="009A499F" w:rsidRPr="00D246D7">
        <w:rPr>
          <w:rStyle w:val="Emphasis"/>
          <w:i w:val="0"/>
        </w:rPr>
        <w:tab/>
        <w:t>$50.00</w:t>
      </w:r>
    </w:p>
    <w:p w:rsidR="00385ACA" w:rsidRPr="00D246D7" w:rsidRDefault="00385ACA" w:rsidP="00D246D7">
      <w:pPr>
        <w:pStyle w:val="ListParagraph"/>
        <w:numPr>
          <w:ilvl w:val="0"/>
          <w:numId w:val="4"/>
        </w:numPr>
        <w:ind w:right="1530"/>
        <w:rPr>
          <w:rStyle w:val="Emphasis"/>
          <w:i w:val="0"/>
        </w:rPr>
      </w:pPr>
      <w:r w:rsidRPr="00D246D7">
        <w:rPr>
          <w:rStyle w:val="Emphasis"/>
          <w:i w:val="0"/>
        </w:rPr>
        <w:t xml:space="preserve">1 1/2” meter service    </w:t>
      </w:r>
      <w:r w:rsidR="008D7FF5" w:rsidRPr="00D246D7">
        <w:rPr>
          <w:rStyle w:val="Emphasis"/>
          <w:i w:val="0"/>
        </w:rPr>
        <w:t xml:space="preserve">  </w:t>
      </w:r>
      <w:r w:rsidRPr="00D246D7">
        <w:rPr>
          <w:rStyle w:val="Emphasis"/>
          <w:i w:val="0"/>
        </w:rPr>
        <w:t xml:space="preserve">   $76.59    </w:t>
      </w:r>
      <w:r w:rsidRPr="00D246D7">
        <w:rPr>
          <w:rStyle w:val="Emphasis"/>
          <w:i w:val="0"/>
        </w:rPr>
        <w:tab/>
      </w:r>
      <w:r w:rsidR="009A499F" w:rsidRPr="00D246D7">
        <w:rPr>
          <w:rStyle w:val="Emphasis"/>
          <w:i w:val="0"/>
        </w:rPr>
        <w:tab/>
        <w:t>$100.00</w:t>
      </w:r>
    </w:p>
    <w:p w:rsidR="00385ACA" w:rsidRPr="00D246D7" w:rsidRDefault="00385ACA" w:rsidP="00D246D7">
      <w:pPr>
        <w:pStyle w:val="ListParagraph"/>
        <w:numPr>
          <w:ilvl w:val="0"/>
          <w:numId w:val="4"/>
        </w:numPr>
        <w:ind w:right="1530"/>
        <w:rPr>
          <w:rStyle w:val="Emphasis"/>
          <w:i w:val="0"/>
        </w:rPr>
      </w:pPr>
      <w:r w:rsidRPr="00D246D7">
        <w:rPr>
          <w:rStyle w:val="Emphasis"/>
          <w:i w:val="0"/>
        </w:rPr>
        <w:t xml:space="preserve">2” meter service          </w:t>
      </w:r>
      <w:r w:rsidR="008D7FF5" w:rsidRPr="00D246D7">
        <w:rPr>
          <w:rStyle w:val="Emphasis"/>
          <w:i w:val="0"/>
        </w:rPr>
        <w:t xml:space="preserve">   </w:t>
      </w:r>
      <w:r w:rsidRPr="00D246D7">
        <w:rPr>
          <w:rStyle w:val="Emphasis"/>
          <w:i w:val="0"/>
        </w:rPr>
        <w:t xml:space="preserve">  $122.29  </w:t>
      </w:r>
      <w:r w:rsidR="009A499F" w:rsidRPr="00D246D7">
        <w:rPr>
          <w:rStyle w:val="Emphasis"/>
          <w:i w:val="0"/>
        </w:rPr>
        <w:tab/>
      </w:r>
      <w:r w:rsidR="009A499F" w:rsidRPr="00D246D7">
        <w:rPr>
          <w:rStyle w:val="Emphasis"/>
          <w:i w:val="0"/>
        </w:rPr>
        <w:tab/>
        <w:t>$160.00</w:t>
      </w:r>
    </w:p>
    <w:p w:rsidR="003C566D" w:rsidRPr="00D246D7" w:rsidRDefault="00385ACA" w:rsidP="00D246D7">
      <w:pPr>
        <w:pStyle w:val="ListParagraph"/>
        <w:numPr>
          <w:ilvl w:val="0"/>
          <w:numId w:val="4"/>
        </w:numPr>
        <w:ind w:right="1530"/>
        <w:rPr>
          <w:rStyle w:val="Emphasis"/>
          <w:i w:val="0"/>
        </w:rPr>
      </w:pPr>
      <w:r w:rsidRPr="00D246D7">
        <w:rPr>
          <w:rStyle w:val="Emphasis"/>
          <w:i w:val="0"/>
        </w:rPr>
        <w:t xml:space="preserve">3” meter service           </w:t>
      </w:r>
      <w:r w:rsidR="008D7FF5" w:rsidRPr="00D246D7">
        <w:rPr>
          <w:rStyle w:val="Emphasis"/>
          <w:i w:val="0"/>
        </w:rPr>
        <w:t xml:space="preserve">    </w:t>
      </w:r>
      <w:r w:rsidRPr="00D246D7">
        <w:rPr>
          <w:rStyle w:val="Emphasis"/>
          <w:i w:val="0"/>
        </w:rPr>
        <w:t xml:space="preserve">$230.00  </w:t>
      </w:r>
      <w:r w:rsidR="009A499F" w:rsidRPr="00D246D7">
        <w:rPr>
          <w:rStyle w:val="Emphasis"/>
          <w:i w:val="0"/>
        </w:rPr>
        <w:tab/>
      </w:r>
      <w:r w:rsidR="009A499F" w:rsidRPr="00D246D7">
        <w:rPr>
          <w:rStyle w:val="Emphasis"/>
          <w:i w:val="0"/>
        </w:rPr>
        <w:tab/>
        <w:t>$300.00</w:t>
      </w:r>
    </w:p>
    <w:p w:rsidR="003C566D" w:rsidRPr="004D508B" w:rsidRDefault="00385ACA" w:rsidP="00D246D7">
      <w:pPr>
        <w:pStyle w:val="ListParagraph"/>
        <w:numPr>
          <w:ilvl w:val="0"/>
          <w:numId w:val="4"/>
        </w:numPr>
        <w:ind w:right="1530"/>
        <w:rPr>
          <w:rStyle w:val="Emphasis"/>
          <w:i w:val="0"/>
        </w:rPr>
      </w:pPr>
      <w:r w:rsidRPr="004D508B">
        <w:rPr>
          <w:rStyle w:val="Emphasis"/>
          <w:i w:val="0"/>
        </w:rPr>
        <w:t xml:space="preserve">4” meter service       </w:t>
      </w:r>
      <w:r w:rsidR="00D246D7">
        <w:rPr>
          <w:rStyle w:val="Emphasis"/>
          <w:i w:val="0"/>
        </w:rPr>
        <w:t xml:space="preserve">    </w:t>
      </w:r>
      <w:r w:rsidRPr="004D508B">
        <w:rPr>
          <w:rStyle w:val="Emphasis"/>
          <w:i w:val="0"/>
        </w:rPr>
        <w:t xml:space="preserve"> </w:t>
      </w:r>
      <w:r w:rsidR="00D246D7">
        <w:rPr>
          <w:rStyle w:val="Emphasis"/>
          <w:i w:val="0"/>
        </w:rPr>
        <w:t xml:space="preserve"> </w:t>
      </w:r>
      <w:r w:rsidRPr="004D508B">
        <w:rPr>
          <w:rStyle w:val="Emphasis"/>
          <w:i w:val="0"/>
        </w:rPr>
        <w:t xml:space="preserve">  $384.10   </w:t>
      </w:r>
      <w:r w:rsidR="009A499F" w:rsidRPr="004D508B">
        <w:rPr>
          <w:rStyle w:val="Emphasis"/>
          <w:i w:val="0"/>
        </w:rPr>
        <w:tab/>
      </w:r>
      <w:r w:rsidR="009A499F" w:rsidRPr="004D508B">
        <w:rPr>
          <w:rStyle w:val="Emphasis"/>
          <w:i w:val="0"/>
        </w:rPr>
        <w:tab/>
        <w:t>$500.00</w:t>
      </w:r>
    </w:p>
    <w:p w:rsidR="00385ACA" w:rsidRPr="004D508B" w:rsidRDefault="003C566D" w:rsidP="00D029D5">
      <w:pPr>
        <w:pStyle w:val="ListParagraph"/>
        <w:numPr>
          <w:ilvl w:val="0"/>
          <w:numId w:val="4"/>
        </w:numPr>
        <w:ind w:right="1530"/>
        <w:rPr>
          <w:rStyle w:val="Emphasis"/>
          <w:i w:val="0"/>
        </w:rPr>
      </w:pPr>
      <w:r w:rsidRPr="004D508B">
        <w:rPr>
          <w:rStyle w:val="Emphasis"/>
          <w:i w:val="0"/>
        </w:rPr>
        <w:t>6” meter service</w:t>
      </w:r>
      <w:r w:rsidR="009A499F" w:rsidRPr="004D508B">
        <w:rPr>
          <w:rStyle w:val="Emphasis"/>
          <w:i w:val="0"/>
        </w:rPr>
        <w:tab/>
      </w:r>
      <w:r w:rsidR="00D246D7">
        <w:rPr>
          <w:rStyle w:val="Emphasis"/>
          <w:i w:val="0"/>
        </w:rPr>
        <w:t xml:space="preserve">     </w:t>
      </w:r>
      <w:r w:rsidR="00D029D5" w:rsidRPr="004D508B">
        <w:rPr>
          <w:rStyle w:val="Emphasis"/>
          <w:i w:val="0"/>
        </w:rPr>
        <w:t>$765.90</w:t>
      </w:r>
      <w:r w:rsidR="009A499F" w:rsidRPr="004D508B">
        <w:rPr>
          <w:rStyle w:val="Emphasis"/>
          <w:i w:val="0"/>
        </w:rPr>
        <w:tab/>
      </w:r>
      <w:r w:rsidR="009A499F" w:rsidRPr="004D508B">
        <w:rPr>
          <w:rStyle w:val="Emphasis"/>
          <w:i w:val="0"/>
        </w:rPr>
        <w:tab/>
        <w:t>$1</w:t>
      </w:r>
      <w:r w:rsidR="00D029D5" w:rsidRPr="004D508B">
        <w:rPr>
          <w:rStyle w:val="Emphasis"/>
          <w:i w:val="0"/>
        </w:rPr>
        <w:t>,000.00</w:t>
      </w:r>
    </w:p>
    <w:p w:rsidR="001B280E" w:rsidRPr="004D508B" w:rsidRDefault="004D508B" w:rsidP="00D029D5">
      <w:pPr>
        <w:pStyle w:val="ListParagraph"/>
        <w:numPr>
          <w:ilvl w:val="0"/>
          <w:numId w:val="4"/>
        </w:numPr>
        <w:ind w:right="1530"/>
        <w:rPr>
          <w:rStyle w:val="Emphasis"/>
          <w:i w:val="0"/>
        </w:rPr>
      </w:pPr>
      <w:r>
        <w:rPr>
          <w:rStyle w:val="Emphasis"/>
          <w:i w:val="0"/>
        </w:rPr>
        <w:t>Ready to Serve</w:t>
      </w:r>
      <w:r>
        <w:rPr>
          <w:rStyle w:val="Emphasis"/>
          <w:i w:val="0"/>
        </w:rPr>
        <w:tab/>
      </w:r>
      <w:r w:rsidR="00D246D7">
        <w:rPr>
          <w:rStyle w:val="Emphasis"/>
          <w:i w:val="0"/>
        </w:rPr>
        <w:t xml:space="preserve">     $23.00</w:t>
      </w:r>
      <w:r w:rsidR="00D246D7">
        <w:rPr>
          <w:rStyle w:val="Emphasis"/>
          <w:i w:val="0"/>
        </w:rPr>
        <w:tab/>
      </w:r>
      <w:r w:rsidR="00D246D7">
        <w:rPr>
          <w:rStyle w:val="Emphasis"/>
          <w:i w:val="0"/>
        </w:rPr>
        <w:tab/>
      </w:r>
      <w:r w:rsidR="001B280E" w:rsidRPr="004D508B">
        <w:rPr>
          <w:rStyle w:val="Emphasis"/>
          <w:i w:val="0"/>
        </w:rPr>
        <w:t>$30.00</w:t>
      </w:r>
    </w:p>
    <w:p w:rsidR="001B280E" w:rsidRPr="004D508B" w:rsidRDefault="001B280E" w:rsidP="00D029D5">
      <w:pPr>
        <w:pStyle w:val="ListParagraph"/>
        <w:numPr>
          <w:ilvl w:val="0"/>
          <w:numId w:val="4"/>
        </w:numPr>
        <w:ind w:right="1530"/>
        <w:rPr>
          <w:rStyle w:val="Emphasis"/>
          <w:i w:val="0"/>
        </w:rPr>
      </w:pPr>
      <w:r w:rsidRPr="004D508B">
        <w:rPr>
          <w:rStyle w:val="Emphasis"/>
          <w:i w:val="0"/>
        </w:rPr>
        <w:t>Flat Rate</w:t>
      </w:r>
      <w:r w:rsidRPr="004D508B">
        <w:rPr>
          <w:rStyle w:val="Emphasis"/>
          <w:i w:val="0"/>
        </w:rPr>
        <w:tab/>
      </w:r>
      <w:r w:rsidRPr="004D508B">
        <w:rPr>
          <w:rStyle w:val="Emphasis"/>
          <w:i w:val="0"/>
        </w:rPr>
        <w:tab/>
      </w:r>
      <w:r w:rsidR="00D246D7">
        <w:rPr>
          <w:rStyle w:val="Emphasis"/>
          <w:i w:val="0"/>
        </w:rPr>
        <w:t xml:space="preserve">     $55.00</w:t>
      </w:r>
      <w:r w:rsidR="00D246D7">
        <w:rPr>
          <w:rStyle w:val="Emphasis"/>
          <w:i w:val="0"/>
        </w:rPr>
        <w:tab/>
      </w:r>
      <w:r w:rsidR="00D246D7">
        <w:rPr>
          <w:rStyle w:val="Emphasis"/>
          <w:i w:val="0"/>
        </w:rPr>
        <w:tab/>
      </w:r>
      <w:r w:rsidRPr="004D508B">
        <w:rPr>
          <w:rStyle w:val="Emphasis"/>
          <w:i w:val="0"/>
        </w:rPr>
        <w:t>$60.18</w:t>
      </w:r>
    </w:p>
    <w:p w:rsidR="001B280E" w:rsidRDefault="001B280E" w:rsidP="00D029D5">
      <w:pPr>
        <w:pStyle w:val="ListParagraph"/>
        <w:numPr>
          <w:ilvl w:val="0"/>
          <w:numId w:val="4"/>
        </w:numPr>
        <w:ind w:right="1530"/>
        <w:rPr>
          <w:rStyle w:val="Emphasis"/>
          <w:i w:val="0"/>
        </w:rPr>
      </w:pPr>
      <w:r w:rsidRPr="004D508B">
        <w:rPr>
          <w:rStyle w:val="Emphasis"/>
          <w:i w:val="0"/>
        </w:rPr>
        <w:t>Fire Protection</w:t>
      </w:r>
      <w:r w:rsidR="008D7FF5">
        <w:rPr>
          <w:rStyle w:val="Emphasis"/>
          <w:i w:val="0"/>
        </w:rPr>
        <w:t xml:space="preserve"> </w:t>
      </w:r>
      <w:r w:rsidRPr="004D508B">
        <w:rPr>
          <w:rStyle w:val="Emphasis"/>
          <w:i w:val="0"/>
        </w:rPr>
        <w:tab/>
      </w:r>
      <w:r w:rsidR="00D246D7">
        <w:rPr>
          <w:rStyle w:val="Emphasis"/>
          <w:i w:val="0"/>
        </w:rPr>
        <w:t xml:space="preserve">    </w:t>
      </w:r>
      <w:r w:rsidRPr="004D508B">
        <w:rPr>
          <w:rStyle w:val="Emphasis"/>
          <w:i w:val="0"/>
        </w:rPr>
        <w:t>$110.00</w:t>
      </w:r>
      <w:r w:rsidRPr="004D508B">
        <w:rPr>
          <w:rStyle w:val="Emphasis"/>
          <w:i w:val="0"/>
        </w:rPr>
        <w:tab/>
      </w:r>
      <w:r w:rsidRPr="004D508B">
        <w:rPr>
          <w:rStyle w:val="Emphasis"/>
          <w:i w:val="0"/>
        </w:rPr>
        <w:tab/>
        <w:t>$127.60</w:t>
      </w:r>
    </w:p>
    <w:p w:rsidR="00D246D7" w:rsidRPr="004D508B" w:rsidRDefault="00D246D7" w:rsidP="00D246D7">
      <w:pPr>
        <w:pStyle w:val="ListParagraph"/>
        <w:ind w:left="2880" w:right="1530"/>
        <w:rPr>
          <w:rStyle w:val="Emphasis"/>
          <w:i w:val="0"/>
        </w:rPr>
      </w:pPr>
      <w:bookmarkStart w:id="0" w:name="_GoBack"/>
      <w:bookmarkEnd w:id="0"/>
    </w:p>
    <w:p w:rsidR="00677BBA" w:rsidRDefault="001B280E" w:rsidP="00D029D5">
      <w:pPr>
        <w:ind w:left="1800" w:right="1530" w:firstLine="720"/>
        <w:rPr>
          <w:rStyle w:val="Emphasis"/>
        </w:rPr>
      </w:pPr>
      <w:r>
        <w:rPr>
          <w:rStyle w:val="Emphasis"/>
        </w:rPr>
        <w:t xml:space="preserve">  </w:t>
      </w:r>
    </w:p>
    <w:p w:rsidR="00EA6813" w:rsidRPr="00EA6813" w:rsidRDefault="00EA6813" w:rsidP="00EA6813">
      <w:pPr>
        <w:widowControl w:val="0"/>
        <w:rPr>
          <w:rFonts w:ascii="Courier" w:hAnsi="Courier"/>
          <w:snapToGrid w:val="0"/>
          <w:sz w:val="20"/>
          <w:szCs w:val="20"/>
        </w:rPr>
      </w:pPr>
      <w:r w:rsidRPr="00EA6813">
        <w:rPr>
          <w:rFonts w:ascii="Courier" w:hAnsi="Courier"/>
          <w:snapToGrid w:val="0"/>
          <w:sz w:val="20"/>
          <w:szCs w:val="20"/>
        </w:rPr>
        <w:tab/>
      </w:r>
      <w:r w:rsidRPr="00EA6813">
        <w:rPr>
          <w:b/>
          <w:snapToGrid w:val="0"/>
          <w:sz w:val="22"/>
          <w:szCs w:val="22"/>
          <w:u w:val="single"/>
        </w:rPr>
        <w:t>Usage Rates Zero Allowance</w:t>
      </w:r>
    </w:p>
    <w:p w:rsidR="00EA6813" w:rsidRPr="00EA6813" w:rsidRDefault="00EA6813" w:rsidP="00EA6813">
      <w:pPr>
        <w:widowControl w:val="0"/>
        <w:rPr>
          <w:b/>
          <w:snapToGrid w:val="0"/>
          <w:sz w:val="22"/>
          <w:szCs w:val="22"/>
        </w:rPr>
      </w:pPr>
      <w:r w:rsidRPr="00EA6813">
        <w:rPr>
          <w:snapToGrid w:val="0"/>
          <w:sz w:val="22"/>
          <w:szCs w:val="22"/>
        </w:rPr>
        <w:t xml:space="preserve">                </w:t>
      </w:r>
      <w:r w:rsidRPr="00EA6813">
        <w:rPr>
          <w:b/>
          <w:snapToGrid w:val="0"/>
          <w:sz w:val="22"/>
          <w:szCs w:val="22"/>
        </w:rPr>
        <w:t xml:space="preserve">Meter </w:t>
      </w:r>
      <w:proofErr w:type="gramStart"/>
      <w:r w:rsidRPr="00EA6813">
        <w:rPr>
          <w:b/>
          <w:snapToGrid w:val="0"/>
          <w:sz w:val="22"/>
          <w:szCs w:val="22"/>
        </w:rPr>
        <w:t>Size</w:t>
      </w:r>
      <w:r w:rsidRPr="00EA6813">
        <w:rPr>
          <w:snapToGrid w:val="0"/>
          <w:sz w:val="22"/>
          <w:szCs w:val="22"/>
        </w:rPr>
        <w:t xml:space="preserve">                                      </w:t>
      </w:r>
      <w:r w:rsidRPr="00EA6813">
        <w:rPr>
          <w:b/>
          <w:snapToGrid w:val="0"/>
          <w:sz w:val="22"/>
          <w:szCs w:val="22"/>
        </w:rPr>
        <w:t>Consumption                Per</w:t>
      </w:r>
      <w:proofErr w:type="gramEnd"/>
      <w:r w:rsidRPr="00EA6813">
        <w:rPr>
          <w:b/>
          <w:snapToGrid w:val="0"/>
          <w:sz w:val="22"/>
          <w:szCs w:val="22"/>
        </w:rPr>
        <w:t xml:space="preserve"> 100 cubic feet Usage Rate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3072"/>
        <w:gridCol w:w="3072"/>
      </w:tblGrid>
      <w:tr w:rsidR="00EA6813" w:rsidRPr="00EA6813" w:rsidTr="00E41E7F">
        <w:tc>
          <w:tcPr>
            <w:tcW w:w="3072" w:type="dxa"/>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¾” or smaller</w:t>
            </w:r>
          </w:p>
          <w:p w:rsidR="00EA6813" w:rsidRPr="00EA6813" w:rsidRDefault="00EA6813" w:rsidP="00EA6813">
            <w:pPr>
              <w:widowControl w:val="0"/>
              <w:rPr>
                <w:snapToGrid w:val="0"/>
                <w:sz w:val="20"/>
                <w:szCs w:val="20"/>
              </w:rPr>
            </w:pPr>
            <w:r w:rsidRPr="00EA6813">
              <w:rPr>
                <w:snapToGrid w:val="0"/>
                <w:sz w:val="20"/>
                <w:szCs w:val="20"/>
              </w:rPr>
              <w:t xml:space="preserve">             ¾” or smaller</w:t>
            </w:r>
          </w:p>
          <w:p w:rsidR="00EA6813" w:rsidRPr="00EA6813" w:rsidRDefault="00EA6813" w:rsidP="00EA6813">
            <w:pPr>
              <w:widowControl w:val="0"/>
              <w:rPr>
                <w:snapToGrid w:val="0"/>
                <w:sz w:val="20"/>
                <w:szCs w:val="20"/>
              </w:rPr>
            </w:pPr>
            <w:r w:rsidRPr="00EA6813">
              <w:rPr>
                <w:snapToGrid w:val="0"/>
                <w:sz w:val="20"/>
                <w:szCs w:val="20"/>
              </w:rPr>
              <w:t xml:space="preserve">             ¾” or smaller</w:t>
            </w:r>
          </w:p>
          <w:p w:rsidR="00EA6813" w:rsidRPr="00EA6813" w:rsidRDefault="00EA6813" w:rsidP="00EA6813">
            <w:pPr>
              <w:widowControl w:val="0"/>
              <w:rPr>
                <w:snapToGrid w:val="0"/>
                <w:sz w:val="20"/>
                <w:szCs w:val="20"/>
              </w:rPr>
            </w:pPr>
          </w:p>
        </w:tc>
        <w:tc>
          <w:tcPr>
            <w:tcW w:w="3072" w:type="dxa"/>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0 to 950 cubic feet         </w:t>
            </w:r>
          </w:p>
          <w:p w:rsidR="00EA6813" w:rsidRPr="00EA6813" w:rsidRDefault="004D508B" w:rsidP="00EA6813">
            <w:pPr>
              <w:widowControl w:val="0"/>
              <w:rPr>
                <w:snapToGrid w:val="0"/>
                <w:sz w:val="20"/>
                <w:szCs w:val="20"/>
              </w:rPr>
            </w:pPr>
            <w:r>
              <w:rPr>
                <w:snapToGrid w:val="0"/>
                <w:sz w:val="20"/>
                <w:szCs w:val="20"/>
              </w:rPr>
              <w:t xml:space="preserve"> </w:t>
            </w:r>
            <w:r w:rsidR="00EA6813" w:rsidRPr="00EA6813">
              <w:rPr>
                <w:snapToGrid w:val="0"/>
                <w:sz w:val="20"/>
                <w:szCs w:val="20"/>
              </w:rPr>
              <w:t xml:space="preserve"> 951 up to 2,200 cubic feet</w:t>
            </w:r>
          </w:p>
          <w:p w:rsidR="004D508B" w:rsidRDefault="004D508B" w:rsidP="00EA6813">
            <w:pPr>
              <w:widowControl w:val="0"/>
              <w:rPr>
                <w:rFonts w:ascii="Courier" w:hAnsi="Courier"/>
                <w:snapToGrid w:val="0"/>
                <w:sz w:val="20"/>
                <w:szCs w:val="20"/>
              </w:rPr>
            </w:pPr>
            <w:r>
              <w:rPr>
                <w:rFonts w:ascii="Courier" w:hAnsi="Courier"/>
                <w:snapToGrid w:val="0"/>
                <w:sz w:val="20"/>
                <w:szCs w:val="20"/>
              </w:rPr>
              <w:t xml:space="preserve"> </w:t>
            </w:r>
            <w:r w:rsidR="00EA6813" w:rsidRPr="00EA6813">
              <w:rPr>
                <w:rFonts w:ascii="Courier" w:hAnsi="Courier"/>
                <w:snapToGrid w:val="0"/>
                <w:sz w:val="20"/>
                <w:szCs w:val="20"/>
              </w:rPr>
              <w:t>Greater than 2,201</w:t>
            </w:r>
          </w:p>
          <w:p w:rsidR="00EA6813" w:rsidRPr="00EA6813" w:rsidRDefault="004D508B" w:rsidP="00EA6813">
            <w:pPr>
              <w:widowControl w:val="0"/>
              <w:rPr>
                <w:rFonts w:ascii="Courier" w:hAnsi="Courier"/>
                <w:snapToGrid w:val="0"/>
                <w:sz w:val="20"/>
                <w:szCs w:val="20"/>
              </w:rPr>
            </w:pPr>
            <w:r>
              <w:rPr>
                <w:rFonts w:ascii="Courier" w:hAnsi="Courier"/>
                <w:snapToGrid w:val="0"/>
                <w:sz w:val="20"/>
                <w:szCs w:val="20"/>
              </w:rPr>
              <w:t xml:space="preserve"> Cubic feet</w:t>
            </w:r>
            <w:r w:rsidR="00EA6813" w:rsidRPr="00EA6813">
              <w:rPr>
                <w:rFonts w:ascii="Courier" w:hAnsi="Courier"/>
                <w:snapToGrid w:val="0"/>
                <w:sz w:val="20"/>
                <w:szCs w:val="20"/>
              </w:rPr>
              <w:t xml:space="preserve"> </w:t>
            </w:r>
            <w:r>
              <w:rPr>
                <w:rFonts w:ascii="Courier" w:hAnsi="Courier"/>
                <w:snapToGrid w:val="0"/>
                <w:sz w:val="20"/>
                <w:szCs w:val="20"/>
              </w:rPr>
              <w:t xml:space="preserve">              </w:t>
            </w:r>
          </w:p>
        </w:tc>
        <w:tc>
          <w:tcPr>
            <w:tcW w:w="3072" w:type="dxa"/>
          </w:tcPr>
          <w:p w:rsidR="00EA6813" w:rsidRPr="00EA6813" w:rsidRDefault="00EA6813" w:rsidP="00EA6813">
            <w:pPr>
              <w:widowControl w:val="0"/>
              <w:rPr>
                <w:snapToGrid w:val="0"/>
                <w:sz w:val="20"/>
                <w:szCs w:val="20"/>
              </w:rPr>
            </w:pPr>
            <w:r>
              <w:rPr>
                <w:snapToGrid w:val="0"/>
                <w:sz w:val="20"/>
                <w:szCs w:val="20"/>
              </w:rPr>
              <w:t>Old Rate</w:t>
            </w:r>
            <w:r w:rsidRPr="00EA6813">
              <w:rPr>
                <w:snapToGrid w:val="0"/>
                <w:sz w:val="20"/>
                <w:szCs w:val="20"/>
              </w:rPr>
              <w:t xml:space="preserve">           </w:t>
            </w:r>
            <w:r>
              <w:rPr>
                <w:snapToGrid w:val="0"/>
                <w:sz w:val="20"/>
                <w:szCs w:val="20"/>
              </w:rPr>
              <w:t>Proposed Rate</w:t>
            </w:r>
          </w:p>
          <w:p w:rsidR="00002189" w:rsidRDefault="00EA6813" w:rsidP="00EA6813">
            <w:pPr>
              <w:widowControl w:val="0"/>
              <w:rPr>
                <w:snapToGrid w:val="0"/>
                <w:sz w:val="20"/>
                <w:szCs w:val="20"/>
              </w:rPr>
            </w:pPr>
            <w:r>
              <w:rPr>
                <w:snapToGrid w:val="0"/>
                <w:sz w:val="20"/>
                <w:szCs w:val="20"/>
              </w:rPr>
              <w:t xml:space="preserve"> </w:t>
            </w:r>
            <w:r w:rsidR="00002189">
              <w:rPr>
                <w:snapToGrid w:val="0"/>
                <w:sz w:val="20"/>
                <w:szCs w:val="20"/>
              </w:rPr>
              <w:t xml:space="preserve">$3.30                   </w:t>
            </w:r>
            <w:r w:rsidR="00CA36CF">
              <w:rPr>
                <w:snapToGrid w:val="0"/>
                <w:sz w:val="20"/>
                <w:szCs w:val="20"/>
              </w:rPr>
              <w:t>$</w:t>
            </w:r>
            <w:r w:rsidR="00002189">
              <w:rPr>
                <w:snapToGrid w:val="0"/>
                <w:sz w:val="20"/>
                <w:szCs w:val="20"/>
              </w:rPr>
              <w:t>3.50</w:t>
            </w:r>
          </w:p>
          <w:p w:rsidR="00002189" w:rsidRDefault="00CA36CF" w:rsidP="00002189">
            <w:pPr>
              <w:rPr>
                <w:sz w:val="20"/>
                <w:szCs w:val="20"/>
              </w:rPr>
            </w:pPr>
            <w:r>
              <w:rPr>
                <w:sz w:val="20"/>
                <w:szCs w:val="20"/>
              </w:rPr>
              <w:t xml:space="preserve"> $4.30                 </w:t>
            </w:r>
            <w:r w:rsidR="00002189">
              <w:rPr>
                <w:sz w:val="20"/>
                <w:szCs w:val="20"/>
              </w:rPr>
              <w:t xml:space="preserve">  $4.55</w:t>
            </w:r>
          </w:p>
          <w:p w:rsidR="00EA6813" w:rsidRPr="00002189" w:rsidRDefault="00002189" w:rsidP="00002189">
            <w:pPr>
              <w:tabs>
                <w:tab w:val="center" w:pos="1428"/>
              </w:tabs>
              <w:rPr>
                <w:sz w:val="20"/>
                <w:szCs w:val="20"/>
              </w:rPr>
            </w:pPr>
            <w:r>
              <w:rPr>
                <w:sz w:val="20"/>
                <w:szCs w:val="20"/>
              </w:rPr>
              <w:t xml:space="preserve"> $7.30</w:t>
            </w:r>
            <w:r>
              <w:rPr>
                <w:sz w:val="20"/>
                <w:szCs w:val="20"/>
              </w:rPr>
              <w:tab/>
              <w:t xml:space="preserve">           $7.75</w:t>
            </w:r>
          </w:p>
        </w:tc>
      </w:tr>
      <w:tr w:rsidR="00EA6813" w:rsidRPr="00EA6813" w:rsidTr="00E41E7F">
        <w:tc>
          <w:tcPr>
            <w:tcW w:w="3072" w:type="dxa"/>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1” Customer</w:t>
            </w:r>
          </w:p>
          <w:p w:rsidR="00EA6813" w:rsidRPr="00EA6813" w:rsidRDefault="00EA6813" w:rsidP="00EA6813">
            <w:pPr>
              <w:widowControl w:val="0"/>
              <w:rPr>
                <w:snapToGrid w:val="0"/>
                <w:sz w:val="20"/>
                <w:szCs w:val="20"/>
              </w:rPr>
            </w:pPr>
            <w:r w:rsidRPr="00EA6813">
              <w:rPr>
                <w:snapToGrid w:val="0"/>
                <w:sz w:val="20"/>
                <w:szCs w:val="20"/>
              </w:rPr>
              <w:t xml:space="preserve">             1” Customer</w:t>
            </w:r>
          </w:p>
          <w:p w:rsidR="00EA6813" w:rsidRPr="00EA6813" w:rsidRDefault="00EA6813" w:rsidP="00EA6813">
            <w:pPr>
              <w:widowControl w:val="0"/>
              <w:rPr>
                <w:snapToGrid w:val="0"/>
                <w:sz w:val="20"/>
                <w:szCs w:val="20"/>
              </w:rPr>
            </w:pPr>
            <w:r w:rsidRPr="00EA6813">
              <w:rPr>
                <w:snapToGrid w:val="0"/>
                <w:sz w:val="20"/>
                <w:szCs w:val="20"/>
              </w:rPr>
              <w:t xml:space="preserve">             1” Customer</w:t>
            </w:r>
          </w:p>
          <w:p w:rsidR="00EA6813" w:rsidRPr="00EA6813" w:rsidRDefault="00EA6813" w:rsidP="00EA6813">
            <w:pPr>
              <w:widowControl w:val="0"/>
              <w:rPr>
                <w:snapToGrid w:val="0"/>
                <w:sz w:val="20"/>
                <w:szCs w:val="20"/>
              </w:rPr>
            </w:pPr>
          </w:p>
        </w:tc>
        <w:tc>
          <w:tcPr>
            <w:tcW w:w="3072" w:type="dxa"/>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0 to 1,587 cubic feet</w:t>
            </w:r>
          </w:p>
          <w:p w:rsidR="00EA6813" w:rsidRPr="00EA6813" w:rsidRDefault="00EA6813" w:rsidP="00EA6813">
            <w:pPr>
              <w:widowControl w:val="0"/>
              <w:rPr>
                <w:snapToGrid w:val="0"/>
                <w:sz w:val="20"/>
                <w:szCs w:val="20"/>
              </w:rPr>
            </w:pPr>
            <w:r w:rsidRPr="00EA6813">
              <w:rPr>
                <w:snapToGrid w:val="0"/>
                <w:sz w:val="20"/>
                <w:szCs w:val="20"/>
              </w:rPr>
              <w:t xml:space="preserve">   1,588 up to 3,674cubic feet </w:t>
            </w:r>
          </w:p>
          <w:p w:rsidR="00EA6813" w:rsidRPr="00EA6813" w:rsidRDefault="00EA6813" w:rsidP="00EA6813">
            <w:pPr>
              <w:widowControl w:val="0"/>
              <w:rPr>
                <w:snapToGrid w:val="0"/>
                <w:sz w:val="20"/>
                <w:szCs w:val="20"/>
              </w:rPr>
            </w:pPr>
            <w:r w:rsidRPr="00EA6813">
              <w:rPr>
                <w:snapToGrid w:val="0"/>
                <w:sz w:val="20"/>
                <w:szCs w:val="20"/>
              </w:rPr>
              <w:t xml:space="preserve">   Greater than 3,675cubic feet</w:t>
            </w:r>
          </w:p>
          <w:p w:rsidR="00EA6813" w:rsidRPr="00EA6813" w:rsidRDefault="00EA6813" w:rsidP="00EA6813">
            <w:pPr>
              <w:widowControl w:val="0"/>
              <w:rPr>
                <w:snapToGrid w:val="0"/>
                <w:sz w:val="20"/>
                <w:szCs w:val="20"/>
              </w:rPr>
            </w:pPr>
          </w:p>
        </w:tc>
        <w:tc>
          <w:tcPr>
            <w:tcW w:w="3072" w:type="dxa"/>
          </w:tcPr>
          <w:p w:rsidR="00002189" w:rsidRDefault="00EA6813" w:rsidP="00002189">
            <w:pPr>
              <w:widowControl w:val="0"/>
              <w:rPr>
                <w:snapToGrid w:val="0"/>
                <w:sz w:val="20"/>
                <w:szCs w:val="20"/>
              </w:rPr>
            </w:pPr>
            <w:r w:rsidRPr="00EA6813">
              <w:rPr>
                <w:snapToGrid w:val="0"/>
                <w:sz w:val="20"/>
                <w:szCs w:val="20"/>
              </w:rPr>
              <w:t xml:space="preserve">              </w:t>
            </w:r>
          </w:p>
          <w:p w:rsidR="00EA6813" w:rsidRPr="00EA6813" w:rsidRDefault="00EA6813" w:rsidP="00002189">
            <w:pPr>
              <w:widowControl w:val="0"/>
              <w:rPr>
                <w:snapToGrid w:val="0"/>
                <w:sz w:val="20"/>
                <w:szCs w:val="20"/>
              </w:rPr>
            </w:pPr>
            <w:r w:rsidRPr="00EA6813">
              <w:rPr>
                <w:snapToGrid w:val="0"/>
                <w:sz w:val="20"/>
                <w:szCs w:val="20"/>
              </w:rPr>
              <w:t xml:space="preserve">  </w:t>
            </w:r>
            <w:r w:rsidR="00002189">
              <w:rPr>
                <w:snapToGrid w:val="0"/>
                <w:sz w:val="20"/>
                <w:szCs w:val="20"/>
              </w:rPr>
              <w:t>$3.30</w:t>
            </w:r>
            <w:r w:rsidRPr="00EA6813">
              <w:rPr>
                <w:snapToGrid w:val="0"/>
                <w:sz w:val="20"/>
                <w:szCs w:val="20"/>
              </w:rPr>
              <w:t xml:space="preserve">   </w:t>
            </w:r>
            <w:r w:rsidR="00002189">
              <w:rPr>
                <w:snapToGrid w:val="0"/>
                <w:sz w:val="20"/>
                <w:szCs w:val="20"/>
              </w:rPr>
              <w:t xml:space="preserve"> </w:t>
            </w:r>
            <w:r w:rsidR="004D508B">
              <w:rPr>
                <w:snapToGrid w:val="0"/>
                <w:sz w:val="20"/>
                <w:szCs w:val="20"/>
              </w:rPr>
              <w:t xml:space="preserve">           </w:t>
            </w:r>
            <w:r w:rsidRPr="00EA6813">
              <w:rPr>
                <w:snapToGrid w:val="0"/>
                <w:sz w:val="20"/>
                <w:szCs w:val="20"/>
              </w:rPr>
              <w:t xml:space="preserve">   $3.50 </w:t>
            </w:r>
            <w:r w:rsidR="00002189">
              <w:rPr>
                <w:snapToGrid w:val="0"/>
                <w:sz w:val="20"/>
                <w:szCs w:val="20"/>
              </w:rPr>
              <w:t xml:space="preserve">  </w:t>
            </w:r>
          </w:p>
          <w:p w:rsidR="00EA6813" w:rsidRPr="00EA6813" w:rsidRDefault="00002189" w:rsidP="00EA6813">
            <w:pPr>
              <w:widowControl w:val="0"/>
              <w:rPr>
                <w:snapToGrid w:val="0"/>
                <w:sz w:val="20"/>
                <w:szCs w:val="20"/>
              </w:rPr>
            </w:pPr>
            <w:r>
              <w:rPr>
                <w:snapToGrid w:val="0"/>
                <w:sz w:val="20"/>
                <w:szCs w:val="20"/>
              </w:rPr>
              <w:t xml:space="preserve">  $4.30</w:t>
            </w:r>
            <w:r w:rsidR="00EA6813" w:rsidRPr="00EA6813">
              <w:rPr>
                <w:snapToGrid w:val="0"/>
                <w:sz w:val="20"/>
                <w:szCs w:val="20"/>
              </w:rPr>
              <w:t xml:space="preserve">   </w:t>
            </w:r>
            <w:r w:rsidR="004D508B">
              <w:rPr>
                <w:snapToGrid w:val="0"/>
                <w:sz w:val="20"/>
                <w:szCs w:val="20"/>
              </w:rPr>
              <w:t xml:space="preserve">              </w:t>
            </w:r>
            <w:r>
              <w:rPr>
                <w:snapToGrid w:val="0"/>
                <w:sz w:val="20"/>
                <w:szCs w:val="20"/>
              </w:rPr>
              <w:t xml:space="preserve"> $4.55   </w:t>
            </w:r>
          </w:p>
          <w:p w:rsidR="00EA6813" w:rsidRPr="00EA6813" w:rsidRDefault="00EA6813" w:rsidP="00EA6813">
            <w:pPr>
              <w:widowControl w:val="0"/>
              <w:rPr>
                <w:snapToGrid w:val="0"/>
                <w:sz w:val="20"/>
                <w:szCs w:val="20"/>
              </w:rPr>
            </w:pPr>
            <w:r w:rsidRPr="00EA6813">
              <w:rPr>
                <w:snapToGrid w:val="0"/>
                <w:sz w:val="20"/>
                <w:szCs w:val="20"/>
              </w:rPr>
              <w:t xml:space="preserve">  </w:t>
            </w:r>
            <w:r w:rsidR="00002189">
              <w:rPr>
                <w:snapToGrid w:val="0"/>
                <w:sz w:val="20"/>
                <w:szCs w:val="20"/>
              </w:rPr>
              <w:t>$7.30</w:t>
            </w:r>
            <w:r w:rsidRPr="00EA6813">
              <w:rPr>
                <w:snapToGrid w:val="0"/>
                <w:sz w:val="20"/>
                <w:szCs w:val="20"/>
              </w:rPr>
              <w:t xml:space="preserve">          </w:t>
            </w:r>
            <w:r w:rsidR="004D508B">
              <w:rPr>
                <w:snapToGrid w:val="0"/>
                <w:sz w:val="20"/>
                <w:szCs w:val="20"/>
              </w:rPr>
              <w:t xml:space="preserve">       </w:t>
            </w:r>
            <w:r w:rsidR="00002189">
              <w:rPr>
                <w:snapToGrid w:val="0"/>
                <w:sz w:val="20"/>
                <w:szCs w:val="20"/>
              </w:rPr>
              <w:t xml:space="preserve"> $7.75   </w:t>
            </w:r>
          </w:p>
          <w:p w:rsidR="00EA6813" w:rsidRPr="00EA6813" w:rsidRDefault="00EA6813" w:rsidP="00EA6813">
            <w:pPr>
              <w:widowControl w:val="0"/>
              <w:rPr>
                <w:snapToGrid w:val="0"/>
                <w:sz w:val="20"/>
                <w:szCs w:val="20"/>
              </w:rPr>
            </w:pPr>
            <w:r w:rsidRPr="00EA6813">
              <w:rPr>
                <w:snapToGrid w:val="0"/>
                <w:sz w:val="20"/>
                <w:szCs w:val="20"/>
              </w:rPr>
              <w:t xml:space="preserve">            </w:t>
            </w:r>
          </w:p>
        </w:tc>
      </w:tr>
    </w:tbl>
    <w:p w:rsidR="00EA6813" w:rsidRPr="00E61E2C" w:rsidRDefault="000D1DE0" w:rsidP="00EA6813">
      <w:pPr>
        <w:ind w:right="1530"/>
        <w:rPr>
          <w:rStyle w:val="Emphasis"/>
        </w:rPr>
      </w:pPr>
      <w:r w:rsidRPr="00E61E2C">
        <w:rPr>
          <w:rStyle w:val="Emphasi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3072"/>
        <w:gridCol w:w="3054"/>
      </w:tblGrid>
      <w:tr w:rsidR="00EA6813" w:rsidRPr="00EA6813" w:rsidTr="00E41E7F">
        <w:tc>
          <w:tcPr>
            <w:tcW w:w="3072"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1 1/2” or smaller</w:t>
            </w:r>
          </w:p>
          <w:p w:rsidR="00EA6813" w:rsidRPr="00EA6813" w:rsidRDefault="00EA6813" w:rsidP="00EA6813">
            <w:pPr>
              <w:widowControl w:val="0"/>
              <w:rPr>
                <w:snapToGrid w:val="0"/>
                <w:sz w:val="20"/>
                <w:szCs w:val="20"/>
              </w:rPr>
            </w:pPr>
            <w:r w:rsidRPr="00EA6813">
              <w:rPr>
                <w:snapToGrid w:val="0"/>
                <w:sz w:val="20"/>
                <w:szCs w:val="20"/>
              </w:rPr>
              <w:t xml:space="preserve">             1 1/2” or smaller</w:t>
            </w:r>
          </w:p>
          <w:p w:rsidR="00EA6813" w:rsidRPr="00EA6813" w:rsidRDefault="00EA6813" w:rsidP="00EA6813">
            <w:pPr>
              <w:widowControl w:val="0"/>
              <w:rPr>
                <w:snapToGrid w:val="0"/>
                <w:sz w:val="20"/>
                <w:szCs w:val="20"/>
              </w:rPr>
            </w:pPr>
            <w:r w:rsidRPr="00EA6813">
              <w:rPr>
                <w:snapToGrid w:val="0"/>
                <w:sz w:val="20"/>
                <w:szCs w:val="20"/>
              </w:rPr>
              <w:t xml:space="preserve">             1 1/2” or smaller</w:t>
            </w:r>
          </w:p>
          <w:p w:rsidR="00EA6813" w:rsidRPr="00EA6813" w:rsidRDefault="00EA6813" w:rsidP="00EA6813">
            <w:pPr>
              <w:widowControl w:val="0"/>
              <w:rPr>
                <w:snapToGrid w:val="0"/>
                <w:sz w:val="20"/>
                <w:szCs w:val="20"/>
              </w:rPr>
            </w:pPr>
          </w:p>
        </w:tc>
        <w:tc>
          <w:tcPr>
            <w:tcW w:w="3072"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0 to 3,164 cubic feet         </w:t>
            </w:r>
          </w:p>
          <w:p w:rsidR="00EA6813" w:rsidRPr="00EA6813" w:rsidRDefault="00EA6813" w:rsidP="00EA6813">
            <w:pPr>
              <w:widowControl w:val="0"/>
              <w:rPr>
                <w:snapToGrid w:val="0"/>
                <w:sz w:val="20"/>
                <w:szCs w:val="20"/>
              </w:rPr>
            </w:pPr>
            <w:r w:rsidRPr="00EA6813">
              <w:rPr>
                <w:snapToGrid w:val="0"/>
                <w:sz w:val="20"/>
                <w:szCs w:val="20"/>
              </w:rPr>
              <w:t xml:space="preserve">  3,165 up to 7,326cubic feet</w:t>
            </w:r>
          </w:p>
          <w:p w:rsidR="00EA6813" w:rsidRPr="00EA6813" w:rsidRDefault="00EA6813" w:rsidP="00EA6813">
            <w:pPr>
              <w:widowControl w:val="0"/>
              <w:rPr>
                <w:snapToGrid w:val="0"/>
                <w:sz w:val="20"/>
                <w:szCs w:val="20"/>
              </w:rPr>
            </w:pPr>
            <w:r w:rsidRPr="00EA6813">
              <w:rPr>
                <w:snapToGrid w:val="0"/>
                <w:sz w:val="20"/>
                <w:szCs w:val="20"/>
              </w:rPr>
              <w:t xml:space="preserve">  Greater than 7,327 cubic feet</w:t>
            </w:r>
          </w:p>
        </w:tc>
        <w:tc>
          <w:tcPr>
            <w:tcW w:w="3054"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w:t>
            </w:r>
            <w:r w:rsidR="00002189">
              <w:rPr>
                <w:snapToGrid w:val="0"/>
                <w:sz w:val="20"/>
                <w:szCs w:val="20"/>
              </w:rPr>
              <w:t xml:space="preserve"> $3.30</w:t>
            </w:r>
            <w:r w:rsidRPr="00EA6813">
              <w:rPr>
                <w:snapToGrid w:val="0"/>
                <w:sz w:val="20"/>
                <w:szCs w:val="20"/>
              </w:rPr>
              <w:t xml:space="preserve">     </w:t>
            </w:r>
            <w:r w:rsidR="00002189">
              <w:rPr>
                <w:snapToGrid w:val="0"/>
                <w:sz w:val="20"/>
                <w:szCs w:val="20"/>
              </w:rPr>
              <w:t xml:space="preserve">            </w:t>
            </w:r>
            <w:r w:rsidR="001C7C09">
              <w:rPr>
                <w:snapToGrid w:val="0"/>
                <w:sz w:val="20"/>
                <w:szCs w:val="20"/>
              </w:rPr>
              <w:t>$3.50</w:t>
            </w:r>
            <w:r w:rsidR="00002189">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w:t>
            </w:r>
            <w:r w:rsidR="00CA36CF">
              <w:rPr>
                <w:snapToGrid w:val="0"/>
                <w:sz w:val="20"/>
                <w:szCs w:val="20"/>
              </w:rPr>
              <w:t>$4.3</w:t>
            </w:r>
            <w:r w:rsidR="00002189">
              <w:rPr>
                <w:snapToGrid w:val="0"/>
                <w:sz w:val="20"/>
                <w:szCs w:val="20"/>
              </w:rPr>
              <w:t>0</w:t>
            </w:r>
            <w:r w:rsidRPr="00EA6813">
              <w:rPr>
                <w:snapToGrid w:val="0"/>
                <w:sz w:val="20"/>
                <w:szCs w:val="20"/>
              </w:rPr>
              <w:t xml:space="preserve">          </w:t>
            </w:r>
            <w:r w:rsidR="00002189">
              <w:rPr>
                <w:snapToGrid w:val="0"/>
                <w:sz w:val="20"/>
                <w:szCs w:val="20"/>
              </w:rPr>
              <w:t xml:space="preserve">     </w:t>
            </w:r>
            <w:r w:rsidRPr="00EA6813">
              <w:rPr>
                <w:snapToGrid w:val="0"/>
                <w:sz w:val="20"/>
                <w:szCs w:val="20"/>
              </w:rPr>
              <w:t xml:space="preserve">  $4.55   </w:t>
            </w:r>
            <w:r w:rsidR="00002189">
              <w:rPr>
                <w:snapToGrid w:val="0"/>
                <w:sz w:val="20"/>
                <w:szCs w:val="20"/>
              </w:rPr>
              <w:t xml:space="preserve"> </w:t>
            </w:r>
          </w:p>
          <w:p w:rsidR="00EA6813" w:rsidRPr="00EA6813" w:rsidRDefault="004D508B" w:rsidP="00EA6813">
            <w:pPr>
              <w:widowControl w:val="0"/>
              <w:rPr>
                <w:snapToGrid w:val="0"/>
                <w:sz w:val="20"/>
                <w:szCs w:val="20"/>
              </w:rPr>
            </w:pPr>
            <w:r>
              <w:rPr>
                <w:snapToGrid w:val="0"/>
                <w:sz w:val="20"/>
                <w:szCs w:val="20"/>
              </w:rPr>
              <w:t xml:space="preserve">   $7.30</w:t>
            </w:r>
            <w:r w:rsidR="00EA6813" w:rsidRPr="00EA6813">
              <w:rPr>
                <w:snapToGrid w:val="0"/>
                <w:sz w:val="20"/>
                <w:szCs w:val="20"/>
              </w:rPr>
              <w:t xml:space="preserve">      </w:t>
            </w:r>
            <w:r>
              <w:rPr>
                <w:snapToGrid w:val="0"/>
                <w:sz w:val="20"/>
                <w:szCs w:val="20"/>
              </w:rPr>
              <w:t xml:space="preserve">          </w:t>
            </w:r>
            <w:r w:rsidR="00EA6813" w:rsidRPr="00EA6813">
              <w:rPr>
                <w:snapToGrid w:val="0"/>
                <w:sz w:val="20"/>
                <w:szCs w:val="20"/>
              </w:rPr>
              <w:t xml:space="preserve"> $7.75    </w:t>
            </w:r>
          </w:p>
        </w:tc>
      </w:tr>
      <w:tr w:rsidR="00EA6813" w:rsidRPr="00EA6813" w:rsidTr="00E41E7F">
        <w:tc>
          <w:tcPr>
            <w:tcW w:w="3072"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2” Customer</w:t>
            </w:r>
          </w:p>
          <w:p w:rsidR="00EA6813" w:rsidRPr="00EA6813" w:rsidRDefault="00EA6813" w:rsidP="00EA6813">
            <w:pPr>
              <w:widowControl w:val="0"/>
              <w:rPr>
                <w:snapToGrid w:val="0"/>
                <w:sz w:val="20"/>
                <w:szCs w:val="20"/>
              </w:rPr>
            </w:pPr>
            <w:r w:rsidRPr="00EA6813">
              <w:rPr>
                <w:snapToGrid w:val="0"/>
                <w:sz w:val="20"/>
                <w:szCs w:val="20"/>
              </w:rPr>
              <w:t xml:space="preserve">             2” Customer</w:t>
            </w:r>
          </w:p>
          <w:p w:rsidR="00EA6813" w:rsidRPr="00EA6813" w:rsidRDefault="00EA6813" w:rsidP="00EA6813">
            <w:pPr>
              <w:widowControl w:val="0"/>
              <w:rPr>
                <w:snapToGrid w:val="0"/>
                <w:sz w:val="20"/>
                <w:szCs w:val="20"/>
              </w:rPr>
            </w:pPr>
            <w:r w:rsidRPr="00EA6813">
              <w:rPr>
                <w:snapToGrid w:val="0"/>
                <w:sz w:val="20"/>
                <w:szCs w:val="20"/>
              </w:rPr>
              <w:t xml:space="preserve">             2” Customer</w:t>
            </w:r>
          </w:p>
          <w:p w:rsidR="00EA6813" w:rsidRPr="00EA6813" w:rsidRDefault="00EA6813" w:rsidP="00EA6813">
            <w:pPr>
              <w:widowControl w:val="0"/>
              <w:rPr>
                <w:snapToGrid w:val="0"/>
                <w:sz w:val="20"/>
                <w:szCs w:val="20"/>
              </w:rPr>
            </w:pPr>
          </w:p>
        </w:tc>
        <w:tc>
          <w:tcPr>
            <w:tcW w:w="3072"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0 to 5,064 cubic feet</w:t>
            </w:r>
          </w:p>
          <w:p w:rsidR="00EA6813" w:rsidRPr="00EA6813" w:rsidRDefault="00EA6813" w:rsidP="00EA6813">
            <w:pPr>
              <w:widowControl w:val="0"/>
              <w:rPr>
                <w:snapToGrid w:val="0"/>
                <w:sz w:val="20"/>
                <w:szCs w:val="20"/>
              </w:rPr>
            </w:pPr>
            <w:r w:rsidRPr="00EA6813">
              <w:rPr>
                <w:snapToGrid w:val="0"/>
                <w:sz w:val="20"/>
                <w:szCs w:val="20"/>
              </w:rPr>
              <w:t xml:space="preserve">   5,065  up to 11,726 cubic feet </w:t>
            </w:r>
          </w:p>
          <w:p w:rsidR="00EA6813" w:rsidRPr="00EA6813" w:rsidRDefault="00EA6813" w:rsidP="00EA6813">
            <w:pPr>
              <w:widowControl w:val="0"/>
              <w:rPr>
                <w:snapToGrid w:val="0"/>
                <w:sz w:val="20"/>
                <w:szCs w:val="20"/>
              </w:rPr>
            </w:pPr>
            <w:r w:rsidRPr="00EA6813">
              <w:rPr>
                <w:snapToGrid w:val="0"/>
                <w:sz w:val="20"/>
                <w:szCs w:val="20"/>
              </w:rPr>
              <w:t xml:space="preserve">   Greater than 11,727 cubic feet</w:t>
            </w:r>
          </w:p>
          <w:p w:rsidR="00EA6813" w:rsidRPr="00EA6813" w:rsidRDefault="00EA6813" w:rsidP="00EA6813">
            <w:pPr>
              <w:widowControl w:val="0"/>
              <w:rPr>
                <w:snapToGrid w:val="0"/>
                <w:sz w:val="20"/>
                <w:szCs w:val="20"/>
              </w:rPr>
            </w:pPr>
          </w:p>
        </w:tc>
        <w:tc>
          <w:tcPr>
            <w:tcW w:w="3054"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4D508B" w:rsidP="00EA6813">
            <w:pPr>
              <w:widowControl w:val="0"/>
              <w:rPr>
                <w:snapToGrid w:val="0"/>
                <w:sz w:val="20"/>
                <w:szCs w:val="20"/>
              </w:rPr>
            </w:pPr>
            <w:r>
              <w:rPr>
                <w:snapToGrid w:val="0"/>
                <w:sz w:val="20"/>
                <w:szCs w:val="20"/>
              </w:rPr>
              <w:t xml:space="preserve">   $3.30</w:t>
            </w:r>
            <w:r w:rsidR="00EA6813" w:rsidRPr="00EA6813">
              <w:rPr>
                <w:snapToGrid w:val="0"/>
                <w:sz w:val="20"/>
                <w:szCs w:val="20"/>
              </w:rPr>
              <w:t xml:space="preserve">         </w:t>
            </w:r>
            <w:r>
              <w:rPr>
                <w:snapToGrid w:val="0"/>
                <w:sz w:val="20"/>
                <w:szCs w:val="20"/>
              </w:rPr>
              <w:t xml:space="preserve">     </w:t>
            </w:r>
            <w:r w:rsidR="00002189">
              <w:rPr>
                <w:snapToGrid w:val="0"/>
                <w:sz w:val="20"/>
                <w:szCs w:val="20"/>
              </w:rPr>
              <w:t xml:space="preserve"> </w:t>
            </w:r>
            <w:r w:rsidR="00EA6813" w:rsidRPr="00EA6813">
              <w:rPr>
                <w:snapToGrid w:val="0"/>
                <w:sz w:val="20"/>
                <w:szCs w:val="20"/>
              </w:rPr>
              <w:t xml:space="preserve">  $3.50</w:t>
            </w:r>
            <w:r w:rsidR="00002189">
              <w:rPr>
                <w:snapToGrid w:val="0"/>
                <w:sz w:val="20"/>
                <w:szCs w:val="20"/>
              </w:rPr>
              <w:t xml:space="preserve">    </w:t>
            </w:r>
          </w:p>
          <w:p w:rsidR="00EA6813" w:rsidRPr="00EA6813" w:rsidRDefault="00CA36CF" w:rsidP="00EA6813">
            <w:pPr>
              <w:widowControl w:val="0"/>
              <w:rPr>
                <w:snapToGrid w:val="0"/>
                <w:sz w:val="20"/>
                <w:szCs w:val="20"/>
              </w:rPr>
            </w:pPr>
            <w:r>
              <w:rPr>
                <w:snapToGrid w:val="0"/>
                <w:sz w:val="20"/>
                <w:szCs w:val="20"/>
              </w:rPr>
              <w:t xml:space="preserve">   $4.3</w:t>
            </w:r>
            <w:r w:rsidR="004D508B">
              <w:rPr>
                <w:snapToGrid w:val="0"/>
                <w:sz w:val="20"/>
                <w:szCs w:val="20"/>
              </w:rPr>
              <w:t>0</w:t>
            </w:r>
            <w:r w:rsidR="00EA6813" w:rsidRPr="00EA6813">
              <w:rPr>
                <w:snapToGrid w:val="0"/>
                <w:sz w:val="20"/>
                <w:szCs w:val="20"/>
              </w:rPr>
              <w:t xml:space="preserve">     </w:t>
            </w:r>
            <w:r w:rsidR="004D508B">
              <w:rPr>
                <w:snapToGrid w:val="0"/>
                <w:sz w:val="20"/>
                <w:szCs w:val="20"/>
              </w:rPr>
              <w:t xml:space="preserve">           </w:t>
            </w:r>
            <w:r w:rsidR="00002189">
              <w:rPr>
                <w:snapToGrid w:val="0"/>
                <w:sz w:val="20"/>
                <w:szCs w:val="20"/>
              </w:rPr>
              <w:t xml:space="preserve"> $4.55    </w:t>
            </w:r>
          </w:p>
          <w:p w:rsidR="00EA6813" w:rsidRPr="00EA6813" w:rsidRDefault="00EA6813" w:rsidP="00EA6813">
            <w:pPr>
              <w:widowControl w:val="0"/>
              <w:rPr>
                <w:snapToGrid w:val="0"/>
                <w:sz w:val="20"/>
                <w:szCs w:val="20"/>
              </w:rPr>
            </w:pPr>
            <w:r w:rsidRPr="00EA6813">
              <w:rPr>
                <w:snapToGrid w:val="0"/>
                <w:sz w:val="20"/>
                <w:szCs w:val="20"/>
              </w:rPr>
              <w:t xml:space="preserve">   </w:t>
            </w:r>
            <w:r w:rsidR="004D508B">
              <w:rPr>
                <w:snapToGrid w:val="0"/>
                <w:sz w:val="20"/>
                <w:szCs w:val="20"/>
              </w:rPr>
              <w:t>$7.30</w:t>
            </w:r>
            <w:r w:rsidRPr="00EA6813">
              <w:rPr>
                <w:snapToGrid w:val="0"/>
                <w:sz w:val="20"/>
                <w:szCs w:val="20"/>
              </w:rPr>
              <w:t xml:space="preserve">       </w:t>
            </w:r>
            <w:r w:rsidR="004D508B">
              <w:rPr>
                <w:snapToGrid w:val="0"/>
                <w:sz w:val="20"/>
                <w:szCs w:val="20"/>
              </w:rPr>
              <w:t xml:space="preserve">      </w:t>
            </w:r>
            <w:r w:rsidR="00002189">
              <w:rPr>
                <w:snapToGrid w:val="0"/>
                <w:sz w:val="20"/>
                <w:szCs w:val="20"/>
              </w:rPr>
              <w:t xml:space="preserve">    $7.75    </w:t>
            </w:r>
          </w:p>
          <w:p w:rsidR="00EA6813" w:rsidRPr="00EA6813" w:rsidRDefault="00EA6813" w:rsidP="00EA6813">
            <w:pPr>
              <w:widowControl w:val="0"/>
              <w:rPr>
                <w:snapToGrid w:val="0"/>
                <w:sz w:val="20"/>
                <w:szCs w:val="20"/>
              </w:rPr>
            </w:pPr>
            <w:r w:rsidRPr="00EA6813">
              <w:rPr>
                <w:snapToGrid w:val="0"/>
                <w:sz w:val="20"/>
                <w:szCs w:val="20"/>
              </w:rPr>
              <w:t xml:space="preserve">            </w:t>
            </w:r>
          </w:p>
        </w:tc>
      </w:tr>
    </w:tbl>
    <w:p w:rsidR="00EA6813" w:rsidRPr="00EA6813" w:rsidRDefault="00EA6813" w:rsidP="00EA6813">
      <w:pPr>
        <w:widowControl w:val="0"/>
        <w:rPr>
          <w:rFonts w:ascii="Courier" w:hAnsi="Courier"/>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3072"/>
        <w:gridCol w:w="3054"/>
      </w:tblGrid>
      <w:tr w:rsidR="00EA6813" w:rsidRPr="00EA6813" w:rsidTr="00E41E7F">
        <w:tc>
          <w:tcPr>
            <w:tcW w:w="3072"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3” Customer</w:t>
            </w:r>
          </w:p>
          <w:p w:rsidR="00EA6813" w:rsidRPr="00EA6813" w:rsidRDefault="00EA6813" w:rsidP="00EA6813">
            <w:pPr>
              <w:widowControl w:val="0"/>
              <w:rPr>
                <w:snapToGrid w:val="0"/>
                <w:sz w:val="20"/>
                <w:szCs w:val="20"/>
              </w:rPr>
            </w:pPr>
            <w:r w:rsidRPr="00EA6813">
              <w:rPr>
                <w:snapToGrid w:val="0"/>
                <w:sz w:val="20"/>
                <w:szCs w:val="20"/>
              </w:rPr>
              <w:t xml:space="preserve">             3” Customer</w:t>
            </w:r>
          </w:p>
          <w:p w:rsidR="00EA6813" w:rsidRPr="00EA6813" w:rsidRDefault="00EA6813" w:rsidP="00EA6813">
            <w:pPr>
              <w:widowControl w:val="0"/>
              <w:rPr>
                <w:snapToGrid w:val="0"/>
                <w:sz w:val="20"/>
                <w:szCs w:val="20"/>
              </w:rPr>
            </w:pPr>
            <w:r w:rsidRPr="00EA6813">
              <w:rPr>
                <w:snapToGrid w:val="0"/>
                <w:sz w:val="20"/>
                <w:szCs w:val="20"/>
              </w:rPr>
              <w:t xml:space="preserve">             3” Customer</w:t>
            </w:r>
          </w:p>
          <w:p w:rsidR="00EA6813" w:rsidRPr="00EA6813" w:rsidRDefault="00EA6813" w:rsidP="00EA6813">
            <w:pPr>
              <w:widowControl w:val="0"/>
              <w:rPr>
                <w:snapToGrid w:val="0"/>
                <w:sz w:val="20"/>
                <w:szCs w:val="20"/>
              </w:rPr>
            </w:pPr>
          </w:p>
        </w:tc>
        <w:tc>
          <w:tcPr>
            <w:tcW w:w="3072"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0 to  9,500 cubic feet         </w:t>
            </w:r>
          </w:p>
          <w:p w:rsidR="00EA6813" w:rsidRPr="00EA6813" w:rsidRDefault="00EA6813" w:rsidP="00EA6813">
            <w:pPr>
              <w:widowControl w:val="0"/>
              <w:rPr>
                <w:snapToGrid w:val="0"/>
                <w:sz w:val="20"/>
                <w:szCs w:val="20"/>
              </w:rPr>
            </w:pPr>
            <w:r w:rsidRPr="00EA6813">
              <w:rPr>
                <w:snapToGrid w:val="0"/>
                <w:sz w:val="20"/>
                <w:szCs w:val="20"/>
              </w:rPr>
              <w:t xml:space="preserve">  9,501 up to 22,000 cubic feet</w:t>
            </w:r>
          </w:p>
          <w:p w:rsidR="00EA6813" w:rsidRPr="00EA6813" w:rsidRDefault="00EA6813" w:rsidP="00EA6813">
            <w:pPr>
              <w:widowControl w:val="0"/>
              <w:rPr>
                <w:snapToGrid w:val="0"/>
                <w:sz w:val="20"/>
                <w:szCs w:val="20"/>
              </w:rPr>
            </w:pPr>
            <w:r w:rsidRPr="00EA6813">
              <w:rPr>
                <w:snapToGrid w:val="0"/>
                <w:sz w:val="20"/>
                <w:szCs w:val="20"/>
              </w:rPr>
              <w:t xml:space="preserve">  Greater than 22,001 cubic feet</w:t>
            </w:r>
          </w:p>
        </w:tc>
        <w:tc>
          <w:tcPr>
            <w:tcW w:w="3054"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w:t>
            </w:r>
            <w:r w:rsidR="004D508B">
              <w:rPr>
                <w:snapToGrid w:val="0"/>
                <w:sz w:val="20"/>
                <w:szCs w:val="20"/>
              </w:rPr>
              <w:t>$3.30</w:t>
            </w:r>
            <w:r w:rsidRPr="00EA6813">
              <w:rPr>
                <w:snapToGrid w:val="0"/>
                <w:sz w:val="20"/>
                <w:szCs w:val="20"/>
              </w:rPr>
              <w:t xml:space="preserve">          </w:t>
            </w:r>
            <w:r w:rsidR="004D508B">
              <w:rPr>
                <w:snapToGrid w:val="0"/>
                <w:sz w:val="20"/>
                <w:szCs w:val="20"/>
              </w:rPr>
              <w:t xml:space="preserve">     </w:t>
            </w:r>
            <w:r w:rsidRPr="00EA6813">
              <w:rPr>
                <w:snapToGrid w:val="0"/>
                <w:sz w:val="20"/>
                <w:szCs w:val="20"/>
              </w:rPr>
              <w:t xml:space="preserve"> $3.50</w:t>
            </w:r>
            <w:r w:rsidR="00002189">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w:t>
            </w:r>
            <w:r w:rsidR="00CA36CF">
              <w:rPr>
                <w:snapToGrid w:val="0"/>
                <w:sz w:val="20"/>
                <w:szCs w:val="20"/>
              </w:rPr>
              <w:t>$4.3</w:t>
            </w:r>
            <w:r w:rsidR="004D508B">
              <w:rPr>
                <w:snapToGrid w:val="0"/>
                <w:sz w:val="20"/>
                <w:szCs w:val="20"/>
              </w:rPr>
              <w:t>0</w:t>
            </w:r>
            <w:r w:rsidRPr="00EA6813">
              <w:rPr>
                <w:snapToGrid w:val="0"/>
                <w:sz w:val="20"/>
                <w:szCs w:val="20"/>
              </w:rPr>
              <w:t xml:space="preserve">         </w:t>
            </w:r>
            <w:r w:rsidR="00002189">
              <w:rPr>
                <w:snapToGrid w:val="0"/>
                <w:sz w:val="20"/>
                <w:szCs w:val="20"/>
              </w:rPr>
              <w:t xml:space="preserve">   </w:t>
            </w:r>
            <w:r w:rsidRPr="00EA6813">
              <w:rPr>
                <w:snapToGrid w:val="0"/>
                <w:sz w:val="20"/>
                <w:szCs w:val="20"/>
              </w:rPr>
              <w:t xml:space="preserve">    $4</w:t>
            </w:r>
            <w:r w:rsidR="00002189">
              <w:rPr>
                <w:snapToGrid w:val="0"/>
                <w:sz w:val="20"/>
                <w:szCs w:val="20"/>
              </w:rPr>
              <w:t xml:space="preserve">.55   </w:t>
            </w:r>
          </w:p>
          <w:p w:rsidR="00EA6813" w:rsidRPr="00EA6813" w:rsidRDefault="00EA6813" w:rsidP="00EA6813">
            <w:pPr>
              <w:widowControl w:val="0"/>
              <w:rPr>
                <w:snapToGrid w:val="0"/>
                <w:sz w:val="20"/>
                <w:szCs w:val="20"/>
              </w:rPr>
            </w:pPr>
            <w:r w:rsidRPr="00EA6813">
              <w:rPr>
                <w:snapToGrid w:val="0"/>
                <w:sz w:val="20"/>
                <w:szCs w:val="20"/>
              </w:rPr>
              <w:t xml:space="preserve">  </w:t>
            </w:r>
            <w:r w:rsidR="004D508B">
              <w:rPr>
                <w:snapToGrid w:val="0"/>
                <w:sz w:val="20"/>
                <w:szCs w:val="20"/>
              </w:rPr>
              <w:t>$7.30</w:t>
            </w:r>
            <w:r w:rsidRPr="00EA6813">
              <w:rPr>
                <w:snapToGrid w:val="0"/>
                <w:sz w:val="20"/>
                <w:szCs w:val="20"/>
              </w:rPr>
              <w:t xml:space="preserve">         </w:t>
            </w:r>
            <w:r w:rsidR="004D508B">
              <w:rPr>
                <w:snapToGrid w:val="0"/>
                <w:sz w:val="20"/>
                <w:szCs w:val="20"/>
              </w:rPr>
              <w:t xml:space="preserve">       </w:t>
            </w:r>
            <w:r w:rsidRPr="00EA6813">
              <w:rPr>
                <w:snapToGrid w:val="0"/>
                <w:sz w:val="20"/>
                <w:szCs w:val="20"/>
              </w:rPr>
              <w:t xml:space="preserve">$7.75   </w:t>
            </w:r>
          </w:p>
        </w:tc>
      </w:tr>
      <w:tr w:rsidR="00EA6813" w:rsidRPr="00EA6813" w:rsidTr="00E41E7F">
        <w:tc>
          <w:tcPr>
            <w:tcW w:w="3072"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4” Customer</w:t>
            </w:r>
          </w:p>
          <w:p w:rsidR="00EA6813" w:rsidRPr="00EA6813" w:rsidRDefault="00EA6813" w:rsidP="00EA6813">
            <w:pPr>
              <w:widowControl w:val="0"/>
              <w:rPr>
                <w:snapToGrid w:val="0"/>
                <w:sz w:val="20"/>
                <w:szCs w:val="20"/>
              </w:rPr>
            </w:pPr>
            <w:r w:rsidRPr="00EA6813">
              <w:rPr>
                <w:snapToGrid w:val="0"/>
                <w:sz w:val="20"/>
                <w:szCs w:val="20"/>
              </w:rPr>
              <w:t xml:space="preserve">             4” Customer</w:t>
            </w:r>
          </w:p>
          <w:p w:rsidR="00EA6813" w:rsidRPr="00EA6813" w:rsidRDefault="00EA6813" w:rsidP="00EA6813">
            <w:pPr>
              <w:widowControl w:val="0"/>
              <w:rPr>
                <w:snapToGrid w:val="0"/>
                <w:sz w:val="20"/>
                <w:szCs w:val="20"/>
              </w:rPr>
            </w:pPr>
            <w:r w:rsidRPr="00EA6813">
              <w:rPr>
                <w:snapToGrid w:val="0"/>
                <w:sz w:val="20"/>
                <w:szCs w:val="20"/>
              </w:rPr>
              <w:t xml:space="preserve">             4” Customer</w:t>
            </w:r>
          </w:p>
          <w:p w:rsidR="00EA6813" w:rsidRPr="00EA6813" w:rsidRDefault="00EA6813" w:rsidP="00EA6813">
            <w:pPr>
              <w:widowControl w:val="0"/>
              <w:rPr>
                <w:snapToGrid w:val="0"/>
                <w:sz w:val="20"/>
                <w:szCs w:val="20"/>
              </w:rPr>
            </w:pPr>
          </w:p>
        </w:tc>
        <w:tc>
          <w:tcPr>
            <w:tcW w:w="3072"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0 to 15,865 cubic feet</w:t>
            </w:r>
          </w:p>
          <w:p w:rsidR="00EA6813" w:rsidRPr="00EA6813" w:rsidRDefault="00EA6813" w:rsidP="00EA6813">
            <w:pPr>
              <w:widowControl w:val="0"/>
              <w:rPr>
                <w:snapToGrid w:val="0"/>
                <w:sz w:val="20"/>
                <w:szCs w:val="20"/>
              </w:rPr>
            </w:pPr>
            <w:r w:rsidRPr="00EA6813">
              <w:rPr>
                <w:snapToGrid w:val="0"/>
                <w:sz w:val="20"/>
                <w:szCs w:val="20"/>
              </w:rPr>
              <w:t xml:space="preserve">   15,866  up to 36,740 cubic feet </w:t>
            </w:r>
          </w:p>
          <w:p w:rsidR="00EA6813" w:rsidRPr="00EA6813" w:rsidRDefault="00EA6813" w:rsidP="00EA6813">
            <w:pPr>
              <w:widowControl w:val="0"/>
              <w:rPr>
                <w:snapToGrid w:val="0"/>
                <w:sz w:val="20"/>
                <w:szCs w:val="20"/>
              </w:rPr>
            </w:pPr>
            <w:r w:rsidRPr="00EA6813">
              <w:rPr>
                <w:snapToGrid w:val="0"/>
                <w:sz w:val="20"/>
                <w:szCs w:val="20"/>
              </w:rPr>
              <w:t xml:space="preserve">   Greater than 36,741 cubic feet</w:t>
            </w:r>
          </w:p>
          <w:p w:rsidR="00EA6813" w:rsidRPr="00EA6813" w:rsidRDefault="00EA6813" w:rsidP="00EA6813">
            <w:pPr>
              <w:widowControl w:val="0"/>
              <w:rPr>
                <w:snapToGrid w:val="0"/>
                <w:sz w:val="20"/>
                <w:szCs w:val="20"/>
              </w:rPr>
            </w:pPr>
          </w:p>
        </w:tc>
        <w:tc>
          <w:tcPr>
            <w:tcW w:w="3054"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w:t>
            </w:r>
            <w:r w:rsidR="004D508B">
              <w:rPr>
                <w:snapToGrid w:val="0"/>
                <w:sz w:val="20"/>
                <w:szCs w:val="20"/>
              </w:rPr>
              <w:t>$3.30</w:t>
            </w:r>
            <w:r w:rsidRPr="00EA6813">
              <w:rPr>
                <w:snapToGrid w:val="0"/>
                <w:sz w:val="20"/>
                <w:szCs w:val="20"/>
              </w:rPr>
              <w:t xml:space="preserve">        </w:t>
            </w:r>
            <w:r w:rsidR="004D508B">
              <w:rPr>
                <w:snapToGrid w:val="0"/>
                <w:sz w:val="20"/>
                <w:szCs w:val="20"/>
              </w:rPr>
              <w:t xml:space="preserve">       </w:t>
            </w:r>
            <w:r w:rsidRPr="00EA6813">
              <w:rPr>
                <w:snapToGrid w:val="0"/>
                <w:sz w:val="20"/>
                <w:szCs w:val="20"/>
              </w:rPr>
              <w:t xml:space="preserve">$3.50 </w:t>
            </w:r>
            <w:r w:rsidR="00002189">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w:t>
            </w:r>
            <w:r w:rsidR="004D508B">
              <w:rPr>
                <w:snapToGrid w:val="0"/>
                <w:sz w:val="20"/>
                <w:szCs w:val="20"/>
              </w:rPr>
              <w:t>$4.30</w:t>
            </w:r>
            <w:r w:rsidRPr="00EA6813">
              <w:rPr>
                <w:snapToGrid w:val="0"/>
                <w:sz w:val="20"/>
                <w:szCs w:val="20"/>
              </w:rPr>
              <w:t xml:space="preserve">     </w:t>
            </w:r>
            <w:r w:rsidR="004D508B">
              <w:rPr>
                <w:snapToGrid w:val="0"/>
                <w:sz w:val="20"/>
                <w:szCs w:val="20"/>
              </w:rPr>
              <w:t xml:space="preserve"> </w:t>
            </w:r>
            <w:r w:rsidRPr="00EA6813">
              <w:rPr>
                <w:snapToGrid w:val="0"/>
                <w:sz w:val="20"/>
                <w:szCs w:val="20"/>
              </w:rPr>
              <w:t xml:space="preserve">    </w:t>
            </w:r>
            <w:r w:rsidR="004D508B">
              <w:rPr>
                <w:snapToGrid w:val="0"/>
                <w:sz w:val="20"/>
                <w:szCs w:val="20"/>
              </w:rPr>
              <w:t xml:space="preserve">    </w:t>
            </w:r>
            <w:r w:rsidRPr="00EA6813">
              <w:rPr>
                <w:snapToGrid w:val="0"/>
                <w:sz w:val="20"/>
                <w:szCs w:val="20"/>
              </w:rPr>
              <w:t xml:space="preserve"> $4.55</w:t>
            </w:r>
            <w:r w:rsidR="00002189">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w:t>
            </w:r>
            <w:r w:rsidR="004D508B">
              <w:rPr>
                <w:snapToGrid w:val="0"/>
                <w:sz w:val="20"/>
                <w:szCs w:val="20"/>
              </w:rPr>
              <w:t>$7.30</w:t>
            </w:r>
            <w:r w:rsidRPr="00EA6813">
              <w:rPr>
                <w:snapToGrid w:val="0"/>
                <w:sz w:val="20"/>
                <w:szCs w:val="20"/>
              </w:rPr>
              <w:t xml:space="preserve">     </w:t>
            </w:r>
            <w:r w:rsidR="004D508B">
              <w:rPr>
                <w:snapToGrid w:val="0"/>
                <w:sz w:val="20"/>
                <w:szCs w:val="20"/>
              </w:rPr>
              <w:t xml:space="preserve"> </w:t>
            </w:r>
            <w:r w:rsidRPr="00EA6813">
              <w:rPr>
                <w:snapToGrid w:val="0"/>
                <w:sz w:val="20"/>
                <w:szCs w:val="20"/>
              </w:rPr>
              <w:t xml:space="preserve">       </w:t>
            </w:r>
            <w:r w:rsidR="00002189">
              <w:rPr>
                <w:snapToGrid w:val="0"/>
                <w:sz w:val="20"/>
                <w:szCs w:val="20"/>
              </w:rPr>
              <w:t xml:space="preserve"> </w:t>
            </w:r>
            <w:r w:rsidRPr="00EA6813">
              <w:rPr>
                <w:snapToGrid w:val="0"/>
                <w:sz w:val="20"/>
                <w:szCs w:val="20"/>
              </w:rPr>
              <w:t xml:space="preserve"> $7.75</w:t>
            </w:r>
            <w:r w:rsidR="00002189">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w:t>
            </w:r>
          </w:p>
        </w:tc>
      </w:tr>
      <w:tr w:rsidR="00EA6813" w:rsidRPr="00EA6813" w:rsidTr="00E41E7F">
        <w:tc>
          <w:tcPr>
            <w:tcW w:w="3072"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6” Customer</w:t>
            </w:r>
          </w:p>
          <w:p w:rsidR="00EA6813" w:rsidRPr="00EA6813" w:rsidRDefault="00EA6813" w:rsidP="00EA6813">
            <w:pPr>
              <w:widowControl w:val="0"/>
              <w:rPr>
                <w:snapToGrid w:val="0"/>
                <w:sz w:val="20"/>
                <w:szCs w:val="20"/>
              </w:rPr>
            </w:pPr>
            <w:r w:rsidRPr="00EA6813">
              <w:rPr>
                <w:snapToGrid w:val="0"/>
                <w:sz w:val="20"/>
                <w:szCs w:val="20"/>
              </w:rPr>
              <w:t xml:space="preserve">             6” Customer</w:t>
            </w:r>
          </w:p>
          <w:p w:rsidR="00EA6813" w:rsidRPr="00EA6813" w:rsidRDefault="00CA36CF" w:rsidP="00EA6813">
            <w:pPr>
              <w:widowControl w:val="0"/>
              <w:rPr>
                <w:snapToGrid w:val="0"/>
                <w:sz w:val="20"/>
                <w:szCs w:val="20"/>
              </w:rPr>
            </w:pPr>
            <w:r>
              <w:rPr>
                <w:snapToGrid w:val="0"/>
                <w:sz w:val="20"/>
                <w:szCs w:val="20"/>
              </w:rPr>
              <w:t xml:space="preserve">             6</w:t>
            </w:r>
            <w:r w:rsidR="00EA6813" w:rsidRPr="00EA6813">
              <w:rPr>
                <w:snapToGrid w:val="0"/>
                <w:sz w:val="20"/>
                <w:szCs w:val="20"/>
              </w:rPr>
              <w:t>” Customer</w:t>
            </w:r>
          </w:p>
          <w:p w:rsidR="00EA6813" w:rsidRPr="00EA6813" w:rsidRDefault="00EA6813" w:rsidP="00EA6813">
            <w:pPr>
              <w:widowControl w:val="0"/>
              <w:rPr>
                <w:snapToGrid w:val="0"/>
                <w:sz w:val="20"/>
                <w:szCs w:val="20"/>
              </w:rPr>
            </w:pPr>
          </w:p>
        </w:tc>
        <w:tc>
          <w:tcPr>
            <w:tcW w:w="3072"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0 to 31,635 cubic feet</w:t>
            </w:r>
          </w:p>
          <w:p w:rsidR="00EA6813" w:rsidRPr="00EA6813" w:rsidRDefault="00EA6813" w:rsidP="00EA6813">
            <w:pPr>
              <w:widowControl w:val="0"/>
              <w:rPr>
                <w:snapToGrid w:val="0"/>
                <w:sz w:val="20"/>
                <w:szCs w:val="20"/>
              </w:rPr>
            </w:pPr>
            <w:r w:rsidRPr="00EA6813">
              <w:rPr>
                <w:snapToGrid w:val="0"/>
                <w:sz w:val="20"/>
                <w:szCs w:val="20"/>
              </w:rPr>
              <w:t xml:space="preserve">   31,636  up to 73,261 cubic feet </w:t>
            </w:r>
          </w:p>
          <w:p w:rsidR="00EA6813" w:rsidRPr="00EA6813" w:rsidRDefault="00EA6813" w:rsidP="00EA6813">
            <w:pPr>
              <w:widowControl w:val="0"/>
              <w:rPr>
                <w:snapToGrid w:val="0"/>
                <w:sz w:val="20"/>
                <w:szCs w:val="20"/>
              </w:rPr>
            </w:pPr>
            <w:r w:rsidRPr="00EA6813">
              <w:rPr>
                <w:snapToGrid w:val="0"/>
                <w:sz w:val="20"/>
                <w:szCs w:val="20"/>
              </w:rPr>
              <w:t xml:space="preserve">   Greater than 73,262 cubic feet</w:t>
            </w:r>
          </w:p>
          <w:p w:rsidR="00EA6813" w:rsidRPr="00EA6813" w:rsidRDefault="00EA6813" w:rsidP="00EA6813">
            <w:pPr>
              <w:widowControl w:val="0"/>
              <w:rPr>
                <w:snapToGrid w:val="0"/>
                <w:sz w:val="20"/>
                <w:szCs w:val="20"/>
              </w:rPr>
            </w:pPr>
          </w:p>
        </w:tc>
        <w:tc>
          <w:tcPr>
            <w:tcW w:w="3054" w:type="dxa"/>
            <w:tcBorders>
              <w:top w:val="single" w:sz="4" w:space="0" w:color="000000"/>
              <w:left w:val="single" w:sz="4" w:space="0" w:color="000000"/>
              <w:bottom w:val="single" w:sz="4" w:space="0" w:color="000000"/>
              <w:right w:val="single" w:sz="4" w:space="0" w:color="000000"/>
            </w:tcBorders>
          </w:tcPr>
          <w:p w:rsidR="00EA6813" w:rsidRPr="00EA6813" w:rsidRDefault="00EA6813" w:rsidP="00EA6813">
            <w:pPr>
              <w:widowControl w:val="0"/>
              <w:rPr>
                <w:snapToGrid w:val="0"/>
                <w:sz w:val="20"/>
                <w:szCs w:val="20"/>
              </w:rPr>
            </w:pPr>
            <w:r w:rsidRPr="00EA6813">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w:t>
            </w:r>
            <w:r w:rsidR="004D508B">
              <w:rPr>
                <w:snapToGrid w:val="0"/>
                <w:sz w:val="20"/>
                <w:szCs w:val="20"/>
              </w:rPr>
              <w:t>$3.30</w:t>
            </w:r>
            <w:r w:rsidRPr="00EA6813">
              <w:rPr>
                <w:snapToGrid w:val="0"/>
                <w:sz w:val="20"/>
                <w:szCs w:val="20"/>
              </w:rPr>
              <w:t xml:space="preserve">          </w:t>
            </w:r>
            <w:r w:rsidR="004D508B">
              <w:rPr>
                <w:snapToGrid w:val="0"/>
                <w:sz w:val="20"/>
                <w:szCs w:val="20"/>
              </w:rPr>
              <w:t xml:space="preserve">  </w:t>
            </w:r>
            <w:r w:rsidR="00002189">
              <w:rPr>
                <w:snapToGrid w:val="0"/>
                <w:sz w:val="20"/>
                <w:szCs w:val="20"/>
              </w:rPr>
              <w:t xml:space="preserve">   $3.50   </w:t>
            </w:r>
          </w:p>
          <w:p w:rsidR="00EA6813" w:rsidRPr="00EA6813" w:rsidRDefault="00EA6813" w:rsidP="00EA6813">
            <w:pPr>
              <w:widowControl w:val="0"/>
              <w:rPr>
                <w:snapToGrid w:val="0"/>
                <w:sz w:val="20"/>
                <w:szCs w:val="20"/>
              </w:rPr>
            </w:pPr>
            <w:r w:rsidRPr="00EA6813">
              <w:rPr>
                <w:snapToGrid w:val="0"/>
                <w:sz w:val="20"/>
                <w:szCs w:val="20"/>
              </w:rPr>
              <w:t xml:space="preserve">  </w:t>
            </w:r>
            <w:r w:rsidR="004D508B">
              <w:rPr>
                <w:snapToGrid w:val="0"/>
                <w:sz w:val="20"/>
                <w:szCs w:val="20"/>
              </w:rPr>
              <w:t>$4.30</w:t>
            </w:r>
            <w:r w:rsidRPr="00EA6813">
              <w:rPr>
                <w:snapToGrid w:val="0"/>
                <w:sz w:val="20"/>
                <w:szCs w:val="20"/>
              </w:rPr>
              <w:t xml:space="preserve">          </w:t>
            </w:r>
            <w:r w:rsidR="004D508B">
              <w:rPr>
                <w:snapToGrid w:val="0"/>
                <w:sz w:val="20"/>
                <w:szCs w:val="20"/>
              </w:rPr>
              <w:t xml:space="preserve">     </w:t>
            </w:r>
            <w:r w:rsidRPr="00EA6813">
              <w:rPr>
                <w:snapToGrid w:val="0"/>
                <w:sz w:val="20"/>
                <w:szCs w:val="20"/>
              </w:rPr>
              <w:t xml:space="preserve">$4.55   </w:t>
            </w:r>
            <w:r w:rsidR="00002189">
              <w:rPr>
                <w:snapToGrid w:val="0"/>
                <w:sz w:val="20"/>
                <w:szCs w:val="20"/>
              </w:rPr>
              <w:t xml:space="preserve"> </w:t>
            </w:r>
          </w:p>
          <w:p w:rsidR="00EA6813" w:rsidRPr="00EA6813" w:rsidRDefault="004D508B" w:rsidP="00EA6813">
            <w:pPr>
              <w:widowControl w:val="0"/>
              <w:rPr>
                <w:snapToGrid w:val="0"/>
                <w:sz w:val="20"/>
                <w:szCs w:val="20"/>
              </w:rPr>
            </w:pPr>
            <w:r>
              <w:rPr>
                <w:snapToGrid w:val="0"/>
                <w:sz w:val="20"/>
                <w:szCs w:val="20"/>
              </w:rPr>
              <w:t xml:space="preserve">  $7.30</w:t>
            </w:r>
            <w:r w:rsidR="00EA6813" w:rsidRPr="00EA6813">
              <w:rPr>
                <w:snapToGrid w:val="0"/>
                <w:sz w:val="20"/>
                <w:szCs w:val="20"/>
              </w:rPr>
              <w:t xml:space="preserve">       </w:t>
            </w:r>
            <w:r>
              <w:rPr>
                <w:snapToGrid w:val="0"/>
                <w:sz w:val="20"/>
                <w:szCs w:val="20"/>
              </w:rPr>
              <w:t xml:space="preserve">      </w:t>
            </w:r>
            <w:r w:rsidR="00EA6813" w:rsidRPr="00EA6813">
              <w:rPr>
                <w:snapToGrid w:val="0"/>
                <w:sz w:val="20"/>
                <w:szCs w:val="20"/>
              </w:rPr>
              <w:t xml:space="preserve">  $7.75 </w:t>
            </w:r>
            <w:r w:rsidR="00002189">
              <w:rPr>
                <w:snapToGrid w:val="0"/>
                <w:sz w:val="20"/>
                <w:szCs w:val="20"/>
              </w:rPr>
              <w:t xml:space="preserve">   </w:t>
            </w:r>
          </w:p>
          <w:p w:rsidR="00EA6813" w:rsidRPr="00EA6813" w:rsidRDefault="00EA6813" w:rsidP="00EA6813">
            <w:pPr>
              <w:widowControl w:val="0"/>
              <w:rPr>
                <w:snapToGrid w:val="0"/>
                <w:sz w:val="20"/>
                <w:szCs w:val="20"/>
              </w:rPr>
            </w:pPr>
            <w:r w:rsidRPr="00EA6813">
              <w:rPr>
                <w:snapToGrid w:val="0"/>
                <w:sz w:val="20"/>
                <w:szCs w:val="20"/>
              </w:rPr>
              <w:t xml:space="preserve">            </w:t>
            </w:r>
          </w:p>
        </w:tc>
      </w:tr>
    </w:tbl>
    <w:p w:rsidR="00EA6813" w:rsidRDefault="00EA6813" w:rsidP="00EA6813">
      <w:pPr>
        <w:ind w:left="1440" w:right="1530"/>
        <w:rPr>
          <w:rStyle w:val="Emphasis"/>
        </w:rPr>
      </w:pPr>
    </w:p>
    <w:p w:rsidR="008D7FF5" w:rsidRDefault="008D7FF5" w:rsidP="00EA6813">
      <w:pPr>
        <w:ind w:left="1440" w:right="1530"/>
        <w:rPr>
          <w:rStyle w:val="Emphasis"/>
        </w:rPr>
      </w:pPr>
    </w:p>
    <w:p w:rsidR="008D7FF5" w:rsidRDefault="008D7FF5" w:rsidP="008D7FF5">
      <w:pPr>
        <w:ind w:right="1530"/>
        <w:rPr>
          <w:rStyle w:val="Emphasis"/>
          <w:b/>
        </w:rPr>
      </w:pPr>
      <w:r>
        <w:rPr>
          <w:rStyle w:val="Emphasis"/>
          <w:b/>
        </w:rPr>
        <w:tab/>
      </w:r>
      <w:r>
        <w:rPr>
          <w:rStyle w:val="Emphasis"/>
          <w:b/>
        </w:rPr>
        <w:tab/>
        <w:t>*Please note: the March billing period y</w:t>
      </w:r>
      <w:r w:rsidR="00CA36CF">
        <w:rPr>
          <w:rStyle w:val="Emphasis"/>
          <w:b/>
        </w:rPr>
        <w:t>ou will be receiving 2 billings;</w:t>
      </w:r>
      <w:r>
        <w:rPr>
          <w:rStyle w:val="Emphasis"/>
          <w:b/>
        </w:rPr>
        <w:t xml:space="preserve"> one for March        with the old rates and one for April with the new rates.  Both billings will be combined on the second        billing.  You will be paying from the second combined billing.</w:t>
      </w:r>
    </w:p>
    <w:p w:rsidR="008D7FF5" w:rsidRDefault="008D7FF5" w:rsidP="008D7FF5">
      <w:pPr>
        <w:ind w:right="1530"/>
        <w:rPr>
          <w:rStyle w:val="Emphasis"/>
          <w:b/>
        </w:rPr>
      </w:pPr>
    </w:p>
    <w:p w:rsidR="008D7FF5" w:rsidRPr="008D7FF5" w:rsidRDefault="008D7FF5" w:rsidP="008D7FF5">
      <w:pPr>
        <w:ind w:right="1530"/>
        <w:rPr>
          <w:rStyle w:val="Emphasis"/>
          <w:b/>
        </w:rPr>
      </w:pPr>
    </w:p>
    <w:p w:rsidR="00EA6813" w:rsidRDefault="00EA6813" w:rsidP="00EA6813">
      <w:pPr>
        <w:ind w:left="1440" w:right="1530"/>
        <w:rPr>
          <w:rStyle w:val="Emphasis"/>
        </w:rPr>
      </w:pPr>
      <w:r>
        <w:rPr>
          <w:rStyle w:val="Emphasis"/>
        </w:rPr>
        <w:t>If you have questions about the proposed filing and how it may affect you, please call Camano Hills Water Co. at (360) 387-4395.</w:t>
      </w:r>
    </w:p>
    <w:p w:rsidR="00EA6813" w:rsidRPr="00E61E2C" w:rsidRDefault="00EA6813" w:rsidP="00EA6813">
      <w:pPr>
        <w:ind w:left="1440" w:right="1530"/>
        <w:rPr>
          <w:rStyle w:val="Emphasis"/>
        </w:rPr>
      </w:pPr>
    </w:p>
    <w:p w:rsidR="008E4EBF" w:rsidRDefault="00EA6813" w:rsidP="00EA6813">
      <w:pPr>
        <w:ind w:left="1440" w:right="1530"/>
        <w:rPr>
          <w:rStyle w:val="Emphasis"/>
        </w:rPr>
      </w:pPr>
      <w:r w:rsidRPr="00E61E2C">
        <w:rPr>
          <w:rStyle w:val="Emphasis"/>
        </w:rPr>
        <w:t xml:space="preserve">The commission has the authority to set final rates that may vary from the company’s request, depending on the results of its investigation. Commission staff will make a recommendation to the commissioners at an open meeting in Olympia, which is scheduled </w:t>
      </w:r>
      <w:r>
        <w:rPr>
          <w:rStyle w:val="Emphasis"/>
        </w:rPr>
        <w:t xml:space="preserve">for </w:t>
      </w:r>
      <w:r w:rsidR="008D7FF5">
        <w:rPr>
          <w:rStyle w:val="Emphasis"/>
        </w:rPr>
        <w:t>March 26</w:t>
      </w:r>
      <w:r>
        <w:rPr>
          <w:rStyle w:val="Emphasis"/>
        </w:rPr>
        <w:t>, 2015</w:t>
      </w:r>
      <w:r w:rsidRPr="00E61E2C">
        <w:rPr>
          <w:rStyle w:val="Emphasis"/>
        </w:rPr>
        <w:t xml:space="preserve">. You will have an opportunity to comment in person at </w:t>
      </w:r>
      <w:r w:rsidR="008D7FF5">
        <w:rPr>
          <w:rStyle w:val="Emphasis"/>
        </w:rPr>
        <w:t>this meeting.   The UTC is committed to providing reasonable accommodations to par</w:t>
      </w:r>
      <w:r w:rsidR="008E4EBF">
        <w:rPr>
          <w:rStyle w:val="Emphasis"/>
        </w:rPr>
        <w:t xml:space="preserve">ticipants with disabilities.  If you need reasonable accommodation, please contact the commission at (360) 664-1132 or </w:t>
      </w:r>
      <w:hyperlink r:id="rId8" w:history="1">
        <w:r w:rsidR="008E4EBF" w:rsidRPr="000F2C77">
          <w:rPr>
            <w:rStyle w:val="Hyperlink"/>
          </w:rPr>
          <w:t>humanresources@utc.wa.gov</w:t>
        </w:r>
      </w:hyperlink>
      <w:r w:rsidR="008E4EBF">
        <w:rPr>
          <w:rStyle w:val="Emphasis"/>
        </w:rPr>
        <w:t>. .</w:t>
      </w:r>
    </w:p>
    <w:p w:rsidR="008E4EBF" w:rsidRDefault="008E4EBF" w:rsidP="0004025A">
      <w:pPr>
        <w:ind w:left="1440" w:right="1530"/>
        <w:rPr>
          <w:rStyle w:val="Emphasis"/>
        </w:rPr>
      </w:pPr>
    </w:p>
    <w:p w:rsidR="000D1DE0" w:rsidRPr="00E61E2C" w:rsidRDefault="000D1DE0" w:rsidP="0004025A">
      <w:pPr>
        <w:ind w:left="1440" w:right="1530"/>
        <w:rPr>
          <w:rStyle w:val="Emphasis"/>
        </w:rPr>
      </w:pPr>
      <w:r w:rsidRPr="00E61E2C">
        <w:rPr>
          <w:rStyle w:val="Emphasis"/>
        </w:rPr>
        <w:t xml:space="preserve">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E61E2C">
          <w:rPr>
            <w:rStyle w:val="Emphasis"/>
          </w:rPr>
          <w:t>utc.wa.gov</w:t>
        </w:r>
      </w:hyperlink>
      <w:r w:rsidRPr="00E61E2C">
        <w:rPr>
          <w:rStyle w:val="Emphasis"/>
        </w:rPr>
        <w:t xml:space="preserve"> or by using the contact information below.</w:t>
      </w:r>
    </w:p>
    <w:p w:rsidR="000D1DE0" w:rsidRPr="00E61E2C" w:rsidRDefault="000D1DE0" w:rsidP="0004025A">
      <w:pPr>
        <w:ind w:left="1440" w:right="1530"/>
        <w:rPr>
          <w:rStyle w:val="Emphasis"/>
        </w:rPr>
      </w:pPr>
    </w:p>
    <w:p w:rsidR="00E61E2C" w:rsidRPr="00E61E2C" w:rsidRDefault="00E61E2C" w:rsidP="0004025A">
      <w:pPr>
        <w:ind w:left="1440" w:right="1530"/>
        <w:rPr>
          <w:rStyle w:val="Emphasis"/>
        </w:rPr>
      </w:pPr>
    </w:p>
    <w:p w:rsidR="00E61E2C" w:rsidRPr="00E61E2C" w:rsidRDefault="00E61E2C" w:rsidP="0004025A">
      <w:pPr>
        <w:ind w:left="1440" w:right="1530"/>
        <w:rPr>
          <w:rStyle w:val="Emphasis"/>
        </w:rPr>
      </w:pPr>
    </w:p>
    <w:p w:rsidR="000D1DE0" w:rsidRPr="00E61E2C" w:rsidRDefault="000D1DE0" w:rsidP="0004025A">
      <w:pPr>
        <w:ind w:left="1440" w:right="1530"/>
        <w:rPr>
          <w:rStyle w:val="Emphasis"/>
        </w:rPr>
      </w:pPr>
      <w:r w:rsidRPr="00E61E2C">
        <w:rPr>
          <w:rStyle w:val="Emphasis"/>
        </w:rPr>
        <w:t>Washington Utilities and Transportation Commission</w:t>
      </w:r>
    </w:p>
    <w:p w:rsidR="000D1DE0" w:rsidRPr="00E61E2C" w:rsidRDefault="000D1DE0" w:rsidP="0004025A">
      <w:pPr>
        <w:ind w:left="1440" w:right="1530"/>
        <w:rPr>
          <w:rStyle w:val="Emphasis"/>
        </w:rPr>
      </w:pPr>
      <w:r w:rsidRPr="00E61E2C">
        <w:rPr>
          <w:rStyle w:val="Emphasis"/>
        </w:rPr>
        <w:t>1300 S. Evergreen Park Drive SW</w:t>
      </w:r>
    </w:p>
    <w:p w:rsidR="000D1DE0" w:rsidRPr="00E61E2C" w:rsidRDefault="000D1DE0" w:rsidP="0004025A">
      <w:pPr>
        <w:ind w:left="1440" w:right="1530"/>
        <w:rPr>
          <w:rStyle w:val="Emphasis"/>
        </w:rPr>
      </w:pPr>
      <w:r w:rsidRPr="00E61E2C">
        <w:rPr>
          <w:rStyle w:val="Emphasis"/>
        </w:rPr>
        <w:t xml:space="preserve">P.O. Box 47250, Olympia, WA  98504-7250  </w:t>
      </w:r>
    </w:p>
    <w:p w:rsidR="000D1DE0" w:rsidRPr="00E61E2C" w:rsidRDefault="000D1DE0" w:rsidP="0004025A">
      <w:pPr>
        <w:ind w:left="1440" w:right="1530"/>
        <w:rPr>
          <w:rStyle w:val="Emphasis"/>
        </w:rPr>
      </w:pPr>
      <w:r w:rsidRPr="00E61E2C">
        <w:rPr>
          <w:rStyle w:val="Emphasis"/>
        </w:rPr>
        <w:t xml:space="preserve">E-mail:  </w:t>
      </w:r>
      <w:hyperlink r:id="rId10" w:history="1">
        <w:r w:rsidRPr="00E61E2C">
          <w:rPr>
            <w:rStyle w:val="Emphasis"/>
          </w:rPr>
          <w:t>comments@utc.wa.gov</w:t>
        </w:r>
      </w:hyperlink>
    </w:p>
    <w:p w:rsidR="005073EB" w:rsidRPr="00E61E2C" w:rsidRDefault="000D1DE0" w:rsidP="0004025A">
      <w:pPr>
        <w:ind w:left="1440" w:right="1530"/>
        <w:rPr>
          <w:rStyle w:val="Emphasis"/>
        </w:rPr>
      </w:pPr>
      <w:r w:rsidRPr="00E61E2C">
        <w:rPr>
          <w:rStyle w:val="Emphasis"/>
        </w:rPr>
        <w:t>Telephone:  1-888-333-WUTC (9882)</w:t>
      </w:r>
    </w:p>
    <w:p w:rsidR="00D521C3" w:rsidRDefault="00D521C3" w:rsidP="0004025A">
      <w:pPr>
        <w:ind w:left="1440" w:right="1530"/>
        <w:rPr>
          <w:rStyle w:val="Emphasis"/>
        </w:rPr>
      </w:pPr>
    </w:p>
    <w:p w:rsidR="00CA37E2" w:rsidRPr="00E61E2C" w:rsidRDefault="00CA37E2" w:rsidP="0004025A">
      <w:pPr>
        <w:ind w:left="1440" w:right="1530"/>
        <w:rPr>
          <w:rStyle w:val="Emphasis"/>
        </w:rPr>
      </w:pPr>
    </w:p>
    <w:p w:rsidR="00D521C3" w:rsidRPr="00E61E2C" w:rsidRDefault="00D521C3" w:rsidP="0004025A">
      <w:pPr>
        <w:ind w:left="1440" w:right="1530"/>
        <w:rPr>
          <w:rStyle w:val="Emphasis"/>
        </w:rPr>
      </w:pPr>
      <w:r w:rsidRPr="00E61E2C">
        <w:rPr>
          <w:rStyle w:val="Emphasis"/>
        </w:rPr>
        <w:t>Sincerely,</w:t>
      </w:r>
    </w:p>
    <w:p w:rsidR="00D521C3" w:rsidRPr="00E61E2C" w:rsidRDefault="00D521C3" w:rsidP="0004025A">
      <w:pPr>
        <w:ind w:left="1440" w:right="1530"/>
        <w:rPr>
          <w:rStyle w:val="Emphasis"/>
        </w:rPr>
      </w:pPr>
    </w:p>
    <w:p w:rsidR="00D521C3" w:rsidRPr="00E61E2C" w:rsidRDefault="00D521C3" w:rsidP="0004025A">
      <w:pPr>
        <w:ind w:left="1440" w:right="1530"/>
        <w:rPr>
          <w:rStyle w:val="Emphasis"/>
        </w:rPr>
      </w:pPr>
    </w:p>
    <w:p w:rsidR="00D521C3" w:rsidRPr="00E61E2C" w:rsidRDefault="00D521C3" w:rsidP="0004025A">
      <w:pPr>
        <w:ind w:left="1440" w:right="1530"/>
        <w:rPr>
          <w:rStyle w:val="Emphasis"/>
        </w:rPr>
      </w:pPr>
      <w:r w:rsidRPr="00E61E2C">
        <w:rPr>
          <w:rStyle w:val="Emphasis"/>
        </w:rPr>
        <w:t>Laurel Holbeck, Secretary</w:t>
      </w:r>
    </w:p>
    <w:p w:rsidR="00D521C3" w:rsidRPr="00E61E2C" w:rsidRDefault="00D521C3" w:rsidP="0004025A">
      <w:pPr>
        <w:ind w:left="1440" w:right="1530"/>
        <w:rPr>
          <w:rStyle w:val="Emphasis"/>
        </w:rPr>
      </w:pPr>
      <w:r w:rsidRPr="00E61E2C">
        <w:rPr>
          <w:rStyle w:val="Emphasis"/>
        </w:rPr>
        <w:t>Camano Hills Water Company</w:t>
      </w:r>
    </w:p>
    <w:p w:rsidR="00497C15" w:rsidRDefault="00497C15"/>
    <w:sectPr w:rsidR="00497C15" w:rsidSect="00D43E83">
      <w:footerReference w:type="default" r:id="rId11"/>
      <w:pgSz w:w="12240" w:h="15840"/>
      <w:pgMar w:top="360" w:right="270" w:bottom="27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C00" w:rsidRDefault="00CD1C00" w:rsidP="00967F53">
      <w:r>
        <w:separator/>
      </w:r>
    </w:p>
  </w:endnote>
  <w:endnote w:type="continuationSeparator" w:id="0">
    <w:p w:rsidR="00CD1C00" w:rsidRDefault="00CD1C00" w:rsidP="0096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53" w:rsidRDefault="00601200">
    <w:pPr>
      <w:pStyle w:val="Footer"/>
      <w:jc w:val="center"/>
    </w:pPr>
    <w:r>
      <w:fldChar w:fldCharType="begin"/>
    </w:r>
    <w:r>
      <w:instrText xml:space="preserve"> PAGE   \* MERGEFORMAT </w:instrText>
    </w:r>
    <w:r>
      <w:fldChar w:fldCharType="separate"/>
    </w:r>
    <w:r w:rsidR="00D246D7">
      <w:rPr>
        <w:noProof/>
      </w:rPr>
      <w:t>1</w:t>
    </w:r>
    <w:r>
      <w:rPr>
        <w:noProof/>
      </w:rPr>
      <w:fldChar w:fldCharType="end"/>
    </w:r>
  </w:p>
  <w:p w:rsidR="00967F53" w:rsidRDefault="00967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C00" w:rsidRDefault="00CD1C00" w:rsidP="00967F53">
      <w:r>
        <w:separator/>
      </w:r>
    </w:p>
  </w:footnote>
  <w:footnote w:type="continuationSeparator" w:id="0">
    <w:p w:rsidR="00CD1C00" w:rsidRDefault="00CD1C00" w:rsidP="00967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E71"/>
    <w:multiLevelType w:val="hybridMultilevel"/>
    <w:tmpl w:val="CF0485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2E96627"/>
    <w:multiLevelType w:val="hybridMultilevel"/>
    <w:tmpl w:val="51660BD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nsid w:val="08821D07"/>
    <w:multiLevelType w:val="hybridMultilevel"/>
    <w:tmpl w:val="B2EA59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20D9546F"/>
    <w:multiLevelType w:val="hybridMultilevel"/>
    <w:tmpl w:val="DC985C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29B1AA1"/>
    <w:multiLevelType w:val="hybridMultilevel"/>
    <w:tmpl w:val="B4A80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60473C69"/>
    <w:multiLevelType w:val="hybridMultilevel"/>
    <w:tmpl w:val="96E2DE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6AFA56CE"/>
    <w:multiLevelType w:val="hybridMultilevel"/>
    <w:tmpl w:val="C898E9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722F5657"/>
    <w:multiLevelType w:val="hybridMultilevel"/>
    <w:tmpl w:val="285497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749C445F"/>
    <w:multiLevelType w:val="hybridMultilevel"/>
    <w:tmpl w:val="66E4AAD0"/>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9">
    <w:nsid w:val="772060E2"/>
    <w:multiLevelType w:val="hybridMultilevel"/>
    <w:tmpl w:val="0CA8E2D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3"/>
  </w:num>
  <w:num w:numId="6">
    <w:abstractNumId w:val="9"/>
  </w:num>
  <w:num w:numId="7">
    <w:abstractNumId w:val="1"/>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3D"/>
    <w:rsid w:val="00002189"/>
    <w:rsid w:val="0004025A"/>
    <w:rsid w:val="00070124"/>
    <w:rsid w:val="000835A0"/>
    <w:rsid w:val="00092926"/>
    <w:rsid w:val="000D1D80"/>
    <w:rsid w:val="000D1DE0"/>
    <w:rsid w:val="000D46F4"/>
    <w:rsid w:val="000E2B88"/>
    <w:rsid w:val="001403EF"/>
    <w:rsid w:val="001751B3"/>
    <w:rsid w:val="001B280E"/>
    <w:rsid w:val="001C4CE3"/>
    <w:rsid w:val="001C5A7F"/>
    <w:rsid w:val="001C7C09"/>
    <w:rsid w:val="0027251C"/>
    <w:rsid w:val="002A7AFC"/>
    <w:rsid w:val="002D156E"/>
    <w:rsid w:val="00313F25"/>
    <w:rsid w:val="00321950"/>
    <w:rsid w:val="00382B7E"/>
    <w:rsid w:val="00385ACA"/>
    <w:rsid w:val="003A4CEA"/>
    <w:rsid w:val="003C566D"/>
    <w:rsid w:val="00406E28"/>
    <w:rsid w:val="00472958"/>
    <w:rsid w:val="00497C15"/>
    <w:rsid w:val="004A3B1C"/>
    <w:rsid w:val="004C7AC5"/>
    <w:rsid w:val="004D508B"/>
    <w:rsid w:val="004E3C45"/>
    <w:rsid w:val="004E7241"/>
    <w:rsid w:val="004F5E3D"/>
    <w:rsid w:val="005073EB"/>
    <w:rsid w:val="00516C2A"/>
    <w:rsid w:val="00553087"/>
    <w:rsid w:val="00577B1F"/>
    <w:rsid w:val="00601200"/>
    <w:rsid w:val="00656702"/>
    <w:rsid w:val="00677BBA"/>
    <w:rsid w:val="006976D2"/>
    <w:rsid w:val="006C624C"/>
    <w:rsid w:val="00723402"/>
    <w:rsid w:val="007637A2"/>
    <w:rsid w:val="00765586"/>
    <w:rsid w:val="007D71FE"/>
    <w:rsid w:val="007F6446"/>
    <w:rsid w:val="0082012E"/>
    <w:rsid w:val="008B6995"/>
    <w:rsid w:val="008C2075"/>
    <w:rsid w:val="008D7FF5"/>
    <w:rsid w:val="008E152E"/>
    <w:rsid w:val="008E17A7"/>
    <w:rsid w:val="008E18CA"/>
    <w:rsid w:val="008E4EBF"/>
    <w:rsid w:val="00967F53"/>
    <w:rsid w:val="009A18F3"/>
    <w:rsid w:val="009A499F"/>
    <w:rsid w:val="00A14053"/>
    <w:rsid w:val="00A46299"/>
    <w:rsid w:val="00A60056"/>
    <w:rsid w:val="00A9146A"/>
    <w:rsid w:val="00A92F34"/>
    <w:rsid w:val="00AC74B6"/>
    <w:rsid w:val="00B70A62"/>
    <w:rsid w:val="00BB3962"/>
    <w:rsid w:val="00BE2D29"/>
    <w:rsid w:val="00C156FE"/>
    <w:rsid w:val="00C6368A"/>
    <w:rsid w:val="00CA36CF"/>
    <w:rsid w:val="00CA37E2"/>
    <w:rsid w:val="00CB66E7"/>
    <w:rsid w:val="00CD1C00"/>
    <w:rsid w:val="00D029D5"/>
    <w:rsid w:val="00D04D81"/>
    <w:rsid w:val="00D246D7"/>
    <w:rsid w:val="00D268BA"/>
    <w:rsid w:val="00D43E83"/>
    <w:rsid w:val="00D521C3"/>
    <w:rsid w:val="00D7455A"/>
    <w:rsid w:val="00D85CA2"/>
    <w:rsid w:val="00D918B1"/>
    <w:rsid w:val="00E043C7"/>
    <w:rsid w:val="00E17D3D"/>
    <w:rsid w:val="00E31D22"/>
    <w:rsid w:val="00E3706A"/>
    <w:rsid w:val="00E4170C"/>
    <w:rsid w:val="00E61E2C"/>
    <w:rsid w:val="00EA6813"/>
    <w:rsid w:val="00ED1578"/>
    <w:rsid w:val="00ED502B"/>
    <w:rsid w:val="00EF26F1"/>
    <w:rsid w:val="00F34EB9"/>
    <w:rsid w:val="00FB0B30"/>
    <w:rsid w:val="00FB49D1"/>
    <w:rsid w:val="00FC4569"/>
    <w:rsid w:val="00FC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73EB"/>
    <w:rPr>
      <w:color w:val="0000FF"/>
      <w:u w:val="single"/>
    </w:rPr>
  </w:style>
  <w:style w:type="character" w:styleId="CommentReference">
    <w:name w:val="annotation reference"/>
    <w:basedOn w:val="DefaultParagraphFont"/>
    <w:rsid w:val="00070124"/>
    <w:rPr>
      <w:sz w:val="16"/>
      <w:szCs w:val="16"/>
    </w:rPr>
  </w:style>
  <w:style w:type="paragraph" w:styleId="CommentText">
    <w:name w:val="annotation text"/>
    <w:basedOn w:val="Normal"/>
    <w:link w:val="CommentTextChar"/>
    <w:rsid w:val="00070124"/>
    <w:rPr>
      <w:sz w:val="20"/>
      <w:szCs w:val="20"/>
    </w:rPr>
  </w:style>
  <w:style w:type="character" w:customStyle="1" w:styleId="CommentTextChar">
    <w:name w:val="Comment Text Char"/>
    <w:basedOn w:val="DefaultParagraphFont"/>
    <w:link w:val="CommentText"/>
    <w:rsid w:val="00070124"/>
  </w:style>
  <w:style w:type="paragraph" w:styleId="CommentSubject">
    <w:name w:val="annotation subject"/>
    <w:basedOn w:val="CommentText"/>
    <w:next w:val="CommentText"/>
    <w:link w:val="CommentSubjectChar"/>
    <w:rsid w:val="00070124"/>
    <w:rPr>
      <w:b/>
      <w:bCs/>
    </w:rPr>
  </w:style>
  <w:style w:type="character" w:customStyle="1" w:styleId="CommentSubjectChar">
    <w:name w:val="Comment Subject Char"/>
    <w:basedOn w:val="CommentTextChar"/>
    <w:link w:val="CommentSubject"/>
    <w:rsid w:val="00070124"/>
    <w:rPr>
      <w:b/>
      <w:bCs/>
    </w:rPr>
  </w:style>
  <w:style w:type="paragraph" w:styleId="BalloonText">
    <w:name w:val="Balloon Text"/>
    <w:basedOn w:val="Normal"/>
    <w:link w:val="BalloonTextChar"/>
    <w:rsid w:val="00070124"/>
    <w:rPr>
      <w:rFonts w:ascii="Tahoma" w:hAnsi="Tahoma" w:cs="Tahoma"/>
      <w:sz w:val="16"/>
      <w:szCs w:val="16"/>
    </w:rPr>
  </w:style>
  <w:style w:type="character" w:customStyle="1" w:styleId="BalloonTextChar">
    <w:name w:val="Balloon Text Char"/>
    <w:basedOn w:val="DefaultParagraphFont"/>
    <w:link w:val="BalloonText"/>
    <w:rsid w:val="00070124"/>
    <w:rPr>
      <w:rFonts w:ascii="Tahoma" w:hAnsi="Tahoma" w:cs="Tahoma"/>
      <w:sz w:val="16"/>
      <w:szCs w:val="16"/>
    </w:rPr>
  </w:style>
  <w:style w:type="character" w:styleId="Emphasis">
    <w:name w:val="Emphasis"/>
    <w:basedOn w:val="DefaultParagraphFont"/>
    <w:qFormat/>
    <w:rsid w:val="00E61E2C"/>
    <w:rPr>
      <w:i/>
      <w:iCs/>
    </w:rPr>
  </w:style>
  <w:style w:type="paragraph" w:styleId="Header">
    <w:name w:val="header"/>
    <w:basedOn w:val="Normal"/>
    <w:link w:val="HeaderChar"/>
    <w:rsid w:val="00967F53"/>
    <w:pPr>
      <w:tabs>
        <w:tab w:val="center" w:pos="4680"/>
        <w:tab w:val="right" w:pos="9360"/>
      </w:tabs>
    </w:pPr>
  </w:style>
  <w:style w:type="character" w:customStyle="1" w:styleId="HeaderChar">
    <w:name w:val="Header Char"/>
    <w:basedOn w:val="DefaultParagraphFont"/>
    <w:link w:val="Header"/>
    <w:rsid w:val="00967F53"/>
    <w:rPr>
      <w:sz w:val="24"/>
      <w:szCs w:val="24"/>
    </w:rPr>
  </w:style>
  <w:style w:type="paragraph" w:styleId="Footer">
    <w:name w:val="footer"/>
    <w:basedOn w:val="Normal"/>
    <w:link w:val="FooterChar"/>
    <w:uiPriority w:val="99"/>
    <w:rsid w:val="00967F53"/>
    <w:pPr>
      <w:tabs>
        <w:tab w:val="center" w:pos="4680"/>
        <w:tab w:val="right" w:pos="9360"/>
      </w:tabs>
    </w:pPr>
  </w:style>
  <w:style w:type="character" w:customStyle="1" w:styleId="FooterChar">
    <w:name w:val="Footer Char"/>
    <w:basedOn w:val="DefaultParagraphFont"/>
    <w:link w:val="Footer"/>
    <w:uiPriority w:val="99"/>
    <w:rsid w:val="00967F53"/>
    <w:rPr>
      <w:sz w:val="24"/>
      <w:szCs w:val="24"/>
    </w:rPr>
  </w:style>
  <w:style w:type="paragraph" w:styleId="ListParagraph">
    <w:name w:val="List Paragraph"/>
    <w:basedOn w:val="Normal"/>
    <w:uiPriority w:val="34"/>
    <w:qFormat/>
    <w:rsid w:val="003C56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73EB"/>
    <w:rPr>
      <w:color w:val="0000FF"/>
      <w:u w:val="single"/>
    </w:rPr>
  </w:style>
  <w:style w:type="character" w:styleId="CommentReference">
    <w:name w:val="annotation reference"/>
    <w:basedOn w:val="DefaultParagraphFont"/>
    <w:rsid w:val="00070124"/>
    <w:rPr>
      <w:sz w:val="16"/>
      <w:szCs w:val="16"/>
    </w:rPr>
  </w:style>
  <w:style w:type="paragraph" w:styleId="CommentText">
    <w:name w:val="annotation text"/>
    <w:basedOn w:val="Normal"/>
    <w:link w:val="CommentTextChar"/>
    <w:rsid w:val="00070124"/>
    <w:rPr>
      <w:sz w:val="20"/>
      <w:szCs w:val="20"/>
    </w:rPr>
  </w:style>
  <w:style w:type="character" w:customStyle="1" w:styleId="CommentTextChar">
    <w:name w:val="Comment Text Char"/>
    <w:basedOn w:val="DefaultParagraphFont"/>
    <w:link w:val="CommentText"/>
    <w:rsid w:val="00070124"/>
  </w:style>
  <w:style w:type="paragraph" w:styleId="CommentSubject">
    <w:name w:val="annotation subject"/>
    <w:basedOn w:val="CommentText"/>
    <w:next w:val="CommentText"/>
    <w:link w:val="CommentSubjectChar"/>
    <w:rsid w:val="00070124"/>
    <w:rPr>
      <w:b/>
      <w:bCs/>
    </w:rPr>
  </w:style>
  <w:style w:type="character" w:customStyle="1" w:styleId="CommentSubjectChar">
    <w:name w:val="Comment Subject Char"/>
    <w:basedOn w:val="CommentTextChar"/>
    <w:link w:val="CommentSubject"/>
    <w:rsid w:val="00070124"/>
    <w:rPr>
      <w:b/>
      <w:bCs/>
    </w:rPr>
  </w:style>
  <w:style w:type="paragraph" w:styleId="BalloonText">
    <w:name w:val="Balloon Text"/>
    <w:basedOn w:val="Normal"/>
    <w:link w:val="BalloonTextChar"/>
    <w:rsid w:val="00070124"/>
    <w:rPr>
      <w:rFonts w:ascii="Tahoma" w:hAnsi="Tahoma" w:cs="Tahoma"/>
      <w:sz w:val="16"/>
      <w:szCs w:val="16"/>
    </w:rPr>
  </w:style>
  <w:style w:type="character" w:customStyle="1" w:styleId="BalloonTextChar">
    <w:name w:val="Balloon Text Char"/>
    <w:basedOn w:val="DefaultParagraphFont"/>
    <w:link w:val="BalloonText"/>
    <w:rsid w:val="00070124"/>
    <w:rPr>
      <w:rFonts w:ascii="Tahoma" w:hAnsi="Tahoma" w:cs="Tahoma"/>
      <w:sz w:val="16"/>
      <w:szCs w:val="16"/>
    </w:rPr>
  </w:style>
  <w:style w:type="character" w:styleId="Emphasis">
    <w:name w:val="Emphasis"/>
    <w:basedOn w:val="DefaultParagraphFont"/>
    <w:qFormat/>
    <w:rsid w:val="00E61E2C"/>
    <w:rPr>
      <w:i/>
      <w:iCs/>
    </w:rPr>
  </w:style>
  <w:style w:type="paragraph" w:styleId="Header">
    <w:name w:val="header"/>
    <w:basedOn w:val="Normal"/>
    <w:link w:val="HeaderChar"/>
    <w:rsid w:val="00967F53"/>
    <w:pPr>
      <w:tabs>
        <w:tab w:val="center" w:pos="4680"/>
        <w:tab w:val="right" w:pos="9360"/>
      </w:tabs>
    </w:pPr>
  </w:style>
  <w:style w:type="character" w:customStyle="1" w:styleId="HeaderChar">
    <w:name w:val="Header Char"/>
    <w:basedOn w:val="DefaultParagraphFont"/>
    <w:link w:val="Header"/>
    <w:rsid w:val="00967F53"/>
    <w:rPr>
      <w:sz w:val="24"/>
      <w:szCs w:val="24"/>
    </w:rPr>
  </w:style>
  <w:style w:type="paragraph" w:styleId="Footer">
    <w:name w:val="footer"/>
    <w:basedOn w:val="Normal"/>
    <w:link w:val="FooterChar"/>
    <w:uiPriority w:val="99"/>
    <w:rsid w:val="00967F53"/>
    <w:pPr>
      <w:tabs>
        <w:tab w:val="center" w:pos="4680"/>
        <w:tab w:val="right" w:pos="9360"/>
      </w:tabs>
    </w:pPr>
  </w:style>
  <w:style w:type="character" w:customStyle="1" w:styleId="FooterChar">
    <w:name w:val="Footer Char"/>
    <w:basedOn w:val="DefaultParagraphFont"/>
    <w:link w:val="Footer"/>
    <w:uiPriority w:val="99"/>
    <w:rsid w:val="00967F53"/>
    <w:rPr>
      <w:sz w:val="24"/>
      <w:szCs w:val="24"/>
    </w:rPr>
  </w:style>
  <w:style w:type="paragraph" w:styleId="ListParagraph">
    <w:name w:val="List Paragraph"/>
    <w:basedOn w:val="Normal"/>
    <w:uiPriority w:val="34"/>
    <w:qFormat/>
    <w:rsid w:val="003C5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utc.w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F9B4ABFC7E8A41846A43A976800562" ma:contentTypeVersion="119" ma:contentTypeDescription="" ma:contentTypeScope="" ma:versionID="ee391cf6c2a30082124916102ecec9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2015-02-04T08:00:00+00:00</OpenedDate>
    <Date1 xmlns="dc463f71-b30c-4ab2-9473-d307f9d35888">2015-02-04T08:00:00+00:00</Date1>
    <IsDocumentOrder xmlns="dc463f71-b30c-4ab2-9473-d307f9d35888" xsi:nil="true"/>
    <IsHighlyConfidential xmlns="dc463f71-b30c-4ab2-9473-d307f9d35888">false</IsHighlyConfidential>
    <CaseCompanyNames xmlns="dc463f71-b30c-4ab2-9473-d307f9d35888">Camano Hills Water Company</CaseCompanyNames>
    <DocketNumber xmlns="dc463f71-b30c-4ab2-9473-d307f9d35888">150182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134F537-4C5E-466E-B5B9-BC44CC40123A}"/>
</file>

<file path=customXml/itemProps2.xml><?xml version="1.0" encoding="utf-8"?>
<ds:datastoreItem xmlns:ds="http://schemas.openxmlformats.org/officeDocument/2006/customXml" ds:itemID="{244B21A3-CB31-4F59-9EBF-9AB00E3D05B2}"/>
</file>

<file path=customXml/itemProps3.xml><?xml version="1.0" encoding="utf-8"?>
<ds:datastoreItem xmlns:ds="http://schemas.openxmlformats.org/officeDocument/2006/customXml" ds:itemID="{79045DFA-C6F6-4492-8454-43EA3AC77BAF}"/>
</file>

<file path=customXml/itemProps4.xml><?xml version="1.0" encoding="utf-8"?>
<ds:datastoreItem xmlns:ds="http://schemas.openxmlformats.org/officeDocument/2006/customXml" ds:itemID="{3BB6C792-D0E3-467D-9408-A132A70E6939}"/>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CAMANO HILLS WATER CO</vt:lpstr>
    </vt:vector>
  </TitlesOfParts>
  <Company/>
  <LinksUpToDate>false</LinksUpToDate>
  <CharactersWithSpaces>7087</CharactersWithSpaces>
  <SharedDoc>false</SharedDoc>
  <HLinks>
    <vt:vector size="12" baseType="variant">
      <vt:variant>
        <vt:i4>1507445</vt:i4>
      </vt:variant>
      <vt:variant>
        <vt:i4>3</vt:i4>
      </vt:variant>
      <vt:variant>
        <vt:i4>0</vt:i4>
      </vt:variant>
      <vt:variant>
        <vt:i4>5</vt:i4>
      </vt:variant>
      <vt:variant>
        <vt:lpwstr>mailto:comments@utc.wa.gov</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CAMANO HILLS WATER CO</dc:title>
  <dc:creator>Laurel Holbeck</dc:creator>
  <cp:lastModifiedBy>Office</cp:lastModifiedBy>
  <cp:revision>2</cp:revision>
  <cp:lastPrinted>2015-02-03T21:19:00Z</cp:lastPrinted>
  <dcterms:created xsi:type="dcterms:W3CDTF">2015-02-03T22:40:00Z</dcterms:created>
  <dcterms:modified xsi:type="dcterms:W3CDTF">2015-02-03T22:40:00Z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0x0101006E56B4D1795A2E4DB2F0B01679ED314A002EF9B4ABFC7E8A41846A43A976800562</vt:lpwstr>
  </property>
  <property fmtid="{D5CDD505-2E9C-101B-9397-08002B2CF9AE}" pid="3" name="_docset_NoMedatataSyncRequired">
    <vt:lpwstr>False</vt:lpwstr>
  </property>
</Properties>
</file>