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D4" w:rsidRDefault="007F26D3" w:rsidP="00180BE4">
      <w:pPr>
        <w:ind w:left="-450"/>
        <w:rPr>
          <w:iCs/>
          <w:spacing w:val="-4"/>
        </w:rPr>
      </w:pPr>
      <w:bookmarkStart w:id="0" w:name="_GoBack"/>
      <w:bookmarkEnd w:id="0"/>
      <w:r>
        <w:rPr>
          <w:noProof/>
        </w:rPr>
        <w:drawing>
          <wp:anchor distT="0" distB="0" distL="114300" distR="114300" simplePos="0" relativeHeight="251662336" behindDoc="0" locked="0" layoutInCell="1" allowOverlap="1" wp14:anchorId="432B5CCC" wp14:editId="22AA711E">
            <wp:simplePos x="0" y="0"/>
            <wp:positionH relativeFrom="column">
              <wp:posOffset>1663700</wp:posOffset>
            </wp:positionH>
            <wp:positionV relativeFrom="paragraph">
              <wp:posOffset>8369935</wp:posOffset>
            </wp:positionV>
            <wp:extent cx="2441575" cy="243840"/>
            <wp:effectExtent l="0" t="0" r="0" b="3810"/>
            <wp:wrapNone/>
            <wp:docPr id="7" name="Picture 7"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G-Color-300dpi"/>
                    <pic:cNvPicPr>
                      <a:picLocks noChangeAspect="1" noChangeArrowheads="1"/>
                    </pic:cNvPicPr>
                  </pic:nvPicPr>
                  <pic:blipFill>
                    <a:blip r:embed="rId10"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32B5CCD" wp14:editId="202FB109">
                <wp:simplePos x="0" y="0"/>
                <wp:positionH relativeFrom="column">
                  <wp:posOffset>2647950</wp:posOffset>
                </wp:positionH>
                <wp:positionV relativeFrom="paragraph">
                  <wp:posOffset>208915</wp:posOffset>
                </wp:positionV>
                <wp:extent cx="3695700" cy="3524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E8D" w:rsidRPr="008F4219" w:rsidRDefault="00422E8D"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422E8D" w:rsidRPr="008F4219" w:rsidRDefault="00422E8D"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422E8D" w:rsidRPr="008F4219" w:rsidRDefault="00B879FA" w:rsidP="008F4219">
                            <w:pPr>
                              <w:tabs>
                                <w:tab w:val="left" w:pos="120"/>
                              </w:tabs>
                              <w:ind w:left="-720" w:firstLine="450"/>
                              <w:jc w:val="center"/>
                              <w:rPr>
                                <w:rFonts w:ascii="Arial" w:hAnsi="Arial" w:cs="Arial"/>
                                <w:iCs/>
                                <w:spacing w:val="-4"/>
                                <w:sz w:val="15"/>
                                <w:szCs w:val="15"/>
                              </w:rPr>
                            </w:pPr>
                            <w:hyperlink r:id="rId11" w:history="1">
                              <w:r w:rsidR="008F4219" w:rsidRPr="008F4219">
                                <w:rPr>
                                  <w:rStyle w:val="Hyperlink"/>
                                  <w:rFonts w:ascii="Arial" w:hAnsi="Arial" w:cs="Arial"/>
                                  <w:iCs/>
                                  <w:color w:val="auto"/>
                                  <w:spacing w:val="-4"/>
                                  <w:sz w:val="15"/>
                                  <w:szCs w:val="15"/>
                                  <w:u w:val="none"/>
                                </w:rPr>
                                <w:t>www.cngc.com</w:t>
                              </w:r>
                            </w:hyperlink>
                          </w:p>
                          <w:p w:rsidR="008F4219" w:rsidRPr="008F4219" w:rsidRDefault="008F4219" w:rsidP="008F4219">
                            <w:pPr>
                              <w:tabs>
                                <w:tab w:val="left" w:pos="120"/>
                              </w:tabs>
                              <w:ind w:left="-720" w:firstLine="450"/>
                              <w:jc w:val="center"/>
                              <w:rPr>
                                <w:rFonts w:ascii="Arial" w:hAnsi="Arial" w:cs="Arial"/>
                                <w:iCs/>
                                <w:spacing w:val="-4"/>
                                <w:sz w:val="15"/>
                                <w:szCs w:val="1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8.5pt;margin-top:16.45pt;width:291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EpsAIAALE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" filled="f" stroked="f">
                <v:textbox inset=",0,,0">
                  <w:txbxContent>
                    <w:p w:rsidR="00422E8D" w:rsidRPr="008F4219" w:rsidRDefault="00422E8D" w:rsidP="00422E8D">
                      <w:pPr>
                        <w:tabs>
                          <w:tab w:val="left" w:pos="120"/>
                        </w:tabs>
                        <w:ind w:left="-720" w:firstLine="450"/>
                        <w:jc w:val="center"/>
                        <w:rPr>
                          <w:rFonts w:ascii="Arial" w:hAnsi="Arial" w:cs="Arial"/>
                          <w:iCs/>
                          <w:spacing w:val="-4"/>
                          <w:sz w:val="15"/>
                          <w:szCs w:val="15"/>
                        </w:rPr>
                      </w:pPr>
                      <w:r w:rsidRPr="008F4219">
                        <w:rPr>
                          <w:rFonts w:ascii="Arial" w:hAnsi="Arial" w:cs="Arial"/>
                          <w:iCs/>
                          <w:spacing w:val="-4"/>
                          <w:sz w:val="15"/>
                          <w:szCs w:val="15"/>
                        </w:rPr>
                        <w:t>8113 W. GRANDRIDGE BLVD., KENNEWICK, WASHINGTON 99336-7166</w:t>
                      </w:r>
                    </w:p>
                    <w:p w:rsidR="00422E8D" w:rsidRPr="008F4219" w:rsidRDefault="00422E8D" w:rsidP="00422E8D">
                      <w:pPr>
                        <w:tabs>
                          <w:tab w:val="left" w:pos="120"/>
                        </w:tabs>
                        <w:ind w:left="-720" w:firstLine="446"/>
                        <w:jc w:val="center"/>
                        <w:rPr>
                          <w:rFonts w:ascii="Arial" w:hAnsi="Arial" w:cs="Arial"/>
                          <w:iCs/>
                          <w:spacing w:val="-4"/>
                          <w:sz w:val="15"/>
                          <w:szCs w:val="15"/>
                        </w:rPr>
                      </w:pPr>
                      <w:r w:rsidRPr="008F4219">
                        <w:rPr>
                          <w:rFonts w:ascii="Arial" w:hAnsi="Arial" w:cs="Arial"/>
                          <w:iCs/>
                          <w:spacing w:val="-4"/>
                          <w:sz w:val="15"/>
                          <w:szCs w:val="15"/>
                        </w:rPr>
                        <w:t>TELEPHONE 509-734-4500   FACSIMILE 509-737-9803</w:t>
                      </w:r>
                    </w:p>
                    <w:p w:rsidR="00422E8D" w:rsidRPr="008F4219" w:rsidRDefault="00FB6C9F" w:rsidP="008F4219">
                      <w:pPr>
                        <w:tabs>
                          <w:tab w:val="left" w:pos="120"/>
                        </w:tabs>
                        <w:ind w:left="-720" w:firstLine="450"/>
                        <w:jc w:val="center"/>
                        <w:rPr>
                          <w:rFonts w:ascii="Arial" w:hAnsi="Arial" w:cs="Arial"/>
                          <w:iCs/>
                          <w:spacing w:val="-4"/>
                          <w:sz w:val="15"/>
                          <w:szCs w:val="15"/>
                        </w:rPr>
                      </w:pPr>
                      <w:hyperlink r:id="rId12" w:history="1">
                        <w:r w:rsidR="008F4219" w:rsidRPr="008F4219">
                          <w:rPr>
                            <w:rStyle w:val="Hyperlink"/>
                            <w:rFonts w:ascii="Arial" w:hAnsi="Arial" w:cs="Arial"/>
                            <w:iCs/>
                            <w:color w:val="auto"/>
                            <w:spacing w:val="-4"/>
                            <w:sz w:val="15"/>
                            <w:szCs w:val="15"/>
                            <w:u w:val="none"/>
                          </w:rPr>
                          <w:t>www.cngc.com</w:t>
                        </w:r>
                      </w:hyperlink>
                    </w:p>
                    <w:p w:rsidR="008F4219" w:rsidRPr="008F4219" w:rsidRDefault="008F4219" w:rsidP="008F4219">
                      <w:pPr>
                        <w:tabs>
                          <w:tab w:val="left" w:pos="120"/>
                        </w:tabs>
                        <w:ind w:left="-720" w:firstLine="450"/>
                        <w:jc w:val="center"/>
                        <w:rPr>
                          <w:rFonts w:ascii="Arial" w:hAnsi="Arial" w:cs="Arial"/>
                          <w:iCs/>
                          <w:spacing w:val="-4"/>
                          <w:sz w:val="15"/>
                          <w:szCs w:val="15"/>
                        </w:rPr>
                      </w:pPr>
                    </w:p>
                  </w:txbxContent>
                </v:textbox>
              </v:shape>
            </w:pict>
          </mc:Fallback>
        </mc:AlternateContent>
      </w:r>
      <w:r>
        <w:rPr>
          <w:noProof/>
        </w:rPr>
        <w:drawing>
          <wp:anchor distT="0" distB="274320" distL="114300" distR="114300" simplePos="0" relativeHeight="251660288" behindDoc="0" locked="0" layoutInCell="1" allowOverlap="1" wp14:anchorId="432B5CCE" wp14:editId="685ACD52">
            <wp:simplePos x="0" y="0"/>
            <wp:positionH relativeFrom="column">
              <wp:posOffset>-269875</wp:posOffset>
            </wp:positionH>
            <wp:positionV relativeFrom="paragraph">
              <wp:posOffset>-302895</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10"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r>
        <w:rPr>
          <w:iCs/>
          <w:spacing w:val="-4"/>
        </w:rPr>
        <w:tab/>
      </w:r>
    </w:p>
    <w:p w:rsidR="00FA75D4" w:rsidRDefault="00FA75D4" w:rsidP="00180BE4">
      <w:pPr>
        <w:ind w:left="-450"/>
        <w:rPr>
          <w:iCs/>
          <w:spacing w:val="-4"/>
        </w:rPr>
      </w:pPr>
    </w:p>
    <w:p w:rsidR="00180BE4" w:rsidRDefault="00FA75D4" w:rsidP="00180BE4">
      <w:pPr>
        <w:ind w:left="-450"/>
        <w:rPr>
          <w:iCs/>
          <w:spacing w:val="-4"/>
          <w:sz w:val="24"/>
          <w:szCs w:val="24"/>
        </w:rPr>
      </w:pPr>
      <w:r>
        <w:rPr>
          <w:iCs/>
          <w:spacing w:val="-4"/>
        </w:rPr>
        <w:tab/>
      </w:r>
      <w:r w:rsidR="007F26D3" w:rsidRPr="007F26D3">
        <w:rPr>
          <w:iCs/>
          <w:spacing w:val="-4"/>
          <w:sz w:val="24"/>
          <w:szCs w:val="24"/>
        </w:rPr>
        <w:t>March 27, 2015</w:t>
      </w:r>
      <w:r w:rsidR="00735A13" w:rsidRPr="007F26D3">
        <w:rPr>
          <w:iCs/>
          <w:spacing w:val="-4"/>
          <w:sz w:val="24"/>
          <w:szCs w:val="24"/>
        </w:rPr>
        <w:t xml:space="preserve"> </w:t>
      </w:r>
    </w:p>
    <w:p w:rsidR="00FA75D4" w:rsidRDefault="00FA75D4" w:rsidP="00180BE4">
      <w:pPr>
        <w:ind w:left="-450"/>
        <w:rPr>
          <w:iCs/>
          <w:spacing w:val="-4"/>
          <w:sz w:val="24"/>
          <w:szCs w:val="24"/>
        </w:rPr>
      </w:pPr>
    </w:p>
    <w:p w:rsidR="00FA75D4" w:rsidRDefault="00FA75D4" w:rsidP="00180BE4">
      <w:pPr>
        <w:ind w:left="-450"/>
        <w:rPr>
          <w:iCs/>
          <w:spacing w:val="-4"/>
          <w:sz w:val="24"/>
          <w:szCs w:val="24"/>
        </w:rPr>
      </w:pPr>
      <w:r>
        <w:rPr>
          <w:iCs/>
          <w:spacing w:val="-4"/>
          <w:sz w:val="24"/>
          <w:szCs w:val="24"/>
        </w:rPr>
        <w:tab/>
        <w:t>Steven V. King</w:t>
      </w:r>
    </w:p>
    <w:p w:rsidR="00FA75D4" w:rsidRDefault="00FA75D4" w:rsidP="00180BE4">
      <w:pPr>
        <w:ind w:left="-450"/>
        <w:rPr>
          <w:iCs/>
          <w:spacing w:val="-4"/>
          <w:sz w:val="24"/>
          <w:szCs w:val="24"/>
        </w:rPr>
      </w:pPr>
      <w:r>
        <w:rPr>
          <w:iCs/>
          <w:spacing w:val="-4"/>
          <w:sz w:val="24"/>
          <w:szCs w:val="24"/>
        </w:rPr>
        <w:tab/>
        <w:t>Executive Director and Secretary</w:t>
      </w:r>
    </w:p>
    <w:p w:rsidR="00FA75D4" w:rsidRDefault="00FA75D4" w:rsidP="00180BE4">
      <w:pPr>
        <w:ind w:left="-450"/>
        <w:rPr>
          <w:iCs/>
          <w:spacing w:val="-4"/>
          <w:sz w:val="24"/>
          <w:szCs w:val="24"/>
        </w:rPr>
      </w:pPr>
      <w:r>
        <w:rPr>
          <w:iCs/>
          <w:spacing w:val="-4"/>
          <w:sz w:val="24"/>
          <w:szCs w:val="24"/>
        </w:rPr>
        <w:tab/>
        <w:t>Washington Utilities and Transportation Commission</w:t>
      </w:r>
    </w:p>
    <w:p w:rsidR="00FA75D4" w:rsidRDefault="00FA75D4" w:rsidP="00180BE4">
      <w:pPr>
        <w:ind w:left="-450"/>
        <w:rPr>
          <w:iCs/>
          <w:spacing w:val="-4"/>
          <w:sz w:val="24"/>
          <w:szCs w:val="24"/>
        </w:rPr>
      </w:pPr>
      <w:r>
        <w:rPr>
          <w:iCs/>
          <w:spacing w:val="-4"/>
          <w:sz w:val="24"/>
          <w:szCs w:val="24"/>
        </w:rPr>
        <w:tab/>
        <w:t>1300 S. Evergreen Park Drive, S.W.</w:t>
      </w:r>
    </w:p>
    <w:p w:rsidR="00FA75D4" w:rsidRDefault="00FA75D4" w:rsidP="00180BE4">
      <w:pPr>
        <w:ind w:left="-450"/>
        <w:rPr>
          <w:iCs/>
          <w:spacing w:val="-4"/>
          <w:sz w:val="24"/>
          <w:szCs w:val="24"/>
        </w:rPr>
      </w:pPr>
      <w:r>
        <w:rPr>
          <w:iCs/>
          <w:spacing w:val="-4"/>
          <w:sz w:val="24"/>
          <w:szCs w:val="24"/>
        </w:rPr>
        <w:tab/>
        <w:t>P.O. Box 47250</w:t>
      </w:r>
    </w:p>
    <w:p w:rsidR="00FA75D4" w:rsidRDefault="00FA75D4" w:rsidP="00180BE4">
      <w:pPr>
        <w:ind w:left="-450"/>
        <w:rPr>
          <w:iCs/>
          <w:spacing w:val="-4"/>
          <w:sz w:val="24"/>
          <w:szCs w:val="24"/>
        </w:rPr>
      </w:pPr>
      <w:r>
        <w:rPr>
          <w:iCs/>
          <w:spacing w:val="-4"/>
          <w:sz w:val="24"/>
          <w:szCs w:val="24"/>
        </w:rPr>
        <w:tab/>
        <w:t>Olympia, WA  98504-7250</w:t>
      </w:r>
    </w:p>
    <w:p w:rsidR="00FA75D4" w:rsidRDefault="00FA75D4" w:rsidP="00180BE4">
      <w:pPr>
        <w:ind w:left="-450"/>
        <w:rPr>
          <w:iCs/>
          <w:spacing w:val="-4"/>
          <w:sz w:val="24"/>
          <w:szCs w:val="24"/>
        </w:rPr>
      </w:pPr>
    </w:p>
    <w:p w:rsidR="00FA75D4" w:rsidRPr="00FA75D4" w:rsidRDefault="00FA75D4" w:rsidP="00180BE4">
      <w:pPr>
        <w:ind w:left="-450"/>
        <w:rPr>
          <w:b/>
          <w:iCs/>
          <w:spacing w:val="-4"/>
          <w:sz w:val="24"/>
          <w:szCs w:val="24"/>
        </w:rPr>
      </w:pPr>
      <w:r>
        <w:rPr>
          <w:iCs/>
          <w:spacing w:val="-4"/>
          <w:sz w:val="24"/>
          <w:szCs w:val="24"/>
        </w:rPr>
        <w:tab/>
      </w:r>
      <w:r w:rsidRPr="00FA75D4">
        <w:rPr>
          <w:b/>
          <w:iCs/>
          <w:spacing w:val="-4"/>
          <w:sz w:val="24"/>
          <w:szCs w:val="24"/>
        </w:rPr>
        <w:t>RE: Docket U-150040 – Cascade Natural Gas’ Comments</w:t>
      </w:r>
    </w:p>
    <w:p w:rsidR="007F26D3" w:rsidRDefault="007F26D3" w:rsidP="00180BE4">
      <w:pPr>
        <w:ind w:left="-450"/>
        <w:rPr>
          <w:iCs/>
          <w:spacing w:val="-4"/>
        </w:rPr>
      </w:pPr>
    </w:p>
    <w:p w:rsidR="007F26D3" w:rsidRPr="007F26D3" w:rsidRDefault="007F26D3" w:rsidP="007F26D3">
      <w:pPr>
        <w:autoSpaceDE w:val="0"/>
        <w:autoSpaceDN w:val="0"/>
        <w:adjustRightInd w:val="0"/>
        <w:contextualSpacing/>
        <w:rPr>
          <w:sz w:val="24"/>
          <w:szCs w:val="24"/>
        </w:rPr>
      </w:pPr>
      <w:r w:rsidRPr="007F26D3">
        <w:rPr>
          <w:sz w:val="24"/>
          <w:szCs w:val="24"/>
        </w:rPr>
        <w:t>Cascade appreciates the opportunity to provide comments regarding its perspective on earnings attrition and potential solutions to the issue.</w:t>
      </w:r>
    </w:p>
    <w:p w:rsidR="007F26D3" w:rsidRPr="007F26D3" w:rsidRDefault="007F26D3" w:rsidP="007F26D3">
      <w:pPr>
        <w:autoSpaceDE w:val="0"/>
        <w:autoSpaceDN w:val="0"/>
        <w:adjustRightInd w:val="0"/>
        <w:contextualSpacing/>
        <w:rPr>
          <w:sz w:val="24"/>
          <w:szCs w:val="24"/>
        </w:rPr>
      </w:pPr>
    </w:p>
    <w:p w:rsidR="007F26D3" w:rsidRDefault="007F26D3" w:rsidP="007F26D3">
      <w:pPr>
        <w:autoSpaceDE w:val="0"/>
        <w:autoSpaceDN w:val="0"/>
        <w:adjustRightInd w:val="0"/>
        <w:contextualSpacing/>
        <w:rPr>
          <w:sz w:val="24"/>
          <w:szCs w:val="24"/>
        </w:rPr>
      </w:pPr>
      <w:r w:rsidRPr="007F26D3">
        <w:rPr>
          <w:sz w:val="24"/>
          <w:szCs w:val="24"/>
        </w:rPr>
        <w:t>Cascade is experiencing attrition of earnings primarily due to increased infrastructure investment.  The pipeline replacement Cost Recovery Mechanism (CRM) Cascade has in place has relieved a portion of the overall effect but not completely as Cascade will be filing for a rate increase later this year.  Much of Cascade’s year over year investment has been for non-revenue producing infrastructure replacement, not all of which is included in the CRM.</w:t>
      </w:r>
    </w:p>
    <w:p w:rsidR="00A12441" w:rsidRPr="007F26D3" w:rsidRDefault="00A12441"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r w:rsidRPr="007F26D3">
        <w:rPr>
          <w:sz w:val="24"/>
          <w:szCs w:val="24"/>
        </w:rPr>
        <w:t>In 2014, Cascade invested approximately $41 million system-wide in capital additions of which approximately $9 million was included in the CRM.  Cascade plans on an addition</w:t>
      </w:r>
      <w:r w:rsidR="00575850">
        <w:rPr>
          <w:sz w:val="24"/>
          <w:szCs w:val="24"/>
        </w:rPr>
        <w:t>al</w:t>
      </w:r>
      <w:r w:rsidRPr="007F26D3">
        <w:rPr>
          <w:sz w:val="24"/>
          <w:szCs w:val="24"/>
        </w:rPr>
        <w:t xml:space="preserve"> $64 million of capital additions in 2015 with approximately $15 million to be included in the CRM.  Cascade’s 2014 depreciation expense was $17 million system-wide.  With new growth at less than two percent, there is a significant amount of investment remaining with no associated revenue recovery.</w:t>
      </w:r>
    </w:p>
    <w:p w:rsidR="007F26D3" w:rsidRPr="007F26D3" w:rsidRDefault="007F26D3"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r w:rsidRPr="007F26D3">
        <w:rPr>
          <w:sz w:val="24"/>
          <w:szCs w:val="24"/>
        </w:rPr>
        <w:t>A quick, rough calculation looks like this for 2014 with the next several years showing more dramatic results:</w:t>
      </w:r>
    </w:p>
    <w:p w:rsidR="007F26D3" w:rsidRPr="007F26D3" w:rsidRDefault="007F26D3"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r w:rsidRPr="007F26D3">
        <w:rPr>
          <w:sz w:val="24"/>
          <w:szCs w:val="24"/>
        </w:rPr>
        <w:tab/>
        <w:t>Capital Investment</w:t>
      </w:r>
      <w:r w:rsidRPr="007F26D3">
        <w:rPr>
          <w:sz w:val="24"/>
          <w:szCs w:val="24"/>
        </w:rPr>
        <w:tab/>
      </w:r>
      <w:r w:rsidRPr="007F26D3">
        <w:rPr>
          <w:sz w:val="24"/>
          <w:szCs w:val="24"/>
        </w:rPr>
        <w:tab/>
      </w:r>
      <w:r w:rsidRPr="007F26D3">
        <w:rPr>
          <w:sz w:val="24"/>
          <w:szCs w:val="24"/>
        </w:rPr>
        <w:tab/>
        <w:t>$41 million</w:t>
      </w:r>
    </w:p>
    <w:p w:rsidR="007F26D3" w:rsidRPr="007F26D3" w:rsidRDefault="007F26D3" w:rsidP="007F26D3">
      <w:pPr>
        <w:autoSpaceDE w:val="0"/>
        <w:autoSpaceDN w:val="0"/>
        <w:adjustRightInd w:val="0"/>
        <w:contextualSpacing/>
        <w:rPr>
          <w:sz w:val="24"/>
          <w:szCs w:val="24"/>
        </w:rPr>
      </w:pPr>
      <w:r w:rsidRPr="007F26D3">
        <w:rPr>
          <w:sz w:val="24"/>
          <w:szCs w:val="24"/>
        </w:rPr>
        <w:tab/>
        <w:t>Less:</w:t>
      </w:r>
      <w:r w:rsidRPr="007F26D3">
        <w:rPr>
          <w:sz w:val="24"/>
          <w:szCs w:val="24"/>
        </w:rPr>
        <w:tab/>
        <w:t>CRM</w:t>
      </w:r>
      <w:r w:rsidRPr="007F26D3">
        <w:rPr>
          <w:sz w:val="24"/>
          <w:szCs w:val="24"/>
        </w:rPr>
        <w:tab/>
      </w:r>
      <w:r w:rsidRPr="007F26D3">
        <w:rPr>
          <w:sz w:val="24"/>
          <w:szCs w:val="24"/>
        </w:rPr>
        <w:tab/>
      </w:r>
      <w:r w:rsidRPr="007F26D3">
        <w:rPr>
          <w:sz w:val="24"/>
          <w:szCs w:val="24"/>
        </w:rPr>
        <w:tab/>
      </w:r>
      <w:r w:rsidRPr="007F26D3">
        <w:rPr>
          <w:sz w:val="24"/>
          <w:szCs w:val="24"/>
        </w:rPr>
        <w:tab/>
        <w:t xml:space="preserve">    9 </w:t>
      </w:r>
    </w:p>
    <w:p w:rsidR="007F26D3" w:rsidRPr="007F26D3" w:rsidRDefault="007F26D3" w:rsidP="007F26D3">
      <w:pPr>
        <w:autoSpaceDE w:val="0"/>
        <w:autoSpaceDN w:val="0"/>
        <w:adjustRightInd w:val="0"/>
        <w:contextualSpacing/>
        <w:rPr>
          <w:sz w:val="24"/>
          <w:szCs w:val="24"/>
        </w:rPr>
      </w:pPr>
      <w:r w:rsidRPr="007F26D3">
        <w:rPr>
          <w:sz w:val="24"/>
          <w:szCs w:val="24"/>
        </w:rPr>
        <w:tab/>
      </w:r>
      <w:r w:rsidRPr="007F26D3">
        <w:rPr>
          <w:sz w:val="24"/>
          <w:szCs w:val="24"/>
        </w:rPr>
        <w:tab/>
        <w:t>Depr. Exp.</w:t>
      </w:r>
      <w:r w:rsidRPr="007F26D3">
        <w:rPr>
          <w:sz w:val="24"/>
          <w:szCs w:val="24"/>
        </w:rPr>
        <w:tab/>
      </w:r>
      <w:r w:rsidRPr="007F26D3">
        <w:rPr>
          <w:sz w:val="24"/>
          <w:szCs w:val="24"/>
        </w:rPr>
        <w:tab/>
      </w:r>
      <w:r w:rsidRPr="007F26D3">
        <w:rPr>
          <w:sz w:val="24"/>
          <w:szCs w:val="24"/>
        </w:rPr>
        <w:tab/>
        <w:t xml:space="preserve">  17</w:t>
      </w:r>
    </w:p>
    <w:p w:rsidR="007F26D3" w:rsidRPr="007F26D3" w:rsidRDefault="007F26D3" w:rsidP="007F26D3">
      <w:pPr>
        <w:autoSpaceDE w:val="0"/>
        <w:autoSpaceDN w:val="0"/>
        <w:adjustRightInd w:val="0"/>
        <w:contextualSpacing/>
        <w:rPr>
          <w:sz w:val="24"/>
          <w:szCs w:val="24"/>
          <w:u w:val="single"/>
        </w:rPr>
      </w:pPr>
      <w:r w:rsidRPr="007F26D3">
        <w:rPr>
          <w:sz w:val="24"/>
          <w:szCs w:val="24"/>
        </w:rPr>
        <w:tab/>
      </w:r>
      <w:r w:rsidRPr="007F26D3">
        <w:rPr>
          <w:sz w:val="24"/>
          <w:szCs w:val="24"/>
        </w:rPr>
        <w:tab/>
        <w:t>Supported by new revenue</w:t>
      </w:r>
      <w:r w:rsidRPr="007F26D3">
        <w:rPr>
          <w:sz w:val="24"/>
          <w:szCs w:val="24"/>
        </w:rPr>
        <w:tab/>
      </w:r>
      <w:r w:rsidRPr="007F26D3">
        <w:rPr>
          <w:sz w:val="24"/>
          <w:szCs w:val="24"/>
          <w:u w:val="single"/>
        </w:rPr>
        <w:t xml:space="preserve">    7</w:t>
      </w:r>
    </w:p>
    <w:p w:rsidR="007F26D3" w:rsidRPr="007F26D3" w:rsidRDefault="007F26D3" w:rsidP="007F26D3">
      <w:pPr>
        <w:autoSpaceDE w:val="0"/>
        <w:autoSpaceDN w:val="0"/>
        <w:adjustRightInd w:val="0"/>
        <w:contextualSpacing/>
        <w:rPr>
          <w:sz w:val="24"/>
          <w:szCs w:val="24"/>
        </w:rPr>
      </w:pPr>
      <w:r w:rsidRPr="007F26D3">
        <w:rPr>
          <w:sz w:val="24"/>
          <w:szCs w:val="24"/>
        </w:rPr>
        <w:tab/>
        <w:t>Investment providing rate pressure</w:t>
      </w:r>
      <w:r w:rsidRPr="007F26D3">
        <w:rPr>
          <w:sz w:val="24"/>
          <w:szCs w:val="24"/>
        </w:rPr>
        <w:tab/>
        <w:t xml:space="preserve">  $8 million</w:t>
      </w:r>
    </w:p>
    <w:p w:rsidR="007F26D3" w:rsidRPr="007F26D3" w:rsidRDefault="007F26D3"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r w:rsidRPr="007F26D3">
        <w:rPr>
          <w:sz w:val="24"/>
          <w:szCs w:val="24"/>
        </w:rPr>
        <w:t>Under historical rate making methodologies, the only way to get direct recovery of the $8 million would be to file a rate case after the investment has been incurred.  For a utility such as Avista, this methodology has resulted in a pretty constant stream of rate cases.  Cascade is just entering a period which will yield the same result as Avista</w:t>
      </w:r>
      <w:r w:rsidR="00575850">
        <w:rPr>
          <w:sz w:val="24"/>
          <w:szCs w:val="24"/>
        </w:rPr>
        <w:t>,</w:t>
      </w:r>
      <w:r w:rsidR="007D0AE4">
        <w:rPr>
          <w:sz w:val="24"/>
          <w:szCs w:val="24"/>
        </w:rPr>
        <w:t xml:space="preserve"> which </w:t>
      </w:r>
      <w:proofErr w:type="gramStart"/>
      <w:r w:rsidR="007D0AE4">
        <w:rPr>
          <w:sz w:val="24"/>
          <w:szCs w:val="24"/>
        </w:rPr>
        <w:t xml:space="preserve">is </w:t>
      </w:r>
      <w:r w:rsidRPr="007F26D3">
        <w:rPr>
          <w:sz w:val="24"/>
          <w:szCs w:val="24"/>
        </w:rPr>
        <w:t xml:space="preserve">constant </w:t>
      </w:r>
      <w:r w:rsidR="00A12441">
        <w:rPr>
          <w:sz w:val="24"/>
          <w:szCs w:val="24"/>
        </w:rPr>
        <w:t xml:space="preserve">general </w:t>
      </w:r>
      <w:r w:rsidRPr="007F26D3">
        <w:rPr>
          <w:sz w:val="24"/>
          <w:szCs w:val="24"/>
        </w:rPr>
        <w:t>rate case</w:t>
      </w:r>
      <w:r w:rsidR="00A12441">
        <w:rPr>
          <w:sz w:val="24"/>
          <w:szCs w:val="24"/>
        </w:rPr>
        <w:t xml:space="preserve"> filing</w:t>
      </w:r>
      <w:r w:rsidRPr="007F26D3">
        <w:rPr>
          <w:sz w:val="24"/>
          <w:szCs w:val="24"/>
        </w:rPr>
        <w:t>s</w:t>
      </w:r>
      <w:proofErr w:type="gramEnd"/>
      <w:r w:rsidRPr="007F26D3">
        <w:rPr>
          <w:sz w:val="24"/>
          <w:szCs w:val="24"/>
        </w:rPr>
        <w:t>.</w:t>
      </w:r>
    </w:p>
    <w:p w:rsidR="007F26D3" w:rsidRPr="007F26D3" w:rsidRDefault="007F26D3" w:rsidP="007F26D3">
      <w:pPr>
        <w:autoSpaceDE w:val="0"/>
        <w:autoSpaceDN w:val="0"/>
        <w:adjustRightInd w:val="0"/>
        <w:contextualSpacing/>
        <w:rPr>
          <w:sz w:val="24"/>
          <w:szCs w:val="24"/>
        </w:rPr>
      </w:pPr>
    </w:p>
    <w:p w:rsidR="00FA75D4" w:rsidRDefault="00FA75D4" w:rsidP="007F26D3">
      <w:pPr>
        <w:autoSpaceDE w:val="0"/>
        <w:autoSpaceDN w:val="0"/>
        <w:adjustRightInd w:val="0"/>
        <w:contextualSpacing/>
        <w:rPr>
          <w:sz w:val="24"/>
          <w:szCs w:val="24"/>
        </w:rPr>
      </w:pPr>
    </w:p>
    <w:p w:rsidR="00FA75D4" w:rsidRDefault="00FA75D4"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r w:rsidRPr="007F26D3">
        <w:rPr>
          <w:sz w:val="24"/>
          <w:szCs w:val="24"/>
        </w:rPr>
        <w:t>Historical rate making has been in place in Washington for most, if not all, of the Commission’s existence.  The method, in general, works.  There are cyclical investment periods, over time, that require increased levels of investment and there are periods of lower levels of investment.  There have been periods of high investment</w:t>
      </w:r>
      <w:r w:rsidR="00575850">
        <w:rPr>
          <w:sz w:val="24"/>
          <w:szCs w:val="24"/>
        </w:rPr>
        <w:t xml:space="preserve"> </w:t>
      </w:r>
      <w:r w:rsidR="00575850" w:rsidRPr="007F26D3">
        <w:rPr>
          <w:sz w:val="24"/>
          <w:szCs w:val="24"/>
        </w:rPr>
        <w:t>(nuclear and coal generation facilities)</w:t>
      </w:r>
      <w:r w:rsidRPr="007F26D3">
        <w:rPr>
          <w:sz w:val="24"/>
          <w:szCs w:val="24"/>
        </w:rPr>
        <w:t xml:space="preserve"> over long pe</w:t>
      </w:r>
      <w:r w:rsidR="007D0AE4">
        <w:rPr>
          <w:sz w:val="24"/>
          <w:szCs w:val="24"/>
        </w:rPr>
        <w:t xml:space="preserve">riods </w:t>
      </w:r>
      <w:r w:rsidRPr="007F26D3">
        <w:rPr>
          <w:sz w:val="24"/>
          <w:szCs w:val="24"/>
        </w:rPr>
        <w:t>of time that resulted in modifications to the traditional recovery model.  Cascade, similar to Avista, is in a period of high investment without a supporting growth in revenues, which results in virtually no chance of achieving an authorized rate of return.</w:t>
      </w:r>
    </w:p>
    <w:p w:rsidR="007F26D3" w:rsidRPr="007F26D3" w:rsidRDefault="007F26D3" w:rsidP="007F26D3">
      <w:pPr>
        <w:autoSpaceDE w:val="0"/>
        <w:autoSpaceDN w:val="0"/>
        <w:adjustRightInd w:val="0"/>
        <w:contextualSpacing/>
        <w:rPr>
          <w:sz w:val="24"/>
          <w:szCs w:val="24"/>
        </w:rPr>
      </w:pPr>
    </w:p>
    <w:p w:rsidR="007F26D3" w:rsidRDefault="007F26D3" w:rsidP="007F26D3">
      <w:pPr>
        <w:autoSpaceDE w:val="0"/>
        <w:autoSpaceDN w:val="0"/>
        <w:adjustRightInd w:val="0"/>
        <w:contextualSpacing/>
        <w:rPr>
          <w:sz w:val="24"/>
          <w:szCs w:val="24"/>
        </w:rPr>
      </w:pPr>
      <w:r w:rsidRPr="007F26D3">
        <w:rPr>
          <w:sz w:val="24"/>
          <w:szCs w:val="24"/>
        </w:rPr>
        <w:t>Cascade proposes a simple method that would allow the utility the opportunity to earn a reasonable return but provides protections to customers and assurances to the Commission to avoid over-earning.  Cascade proposes adding onto, or in conjunction with the pipeline replacement Cost Recovery Mechanism (CRM) investments, all non-revenue producing investments.  All non-revenue producing plant would be eligible for recovery if the amount is above total depreciation expense (there may be a reason to not include depreciation associated with certain types of rate base).  This method still puts extreme pressure on the utility to control costs because revenue producing investment rarely earns a full return in the first year.  An earnings test could also be incorporated into the mechanism to provide additional assurances to prevent over-earning.  Cascade also proposes the same four year requirement to file a general rate case.</w:t>
      </w:r>
    </w:p>
    <w:p w:rsidR="00A12441" w:rsidRDefault="00A12441" w:rsidP="007F26D3">
      <w:pPr>
        <w:autoSpaceDE w:val="0"/>
        <w:autoSpaceDN w:val="0"/>
        <w:adjustRightInd w:val="0"/>
        <w:contextualSpacing/>
        <w:rPr>
          <w:sz w:val="24"/>
          <w:szCs w:val="24"/>
        </w:rPr>
      </w:pPr>
    </w:p>
    <w:p w:rsidR="00A12441" w:rsidRPr="007F26D3" w:rsidRDefault="00A12441" w:rsidP="007F26D3">
      <w:pPr>
        <w:autoSpaceDE w:val="0"/>
        <w:autoSpaceDN w:val="0"/>
        <w:adjustRightInd w:val="0"/>
        <w:contextualSpacing/>
        <w:rPr>
          <w:sz w:val="24"/>
          <w:szCs w:val="24"/>
        </w:rPr>
      </w:pPr>
      <w:r>
        <w:rPr>
          <w:sz w:val="24"/>
          <w:szCs w:val="24"/>
        </w:rPr>
        <w:t>This proposal maintains the use of the historical test period rate making but yet addresses very real financial implications to the utilities.</w:t>
      </w:r>
    </w:p>
    <w:p w:rsidR="007F26D3" w:rsidRPr="007F26D3" w:rsidRDefault="007F26D3"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r w:rsidRPr="007F26D3">
        <w:rPr>
          <w:sz w:val="24"/>
          <w:szCs w:val="24"/>
        </w:rPr>
        <w:t xml:space="preserve">Cascade anticipates that the above mechanism will result in a potential annual increase in revenues of less than 1% to 2% on top of the CRM mechanism with a general rate case </w:t>
      </w:r>
      <w:r w:rsidR="00A12441">
        <w:rPr>
          <w:sz w:val="24"/>
          <w:szCs w:val="24"/>
        </w:rPr>
        <w:t xml:space="preserve">filed </w:t>
      </w:r>
      <w:r w:rsidRPr="007F26D3">
        <w:rPr>
          <w:sz w:val="24"/>
          <w:szCs w:val="24"/>
        </w:rPr>
        <w:t>every three to four years.  Absent this or some sort of recovery mechanism, Cascade anticipates back to back rate cases for the foreseeable future.</w:t>
      </w:r>
    </w:p>
    <w:p w:rsidR="007F26D3" w:rsidRPr="007F26D3" w:rsidRDefault="007F26D3"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r w:rsidRPr="007F26D3">
        <w:rPr>
          <w:sz w:val="24"/>
          <w:szCs w:val="24"/>
        </w:rPr>
        <w:t>Thank you again for the opportunity to provide comments.</w:t>
      </w:r>
    </w:p>
    <w:p w:rsidR="007F26D3" w:rsidRPr="007F26D3" w:rsidRDefault="007F26D3"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r w:rsidRPr="007F26D3">
        <w:rPr>
          <w:sz w:val="24"/>
          <w:szCs w:val="24"/>
        </w:rPr>
        <w:t>Sincerely,</w:t>
      </w:r>
    </w:p>
    <w:p w:rsidR="007F26D3" w:rsidRPr="007F26D3" w:rsidRDefault="007F26D3"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p>
    <w:p w:rsidR="007F26D3" w:rsidRPr="007F26D3" w:rsidRDefault="007F26D3" w:rsidP="007F26D3">
      <w:pPr>
        <w:autoSpaceDE w:val="0"/>
        <w:autoSpaceDN w:val="0"/>
        <w:adjustRightInd w:val="0"/>
        <w:contextualSpacing/>
        <w:rPr>
          <w:sz w:val="24"/>
          <w:szCs w:val="24"/>
        </w:rPr>
      </w:pPr>
      <w:r w:rsidRPr="007F26D3">
        <w:rPr>
          <w:sz w:val="24"/>
          <w:szCs w:val="24"/>
        </w:rPr>
        <w:t>Mike Parvinen</w:t>
      </w:r>
    </w:p>
    <w:p w:rsidR="007F26D3" w:rsidRPr="007F26D3" w:rsidRDefault="00FA75D4" w:rsidP="007F26D3">
      <w:pPr>
        <w:autoSpaceDE w:val="0"/>
        <w:autoSpaceDN w:val="0"/>
        <w:adjustRightInd w:val="0"/>
        <w:contextualSpacing/>
        <w:rPr>
          <w:sz w:val="24"/>
          <w:szCs w:val="24"/>
        </w:rPr>
      </w:pPr>
      <w:r>
        <w:rPr>
          <w:sz w:val="24"/>
          <w:szCs w:val="24"/>
        </w:rPr>
        <w:t>Director,</w:t>
      </w:r>
      <w:r w:rsidR="007F26D3" w:rsidRPr="007F26D3">
        <w:rPr>
          <w:sz w:val="24"/>
          <w:szCs w:val="24"/>
        </w:rPr>
        <w:t xml:space="preserve"> Regulatory Affairs</w:t>
      </w:r>
    </w:p>
    <w:p w:rsidR="007F26D3" w:rsidRPr="007F26D3" w:rsidRDefault="007F26D3" w:rsidP="00180BE4">
      <w:pPr>
        <w:ind w:left="-450"/>
        <w:rPr>
          <w:iCs/>
          <w:spacing w:val="-4"/>
          <w:sz w:val="24"/>
          <w:szCs w:val="24"/>
        </w:rPr>
      </w:pPr>
    </w:p>
    <w:sectPr w:rsidR="007F26D3" w:rsidRPr="007F26D3" w:rsidSect="00FA75D4">
      <w:headerReference w:type="default" r:id="rId13"/>
      <w:pgSz w:w="12240" w:h="15840" w:code="1"/>
      <w:pgMar w:top="1141" w:right="1440" w:bottom="1440" w:left="1440" w:header="36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668" w:rsidRDefault="00214668" w:rsidP="00FA75D4">
      <w:r>
        <w:separator/>
      </w:r>
    </w:p>
  </w:endnote>
  <w:endnote w:type="continuationSeparator" w:id="0">
    <w:p w:rsidR="00214668" w:rsidRDefault="00214668" w:rsidP="00FA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668" w:rsidRDefault="00214668" w:rsidP="00FA75D4">
      <w:r>
        <w:separator/>
      </w:r>
    </w:p>
  </w:footnote>
  <w:footnote w:type="continuationSeparator" w:id="0">
    <w:p w:rsidR="00214668" w:rsidRDefault="00214668" w:rsidP="00FA7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D4" w:rsidRDefault="00FA75D4" w:rsidP="00FA75D4">
    <w:pPr>
      <w:pStyle w:val="Header"/>
      <w:jc w:val="right"/>
    </w:pPr>
    <w:r>
      <w:t>Docket U-150040</w:t>
    </w:r>
  </w:p>
  <w:p w:rsidR="00FA75D4" w:rsidRDefault="00FA75D4" w:rsidP="00FA75D4">
    <w:pPr>
      <w:pStyle w:val="Header"/>
      <w:jc w:val="right"/>
    </w:pPr>
    <w:r>
      <w:t>March 27, 2015</w:t>
    </w:r>
  </w:p>
  <w:p w:rsidR="00FA75D4" w:rsidRDefault="00FA75D4" w:rsidP="00FA75D4">
    <w:pPr>
      <w:pStyle w:val="Header"/>
      <w:jc w:val="right"/>
    </w:pPr>
    <w:r>
      <w:t>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89"/>
    <w:rsid w:val="000120F7"/>
    <w:rsid w:val="00127D86"/>
    <w:rsid w:val="00130C27"/>
    <w:rsid w:val="001314FC"/>
    <w:rsid w:val="00180BE4"/>
    <w:rsid w:val="002114D8"/>
    <w:rsid w:val="00214668"/>
    <w:rsid w:val="002D1A92"/>
    <w:rsid w:val="002E0452"/>
    <w:rsid w:val="00422E8D"/>
    <w:rsid w:val="0046341A"/>
    <w:rsid w:val="004A49F3"/>
    <w:rsid w:val="004E046A"/>
    <w:rsid w:val="00503435"/>
    <w:rsid w:val="00554A74"/>
    <w:rsid w:val="00570304"/>
    <w:rsid w:val="00575850"/>
    <w:rsid w:val="00623BFC"/>
    <w:rsid w:val="006B1679"/>
    <w:rsid w:val="00735A13"/>
    <w:rsid w:val="007D0AE4"/>
    <w:rsid w:val="007F26D3"/>
    <w:rsid w:val="00802B64"/>
    <w:rsid w:val="00891939"/>
    <w:rsid w:val="008D41BE"/>
    <w:rsid w:val="008F4219"/>
    <w:rsid w:val="00A12441"/>
    <w:rsid w:val="00B53311"/>
    <w:rsid w:val="00B7721C"/>
    <w:rsid w:val="00D87610"/>
    <w:rsid w:val="00EA3989"/>
    <w:rsid w:val="00F01844"/>
    <w:rsid w:val="00FA75D4"/>
    <w:rsid w:val="00FB6C9F"/>
    <w:rsid w:val="00FF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B7721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7721C"/>
    <w:pPr>
      <w:pBdr>
        <w:bottom w:val="single" w:sz="6" w:space="1" w:color="auto"/>
      </w:pBdr>
      <w:jc w:val="center"/>
    </w:pPr>
    <w:rPr>
      <w:rFonts w:ascii="Arial" w:hAnsi="Arial" w:cs="Arial"/>
      <w:vanish/>
      <w:sz w:val="16"/>
      <w:szCs w:val="16"/>
    </w:rPr>
  </w:style>
  <w:style w:type="character" w:styleId="Hyperlink">
    <w:name w:val="Hyperlink"/>
    <w:basedOn w:val="DefaultParagraphFont"/>
    <w:rsid w:val="008F4219"/>
    <w:rPr>
      <w:color w:val="0000FF" w:themeColor="hyperlink"/>
      <w:u w:val="single"/>
    </w:rPr>
  </w:style>
  <w:style w:type="paragraph" w:styleId="Header">
    <w:name w:val="header"/>
    <w:basedOn w:val="Normal"/>
    <w:link w:val="HeaderChar"/>
    <w:rsid w:val="00FA75D4"/>
    <w:pPr>
      <w:tabs>
        <w:tab w:val="center" w:pos="4680"/>
        <w:tab w:val="right" w:pos="9360"/>
      </w:tabs>
    </w:pPr>
  </w:style>
  <w:style w:type="character" w:customStyle="1" w:styleId="HeaderChar">
    <w:name w:val="Header Char"/>
    <w:basedOn w:val="DefaultParagraphFont"/>
    <w:link w:val="Header"/>
    <w:rsid w:val="00FA75D4"/>
  </w:style>
  <w:style w:type="paragraph" w:styleId="Footer">
    <w:name w:val="footer"/>
    <w:basedOn w:val="Normal"/>
    <w:link w:val="FooterChar"/>
    <w:rsid w:val="00FA75D4"/>
    <w:pPr>
      <w:tabs>
        <w:tab w:val="center" w:pos="4680"/>
        <w:tab w:val="right" w:pos="9360"/>
      </w:tabs>
    </w:pPr>
  </w:style>
  <w:style w:type="character" w:customStyle="1" w:styleId="FooterChar">
    <w:name w:val="Footer Char"/>
    <w:basedOn w:val="DefaultParagraphFont"/>
    <w:link w:val="Footer"/>
    <w:rsid w:val="00FA75D4"/>
  </w:style>
  <w:style w:type="paragraph" w:styleId="BalloonText">
    <w:name w:val="Balloon Text"/>
    <w:basedOn w:val="Normal"/>
    <w:link w:val="BalloonTextChar"/>
    <w:rsid w:val="000120F7"/>
    <w:rPr>
      <w:rFonts w:ascii="Tahoma" w:hAnsi="Tahoma" w:cs="Tahoma"/>
      <w:sz w:val="16"/>
      <w:szCs w:val="16"/>
    </w:rPr>
  </w:style>
  <w:style w:type="character" w:customStyle="1" w:styleId="BalloonTextChar">
    <w:name w:val="Balloon Text Char"/>
    <w:basedOn w:val="DefaultParagraphFont"/>
    <w:link w:val="BalloonText"/>
    <w:rsid w:val="00012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B7721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7721C"/>
    <w:pPr>
      <w:pBdr>
        <w:bottom w:val="single" w:sz="6" w:space="1" w:color="auto"/>
      </w:pBdr>
      <w:jc w:val="center"/>
    </w:pPr>
    <w:rPr>
      <w:rFonts w:ascii="Arial" w:hAnsi="Arial" w:cs="Arial"/>
      <w:vanish/>
      <w:sz w:val="16"/>
      <w:szCs w:val="16"/>
    </w:rPr>
  </w:style>
  <w:style w:type="character" w:styleId="Hyperlink">
    <w:name w:val="Hyperlink"/>
    <w:basedOn w:val="DefaultParagraphFont"/>
    <w:rsid w:val="008F4219"/>
    <w:rPr>
      <w:color w:val="0000FF" w:themeColor="hyperlink"/>
      <w:u w:val="single"/>
    </w:rPr>
  </w:style>
  <w:style w:type="paragraph" w:styleId="Header">
    <w:name w:val="header"/>
    <w:basedOn w:val="Normal"/>
    <w:link w:val="HeaderChar"/>
    <w:rsid w:val="00FA75D4"/>
    <w:pPr>
      <w:tabs>
        <w:tab w:val="center" w:pos="4680"/>
        <w:tab w:val="right" w:pos="9360"/>
      </w:tabs>
    </w:pPr>
  </w:style>
  <w:style w:type="character" w:customStyle="1" w:styleId="HeaderChar">
    <w:name w:val="Header Char"/>
    <w:basedOn w:val="DefaultParagraphFont"/>
    <w:link w:val="Header"/>
    <w:rsid w:val="00FA75D4"/>
  </w:style>
  <w:style w:type="paragraph" w:styleId="Footer">
    <w:name w:val="footer"/>
    <w:basedOn w:val="Normal"/>
    <w:link w:val="FooterChar"/>
    <w:rsid w:val="00FA75D4"/>
    <w:pPr>
      <w:tabs>
        <w:tab w:val="center" w:pos="4680"/>
        <w:tab w:val="right" w:pos="9360"/>
      </w:tabs>
    </w:pPr>
  </w:style>
  <w:style w:type="character" w:customStyle="1" w:styleId="FooterChar">
    <w:name w:val="Footer Char"/>
    <w:basedOn w:val="DefaultParagraphFont"/>
    <w:link w:val="Footer"/>
    <w:rsid w:val="00FA75D4"/>
  </w:style>
  <w:style w:type="paragraph" w:styleId="BalloonText">
    <w:name w:val="Balloon Text"/>
    <w:basedOn w:val="Normal"/>
    <w:link w:val="BalloonTextChar"/>
    <w:rsid w:val="000120F7"/>
    <w:rPr>
      <w:rFonts w:ascii="Tahoma" w:hAnsi="Tahoma" w:cs="Tahoma"/>
      <w:sz w:val="16"/>
      <w:szCs w:val="16"/>
    </w:rPr>
  </w:style>
  <w:style w:type="character" w:customStyle="1" w:styleId="BalloonTextChar">
    <w:name w:val="Balloon Text Char"/>
    <w:basedOn w:val="DefaultParagraphFont"/>
    <w:link w:val="BalloonText"/>
    <w:rsid w:val="00012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ngc.com"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gc.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2015-01-07T08:00:00+00:00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9913851834743AF02A4619037F444" ma:contentTypeVersion="119" ma:contentTypeDescription="" ma:contentTypeScope="" ma:versionID="edbd40e55cd189a8486b8a421eb612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2C850-F6EC-4784-A682-13B6DAE3BA24}"/>
</file>

<file path=customXml/itemProps2.xml><?xml version="1.0" encoding="utf-8"?>
<ds:datastoreItem xmlns:ds="http://schemas.openxmlformats.org/officeDocument/2006/customXml" ds:itemID="{EC9D8A15-4E79-4134-A952-468201F37AFF}"/>
</file>

<file path=customXml/itemProps3.xml><?xml version="1.0" encoding="utf-8"?>
<ds:datastoreItem xmlns:ds="http://schemas.openxmlformats.org/officeDocument/2006/customXml" ds:itemID="{06F19525-4344-4866-A094-47483E2DEA54}"/>
</file>

<file path=customXml/itemProps4.xml><?xml version="1.0" encoding="utf-8"?>
<ds:datastoreItem xmlns:ds="http://schemas.openxmlformats.org/officeDocument/2006/customXml" ds:itemID="{C32735B9-4428-4C63-80BA-47A803AA3D1D}"/>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3525</Characters>
  <Application>Microsoft Office Word</Application>
  <DocSecurity>4</DocSecurity>
  <Lines>83</Lines>
  <Paragraphs>31</Paragraphs>
  <ScaleCrop>false</ScaleCrop>
  <HeadingPairs>
    <vt:vector size="2" baseType="variant">
      <vt:variant>
        <vt:lpstr>Title</vt:lpstr>
      </vt:variant>
      <vt:variant>
        <vt:i4>1</vt:i4>
      </vt:variant>
    </vt:vector>
  </HeadingPairs>
  <TitlesOfParts>
    <vt:vector size="1" baseType="lpstr">
      <vt:lpstr>CNG Letterhead - Kennewick</vt:lpstr>
    </vt:vector>
  </TitlesOfParts>
  <Company>Montana-Dakota Utilities Co.</Company>
  <LinksUpToDate>false</LinksUpToDate>
  <CharactersWithSpaces>4141</CharactersWithSpaces>
  <SharedDoc>false</SharedDoc>
  <HLinks>
    <vt:vector size="6" baseType="variant">
      <vt:variant>
        <vt:i4>5177415</vt:i4>
      </vt:variant>
      <vt:variant>
        <vt:i4>-1</vt:i4>
      </vt:variant>
      <vt:variant>
        <vt:i4>1028</vt:i4>
      </vt:variant>
      <vt:variant>
        <vt:i4>1</vt:i4>
      </vt:variant>
      <vt:variant>
        <vt:lpwstr>http://wss.mduresources.com/sites/mdu/officeservices/printing/Lists/WBI%20Logos/Attachments/61/WillistonBasin.jpg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Letterhead - Kennewick</dc:title>
  <dc:creator>Montana-Dakota Utilities Co.</dc:creator>
  <cp:lastModifiedBy>Cascade Natural Gas</cp:lastModifiedBy>
  <cp:revision>2</cp:revision>
  <cp:lastPrinted>2010-11-01T13:22:00Z</cp:lastPrinted>
  <dcterms:created xsi:type="dcterms:W3CDTF">2015-03-27T15:34:00Z</dcterms:created>
  <dcterms:modified xsi:type="dcterms:W3CDTF">2015-03-27T15:34:00Z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0x0101006E56B4D1795A2E4DB2F0B01679ED314A000DE9913851834743AF02A4619037F444</vt:lpwstr>
  </property>
  <property fmtid="{D5CDD505-2E9C-101B-9397-08002B2CF9AE}" pid="3" name="_docset_NoMedatataSyncRequired">
    <vt:lpwstr>False</vt:lpwstr>
  </property>
</Properties>
</file>