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30F8C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70E8776D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213A7D52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665E12FB" w14:textId="77777777" w:rsidTr="00C42722">
        <w:trPr>
          <w:trHeight w:val="2700"/>
        </w:trPr>
        <w:tc>
          <w:tcPr>
            <w:tcW w:w="4372" w:type="dxa"/>
          </w:tcPr>
          <w:p w14:paraId="5BE67BD8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3429EB21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72E2CC6" w14:textId="77777777" w:rsidR="00005893" w:rsidRPr="00347054" w:rsidRDefault="001935B3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PALOUSE TOURING COMPANY, LLC</w:t>
            </w:r>
          </w:p>
          <w:p w14:paraId="51789553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A05727D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1935B3">
              <w:rPr>
                <w:bCs/>
                <w:sz w:val="25"/>
                <w:szCs w:val="25"/>
              </w:rPr>
              <w:t>1,000</w:t>
            </w:r>
          </w:p>
          <w:p w14:paraId="5E05D70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2116715F" w14:textId="77777777" w:rsidR="00C011AB" w:rsidRPr="00347054" w:rsidRDefault="00C011AB" w:rsidP="00583E0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50816D6" w14:textId="77777777" w:rsidR="00C011AB" w:rsidRPr="00347054" w:rsidRDefault="00C011AB" w:rsidP="00583E0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260FAF7" w14:textId="77777777" w:rsidR="00C011AB" w:rsidRPr="00347054" w:rsidRDefault="00C011AB" w:rsidP="00583E0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6D88ACDF" w14:textId="77777777" w:rsidR="00C011AB" w:rsidRPr="00347054" w:rsidRDefault="00C011AB" w:rsidP="00583E0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F5CCA5E" w14:textId="77777777" w:rsidR="00C011AB" w:rsidRPr="00347054" w:rsidRDefault="00C011AB" w:rsidP="00583E0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5CC4C98" w14:textId="77777777" w:rsidR="00C011AB" w:rsidRPr="00347054" w:rsidRDefault="00C011AB" w:rsidP="00583E0B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59A331E4" w14:textId="77777777" w:rsidR="006C5AA6" w:rsidRPr="00347054" w:rsidRDefault="00583E0B" w:rsidP="00583E0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))</w:t>
            </w:r>
            <w:r w:rsidR="000E4BC7" w:rsidRPr="0034705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64BDED6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1935B3">
              <w:rPr>
                <w:bCs/>
                <w:sz w:val="25"/>
                <w:szCs w:val="25"/>
              </w:rPr>
              <w:t>72</w:t>
            </w:r>
          </w:p>
          <w:p w14:paraId="6548EEF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3A0376AE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31ECD6F7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65FF8ED4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TO $</w:t>
            </w:r>
            <w:r w:rsidR="001935B3">
              <w:rPr>
                <w:sz w:val="25"/>
                <w:szCs w:val="25"/>
              </w:rPr>
              <w:t>200</w:t>
            </w:r>
          </w:p>
          <w:p w14:paraId="181757B3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528C2B18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420B0A2A" w14:textId="77777777" w:rsidR="00583E0B" w:rsidRDefault="00583E0B" w:rsidP="00347054">
      <w:pPr>
        <w:spacing w:line="288" w:lineRule="auto"/>
        <w:jc w:val="center"/>
        <w:rPr>
          <w:b/>
          <w:sz w:val="25"/>
          <w:szCs w:val="25"/>
        </w:rPr>
      </w:pPr>
    </w:p>
    <w:p w14:paraId="3C91C513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3F423F3F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6B812974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5520319D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4F1C3238" w14:textId="77777777" w:rsidR="009937F7" w:rsidRDefault="001A01C8" w:rsidP="0019402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Palouse Touring Company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514804">
        <w:rPr>
          <w:rStyle w:val="CommentReference"/>
          <w:sz w:val="25"/>
          <w:szCs w:val="25"/>
        </w:rPr>
        <w:t>did not file its annual report on May 1, 2014</w:t>
      </w:r>
      <w:r>
        <w:rPr>
          <w:rStyle w:val="CommentReference"/>
          <w:sz w:val="25"/>
          <w:szCs w:val="25"/>
        </w:rPr>
        <w:t>, and had not made that filing by May 15</w:t>
      </w:r>
      <w:r w:rsidR="000D3EF1">
        <w:rPr>
          <w:rStyle w:val="CommentReference"/>
          <w:sz w:val="25"/>
          <w:szCs w:val="25"/>
        </w:rPr>
        <w:t>.</w:t>
      </w:r>
      <w:r w:rsidR="0019402D">
        <w:rPr>
          <w:rStyle w:val="CommentReference"/>
          <w:sz w:val="25"/>
          <w:szCs w:val="25"/>
        </w:rPr>
        <w:t xml:space="preserve"> 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7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</w:t>
      </w:r>
      <w:r>
        <w:rPr>
          <w:bCs/>
          <w:sz w:val="25"/>
          <w:szCs w:val="25"/>
        </w:rPr>
        <w:t>1,000</w:t>
      </w:r>
      <w:r w:rsidR="000164A8" w:rsidRPr="00C4272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>Palouse Touring Company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>
        <w:rPr>
          <w:rStyle w:val="CommentReference"/>
          <w:sz w:val="25"/>
          <w:szCs w:val="25"/>
        </w:rPr>
        <w:t>15</w:t>
      </w:r>
      <w:r w:rsidR="001D765C" w:rsidRPr="00C42722">
        <w:rPr>
          <w:rStyle w:val="CommentReference"/>
          <w:sz w:val="25"/>
          <w:szCs w:val="25"/>
        </w:rPr>
        <w:t>.</w:t>
      </w:r>
      <w:r w:rsidR="000D3EF1">
        <w:rPr>
          <w:rStyle w:val="CommentReference"/>
          <w:sz w:val="25"/>
          <w:szCs w:val="25"/>
        </w:rPr>
        <w:t xml:space="preserve">  </w:t>
      </w:r>
      <w:r w:rsidR="00C42722" w:rsidRPr="00C42722">
        <w:rPr>
          <w:rStyle w:val="CommentReference"/>
          <w:sz w:val="25"/>
          <w:szCs w:val="25"/>
        </w:rPr>
        <w:t xml:space="preserve">  </w:t>
      </w:r>
    </w:p>
    <w:p w14:paraId="07BF748D" w14:textId="77777777" w:rsidR="009937F7" w:rsidRDefault="009937F7" w:rsidP="009937F7">
      <w:pPr>
        <w:pStyle w:val="ListParagraph"/>
        <w:rPr>
          <w:rStyle w:val="CommentReference"/>
          <w:sz w:val="25"/>
          <w:szCs w:val="25"/>
        </w:rPr>
      </w:pPr>
    </w:p>
    <w:p w14:paraId="56E6EF68" w14:textId="77777777" w:rsidR="00C42722" w:rsidRPr="00CD6B39" w:rsidRDefault="00264C0F" w:rsidP="000D61D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CD6B39">
        <w:rPr>
          <w:sz w:val="25"/>
          <w:szCs w:val="25"/>
        </w:rPr>
        <w:t>On</w:t>
      </w:r>
      <w:r w:rsidR="00426C92" w:rsidRPr="00CD6B39">
        <w:rPr>
          <w:sz w:val="25"/>
          <w:szCs w:val="25"/>
        </w:rPr>
        <w:t xml:space="preserve"> </w:t>
      </w:r>
      <w:r w:rsidR="00711712" w:rsidRPr="00CD6B39">
        <w:rPr>
          <w:sz w:val="25"/>
          <w:szCs w:val="25"/>
        </w:rPr>
        <w:t>June 1</w:t>
      </w:r>
      <w:r w:rsidR="001A01C8">
        <w:rPr>
          <w:sz w:val="25"/>
          <w:szCs w:val="25"/>
        </w:rPr>
        <w:t>9</w:t>
      </w:r>
      <w:r w:rsidR="00524AEB" w:rsidRPr="00CD6B39">
        <w:rPr>
          <w:sz w:val="25"/>
          <w:szCs w:val="25"/>
        </w:rPr>
        <w:t>, 2014</w:t>
      </w:r>
      <w:r w:rsidR="005B60F9" w:rsidRPr="00CD6B39">
        <w:rPr>
          <w:sz w:val="25"/>
          <w:szCs w:val="25"/>
        </w:rPr>
        <w:t xml:space="preserve">, </w:t>
      </w:r>
      <w:r w:rsidR="001A01C8">
        <w:rPr>
          <w:bCs/>
          <w:sz w:val="25"/>
          <w:szCs w:val="25"/>
        </w:rPr>
        <w:t>Palouse Touring Company</w:t>
      </w:r>
      <w:r w:rsidR="001A01C8" w:rsidRPr="00CD6B39">
        <w:rPr>
          <w:sz w:val="25"/>
          <w:szCs w:val="25"/>
        </w:rPr>
        <w:t xml:space="preserve"> </w:t>
      </w:r>
      <w:r w:rsidR="00371E20" w:rsidRPr="00CD6B39">
        <w:rPr>
          <w:sz w:val="25"/>
          <w:szCs w:val="25"/>
        </w:rPr>
        <w:t>responded</w:t>
      </w:r>
      <w:r w:rsidRPr="00CD6B39">
        <w:rPr>
          <w:sz w:val="25"/>
          <w:szCs w:val="25"/>
        </w:rPr>
        <w:t xml:space="preserve"> to the Commission</w:t>
      </w:r>
      <w:r w:rsidR="00B77835" w:rsidRPr="00CD6B39">
        <w:rPr>
          <w:sz w:val="25"/>
          <w:szCs w:val="25"/>
        </w:rPr>
        <w:t xml:space="preserve">’s penalty </w:t>
      </w:r>
      <w:r w:rsidR="0014354E" w:rsidRPr="00CD6B39">
        <w:rPr>
          <w:sz w:val="25"/>
          <w:szCs w:val="25"/>
        </w:rPr>
        <w:t>assessment</w:t>
      </w:r>
      <w:r w:rsidR="00B77835" w:rsidRPr="00CD6B39">
        <w:rPr>
          <w:sz w:val="25"/>
          <w:szCs w:val="25"/>
        </w:rPr>
        <w:t xml:space="preserve"> </w:t>
      </w:r>
      <w:r w:rsidR="00026607" w:rsidRPr="00CD6B39">
        <w:rPr>
          <w:sz w:val="25"/>
          <w:szCs w:val="25"/>
        </w:rPr>
        <w:t xml:space="preserve">admitting the violations </w:t>
      </w:r>
      <w:r w:rsidR="00B77835" w:rsidRPr="00CD6B39">
        <w:rPr>
          <w:sz w:val="25"/>
          <w:szCs w:val="25"/>
        </w:rPr>
        <w:t>and request</w:t>
      </w:r>
      <w:r w:rsidR="00026607" w:rsidRPr="00CD6B39">
        <w:rPr>
          <w:sz w:val="25"/>
          <w:szCs w:val="25"/>
        </w:rPr>
        <w:t>ing mitigation of the penalty</w:t>
      </w:r>
      <w:r w:rsidR="00524AEB" w:rsidRPr="00CD6B39">
        <w:rPr>
          <w:sz w:val="25"/>
          <w:szCs w:val="25"/>
        </w:rPr>
        <w:t xml:space="preserve"> based on the </w:t>
      </w:r>
      <w:r w:rsidR="00C42722" w:rsidRPr="00CD6B39">
        <w:rPr>
          <w:sz w:val="25"/>
          <w:szCs w:val="25"/>
        </w:rPr>
        <w:t xml:space="preserve">written </w:t>
      </w:r>
      <w:r w:rsidR="00524AEB" w:rsidRPr="00CD6B39">
        <w:rPr>
          <w:sz w:val="25"/>
          <w:szCs w:val="25"/>
        </w:rPr>
        <w:t>information provided</w:t>
      </w:r>
      <w:r w:rsidR="00B77835" w:rsidRPr="00CD6B39">
        <w:rPr>
          <w:sz w:val="25"/>
          <w:szCs w:val="25"/>
        </w:rPr>
        <w:t>.</w:t>
      </w:r>
      <w:r w:rsidR="00C42722" w:rsidRPr="00CD6B39">
        <w:rPr>
          <w:sz w:val="25"/>
          <w:szCs w:val="25"/>
        </w:rPr>
        <w:t xml:space="preserve"> </w:t>
      </w:r>
      <w:r w:rsidR="0068584C" w:rsidRPr="00CD6B39">
        <w:rPr>
          <w:sz w:val="25"/>
          <w:szCs w:val="25"/>
        </w:rPr>
        <w:t xml:space="preserve"> The C</w:t>
      </w:r>
      <w:r w:rsidR="00026607" w:rsidRPr="00CD6B39">
        <w:rPr>
          <w:sz w:val="25"/>
          <w:szCs w:val="25"/>
        </w:rPr>
        <w:t xml:space="preserve">ompany explained </w:t>
      </w:r>
      <w:r w:rsidR="000D3EF1">
        <w:rPr>
          <w:sz w:val="25"/>
          <w:szCs w:val="25"/>
        </w:rPr>
        <w:t xml:space="preserve">that </w:t>
      </w:r>
      <w:r w:rsidR="001A01C8">
        <w:rPr>
          <w:sz w:val="25"/>
          <w:szCs w:val="25"/>
        </w:rPr>
        <w:lastRenderedPageBreak/>
        <w:t>its filing was late because, as a new company filing for the first time, it wanted to ensure it submitted accurate data</w:t>
      </w:r>
      <w:r w:rsidR="000D3EF1">
        <w:rPr>
          <w:sz w:val="25"/>
          <w:szCs w:val="25"/>
        </w:rPr>
        <w:t>.</w:t>
      </w:r>
      <w:r w:rsidR="001A01C8">
        <w:rPr>
          <w:sz w:val="25"/>
          <w:szCs w:val="25"/>
        </w:rPr>
        <w:t xml:space="preserve">  The Company also stated that it has made several changes to its accounting processes to ensure timely filings going forward.</w:t>
      </w:r>
    </w:p>
    <w:p w14:paraId="747B4CBC" w14:textId="77777777" w:rsidR="00D526A9" w:rsidRPr="00026607" w:rsidRDefault="00D526A9" w:rsidP="00C42722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393BADFA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1A01C8">
        <w:rPr>
          <w:sz w:val="25"/>
          <w:szCs w:val="25"/>
        </w:rPr>
        <w:t>July 3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a penalty reduction to $</w:t>
      </w:r>
      <w:r w:rsidR="001A01C8">
        <w:rPr>
          <w:sz w:val="25"/>
          <w:szCs w:val="25"/>
        </w:rPr>
        <w:t>200</w:t>
      </w:r>
      <w:r w:rsidR="00D620BC">
        <w:rPr>
          <w:sz w:val="25"/>
          <w:szCs w:val="25"/>
        </w:rPr>
        <w:t xml:space="preserve"> </w:t>
      </w:r>
      <w:r w:rsidR="00590F1B">
        <w:rPr>
          <w:sz w:val="25"/>
          <w:szCs w:val="25"/>
        </w:rPr>
        <w:t xml:space="preserve">because the </w:t>
      </w:r>
      <w:r w:rsidR="0068584C">
        <w:rPr>
          <w:sz w:val="25"/>
          <w:szCs w:val="25"/>
        </w:rPr>
        <w:t>C</w:t>
      </w:r>
      <w:r w:rsidR="00590F1B">
        <w:rPr>
          <w:sz w:val="25"/>
          <w:szCs w:val="25"/>
        </w:rPr>
        <w:t>ompany</w:t>
      </w:r>
      <w:r w:rsidR="00711712">
        <w:rPr>
          <w:sz w:val="25"/>
          <w:szCs w:val="25"/>
        </w:rPr>
        <w:t xml:space="preserve"> timely paid its regulatory fee</w:t>
      </w:r>
      <w:r w:rsidR="00590F1B">
        <w:rPr>
          <w:sz w:val="25"/>
          <w:szCs w:val="25"/>
        </w:rPr>
        <w:t xml:space="preserve"> and has no prior </w:t>
      </w:r>
      <w:r w:rsidR="00A328F3">
        <w:rPr>
          <w:sz w:val="25"/>
          <w:szCs w:val="25"/>
        </w:rPr>
        <w:t>violations</w:t>
      </w:r>
      <w:r w:rsidR="00590F1B">
        <w:rPr>
          <w:sz w:val="25"/>
          <w:szCs w:val="25"/>
        </w:rPr>
        <w:t xml:space="preserve"> of WAC 480-30-071.  </w:t>
      </w:r>
    </w:p>
    <w:p w14:paraId="418E1607" w14:textId="77777777" w:rsidR="00841996" w:rsidRPr="00347054" w:rsidRDefault="00841996" w:rsidP="00711712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2EFEBF4" w14:textId="77777777" w:rsidR="00841996" w:rsidRPr="00347054" w:rsidRDefault="00F32856" w:rsidP="00583E0B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493BA836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10B0FEC8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>the Company should have been aware of the need to file an annual report</w:t>
      </w:r>
      <w:r w:rsidR="00514804">
        <w:rPr>
          <w:sz w:val="25"/>
          <w:szCs w:val="25"/>
        </w:rPr>
        <w:t xml:space="preserve"> </w:t>
      </w:r>
      <w:r w:rsidR="00A328F3">
        <w:rPr>
          <w:sz w:val="25"/>
          <w:szCs w:val="25"/>
        </w:rPr>
        <w:t>by May 1</w:t>
      </w:r>
      <w:r w:rsidR="000D3EF1">
        <w:rPr>
          <w:sz w:val="25"/>
          <w:szCs w:val="25"/>
        </w:rPr>
        <w:t xml:space="preserve">, </w:t>
      </w:r>
      <w:r w:rsidR="001A01C8">
        <w:rPr>
          <w:sz w:val="25"/>
          <w:szCs w:val="25"/>
        </w:rPr>
        <w:t>and prepared accordingly</w:t>
      </w:r>
      <w:r w:rsidR="000D3EF1">
        <w:rPr>
          <w:sz w:val="25"/>
          <w:szCs w:val="25"/>
        </w:rPr>
        <w:t>.</w:t>
      </w:r>
      <w:r w:rsidR="00073879">
        <w:rPr>
          <w:sz w:val="25"/>
          <w:szCs w:val="25"/>
        </w:rPr>
        <w:br/>
      </w:r>
    </w:p>
    <w:p w14:paraId="712AFCFE" w14:textId="77777777" w:rsidR="00BB2383" w:rsidRPr="00347054" w:rsidRDefault="0007387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nevertheless 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whether the violation was promptly corrected</w:t>
      </w:r>
      <w:r w:rsidR="001A01C8">
        <w:rPr>
          <w:sz w:val="25"/>
          <w:szCs w:val="25"/>
        </w:rPr>
        <w:t xml:space="preserve"> and </w:t>
      </w:r>
      <w:r>
        <w:rPr>
          <w:sz w:val="25"/>
          <w:szCs w:val="25"/>
        </w:rPr>
        <w:t>the likelihood the violation will recur.</w:t>
      </w:r>
      <w:r w:rsidR="00BC2BC0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 </w:t>
      </w:r>
      <w:r w:rsidR="001A01C8">
        <w:rPr>
          <w:sz w:val="25"/>
          <w:szCs w:val="25"/>
        </w:rPr>
        <w:t>Here, t</w:t>
      </w:r>
      <w:r w:rsidR="006007DA">
        <w:rPr>
          <w:sz w:val="25"/>
          <w:szCs w:val="25"/>
        </w:rPr>
        <w:t>he</w:t>
      </w:r>
      <w:r>
        <w:rPr>
          <w:sz w:val="25"/>
          <w:szCs w:val="25"/>
        </w:rPr>
        <w:t xml:space="preserve"> Company </w:t>
      </w:r>
      <w:r w:rsidR="000D3EF1">
        <w:rPr>
          <w:sz w:val="25"/>
          <w:szCs w:val="25"/>
        </w:rPr>
        <w:t>timely paid its regulatory fee</w:t>
      </w:r>
      <w:r w:rsidR="001A01C8">
        <w:rPr>
          <w:sz w:val="25"/>
          <w:szCs w:val="25"/>
        </w:rPr>
        <w:t>,</w:t>
      </w:r>
      <w:r w:rsidR="000D3EF1">
        <w:rPr>
          <w:sz w:val="25"/>
          <w:szCs w:val="25"/>
        </w:rPr>
        <w:t xml:space="preserve"> and </w:t>
      </w:r>
      <w:r w:rsidR="001A01C8">
        <w:rPr>
          <w:sz w:val="25"/>
          <w:szCs w:val="25"/>
        </w:rPr>
        <w:t>has since filed its</w:t>
      </w:r>
      <w:r w:rsidR="000D3EF1">
        <w:rPr>
          <w:sz w:val="25"/>
          <w:szCs w:val="25"/>
        </w:rPr>
        <w:t xml:space="preserve"> annual report</w:t>
      </w:r>
      <w:r>
        <w:rPr>
          <w:sz w:val="25"/>
          <w:szCs w:val="25"/>
        </w:rPr>
        <w:t xml:space="preserve">.  </w:t>
      </w:r>
      <w:r w:rsidR="001A01C8">
        <w:rPr>
          <w:sz w:val="25"/>
          <w:szCs w:val="25"/>
        </w:rPr>
        <w:t xml:space="preserve">We are satisfied with the Company’s representations of the changes it made to ensure future compliance, and have granted mitigation to similarly situated companies in their first year of operation.  </w:t>
      </w:r>
      <w:r w:rsidR="006007DA">
        <w:rPr>
          <w:sz w:val="25"/>
          <w:szCs w:val="25"/>
        </w:rPr>
        <w:t>T</w:t>
      </w:r>
      <w:r w:rsidR="006007DA" w:rsidRPr="00EE278F">
        <w:rPr>
          <w:sz w:val="25"/>
          <w:szCs w:val="25"/>
        </w:rPr>
        <w:t xml:space="preserve">he Commission will </w:t>
      </w:r>
      <w:r w:rsidR="006007DA">
        <w:rPr>
          <w:sz w:val="25"/>
          <w:szCs w:val="25"/>
        </w:rPr>
        <w:t>therefore e</w:t>
      </w:r>
      <w:r w:rsidR="006007DA" w:rsidRPr="00EE278F">
        <w:rPr>
          <w:sz w:val="25"/>
          <w:szCs w:val="25"/>
        </w:rPr>
        <w:t>xercise its discretion to reduce the penalty to $</w:t>
      </w:r>
      <w:r w:rsidR="001A01C8">
        <w:rPr>
          <w:sz w:val="25"/>
          <w:szCs w:val="25"/>
        </w:rPr>
        <w:t>200</w:t>
      </w:r>
      <w:r w:rsidR="006007DA" w:rsidRPr="00EE278F">
        <w:rPr>
          <w:sz w:val="25"/>
          <w:szCs w:val="25"/>
        </w:rPr>
        <w:t>.</w:t>
      </w:r>
    </w:p>
    <w:p w14:paraId="1938A146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2C8FBDCB" w14:textId="77777777" w:rsidR="00F32856" w:rsidRPr="00347054" w:rsidRDefault="00F32856" w:rsidP="00583E0B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2170D38A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007010DB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66434C1E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3ECBFB55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1A01C8">
        <w:rPr>
          <w:bCs/>
          <w:sz w:val="25"/>
          <w:szCs w:val="25"/>
        </w:rPr>
        <w:t>Palouse Touring Company</w:t>
      </w:r>
      <w:r w:rsidR="00B07C4B">
        <w:rPr>
          <w:sz w:val="25"/>
          <w:szCs w:val="25"/>
        </w:rPr>
        <w:t>, LLC</w:t>
      </w:r>
      <w:r w:rsidR="00B07C4B" w:rsidRPr="00347054">
        <w:rPr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1A01C8">
        <w:rPr>
          <w:sz w:val="25"/>
          <w:szCs w:val="25"/>
        </w:rPr>
        <w:t>1,000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1A01C8">
        <w:rPr>
          <w:sz w:val="25"/>
          <w:szCs w:val="25"/>
        </w:rPr>
        <w:t>20</w:t>
      </w:r>
      <w:r w:rsidR="00B07C4B">
        <w:rPr>
          <w:sz w:val="25"/>
          <w:szCs w:val="25"/>
        </w:rPr>
        <w:t>0</w:t>
      </w:r>
      <w:r w:rsidR="00E0789C" w:rsidRPr="00347054">
        <w:rPr>
          <w:sz w:val="25"/>
          <w:szCs w:val="25"/>
        </w:rPr>
        <w:t xml:space="preserve">.  </w:t>
      </w:r>
    </w:p>
    <w:p w14:paraId="3275C86B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6B9670DC" w14:textId="6512CA68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6C5D7F">
        <w:rPr>
          <w:sz w:val="25"/>
          <w:szCs w:val="25"/>
        </w:rPr>
        <w:t xml:space="preserve">is due and payable no later than July </w:t>
      </w:r>
      <w:r w:rsidR="00B134C5">
        <w:rPr>
          <w:sz w:val="25"/>
          <w:szCs w:val="25"/>
        </w:rPr>
        <w:t>31</w:t>
      </w:r>
      <w:r w:rsidR="006C5D7F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05748669" w14:textId="77777777" w:rsidR="00583E0B" w:rsidRDefault="00583E0B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62551F91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</w:t>
      </w:r>
      <w:proofErr w:type="gramStart"/>
      <w:r w:rsidRPr="00347054">
        <w:rPr>
          <w:sz w:val="25"/>
          <w:szCs w:val="25"/>
        </w:rPr>
        <w:t>)(</w:t>
      </w:r>
      <w:proofErr w:type="gramEnd"/>
      <w:r w:rsidRPr="00347054">
        <w:rPr>
          <w:sz w:val="25"/>
          <w:szCs w:val="25"/>
        </w:rPr>
        <w:t>h).</w:t>
      </w:r>
    </w:p>
    <w:p w14:paraId="76A8EB11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494EF2DF" w14:textId="21DD8402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6C5D7F">
        <w:rPr>
          <w:sz w:val="25"/>
          <w:szCs w:val="25"/>
        </w:rPr>
        <w:t>1</w:t>
      </w:r>
      <w:r w:rsidR="00B134C5">
        <w:rPr>
          <w:sz w:val="25"/>
          <w:szCs w:val="25"/>
        </w:rPr>
        <w:t>7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74C82D0D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3E7535F9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31A45AD0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093CB0BD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7854E799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6C45C779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4C026691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13259B06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24B9008F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68573D72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0F1AF" w14:textId="77777777" w:rsidR="00023C09" w:rsidRDefault="00023C09">
      <w:r>
        <w:separator/>
      </w:r>
    </w:p>
  </w:endnote>
  <w:endnote w:type="continuationSeparator" w:id="0">
    <w:p w14:paraId="40311C9A" w14:textId="77777777" w:rsidR="00023C09" w:rsidRDefault="0002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30045" w14:textId="77777777" w:rsidR="00023C09" w:rsidRDefault="00023C09">
      <w:r>
        <w:separator/>
      </w:r>
    </w:p>
  </w:footnote>
  <w:footnote w:type="continuationSeparator" w:id="0">
    <w:p w14:paraId="0D21ADCA" w14:textId="77777777" w:rsidR="00023C09" w:rsidRDefault="00023C09">
      <w:r>
        <w:continuationSeparator/>
      </w:r>
    </w:p>
  </w:footnote>
  <w:footnote w:id="1">
    <w:p w14:paraId="14E75114" w14:textId="77777777" w:rsidR="00BC2BC0" w:rsidRPr="00583E0B" w:rsidRDefault="00BC2BC0" w:rsidP="00583E0B">
      <w:pPr>
        <w:pStyle w:val="FootnoteText"/>
        <w:spacing w:after="120"/>
        <w:rPr>
          <w:sz w:val="22"/>
          <w:szCs w:val="22"/>
        </w:rPr>
      </w:pPr>
      <w:r w:rsidRPr="00583E0B">
        <w:rPr>
          <w:rStyle w:val="FootnoteReference"/>
          <w:sz w:val="22"/>
          <w:szCs w:val="22"/>
        </w:rPr>
        <w:footnoteRef/>
      </w:r>
      <w:r w:rsidRPr="00583E0B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5BC1F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1935B3">
      <w:rPr>
        <w:b/>
        <w:bCs/>
        <w:sz w:val="20"/>
        <w:szCs w:val="20"/>
      </w:rPr>
      <w:t>72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3F7C5C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14BECC9A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76BBF387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0D073" w14:textId="77777777" w:rsidR="002117E8" w:rsidRDefault="002117E8" w:rsidP="002117E8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17,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3C09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9229C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3EF1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3267"/>
    <w:rsid w:val="0012548B"/>
    <w:rsid w:val="00127197"/>
    <w:rsid w:val="00131166"/>
    <w:rsid w:val="00135751"/>
    <w:rsid w:val="00136247"/>
    <w:rsid w:val="00136868"/>
    <w:rsid w:val="0014054F"/>
    <w:rsid w:val="0014354E"/>
    <w:rsid w:val="00151775"/>
    <w:rsid w:val="00152F28"/>
    <w:rsid w:val="001537A6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35B3"/>
    <w:rsid w:val="0019402D"/>
    <w:rsid w:val="00197E63"/>
    <w:rsid w:val="001A0000"/>
    <w:rsid w:val="001A01C8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117E8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3F7C5C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0403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5A39"/>
    <w:rsid w:val="004F7C66"/>
    <w:rsid w:val="00506F82"/>
    <w:rsid w:val="00514804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3E0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07DA"/>
    <w:rsid w:val="0060406D"/>
    <w:rsid w:val="00605A2F"/>
    <w:rsid w:val="006060EF"/>
    <w:rsid w:val="00606C8D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2DCA"/>
    <w:rsid w:val="006B2972"/>
    <w:rsid w:val="006B41C6"/>
    <w:rsid w:val="006B6EDA"/>
    <w:rsid w:val="006C2520"/>
    <w:rsid w:val="006C5AA6"/>
    <w:rsid w:val="006C5D7F"/>
    <w:rsid w:val="006C67EE"/>
    <w:rsid w:val="006D1F48"/>
    <w:rsid w:val="006D3BA8"/>
    <w:rsid w:val="006E06FD"/>
    <w:rsid w:val="006F0806"/>
    <w:rsid w:val="006F2E4D"/>
    <w:rsid w:val="006F5053"/>
    <w:rsid w:val="006F63D9"/>
    <w:rsid w:val="006F7C3C"/>
    <w:rsid w:val="00711712"/>
    <w:rsid w:val="00714D80"/>
    <w:rsid w:val="00714FA1"/>
    <w:rsid w:val="00717D10"/>
    <w:rsid w:val="007201A1"/>
    <w:rsid w:val="0073050C"/>
    <w:rsid w:val="0073407F"/>
    <w:rsid w:val="00737EB2"/>
    <w:rsid w:val="007451D6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1175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7283"/>
    <w:rsid w:val="00981531"/>
    <w:rsid w:val="0098271D"/>
    <w:rsid w:val="009839F8"/>
    <w:rsid w:val="00992ED9"/>
    <w:rsid w:val="009937F7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10DA"/>
    <w:rsid w:val="00A127E7"/>
    <w:rsid w:val="00A13825"/>
    <w:rsid w:val="00A14614"/>
    <w:rsid w:val="00A14D36"/>
    <w:rsid w:val="00A25153"/>
    <w:rsid w:val="00A26A46"/>
    <w:rsid w:val="00A27867"/>
    <w:rsid w:val="00A328F3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07C4B"/>
    <w:rsid w:val="00B119B7"/>
    <w:rsid w:val="00B134C5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A34EC"/>
    <w:rsid w:val="00CC1040"/>
    <w:rsid w:val="00CC2029"/>
    <w:rsid w:val="00CC56C9"/>
    <w:rsid w:val="00CC6B86"/>
    <w:rsid w:val="00CD595A"/>
    <w:rsid w:val="00CD6B39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4A7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11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Palouse Touring Company, LLC</CaseCompanyNames>
    <DocketNumber xmlns="dc463f71-b30c-4ab2-9473-d307f9d35888">141072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13502F14B38946A5291D34607DFB70" ma:contentTypeVersion="175" ma:contentTypeDescription="" ma:contentTypeScope="" ma:versionID="5eec82e362f4a6a48cb65bb3d60241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AD2E5-3691-459F-9FB4-A504B12B3774}"/>
</file>

<file path=customXml/itemProps2.xml><?xml version="1.0" encoding="utf-8"?>
<ds:datastoreItem xmlns:ds="http://schemas.openxmlformats.org/officeDocument/2006/customXml" ds:itemID="{6E2CAAD3-8952-409C-8A34-CD9674E3E6AA}"/>
</file>

<file path=customXml/itemProps3.xml><?xml version="1.0" encoding="utf-8"?>
<ds:datastoreItem xmlns:ds="http://schemas.openxmlformats.org/officeDocument/2006/customXml" ds:itemID="{422F21A2-F834-4866-9956-DD6E4286C963}"/>
</file>

<file path=customXml/itemProps4.xml><?xml version="1.0" encoding="utf-8"?>
<ds:datastoreItem xmlns:ds="http://schemas.openxmlformats.org/officeDocument/2006/customXml" ds:itemID="{A57BEEA0-736A-4C36-862D-7BA00F716133}"/>
</file>

<file path=customXml/itemProps5.xml><?xml version="1.0" encoding="utf-8"?>
<ds:datastoreItem xmlns:ds="http://schemas.openxmlformats.org/officeDocument/2006/customXml" ds:itemID="{BBBD0D01-D240-4BB1-A487-E9BC0A671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2014-07-15T16:43:00Z</dcterms:created>
  <dcterms:modified xsi:type="dcterms:W3CDTF">2014-07-17T16:01:00Z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0x0101006E56B4D1795A2E4DB2F0B01679ED314A005113502F14B38946A5291D34607DFB70</vt:lpwstr>
  </property>
  <property fmtid="{D5CDD505-2E9C-101B-9397-08002B2CF9AE}" pid="3" name="_docset_NoMedatataSyncRequired">
    <vt:lpwstr>False</vt:lpwstr>
  </property>
</Properties>
</file>