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C0EFA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18777B58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3AC38F60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48"/>
        <w:gridCol w:w="236"/>
        <w:gridCol w:w="3866"/>
      </w:tblGrid>
      <w:tr w:rsidR="00C011AB" w:rsidRPr="00347054" w14:paraId="0C956154" w14:textId="77777777" w:rsidTr="005A551A">
        <w:trPr>
          <w:trHeight w:val="2105"/>
        </w:trPr>
        <w:tc>
          <w:tcPr>
            <w:tcW w:w="4348" w:type="dxa"/>
          </w:tcPr>
          <w:p w14:paraId="7B601663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3047BCDE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4B254F83" w14:textId="77777777" w:rsidR="00005893" w:rsidRPr="00347054" w:rsidRDefault="0003347C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AMERICAN MOVING CO INC.</w:t>
            </w:r>
          </w:p>
          <w:p w14:paraId="71683DA3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47118961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03347C">
              <w:rPr>
                <w:bCs/>
                <w:sz w:val="25"/>
                <w:szCs w:val="25"/>
              </w:rPr>
              <w:t>1,000</w:t>
            </w:r>
          </w:p>
          <w:p w14:paraId="06D02F20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4" w:type="dxa"/>
          </w:tcPr>
          <w:p w14:paraId="7BAC8CC7" w14:textId="77777777" w:rsidR="00C011AB" w:rsidRPr="00347054" w:rsidRDefault="00C011AB" w:rsidP="005A551A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5A1AA4D" w14:textId="77777777" w:rsidR="00C011AB" w:rsidRPr="00347054" w:rsidRDefault="00C011AB" w:rsidP="005A551A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60F1720" w14:textId="77777777" w:rsidR="00C011AB" w:rsidRPr="00347054" w:rsidRDefault="00C011AB" w:rsidP="005A551A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BF70795" w14:textId="77777777" w:rsidR="00C011AB" w:rsidRPr="00347054" w:rsidRDefault="00C011AB" w:rsidP="005A551A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EEABA9D" w14:textId="77777777" w:rsidR="00C011AB" w:rsidRPr="00347054" w:rsidRDefault="00C011AB" w:rsidP="005A551A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E0610EB" w14:textId="77777777" w:rsidR="00C011AB" w:rsidRPr="00347054" w:rsidRDefault="00C011AB" w:rsidP="005A551A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79C3F92F" w14:textId="77777777" w:rsidR="000E4BC7" w:rsidRDefault="000E4BC7" w:rsidP="005A551A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E3B7CFA" w14:textId="77777777" w:rsidR="006C5AA6" w:rsidRPr="00347054" w:rsidRDefault="005A551A" w:rsidP="005A551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866" w:type="dxa"/>
          </w:tcPr>
          <w:p w14:paraId="7B367B3A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F13566" w:rsidRPr="00347054">
              <w:rPr>
                <w:bCs/>
                <w:sz w:val="25"/>
                <w:szCs w:val="25"/>
              </w:rPr>
              <w:t>V</w:t>
            </w:r>
            <w:r w:rsidR="00C05407" w:rsidRPr="00347054">
              <w:rPr>
                <w:bCs/>
                <w:sz w:val="25"/>
                <w:szCs w:val="25"/>
              </w:rPr>
              <w:t>-</w:t>
            </w:r>
            <w:r w:rsidR="008A54E8">
              <w:rPr>
                <w:bCs/>
                <w:sz w:val="25"/>
                <w:szCs w:val="25"/>
              </w:rPr>
              <w:t>1409</w:t>
            </w:r>
            <w:r w:rsidR="0003347C">
              <w:rPr>
                <w:bCs/>
                <w:sz w:val="25"/>
                <w:szCs w:val="25"/>
              </w:rPr>
              <w:t>42</w:t>
            </w:r>
          </w:p>
          <w:p w14:paraId="74225C60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653EB5E6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31D52F78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5A8ACC2F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FE4F7B">
              <w:rPr>
                <w:sz w:val="25"/>
                <w:szCs w:val="25"/>
              </w:rPr>
              <w:t>DENYING MITIGATION</w:t>
            </w:r>
          </w:p>
          <w:p w14:paraId="19C80CC1" w14:textId="77777777" w:rsidR="00117299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  <w:p w14:paraId="2A9E0E3F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59C39035" w14:textId="77777777" w:rsidR="005A551A" w:rsidRDefault="005A551A" w:rsidP="005A551A">
      <w:pPr>
        <w:spacing w:line="264" w:lineRule="auto"/>
        <w:jc w:val="center"/>
        <w:rPr>
          <w:b/>
          <w:sz w:val="25"/>
          <w:szCs w:val="25"/>
        </w:rPr>
      </w:pPr>
    </w:p>
    <w:p w14:paraId="3E80200A" w14:textId="77777777" w:rsidR="002E3C80" w:rsidRPr="00347054" w:rsidRDefault="00F32856" w:rsidP="005A551A">
      <w:pPr>
        <w:spacing w:line="264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5459F0DB" w14:textId="77777777" w:rsidR="00841996" w:rsidRPr="00347054" w:rsidRDefault="00841996" w:rsidP="005A551A">
      <w:pPr>
        <w:spacing w:line="264" w:lineRule="auto"/>
        <w:rPr>
          <w:sz w:val="25"/>
          <w:szCs w:val="25"/>
        </w:rPr>
      </w:pPr>
    </w:p>
    <w:p w14:paraId="1979D781" w14:textId="77777777" w:rsidR="005F24F9" w:rsidRPr="00347054" w:rsidRDefault="005F24F9" w:rsidP="005A551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F228D5" w:rsidRPr="00347054">
        <w:rPr>
          <w:bCs/>
          <w:sz w:val="25"/>
          <w:szCs w:val="25"/>
        </w:rPr>
        <w:t>household goods carriers</w:t>
      </w:r>
      <w:r w:rsidRPr="00347054">
        <w:rPr>
          <w:bCs/>
          <w:sz w:val="25"/>
          <w:szCs w:val="25"/>
        </w:rPr>
        <w:t xml:space="preserve"> to file annual reports and pay regulatory fees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DE1AD6" w:rsidRPr="00347054">
        <w:rPr>
          <w:bCs/>
          <w:sz w:val="25"/>
          <w:szCs w:val="25"/>
        </w:rPr>
        <w:t>480-15-480</w:t>
      </w:r>
      <w:r w:rsidR="00CD595A" w:rsidRPr="00347054">
        <w:rPr>
          <w:bCs/>
          <w:sz w:val="25"/>
          <w:szCs w:val="25"/>
        </w:rPr>
        <w:t xml:space="preserve">.  </w:t>
      </w:r>
      <w:r w:rsidR="006F5053" w:rsidRPr="00347054">
        <w:rPr>
          <w:bCs/>
          <w:sz w:val="25"/>
          <w:szCs w:val="25"/>
        </w:rPr>
        <w:t xml:space="preserve">On </w:t>
      </w:r>
      <w:r w:rsidR="008A54E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 xml:space="preserve">, the Washington Utilities and Transportation Commission (Commission) mailed annual report and regulatory fee packets to all </w:t>
      </w:r>
      <w:r w:rsidR="002728F6" w:rsidRPr="00347054">
        <w:rPr>
          <w:bCs/>
          <w:sz w:val="25"/>
          <w:szCs w:val="25"/>
        </w:rPr>
        <w:t>household goods carriers</w:t>
      </w:r>
      <w:r w:rsidR="006F5053" w:rsidRPr="00347054">
        <w:rPr>
          <w:bCs/>
          <w:sz w:val="25"/>
          <w:szCs w:val="25"/>
        </w:rPr>
        <w:t xml:space="preserve">.  </w:t>
      </w:r>
      <w:r w:rsidR="008A54E8">
        <w:rPr>
          <w:bCs/>
          <w:sz w:val="25"/>
          <w:szCs w:val="25"/>
        </w:rPr>
        <w:t>The forms included a reminder that</w:t>
      </w:r>
      <w:r w:rsidR="006F5053" w:rsidRPr="00347054">
        <w:rPr>
          <w:bCs/>
          <w:sz w:val="25"/>
          <w:szCs w:val="25"/>
        </w:rPr>
        <w:t xml:space="preserve"> companies </w:t>
      </w:r>
      <w:r w:rsidR="008A54E8">
        <w:rPr>
          <w:bCs/>
          <w:sz w:val="25"/>
          <w:szCs w:val="25"/>
        </w:rPr>
        <w:t>must</w:t>
      </w:r>
      <w:r w:rsidR="006F5053" w:rsidRPr="00347054">
        <w:rPr>
          <w:bCs/>
          <w:sz w:val="25"/>
          <w:szCs w:val="25"/>
        </w:rPr>
        <w:t xml:space="preserve"> file their annual reports and pay their regulatory fees by May 1, 201</w:t>
      </w:r>
      <w:r w:rsidR="008A54E8">
        <w:rPr>
          <w:bCs/>
          <w:sz w:val="25"/>
          <w:szCs w:val="25"/>
        </w:rPr>
        <w:t>4</w:t>
      </w:r>
      <w:r w:rsidR="006F5053" w:rsidRPr="00347054">
        <w:rPr>
          <w:bCs/>
          <w:sz w:val="25"/>
          <w:szCs w:val="25"/>
        </w:rPr>
        <w:t xml:space="preserve">, </w:t>
      </w:r>
      <w:r w:rsidR="008A54E8">
        <w:rPr>
          <w:bCs/>
          <w:sz w:val="25"/>
          <w:szCs w:val="25"/>
        </w:rPr>
        <w:t>or face penalties</w:t>
      </w:r>
      <w:r w:rsidR="000426C0" w:rsidRPr="00347054">
        <w:rPr>
          <w:bCs/>
          <w:sz w:val="25"/>
          <w:szCs w:val="25"/>
        </w:rPr>
        <w:t xml:space="preserve"> of</w:t>
      </w:r>
      <w:r w:rsidR="00F929AB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>$100</w:t>
      </w:r>
      <w:r w:rsidR="00B24948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 xml:space="preserve">for </w:t>
      </w:r>
      <w:r w:rsidR="005E3095" w:rsidRPr="00347054">
        <w:rPr>
          <w:bCs/>
          <w:sz w:val="25"/>
          <w:szCs w:val="25"/>
        </w:rPr>
        <w:t xml:space="preserve">each </w:t>
      </w:r>
      <w:r w:rsidR="008A54E8">
        <w:rPr>
          <w:bCs/>
          <w:sz w:val="25"/>
          <w:szCs w:val="25"/>
        </w:rPr>
        <w:t>violation of Commission rules.</w:t>
      </w:r>
      <w:r w:rsidRPr="00347054">
        <w:rPr>
          <w:bCs/>
          <w:sz w:val="25"/>
          <w:szCs w:val="25"/>
        </w:rPr>
        <w:t xml:space="preserve"> </w:t>
      </w:r>
      <w:r w:rsidR="008A54E8">
        <w:rPr>
          <w:bCs/>
          <w:sz w:val="25"/>
          <w:szCs w:val="25"/>
        </w:rPr>
        <w:t xml:space="preserve"> I</w:t>
      </w:r>
      <w:r w:rsidRPr="00347054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347054">
        <w:rPr>
          <w:bCs/>
          <w:sz w:val="25"/>
          <w:szCs w:val="25"/>
        </w:rPr>
        <w:t>RCW 80.04.405.</w:t>
      </w:r>
    </w:p>
    <w:p w14:paraId="724D3073" w14:textId="77777777" w:rsidR="005F24F9" w:rsidRPr="00347054" w:rsidRDefault="005F24F9" w:rsidP="005A551A">
      <w:pPr>
        <w:tabs>
          <w:tab w:val="left" w:pos="720"/>
        </w:tabs>
        <w:spacing w:line="264" w:lineRule="auto"/>
        <w:ind w:left="720"/>
        <w:rPr>
          <w:sz w:val="25"/>
          <w:szCs w:val="25"/>
        </w:rPr>
      </w:pPr>
    </w:p>
    <w:p w14:paraId="16489BA6" w14:textId="77777777" w:rsidR="0003347C" w:rsidRDefault="0003347C" w:rsidP="005A551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>American Moving</w:t>
      </w:r>
      <w:r w:rsidR="005E1EA6">
        <w:rPr>
          <w:bCs/>
          <w:sz w:val="25"/>
          <w:szCs w:val="25"/>
        </w:rPr>
        <w:t xml:space="preserve"> did not file its annual report on May 1, 2014</w:t>
      </w:r>
      <w:r>
        <w:rPr>
          <w:bCs/>
          <w:sz w:val="25"/>
          <w:szCs w:val="25"/>
        </w:rPr>
        <w:t>, and had not made that filing by May 15</w:t>
      </w:r>
      <w:r w:rsidR="00805D66">
        <w:rPr>
          <w:bCs/>
          <w:sz w:val="25"/>
          <w:szCs w:val="25"/>
        </w:rPr>
        <w:t xml:space="preserve">.  </w:t>
      </w:r>
      <w:r w:rsidR="000164A8" w:rsidRPr="00347054">
        <w:rPr>
          <w:bCs/>
          <w:sz w:val="25"/>
          <w:szCs w:val="25"/>
        </w:rPr>
        <w:t xml:space="preserve">On </w:t>
      </w:r>
      <w:r w:rsidR="008A54E8">
        <w:rPr>
          <w:bCs/>
          <w:sz w:val="25"/>
          <w:szCs w:val="25"/>
        </w:rPr>
        <w:t xml:space="preserve">June </w:t>
      </w:r>
      <w:r>
        <w:rPr>
          <w:bCs/>
          <w:sz w:val="25"/>
          <w:szCs w:val="25"/>
        </w:rPr>
        <w:t>4</w:t>
      </w:r>
      <w:r w:rsidR="005E1EA6">
        <w:rPr>
          <w:bCs/>
          <w:sz w:val="25"/>
          <w:szCs w:val="25"/>
        </w:rPr>
        <w:t>,</w:t>
      </w:r>
      <w:r w:rsidR="000164A8" w:rsidRPr="00347054">
        <w:rPr>
          <w:bCs/>
          <w:sz w:val="25"/>
          <w:szCs w:val="25"/>
        </w:rPr>
        <w:t xml:space="preserve"> the Comm</w:t>
      </w:r>
      <w:r w:rsidR="008A54E8">
        <w:rPr>
          <w:bCs/>
          <w:sz w:val="25"/>
          <w:szCs w:val="25"/>
        </w:rPr>
        <w:t>ission assessed a penalty of $</w:t>
      </w:r>
      <w:r>
        <w:rPr>
          <w:bCs/>
          <w:sz w:val="25"/>
          <w:szCs w:val="25"/>
        </w:rPr>
        <w:t>1,000</w:t>
      </w:r>
      <w:r w:rsidR="000164A8" w:rsidRPr="00347054">
        <w:rPr>
          <w:bCs/>
          <w:sz w:val="25"/>
          <w:szCs w:val="25"/>
        </w:rPr>
        <w:t xml:space="preserve"> against </w:t>
      </w:r>
      <w:r>
        <w:rPr>
          <w:bCs/>
          <w:sz w:val="25"/>
          <w:szCs w:val="25"/>
        </w:rPr>
        <w:t>American Moving</w:t>
      </w:r>
      <w:r w:rsidR="000164A8" w:rsidRPr="00347054">
        <w:rPr>
          <w:rStyle w:val="CommentReference"/>
          <w:sz w:val="25"/>
          <w:szCs w:val="25"/>
        </w:rPr>
        <w:t>,</w:t>
      </w:r>
      <w:r w:rsidR="001D765C" w:rsidRPr="00347054">
        <w:rPr>
          <w:rStyle w:val="CommentReference"/>
          <w:sz w:val="25"/>
          <w:szCs w:val="25"/>
        </w:rPr>
        <w:t xml:space="preserve"> </w:t>
      </w:r>
      <w:r w:rsidR="000164A8" w:rsidRPr="00347054">
        <w:rPr>
          <w:rStyle w:val="CommentReference"/>
          <w:sz w:val="25"/>
          <w:szCs w:val="25"/>
        </w:rPr>
        <w:t xml:space="preserve">calculated as $100 per business day from May 1 to May </w:t>
      </w:r>
      <w:r>
        <w:rPr>
          <w:rStyle w:val="CommentReference"/>
          <w:sz w:val="25"/>
          <w:szCs w:val="25"/>
        </w:rPr>
        <w:t>15</w:t>
      </w:r>
      <w:r w:rsidR="001D765C" w:rsidRPr="00347054">
        <w:rPr>
          <w:rStyle w:val="CommentReference"/>
          <w:sz w:val="25"/>
          <w:szCs w:val="25"/>
        </w:rPr>
        <w:t>.</w:t>
      </w:r>
    </w:p>
    <w:p w14:paraId="7A87EA1F" w14:textId="77777777" w:rsidR="0003347C" w:rsidRDefault="0003347C" w:rsidP="005A551A">
      <w:pPr>
        <w:pStyle w:val="ListParagraph"/>
        <w:spacing w:line="264" w:lineRule="auto"/>
        <w:rPr>
          <w:sz w:val="25"/>
          <w:szCs w:val="25"/>
        </w:rPr>
      </w:pPr>
    </w:p>
    <w:p w14:paraId="4B2D97A7" w14:textId="77777777" w:rsidR="008A54E8" w:rsidRPr="00FE4F7B" w:rsidRDefault="0003347C" w:rsidP="005A551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June 30, 2014, </w:t>
      </w:r>
      <w:r>
        <w:rPr>
          <w:bCs/>
          <w:sz w:val="25"/>
          <w:szCs w:val="25"/>
        </w:rPr>
        <w:t xml:space="preserve">American Moving filed its annual report with no regulatory fee </w:t>
      </w:r>
      <w:r w:rsidR="004A11F3">
        <w:rPr>
          <w:bCs/>
          <w:sz w:val="25"/>
          <w:szCs w:val="25"/>
        </w:rPr>
        <w:t>due, and</w:t>
      </w:r>
      <w:r>
        <w:rPr>
          <w:bCs/>
          <w:sz w:val="25"/>
          <w:szCs w:val="25"/>
        </w:rPr>
        <w:t xml:space="preserve"> </w:t>
      </w:r>
      <w:r w:rsidR="008A54E8" w:rsidRPr="00FE4F7B">
        <w:rPr>
          <w:sz w:val="25"/>
          <w:szCs w:val="25"/>
        </w:rPr>
        <w:t>r</w:t>
      </w:r>
      <w:r w:rsidR="00371E20" w:rsidRPr="00FE4F7B">
        <w:rPr>
          <w:sz w:val="25"/>
          <w:szCs w:val="25"/>
        </w:rPr>
        <w:t>esponded</w:t>
      </w:r>
      <w:r w:rsidR="00264C0F" w:rsidRPr="00FE4F7B">
        <w:rPr>
          <w:sz w:val="25"/>
          <w:szCs w:val="25"/>
        </w:rPr>
        <w:t xml:space="preserve"> to the Commission</w:t>
      </w:r>
      <w:r w:rsidR="00B77835" w:rsidRPr="00FE4F7B">
        <w:rPr>
          <w:sz w:val="25"/>
          <w:szCs w:val="25"/>
        </w:rPr>
        <w:t xml:space="preserve">’s penalty </w:t>
      </w:r>
      <w:r w:rsidR="0014354E" w:rsidRPr="00FE4F7B">
        <w:rPr>
          <w:sz w:val="25"/>
          <w:szCs w:val="25"/>
        </w:rPr>
        <w:t>assessment</w:t>
      </w:r>
      <w:r w:rsidR="004A11F3">
        <w:rPr>
          <w:sz w:val="25"/>
          <w:szCs w:val="25"/>
        </w:rPr>
        <w:t>.  The Company</w:t>
      </w:r>
      <w:r w:rsidR="00B77835" w:rsidRPr="00FE4F7B">
        <w:rPr>
          <w:sz w:val="25"/>
          <w:szCs w:val="25"/>
        </w:rPr>
        <w:t xml:space="preserve"> </w:t>
      </w:r>
      <w:r w:rsidR="004A11F3">
        <w:rPr>
          <w:sz w:val="25"/>
          <w:szCs w:val="25"/>
        </w:rPr>
        <w:t>admitted</w:t>
      </w:r>
      <w:r>
        <w:rPr>
          <w:sz w:val="25"/>
          <w:szCs w:val="25"/>
        </w:rPr>
        <w:t xml:space="preserve"> the violations and request</w:t>
      </w:r>
      <w:r w:rsidR="004A11F3">
        <w:rPr>
          <w:sz w:val="25"/>
          <w:szCs w:val="25"/>
        </w:rPr>
        <w:t>ed</w:t>
      </w:r>
      <w:r w:rsidR="00B77835" w:rsidRPr="00FE4F7B">
        <w:rPr>
          <w:sz w:val="25"/>
          <w:szCs w:val="25"/>
        </w:rPr>
        <w:t xml:space="preserve"> </w:t>
      </w:r>
      <w:r w:rsidR="008A54E8" w:rsidRPr="00FE4F7B">
        <w:rPr>
          <w:sz w:val="25"/>
          <w:szCs w:val="25"/>
        </w:rPr>
        <w:t>mitigation based on the written information provided</w:t>
      </w:r>
      <w:r w:rsidR="00B77835" w:rsidRPr="00FE4F7B">
        <w:rPr>
          <w:sz w:val="25"/>
          <w:szCs w:val="25"/>
        </w:rPr>
        <w:t xml:space="preserve">.  </w:t>
      </w:r>
      <w:r w:rsidR="008A54E8" w:rsidRPr="00FE4F7B">
        <w:rPr>
          <w:sz w:val="25"/>
          <w:szCs w:val="25"/>
        </w:rPr>
        <w:t xml:space="preserve">The </w:t>
      </w:r>
      <w:r w:rsidR="00F0357E" w:rsidRPr="00FE4F7B">
        <w:rPr>
          <w:sz w:val="25"/>
          <w:szCs w:val="25"/>
        </w:rPr>
        <w:t>C</w:t>
      </w:r>
      <w:r>
        <w:rPr>
          <w:sz w:val="25"/>
          <w:szCs w:val="25"/>
        </w:rPr>
        <w:t xml:space="preserve">ompany claimed that it did not have intrastate authority until June 2014, and </w:t>
      </w:r>
      <w:r w:rsidR="004A11F3">
        <w:rPr>
          <w:sz w:val="25"/>
          <w:szCs w:val="25"/>
        </w:rPr>
        <w:t xml:space="preserve">therefore </w:t>
      </w:r>
      <w:r>
        <w:rPr>
          <w:sz w:val="25"/>
          <w:szCs w:val="25"/>
        </w:rPr>
        <w:t xml:space="preserve">has nothing to report for 2013.   The Company </w:t>
      </w:r>
      <w:r w:rsidR="004A11F3">
        <w:rPr>
          <w:sz w:val="25"/>
          <w:szCs w:val="25"/>
        </w:rPr>
        <w:t>also stated it was un</w:t>
      </w:r>
      <w:r>
        <w:rPr>
          <w:sz w:val="25"/>
          <w:szCs w:val="25"/>
        </w:rPr>
        <w:t>aware of the filing requirement, and was late responding to the penalty assessment because its office was closed for a two-week vacation.</w:t>
      </w:r>
      <w:r w:rsidR="00FE4F7B">
        <w:rPr>
          <w:sz w:val="25"/>
          <w:szCs w:val="25"/>
        </w:rPr>
        <w:br/>
      </w:r>
    </w:p>
    <w:p w14:paraId="2F1FCD31" w14:textId="77777777" w:rsidR="008A54E8" w:rsidRDefault="008A54E8" w:rsidP="005A551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On </w:t>
      </w:r>
      <w:r w:rsidR="0003347C">
        <w:rPr>
          <w:sz w:val="25"/>
          <w:szCs w:val="25"/>
        </w:rPr>
        <w:t>July 11</w:t>
      </w:r>
      <w:r>
        <w:rPr>
          <w:sz w:val="25"/>
          <w:szCs w:val="25"/>
        </w:rPr>
        <w:t xml:space="preserve">, 2014, </w:t>
      </w:r>
      <w:r w:rsidR="00FE4F7B">
        <w:rPr>
          <w:sz w:val="25"/>
          <w:szCs w:val="25"/>
        </w:rPr>
        <w:t>Commission Staff (</w:t>
      </w:r>
      <w:r w:rsidR="00126995">
        <w:rPr>
          <w:sz w:val="25"/>
          <w:szCs w:val="25"/>
        </w:rPr>
        <w:t>Staff</w:t>
      </w:r>
      <w:r w:rsidR="00FE4F7B">
        <w:rPr>
          <w:sz w:val="25"/>
          <w:szCs w:val="25"/>
        </w:rPr>
        <w:t>)</w:t>
      </w:r>
      <w:r w:rsidR="0012699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filed a response </w:t>
      </w:r>
      <w:r w:rsidR="00CB3321">
        <w:rPr>
          <w:sz w:val="25"/>
          <w:szCs w:val="25"/>
        </w:rPr>
        <w:t xml:space="preserve">recommending </w:t>
      </w:r>
      <w:r w:rsidR="00FE4F7B">
        <w:rPr>
          <w:sz w:val="25"/>
          <w:szCs w:val="25"/>
        </w:rPr>
        <w:t xml:space="preserve">the Commission deny the Company’s request for mitigation.  Staff explained that the Company </w:t>
      </w:r>
      <w:r w:rsidR="004A11F3">
        <w:rPr>
          <w:sz w:val="25"/>
          <w:szCs w:val="25"/>
        </w:rPr>
        <w:t>late filed</w:t>
      </w:r>
      <w:r w:rsidR="00FE4F7B">
        <w:rPr>
          <w:sz w:val="25"/>
          <w:szCs w:val="25"/>
        </w:rPr>
        <w:t xml:space="preserve"> in 2</w:t>
      </w:r>
      <w:r w:rsidR="00805D66">
        <w:rPr>
          <w:sz w:val="25"/>
          <w:szCs w:val="25"/>
        </w:rPr>
        <w:t>013</w:t>
      </w:r>
      <w:r w:rsidR="00FE4F7B">
        <w:rPr>
          <w:sz w:val="25"/>
          <w:szCs w:val="25"/>
        </w:rPr>
        <w:t>, and received a mitigated penalty at that time</w:t>
      </w:r>
      <w:r w:rsidR="00174556">
        <w:rPr>
          <w:sz w:val="25"/>
          <w:szCs w:val="25"/>
        </w:rPr>
        <w:t xml:space="preserve">.  </w:t>
      </w:r>
      <w:r w:rsidR="0003347C">
        <w:rPr>
          <w:sz w:val="25"/>
          <w:szCs w:val="25"/>
        </w:rPr>
        <w:t xml:space="preserve">Staff also noted that the Company has been permitted since 2011.  Although the Company’s permit was suspended for lack of insurance on January 21, 2014, in Docket TV-140100, the permit was </w:t>
      </w:r>
      <w:r w:rsidR="004342E8">
        <w:rPr>
          <w:sz w:val="25"/>
          <w:szCs w:val="25"/>
        </w:rPr>
        <w:t xml:space="preserve">subsequently </w:t>
      </w:r>
      <w:r w:rsidR="0003347C">
        <w:rPr>
          <w:sz w:val="25"/>
          <w:szCs w:val="25"/>
        </w:rPr>
        <w:t xml:space="preserve">reinstated on February 14. </w:t>
      </w:r>
    </w:p>
    <w:p w14:paraId="720F9D60" w14:textId="77777777" w:rsidR="00805D66" w:rsidRDefault="00805D66" w:rsidP="005A551A">
      <w:pPr>
        <w:tabs>
          <w:tab w:val="left" w:pos="720"/>
        </w:tabs>
        <w:spacing w:line="264" w:lineRule="auto"/>
        <w:ind w:left="720"/>
        <w:jc w:val="center"/>
        <w:rPr>
          <w:b/>
          <w:sz w:val="25"/>
          <w:szCs w:val="25"/>
        </w:rPr>
      </w:pPr>
    </w:p>
    <w:p w14:paraId="5C155E24" w14:textId="77777777" w:rsidR="00841996" w:rsidRPr="00347054" w:rsidRDefault="00F32856" w:rsidP="005A551A">
      <w:pPr>
        <w:tabs>
          <w:tab w:val="left" w:pos="0"/>
        </w:tabs>
        <w:spacing w:line="264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3AC96511" w14:textId="77777777" w:rsidR="001A220D" w:rsidRPr="00347054" w:rsidRDefault="001A220D" w:rsidP="005A551A">
      <w:pPr>
        <w:spacing w:line="264" w:lineRule="auto"/>
        <w:rPr>
          <w:sz w:val="25"/>
          <w:szCs w:val="25"/>
        </w:rPr>
      </w:pPr>
    </w:p>
    <w:p w14:paraId="5B371CC8" w14:textId="77777777" w:rsidR="00BB2383" w:rsidRDefault="005D7A9C" w:rsidP="005A551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WAC 480-15-480 requires permitted household goods </w:t>
      </w:r>
      <w:r w:rsidR="00126995">
        <w:rPr>
          <w:bCs/>
          <w:sz w:val="25"/>
          <w:szCs w:val="25"/>
        </w:rPr>
        <w:t>carriers</w:t>
      </w:r>
      <w:r w:rsidR="00772D78" w:rsidRPr="00347054">
        <w:rPr>
          <w:sz w:val="25"/>
          <w:szCs w:val="25"/>
        </w:rPr>
        <w:t xml:space="preserve"> to file annual reports and pay regulatory fees </w:t>
      </w:r>
      <w:r w:rsidRPr="00347054">
        <w:rPr>
          <w:sz w:val="25"/>
          <w:szCs w:val="25"/>
        </w:rPr>
        <w:t>by May 1 of each year</w:t>
      </w:r>
      <w:r w:rsidR="00BB2383" w:rsidRPr="00347054">
        <w:rPr>
          <w:sz w:val="25"/>
          <w:szCs w:val="25"/>
        </w:rPr>
        <w:t>.</w:t>
      </w:r>
      <w:r w:rsidR="00436446" w:rsidRPr="00347054">
        <w:rPr>
          <w:sz w:val="25"/>
          <w:szCs w:val="25"/>
        </w:rPr>
        <w:t xml:space="preserve">  </w:t>
      </w:r>
      <w:r w:rsidR="00FE4F7B" w:rsidRPr="00347054">
        <w:rPr>
          <w:sz w:val="25"/>
          <w:szCs w:val="25"/>
        </w:rPr>
        <w:t>Companies are responsible for complying with their legal obligations, and the Company should have been aware of the need to file an annual report, particularly giv</w:t>
      </w:r>
      <w:r w:rsidR="0003347C">
        <w:rPr>
          <w:sz w:val="25"/>
          <w:szCs w:val="25"/>
        </w:rPr>
        <w:t xml:space="preserve">en the Commission’s reminders and its past violation.  </w:t>
      </w:r>
      <w:r w:rsidR="005E1EA6">
        <w:rPr>
          <w:sz w:val="25"/>
          <w:szCs w:val="25"/>
        </w:rPr>
        <w:br/>
      </w:r>
    </w:p>
    <w:p w14:paraId="6C581C2A" w14:textId="77777777" w:rsidR="005E1EA6" w:rsidRPr="00D26E66" w:rsidRDefault="00FE4F7B" w:rsidP="005A551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D26E66">
        <w:rPr>
          <w:sz w:val="25"/>
          <w:szCs w:val="25"/>
        </w:rPr>
        <w:t xml:space="preserve">The Commission agrees with Staff’s recommendation and denies the Company’s request for mitigation.  </w:t>
      </w:r>
      <w:r w:rsidR="00D26E66" w:rsidRPr="00D26E66">
        <w:rPr>
          <w:sz w:val="25"/>
          <w:szCs w:val="25"/>
        </w:rPr>
        <w:t>The Commission may consider a number of factors when entertaining a request for mitigation, including the company’s compliance history and the likelihood the violation will recur.</w:t>
      </w:r>
      <w:r w:rsidR="00D26E66">
        <w:rPr>
          <w:rStyle w:val="FootnoteReference"/>
          <w:sz w:val="25"/>
          <w:szCs w:val="25"/>
        </w:rPr>
        <w:footnoteReference w:id="1"/>
      </w:r>
      <w:r w:rsidR="00D26E66" w:rsidRPr="00D26E66">
        <w:rPr>
          <w:sz w:val="25"/>
          <w:szCs w:val="25"/>
        </w:rPr>
        <w:t xml:space="preserve">  Here, the Company has a history of noncompliance; it received and paid a reduced penalty in 2013.  </w:t>
      </w:r>
      <w:r w:rsidR="00D26E66">
        <w:rPr>
          <w:sz w:val="25"/>
          <w:szCs w:val="25"/>
        </w:rPr>
        <w:t>A</w:t>
      </w:r>
      <w:r w:rsidR="00131E06">
        <w:rPr>
          <w:sz w:val="25"/>
          <w:szCs w:val="25"/>
        </w:rPr>
        <w:t>ccordingly</w:t>
      </w:r>
      <w:r w:rsidR="00D26E66">
        <w:rPr>
          <w:sz w:val="25"/>
          <w:szCs w:val="25"/>
        </w:rPr>
        <w:t>, w</w:t>
      </w:r>
      <w:r w:rsidR="00D26E66" w:rsidRPr="00D26E66">
        <w:rPr>
          <w:sz w:val="25"/>
          <w:szCs w:val="25"/>
        </w:rPr>
        <w:t>e are</w:t>
      </w:r>
      <w:r w:rsidR="005B45C7" w:rsidRPr="00D26E66">
        <w:rPr>
          <w:sz w:val="25"/>
          <w:szCs w:val="25"/>
        </w:rPr>
        <w:t xml:space="preserve"> </w:t>
      </w:r>
      <w:r w:rsidR="007A25D0">
        <w:rPr>
          <w:sz w:val="25"/>
          <w:szCs w:val="25"/>
        </w:rPr>
        <w:t xml:space="preserve">not </w:t>
      </w:r>
      <w:r w:rsidR="00131E06">
        <w:rPr>
          <w:sz w:val="25"/>
          <w:szCs w:val="25"/>
        </w:rPr>
        <w:t>persuaded by</w:t>
      </w:r>
      <w:r w:rsidR="006B6062" w:rsidRPr="00D26E66">
        <w:rPr>
          <w:sz w:val="25"/>
          <w:szCs w:val="25"/>
        </w:rPr>
        <w:t xml:space="preserve"> the Company’s inaccurate </w:t>
      </w:r>
      <w:r w:rsidR="007A25D0">
        <w:rPr>
          <w:sz w:val="25"/>
          <w:szCs w:val="25"/>
        </w:rPr>
        <w:t>depiction of itself as a newly regulated company</w:t>
      </w:r>
      <w:r w:rsidR="005B45C7" w:rsidRPr="00D26E66">
        <w:rPr>
          <w:sz w:val="25"/>
          <w:szCs w:val="25"/>
        </w:rPr>
        <w:t>,</w:t>
      </w:r>
      <w:r w:rsidR="008441D8" w:rsidRPr="00D26E66">
        <w:rPr>
          <w:sz w:val="25"/>
          <w:szCs w:val="25"/>
        </w:rPr>
        <w:t xml:space="preserve"> </w:t>
      </w:r>
      <w:r w:rsidR="00131E06">
        <w:rPr>
          <w:sz w:val="25"/>
          <w:szCs w:val="25"/>
        </w:rPr>
        <w:t>or</w:t>
      </w:r>
      <w:r w:rsidR="004342E8">
        <w:rPr>
          <w:sz w:val="25"/>
          <w:szCs w:val="25"/>
        </w:rPr>
        <w:t xml:space="preserve"> </w:t>
      </w:r>
      <w:r w:rsidR="008441D8" w:rsidRPr="00D26E66">
        <w:rPr>
          <w:sz w:val="25"/>
          <w:szCs w:val="25"/>
        </w:rPr>
        <w:t xml:space="preserve">its </w:t>
      </w:r>
      <w:r w:rsidR="005B45C7" w:rsidRPr="00D26E66">
        <w:rPr>
          <w:sz w:val="25"/>
          <w:szCs w:val="25"/>
        </w:rPr>
        <w:t>claim</w:t>
      </w:r>
      <w:r w:rsidR="008441D8" w:rsidRPr="00D26E66">
        <w:rPr>
          <w:sz w:val="25"/>
          <w:szCs w:val="25"/>
        </w:rPr>
        <w:t xml:space="preserve"> it was </w:t>
      </w:r>
      <w:r w:rsidR="00131E06">
        <w:rPr>
          <w:sz w:val="25"/>
          <w:szCs w:val="25"/>
        </w:rPr>
        <w:t>una</w:t>
      </w:r>
      <w:r w:rsidR="008441D8" w:rsidRPr="00D26E66">
        <w:rPr>
          <w:sz w:val="25"/>
          <w:szCs w:val="25"/>
        </w:rPr>
        <w:t xml:space="preserve">ware of </w:t>
      </w:r>
      <w:r w:rsidR="005B45C7" w:rsidRPr="00D26E66">
        <w:rPr>
          <w:sz w:val="25"/>
          <w:szCs w:val="25"/>
        </w:rPr>
        <w:t xml:space="preserve">Commission </w:t>
      </w:r>
      <w:r w:rsidR="008441D8" w:rsidRPr="00D26E66">
        <w:rPr>
          <w:sz w:val="25"/>
          <w:szCs w:val="25"/>
        </w:rPr>
        <w:t>reporting requirements</w:t>
      </w:r>
      <w:r w:rsidR="006B6062" w:rsidRPr="00D26E66">
        <w:rPr>
          <w:sz w:val="25"/>
          <w:szCs w:val="25"/>
        </w:rPr>
        <w:t xml:space="preserve">.  </w:t>
      </w:r>
      <w:r w:rsidR="008441D8" w:rsidRPr="00D26E66">
        <w:rPr>
          <w:sz w:val="25"/>
          <w:szCs w:val="25"/>
        </w:rPr>
        <w:t>The employee who submitted the Company’s mitigation request in this docket requested mitigation for the same violation in 2013</w:t>
      </w:r>
      <w:r w:rsidR="00A86F74" w:rsidRPr="00D26E66">
        <w:rPr>
          <w:sz w:val="25"/>
          <w:szCs w:val="25"/>
        </w:rPr>
        <w:t xml:space="preserve">, </w:t>
      </w:r>
      <w:r w:rsidR="00DF04D8" w:rsidRPr="00D26E66">
        <w:rPr>
          <w:sz w:val="25"/>
          <w:szCs w:val="25"/>
        </w:rPr>
        <w:t xml:space="preserve">at that time also </w:t>
      </w:r>
      <w:r w:rsidR="00A86F74" w:rsidRPr="00D26E66">
        <w:rPr>
          <w:sz w:val="25"/>
          <w:szCs w:val="25"/>
        </w:rPr>
        <w:t>stating</w:t>
      </w:r>
      <w:r w:rsidR="008441D8" w:rsidRPr="00D26E66">
        <w:rPr>
          <w:sz w:val="25"/>
          <w:szCs w:val="25"/>
        </w:rPr>
        <w:t xml:space="preserve"> </w:t>
      </w:r>
      <w:r w:rsidR="00DF04D8" w:rsidRPr="00D26E66">
        <w:rPr>
          <w:sz w:val="25"/>
          <w:szCs w:val="25"/>
        </w:rPr>
        <w:t>s</w:t>
      </w:r>
      <w:r w:rsidR="008441D8" w:rsidRPr="00D26E66">
        <w:rPr>
          <w:sz w:val="25"/>
          <w:szCs w:val="25"/>
        </w:rPr>
        <w:t xml:space="preserve">he was not aware of the </w:t>
      </w:r>
      <w:r w:rsidR="00D26E66" w:rsidRPr="00D26E66">
        <w:rPr>
          <w:sz w:val="25"/>
          <w:szCs w:val="25"/>
        </w:rPr>
        <w:t>need to file an annual report</w:t>
      </w:r>
      <w:r w:rsidR="008441D8" w:rsidRPr="00D26E66">
        <w:rPr>
          <w:sz w:val="25"/>
          <w:szCs w:val="25"/>
        </w:rPr>
        <w:t xml:space="preserve">.  </w:t>
      </w:r>
      <w:r w:rsidR="005B45C7" w:rsidRPr="00D26E66">
        <w:rPr>
          <w:sz w:val="25"/>
          <w:szCs w:val="25"/>
        </w:rPr>
        <w:t xml:space="preserve">If the Company wishes to avoid future penalties, it should take whatever steps are necessary to fully educate itself on Commission rules and comply with them.  </w:t>
      </w:r>
      <w:r w:rsidR="00D26E66">
        <w:rPr>
          <w:sz w:val="25"/>
          <w:szCs w:val="25"/>
        </w:rPr>
        <w:t>Given the above circumstances, we find that t</w:t>
      </w:r>
      <w:r w:rsidR="00D26E66" w:rsidRPr="00D26E66">
        <w:rPr>
          <w:sz w:val="25"/>
          <w:szCs w:val="25"/>
        </w:rPr>
        <w:t>he violations are likely to recur absent an escalated penalty.  T</w:t>
      </w:r>
      <w:r w:rsidRPr="00D26E66">
        <w:rPr>
          <w:sz w:val="25"/>
          <w:szCs w:val="25"/>
        </w:rPr>
        <w:t>he Commission finds the penalty amount to be a reasonable deterrent to overlooking future filing deadlines and requirements.</w:t>
      </w:r>
      <w:r w:rsidR="007A25D0">
        <w:rPr>
          <w:sz w:val="25"/>
          <w:szCs w:val="25"/>
        </w:rPr>
        <w:t xml:space="preserve"> </w:t>
      </w:r>
    </w:p>
    <w:p w14:paraId="0B3D6C99" w14:textId="77777777" w:rsidR="00347054" w:rsidRPr="00347054" w:rsidRDefault="00347054" w:rsidP="005A551A">
      <w:pPr>
        <w:tabs>
          <w:tab w:val="left" w:pos="0"/>
        </w:tabs>
        <w:spacing w:line="264" w:lineRule="auto"/>
        <w:rPr>
          <w:sz w:val="25"/>
          <w:szCs w:val="25"/>
        </w:rPr>
      </w:pPr>
    </w:p>
    <w:p w14:paraId="4E7BEE71" w14:textId="77777777" w:rsidR="00F32856" w:rsidRPr="00347054" w:rsidRDefault="00F32856" w:rsidP="005A551A">
      <w:pPr>
        <w:spacing w:line="264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03773C1F" w14:textId="77777777" w:rsidR="00892232" w:rsidRPr="00347054" w:rsidRDefault="00892232" w:rsidP="005A551A">
      <w:pPr>
        <w:pStyle w:val="ListParagraph"/>
        <w:spacing w:line="264" w:lineRule="auto"/>
        <w:ind w:left="0"/>
        <w:rPr>
          <w:sz w:val="25"/>
          <w:szCs w:val="25"/>
        </w:rPr>
      </w:pPr>
    </w:p>
    <w:p w14:paraId="104A274A" w14:textId="77777777" w:rsidR="00F32856" w:rsidRPr="00347054" w:rsidRDefault="00F32856" w:rsidP="005A551A">
      <w:pPr>
        <w:spacing w:line="264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07D1F3F0" w14:textId="77777777" w:rsidR="00F32856" w:rsidRPr="00347054" w:rsidRDefault="00F32856" w:rsidP="005A551A">
      <w:pPr>
        <w:spacing w:line="264" w:lineRule="auto"/>
        <w:ind w:left="720"/>
        <w:rPr>
          <w:sz w:val="25"/>
          <w:szCs w:val="25"/>
        </w:rPr>
      </w:pPr>
    </w:p>
    <w:p w14:paraId="1C87FE8E" w14:textId="77777777" w:rsidR="005E3095" w:rsidRPr="00347054" w:rsidRDefault="005E3095" w:rsidP="005A551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lastRenderedPageBreak/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5B45C7">
        <w:rPr>
          <w:bCs/>
          <w:sz w:val="25"/>
          <w:szCs w:val="25"/>
        </w:rPr>
        <w:t>American Moving</w:t>
      </w:r>
      <w:r w:rsidR="00805D66">
        <w:rPr>
          <w:bCs/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5B45C7">
        <w:rPr>
          <w:sz w:val="25"/>
          <w:szCs w:val="25"/>
        </w:rPr>
        <w:t>1,000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 xml:space="preserve">is </w:t>
      </w:r>
      <w:r w:rsidR="00FE4F7B">
        <w:rPr>
          <w:sz w:val="25"/>
          <w:szCs w:val="25"/>
        </w:rPr>
        <w:t>DENIED</w:t>
      </w:r>
      <w:r w:rsidR="00E0789C" w:rsidRPr="00347054">
        <w:rPr>
          <w:sz w:val="25"/>
          <w:szCs w:val="25"/>
        </w:rPr>
        <w:t xml:space="preserve">.  </w:t>
      </w:r>
    </w:p>
    <w:p w14:paraId="283D4230" w14:textId="77777777" w:rsidR="005E3095" w:rsidRPr="00347054" w:rsidRDefault="005E3095" w:rsidP="005A551A">
      <w:pPr>
        <w:spacing w:line="264" w:lineRule="auto"/>
        <w:ind w:left="720"/>
        <w:rPr>
          <w:sz w:val="25"/>
          <w:szCs w:val="25"/>
        </w:rPr>
      </w:pPr>
    </w:p>
    <w:p w14:paraId="5120F28B" w14:textId="77777777" w:rsidR="00D10DF0" w:rsidRPr="00347054" w:rsidRDefault="005E3095" w:rsidP="005A551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E0789C" w:rsidRPr="00347054">
        <w:rPr>
          <w:sz w:val="25"/>
          <w:szCs w:val="25"/>
        </w:rPr>
        <w:t>Th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</w:t>
      </w:r>
      <w:r w:rsidR="00F37B8C">
        <w:rPr>
          <w:sz w:val="25"/>
          <w:szCs w:val="25"/>
        </w:rPr>
        <w:t xml:space="preserve">is due and payable no later than </w:t>
      </w:r>
      <w:r w:rsidR="005A551A">
        <w:rPr>
          <w:sz w:val="25"/>
          <w:szCs w:val="25"/>
        </w:rPr>
        <w:t>August 1</w:t>
      </w:r>
      <w:r w:rsidR="002A547A">
        <w:rPr>
          <w:sz w:val="25"/>
          <w:szCs w:val="25"/>
        </w:rPr>
        <w:t>, 2014</w:t>
      </w:r>
      <w:r w:rsidR="009B4C93" w:rsidRPr="00347054">
        <w:rPr>
          <w:sz w:val="25"/>
          <w:szCs w:val="25"/>
        </w:rPr>
        <w:t>.</w:t>
      </w:r>
    </w:p>
    <w:p w14:paraId="7805A6CB" w14:textId="77777777" w:rsidR="00AA6988" w:rsidRPr="00347054" w:rsidRDefault="00AA6988" w:rsidP="005A551A">
      <w:pPr>
        <w:pStyle w:val="ListParagraph"/>
        <w:spacing w:line="264" w:lineRule="auto"/>
        <w:rPr>
          <w:sz w:val="25"/>
          <w:szCs w:val="25"/>
        </w:rPr>
      </w:pPr>
    </w:p>
    <w:p w14:paraId="0BDCB3F5" w14:textId="77777777" w:rsidR="006F2E4D" w:rsidRPr="00347054" w:rsidRDefault="00860038" w:rsidP="005A551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2CF07B5F" w14:textId="77777777" w:rsidR="00860038" w:rsidRPr="00347054" w:rsidRDefault="00860038" w:rsidP="005A551A">
      <w:pPr>
        <w:spacing w:line="264" w:lineRule="auto"/>
        <w:rPr>
          <w:sz w:val="25"/>
          <w:szCs w:val="25"/>
        </w:rPr>
      </w:pPr>
    </w:p>
    <w:p w14:paraId="20B9BC49" w14:textId="77777777" w:rsidR="00C011AB" w:rsidRPr="00347054" w:rsidRDefault="00BD11E4" w:rsidP="005A551A">
      <w:pPr>
        <w:spacing w:line="264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8A54E8">
        <w:rPr>
          <w:sz w:val="25"/>
          <w:szCs w:val="25"/>
        </w:rPr>
        <w:t xml:space="preserve">July </w:t>
      </w:r>
      <w:r w:rsidR="00FE4F7B">
        <w:rPr>
          <w:sz w:val="25"/>
          <w:szCs w:val="25"/>
        </w:rPr>
        <w:t>1</w:t>
      </w:r>
      <w:r w:rsidR="005A551A">
        <w:rPr>
          <w:sz w:val="25"/>
          <w:szCs w:val="25"/>
        </w:rPr>
        <w:t>8</w:t>
      </w:r>
      <w:r w:rsidR="008A54E8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10790F05" w14:textId="77777777" w:rsidR="00C011AB" w:rsidRPr="00347054" w:rsidRDefault="00C011AB" w:rsidP="005A551A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0F41E5C5" w14:textId="77777777" w:rsidR="00C011AB" w:rsidRPr="00347054" w:rsidRDefault="00C011AB" w:rsidP="005A551A">
      <w:pPr>
        <w:spacing w:line="264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6E187DD2" w14:textId="77777777" w:rsidR="00981531" w:rsidRPr="00347054" w:rsidRDefault="00981531" w:rsidP="005A551A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3C9FD787" w14:textId="77777777" w:rsidR="00293EC2" w:rsidRPr="00347054" w:rsidRDefault="00293EC2" w:rsidP="005A551A">
      <w:pPr>
        <w:spacing w:line="264" w:lineRule="auto"/>
        <w:ind w:left="2880" w:firstLine="720"/>
        <w:jc w:val="center"/>
        <w:rPr>
          <w:sz w:val="25"/>
          <w:szCs w:val="25"/>
        </w:rPr>
      </w:pPr>
    </w:p>
    <w:p w14:paraId="5B1C21CB" w14:textId="77777777" w:rsidR="00293EC2" w:rsidRPr="00347054" w:rsidRDefault="00293EC2" w:rsidP="005A551A">
      <w:pPr>
        <w:spacing w:line="264" w:lineRule="auto"/>
        <w:ind w:left="2880" w:firstLine="720"/>
        <w:jc w:val="center"/>
        <w:rPr>
          <w:sz w:val="25"/>
          <w:szCs w:val="25"/>
        </w:rPr>
      </w:pPr>
    </w:p>
    <w:p w14:paraId="61495B16" w14:textId="77777777" w:rsidR="00C011AB" w:rsidRPr="00347054" w:rsidRDefault="008A37A3" w:rsidP="005A551A">
      <w:pPr>
        <w:spacing w:line="264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56383BE0" w14:textId="77777777" w:rsidR="00C011AB" w:rsidRPr="00347054" w:rsidRDefault="00C011AB" w:rsidP="005A551A">
      <w:pPr>
        <w:spacing w:line="264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465DD4E5" w14:textId="77777777" w:rsidR="006972FB" w:rsidRPr="00347054" w:rsidRDefault="006972FB" w:rsidP="005A551A">
      <w:pPr>
        <w:spacing w:line="264" w:lineRule="auto"/>
        <w:rPr>
          <w:sz w:val="25"/>
          <w:szCs w:val="25"/>
        </w:rPr>
      </w:pPr>
    </w:p>
    <w:p w14:paraId="18BD2AD6" w14:textId="77777777" w:rsidR="00F637C2" w:rsidRPr="00347054" w:rsidRDefault="00F637C2" w:rsidP="005A551A">
      <w:pPr>
        <w:spacing w:line="264" w:lineRule="auto"/>
        <w:rPr>
          <w:sz w:val="25"/>
          <w:szCs w:val="25"/>
        </w:rPr>
      </w:pPr>
    </w:p>
    <w:p w14:paraId="2C211ED2" w14:textId="77777777" w:rsidR="006972FB" w:rsidRPr="00347054" w:rsidRDefault="006972FB" w:rsidP="005A551A">
      <w:pPr>
        <w:spacing w:line="264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8452E" w14:textId="77777777" w:rsidR="00CE75C7" w:rsidRDefault="00CE75C7">
      <w:r>
        <w:separator/>
      </w:r>
    </w:p>
  </w:endnote>
  <w:endnote w:type="continuationSeparator" w:id="0">
    <w:p w14:paraId="68D60DFC" w14:textId="77777777" w:rsidR="00CE75C7" w:rsidRDefault="00CE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DA146" w14:textId="77777777" w:rsidR="002953C3" w:rsidRDefault="002953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74ACC" w14:textId="77777777" w:rsidR="002953C3" w:rsidRDefault="002953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360AF" w14:textId="77777777" w:rsidR="002953C3" w:rsidRDefault="00295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0C939" w14:textId="77777777" w:rsidR="00CE75C7" w:rsidRDefault="00CE75C7">
      <w:r>
        <w:separator/>
      </w:r>
    </w:p>
  </w:footnote>
  <w:footnote w:type="continuationSeparator" w:id="0">
    <w:p w14:paraId="185F5E48" w14:textId="77777777" w:rsidR="00CE75C7" w:rsidRDefault="00CE75C7">
      <w:r>
        <w:continuationSeparator/>
      </w:r>
    </w:p>
  </w:footnote>
  <w:footnote w:id="1">
    <w:p w14:paraId="78E6AD82" w14:textId="77777777" w:rsidR="00D26E66" w:rsidRPr="005A551A" w:rsidRDefault="00D26E66" w:rsidP="005A551A">
      <w:pPr>
        <w:pStyle w:val="FootnoteText"/>
        <w:spacing w:after="120"/>
        <w:rPr>
          <w:sz w:val="22"/>
          <w:szCs w:val="22"/>
        </w:rPr>
      </w:pPr>
      <w:r w:rsidRPr="005A551A">
        <w:rPr>
          <w:rStyle w:val="FootnoteReference"/>
          <w:sz w:val="22"/>
          <w:szCs w:val="22"/>
        </w:rPr>
        <w:footnoteRef/>
      </w:r>
      <w:r w:rsidRPr="005A551A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9CBA" w14:textId="77777777" w:rsidR="002953C3" w:rsidRDefault="002953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5280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76509F">
      <w:rPr>
        <w:b/>
        <w:bCs/>
        <w:sz w:val="20"/>
        <w:szCs w:val="20"/>
      </w:rPr>
      <w:t>409</w:t>
    </w:r>
    <w:r w:rsidR="004A11F3">
      <w:rPr>
        <w:b/>
        <w:bCs/>
        <w:sz w:val="20"/>
        <w:szCs w:val="20"/>
      </w:rPr>
      <w:t>42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2953C3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28ACAF93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03D8614A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ECAC" w14:textId="77777777" w:rsidR="002953C3" w:rsidRPr="005A53AE" w:rsidRDefault="002953C3" w:rsidP="002953C3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18, 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3347C"/>
    <w:rsid w:val="00040C1A"/>
    <w:rsid w:val="000425D2"/>
    <w:rsid w:val="000426C0"/>
    <w:rsid w:val="00052588"/>
    <w:rsid w:val="00064277"/>
    <w:rsid w:val="00064471"/>
    <w:rsid w:val="000677EC"/>
    <w:rsid w:val="00084377"/>
    <w:rsid w:val="000A14A5"/>
    <w:rsid w:val="000A38A3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1B07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1E0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4F15"/>
    <w:rsid w:val="001664DB"/>
    <w:rsid w:val="0017431C"/>
    <w:rsid w:val="00174556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C7A05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285"/>
    <w:rsid w:val="00291C3E"/>
    <w:rsid w:val="00293EC2"/>
    <w:rsid w:val="002953C3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04F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2E8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1F3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64C22"/>
    <w:rsid w:val="0057202D"/>
    <w:rsid w:val="005817DB"/>
    <w:rsid w:val="0058665D"/>
    <w:rsid w:val="005868BB"/>
    <w:rsid w:val="00587170"/>
    <w:rsid w:val="00597B2E"/>
    <w:rsid w:val="005A53AE"/>
    <w:rsid w:val="005A551A"/>
    <w:rsid w:val="005A7177"/>
    <w:rsid w:val="005B2395"/>
    <w:rsid w:val="005B2C2C"/>
    <w:rsid w:val="005B3D6F"/>
    <w:rsid w:val="005B45BF"/>
    <w:rsid w:val="005B45C7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33CE8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3D80"/>
    <w:rsid w:val="00684895"/>
    <w:rsid w:val="006972FB"/>
    <w:rsid w:val="006A0236"/>
    <w:rsid w:val="006A2DCA"/>
    <w:rsid w:val="006B2972"/>
    <w:rsid w:val="006B41C6"/>
    <w:rsid w:val="006B6062"/>
    <w:rsid w:val="006B619B"/>
    <w:rsid w:val="006B6EDA"/>
    <w:rsid w:val="006C5AA6"/>
    <w:rsid w:val="006C67EE"/>
    <w:rsid w:val="006D1F48"/>
    <w:rsid w:val="006D3BA8"/>
    <w:rsid w:val="006E06FD"/>
    <w:rsid w:val="006F0806"/>
    <w:rsid w:val="006F1B9B"/>
    <w:rsid w:val="006F2E4D"/>
    <w:rsid w:val="006F5053"/>
    <w:rsid w:val="006F7C3C"/>
    <w:rsid w:val="00706248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25D0"/>
    <w:rsid w:val="007A3293"/>
    <w:rsid w:val="007B082C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912"/>
    <w:rsid w:val="00805D66"/>
    <w:rsid w:val="00807A37"/>
    <w:rsid w:val="00811797"/>
    <w:rsid w:val="0081220C"/>
    <w:rsid w:val="0082073A"/>
    <w:rsid w:val="00820BD5"/>
    <w:rsid w:val="008215F8"/>
    <w:rsid w:val="008263FC"/>
    <w:rsid w:val="00827DA2"/>
    <w:rsid w:val="00827DCB"/>
    <w:rsid w:val="00830040"/>
    <w:rsid w:val="00834160"/>
    <w:rsid w:val="0084064A"/>
    <w:rsid w:val="00841996"/>
    <w:rsid w:val="008441D8"/>
    <w:rsid w:val="00845187"/>
    <w:rsid w:val="00845C37"/>
    <w:rsid w:val="00852803"/>
    <w:rsid w:val="008554A7"/>
    <w:rsid w:val="00860038"/>
    <w:rsid w:val="00872122"/>
    <w:rsid w:val="0087222E"/>
    <w:rsid w:val="008723C5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44BC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1FF3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86F74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71783"/>
    <w:rsid w:val="00C829A5"/>
    <w:rsid w:val="00C84737"/>
    <w:rsid w:val="00C92A52"/>
    <w:rsid w:val="00C94AC0"/>
    <w:rsid w:val="00CA0EC2"/>
    <w:rsid w:val="00CA18D9"/>
    <w:rsid w:val="00CB3321"/>
    <w:rsid w:val="00CC2029"/>
    <w:rsid w:val="00CC56C9"/>
    <w:rsid w:val="00CC6B86"/>
    <w:rsid w:val="00CD595A"/>
    <w:rsid w:val="00CD6B55"/>
    <w:rsid w:val="00CE75C7"/>
    <w:rsid w:val="00CF301F"/>
    <w:rsid w:val="00CF402B"/>
    <w:rsid w:val="00CF46A5"/>
    <w:rsid w:val="00D05636"/>
    <w:rsid w:val="00D10DF0"/>
    <w:rsid w:val="00D165B1"/>
    <w:rsid w:val="00D17A2B"/>
    <w:rsid w:val="00D21002"/>
    <w:rsid w:val="00D232AD"/>
    <w:rsid w:val="00D263A6"/>
    <w:rsid w:val="00D26BA0"/>
    <w:rsid w:val="00D26E66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4D8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2106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37B8C"/>
    <w:rsid w:val="00F42087"/>
    <w:rsid w:val="00F51228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4F7B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884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2014-07-18T07:00:00+00:00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American Moving Co Inc</CaseCompanyNames>
    <DocketNumber xmlns="dc463f71-b30c-4ab2-9473-d307f9d35888">140942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8929F62D63EF84C903E134F019AF595" ma:contentTypeVersion="175" ma:contentTypeDescription="" ma:contentTypeScope="" ma:versionID="1139634a42322a50f5bc31e562adb6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03F77-3AEB-4948-85EF-28039BFBC436}"/>
</file>

<file path=customXml/itemProps2.xml><?xml version="1.0" encoding="utf-8"?>
<ds:datastoreItem xmlns:ds="http://schemas.openxmlformats.org/officeDocument/2006/customXml" ds:itemID="{28C4774A-1907-489D-A4A7-4E11FF155506}"/>
</file>

<file path=customXml/itemProps3.xml><?xml version="1.0" encoding="utf-8"?>
<ds:datastoreItem xmlns:ds="http://schemas.openxmlformats.org/officeDocument/2006/customXml" ds:itemID="{D4D5861A-3E52-4798-9F47-16BAB7AEC68A}"/>
</file>

<file path=customXml/itemProps4.xml><?xml version="1.0" encoding="utf-8"?>
<ds:datastoreItem xmlns:ds="http://schemas.openxmlformats.org/officeDocument/2006/customXml" ds:itemID="{75D5DEFA-C100-4081-B2F7-01607490B76B}"/>
</file>

<file path=customXml/itemProps5.xml><?xml version="1.0" encoding="utf-8"?>
<ds:datastoreItem xmlns:ds="http://schemas.openxmlformats.org/officeDocument/2006/customXml" ds:itemID="{560FE4FF-CD60-4E9E-BC33-29F8049710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2014-07-16T15:40:00Z</dcterms:created>
  <dcterms:modified xsi:type="dcterms:W3CDTF">2014-07-16T15:40:00Z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0x0101006E56B4D1795A2E4DB2F0B01679ED314A0028929F62D63EF84C903E134F019AF595</vt:lpwstr>
  </property>
  <property fmtid="{D5CDD505-2E9C-101B-9397-08002B2CF9AE}" pid="3" name="_docset_NoMedatataSyncRequired">
    <vt:lpwstr>False</vt:lpwstr>
  </property>
</Properties>
</file>