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DEF97" w14:textId="0E1D871E" w:rsidR="00681739" w:rsidRDefault="00E376A0" w:rsidP="006817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Agenda 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24, 2014</w:t>
      </w:r>
    </w:p>
    <w:p w14:paraId="417D3AAA" w14:textId="40CC9A59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Number:</w:t>
      </w:r>
      <w:r>
        <w:rPr>
          <w:rFonts w:ascii="Times New Roman" w:hAnsi="Times New Roman" w:cs="Times New Roman"/>
          <w:sz w:val="24"/>
          <w:szCs w:val="24"/>
        </w:rPr>
        <w:tab/>
      </w:r>
      <w:r w:rsidR="00F6687E">
        <w:rPr>
          <w:rFonts w:ascii="Times New Roman" w:hAnsi="Times New Roman" w:cs="Times New Roman"/>
          <w:sz w:val="24"/>
          <w:szCs w:val="24"/>
        </w:rPr>
        <w:tab/>
      </w:r>
      <w:r w:rsidR="00E376A0">
        <w:rPr>
          <w:rFonts w:ascii="Times New Roman" w:hAnsi="Times New Roman" w:cs="Times New Roman"/>
          <w:sz w:val="24"/>
          <w:szCs w:val="24"/>
        </w:rPr>
        <w:t>A</w:t>
      </w:r>
      <w:r w:rsidR="00EE59AB">
        <w:rPr>
          <w:rFonts w:ascii="Times New Roman" w:hAnsi="Times New Roman" w:cs="Times New Roman"/>
          <w:sz w:val="24"/>
          <w:szCs w:val="24"/>
        </w:rPr>
        <w:t>4</w:t>
      </w:r>
    </w:p>
    <w:p w14:paraId="7C40582E" w14:textId="77777777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</w:p>
    <w:p w14:paraId="4B83E767" w14:textId="044A1AD5" w:rsidR="00681739" w:rsidRDefault="00E376A0" w:rsidP="0068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UE-140330</w:t>
      </w:r>
    </w:p>
    <w:p w14:paraId="1E513CA7" w14:textId="77777777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Puget Sound Energy</w:t>
      </w:r>
    </w:p>
    <w:p w14:paraId="2D908B2A" w14:textId="77777777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</w:p>
    <w:p w14:paraId="1D37A273" w14:textId="77777777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Juliana Williams, Regulatory Analyst</w:t>
      </w:r>
    </w:p>
    <w:p w14:paraId="792DA067" w14:textId="666F868D" w:rsidR="00E376A0" w:rsidRDefault="00E376A0" w:rsidP="00E376A0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Jeremy Twitchell, Regulatory Analyst</w:t>
      </w:r>
    </w:p>
    <w:p w14:paraId="7A5FE799" w14:textId="77777777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</w:p>
    <w:p w14:paraId="4C44BFE8" w14:textId="77777777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048313B5" w14:textId="77777777" w:rsidR="00681739" w:rsidRPr="00E91EE7" w:rsidRDefault="00681739" w:rsidP="00E91EE7">
      <w:pPr>
        <w:rPr>
          <w:rFonts w:ascii="Times New Roman" w:hAnsi="Times New Roman" w:cs="Times New Roman"/>
          <w:sz w:val="24"/>
          <w:szCs w:val="24"/>
        </w:rPr>
      </w:pPr>
    </w:p>
    <w:p w14:paraId="5DDBE619" w14:textId="29F41055" w:rsidR="00681739" w:rsidRPr="00622E0D" w:rsidRDefault="00622E0D" w:rsidP="00681739">
      <w:pPr>
        <w:rPr>
          <w:rFonts w:ascii="Times New Roman" w:hAnsi="Times New Roman" w:cs="Times New Roman"/>
          <w:sz w:val="24"/>
          <w:szCs w:val="24"/>
        </w:rPr>
      </w:pPr>
      <w:r w:rsidRPr="00622E0D">
        <w:rPr>
          <w:rFonts w:ascii="Times New Roman" w:hAnsi="Times New Roman" w:cs="Times New Roman"/>
          <w:sz w:val="24"/>
          <w:szCs w:val="24"/>
        </w:rPr>
        <w:t xml:space="preserve">Take no action, allowing the tariff to go into effect by operation of law, on the condition that Puget Sound Energy make a compliance filing by April 29, 2014, with an effective date of </w:t>
      </w:r>
      <w:r w:rsidR="00935E5E">
        <w:rPr>
          <w:rFonts w:ascii="Times New Roman" w:hAnsi="Times New Roman" w:cs="Times New Roman"/>
          <w:sz w:val="24"/>
          <w:szCs w:val="24"/>
        </w:rPr>
        <w:t xml:space="preserve">   </w:t>
      </w:r>
      <w:r w:rsidRPr="00622E0D">
        <w:rPr>
          <w:rFonts w:ascii="Times New Roman" w:hAnsi="Times New Roman" w:cs="Times New Roman"/>
          <w:sz w:val="24"/>
          <w:szCs w:val="24"/>
        </w:rPr>
        <w:t>May 1, 2014, that reflects any Commission action in Docket UE-131585 regarding the Electric Vehicle Charger Incentive that differs from the Company’s filing in Docket UE-131585.</w:t>
      </w:r>
    </w:p>
    <w:p w14:paraId="2F006513" w14:textId="77777777" w:rsidR="00622E0D" w:rsidRDefault="00622E0D" w:rsidP="00681739">
      <w:pPr>
        <w:rPr>
          <w:rFonts w:ascii="Times New Roman" w:hAnsi="Times New Roman" w:cs="Times New Roman"/>
          <w:sz w:val="24"/>
          <w:szCs w:val="24"/>
        </w:rPr>
      </w:pPr>
    </w:p>
    <w:p w14:paraId="58172B7E" w14:textId="77777777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14:paraId="0BEC5585" w14:textId="77777777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</w:p>
    <w:p w14:paraId="46EE1C12" w14:textId="77777777" w:rsidR="008616D9" w:rsidRDefault="00E376A0" w:rsidP="0068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February 28, 2014</w:t>
      </w:r>
      <w:r w:rsidR="00681739">
        <w:rPr>
          <w:rFonts w:ascii="Times New Roman" w:hAnsi="Times New Roman" w:cs="Times New Roman"/>
          <w:sz w:val="24"/>
          <w:szCs w:val="24"/>
        </w:rPr>
        <w:t xml:space="preserve">, Puget Sound Energy (PSE or company) filed revisions to its Electricity Conservation Service Rider, Schedule 120. This mechanism was established as part of a settlement agreement previously approved by the </w:t>
      </w:r>
      <w:r w:rsidR="00935A14">
        <w:rPr>
          <w:rFonts w:ascii="Times New Roman" w:hAnsi="Times New Roman" w:cs="Times New Roman"/>
          <w:sz w:val="24"/>
          <w:szCs w:val="24"/>
        </w:rPr>
        <w:t>Washington Utilities and Transportation Commission (</w:t>
      </w:r>
      <w:r w:rsidR="00681739">
        <w:rPr>
          <w:rFonts w:ascii="Times New Roman" w:hAnsi="Times New Roman" w:cs="Times New Roman"/>
          <w:sz w:val="24"/>
          <w:szCs w:val="24"/>
        </w:rPr>
        <w:t>commission</w:t>
      </w:r>
      <w:r w:rsidR="00935A14">
        <w:rPr>
          <w:rFonts w:ascii="Times New Roman" w:hAnsi="Times New Roman" w:cs="Times New Roman"/>
          <w:sz w:val="24"/>
          <w:szCs w:val="24"/>
        </w:rPr>
        <w:t>)</w:t>
      </w:r>
      <w:r w:rsidR="00681739">
        <w:rPr>
          <w:rFonts w:ascii="Times New Roman" w:hAnsi="Times New Roman" w:cs="Times New Roman"/>
          <w:sz w:val="24"/>
          <w:szCs w:val="24"/>
        </w:rPr>
        <w:t>,</w:t>
      </w:r>
      <w:r w:rsidR="0068173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681739">
        <w:rPr>
          <w:rFonts w:ascii="Times New Roman" w:hAnsi="Times New Roman" w:cs="Times New Roman"/>
          <w:sz w:val="24"/>
          <w:szCs w:val="24"/>
        </w:rPr>
        <w:t xml:space="preserve"> and </w:t>
      </w:r>
      <w:r w:rsidR="009868AC">
        <w:rPr>
          <w:rFonts w:ascii="Times New Roman" w:hAnsi="Times New Roman" w:cs="Times New Roman"/>
          <w:sz w:val="24"/>
          <w:szCs w:val="24"/>
        </w:rPr>
        <w:t>must comply</w:t>
      </w:r>
      <w:r w:rsidR="00681739">
        <w:rPr>
          <w:rFonts w:ascii="Times New Roman" w:hAnsi="Times New Roman" w:cs="Times New Roman"/>
          <w:sz w:val="24"/>
          <w:szCs w:val="24"/>
        </w:rPr>
        <w:t xml:space="preserve"> with conditions related to the requirements of Washington’s Energy Independence Act</w:t>
      </w:r>
      <w:r w:rsidR="00580EC3">
        <w:rPr>
          <w:rFonts w:ascii="Times New Roman" w:hAnsi="Times New Roman" w:cs="Times New Roman"/>
          <w:sz w:val="24"/>
          <w:szCs w:val="24"/>
        </w:rPr>
        <w:t xml:space="preserve"> (EIA)</w:t>
      </w:r>
      <w:r w:rsidR="00CA3673">
        <w:rPr>
          <w:rFonts w:ascii="Times New Roman" w:hAnsi="Times New Roman" w:cs="Times New Roman"/>
          <w:sz w:val="24"/>
          <w:szCs w:val="24"/>
        </w:rPr>
        <w:t>.</w:t>
      </w:r>
      <w:r w:rsidR="0068173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202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9EB5B" w14:textId="77777777" w:rsidR="008616D9" w:rsidRDefault="008616D9" w:rsidP="00681739">
      <w:pPr>
        <w:rPr>
          <w:rFonts w:ascii="Times New Roman" w:hAnsi="Times New Roman" w:cs="Times New Roman"/>
          <w:sz w:val="24"/>
          <w:szCs w:val="24"/>
        </w:rPr>
      </w:pPr>
    </w:p>
    <w:p w14:paraId="5D956713" w14:textId="08671063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this tariff filing is to establish rates for conservation programs, reflecting changes </w:t>
      </w:r>
      <w:r w:rsidR="00E376A0">
        <w:rPr>
          <w:rFonts w:ascii="Times New Roman" w:hAnsi="Times New Roman" w:cs="Times New Roman"/>
          <w:sz w:val="24"/>
          <w:szCs w:val="24"/>
        </w:rPr>
        <w:t>documented in PSE’s 2013</w:t>
      </w:r>
      <w:r>
        <w:rPr>
          <w:rFonts w:ascii="Times New Roman" w:hAnsi="Times New Roman" w:cs="Times New Roman"/>
          <w:sz w:val="24"/>
          <w:szCs w:val="24"/>
        </w:rPr>
        <w:t xml:space="preserve"> Annual Report of Energy Conservation Accomplishments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E376A0">
        <w:rPr>
          <w:rFonts w:ascii="Times New Roman" w:hAnsi="Times New Roman" w:cs="Times New Roman"/>
          <w:sz w:val="24"/>
          <w:szCs w:val="24"/>
        </w:rPr>
        <w:t xml:space="preserve"> (2013 Annual Report)</w:t>
      </w:r>
      <w:r w:rsidR="002022F1">
        <w:rPr>
          <w:rFonts w:ascii="Times New Roman" w:hAnsi="Times New Roman" w:cs="Times New Roman"/>
          <w:sz w:val="24"/>
          <w:szCs w:val="24"/>
        </w:rPr>
        <w:t xml:space="preserve"> and expected 2014 expenditures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2A92">
        <w:rPr>
          <w:rFonts w:ascii="Times New Roman" w:hAnsi="Times New Roman" w:cs="Times New Roman"/>
          <w:sz w:val="24"/>
          <w:szCs w:val="24"/>
        </w:rPr>
        <w:t xml:space="preserve"> </w:t>
      </w:r>
      <w:r w:rsidR="00E376A0">
        <w:rPr>
          <w:rFonts w:ascii="Times New Roman" w:hAnsi="Times New Roman" w:cs="Times New Roman"/>
          <w:sz w:val="24"/>
          <w:szCs w:val="24"/>
        </w:rPr>
        <w:t xml:space="preserve">The 2014 conservation budget and </w:t>
      </w:r>
      <w:r w:rsidR="007A448C">
        <w:rPr>
          <w:rFonts w:ascii="Times New Roman" w:hAnsi="Times New Roman" w:cs="Times New Roman"/>
          <w:sz w:val="24"/>
          <w:szCs w:val="24"/>
        </w:rPr>
        <w:t>target</w:t>
      </w:r>
      <w:r w:rsidR="00E376A0">
        <w:rPr>
          <w:rFonts w:ascii="Times New Roman" w:hAnsi="Times New Roman" w:cs="Times New Roman"/>
          <w:sz w:val="24"/>
          <w:szCs w:val="24"/>
        </w:rPr>
        <w:t xml:space="preserve"> were</w:t>
      </w:r>
      <w:r w:rsidR="006524A7">
        <w:rPr>
          <w:rFonts w:ascii="Times New Roman" w:hAnsi="Times New Roman" w:cs="Times New Roman"/>
          <w:sz w:val="24"/>
          <w:szCs w:val="24"/>
        </w:rPr>
        <w:t xml:space="preserve"> reviewed by the Conservation Resources Advisory Group (CRAG)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408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acknowledged by the </w:t>
      </w:r>
      <w:r w:rsidR="00C6741C">
        <w:rPr>
          <w:rFonts w:ascii="Times New Roman" w:hAnsi="Times New Roman" w:cs="Times New Roman"/>
          <w:sz w:val="24"/>
          <w:szCs w:val="24"/>
        </w:rPr>
        <w:t>c</w:t>
      </w:r>
      <w:r w:rsidR="00E376A0">
        <w:rPr>
          <w:rFonts w:ascii="Times New Roman" w:hAnsi="Times New Roman" w:cs="Times New Roman"/>
          <w:sz w:val="24"/>
          <w:szCs w:val="24"/>
        </w:rPr>
        <w:t>ommission at the December 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4CA2">
        <w:rPr>
          <w:rFonts w:ascii="Times New Roman" w:hAnsi="Times New Roman" w:cs="Times New Roman"/>
          <w:sz w:val="24"/>
          <w:szCs w:val="24"/>
        </w:rPr>
        <w:t>2013</w:t>
      </w:r>
      <w:r w:rsidR="007C5408">
        <w:rPr>
          <w:rFonts w:ascii="Times New Roman" w:hAnsi="Times New Roman" w:cs="Times New Roman"/>
          <w:sz w:val="24"/>
          <w:szCs w:val="24"/>
        </w:rPr>
        <w:t>,</w:t>
      </w:r>
      <w:r w:rsidR="001A4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open meeting.</w:t>
      </w:r>
      <w:r w:rsidR="00E376A0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65DCF5" w14:textId="77777777" w:rsidR="008616D9" w:rsidRDefault="008616D9" w:rsidP="00681739">
      <w:pPr>
        <w:rPr>
          <w:rFonts w:ascii="Times New Roman" w:hAnsi="Times New Roman" w:cs="Times New Roman"/>
          <w:sz w:val="24"/>
          <w:szCs w:val="24"/>
        </w:rPr>
      </w:pPr>
    </w:p>
    <w:p w14:paraId="3DDA82EA" w14:textId="445571E9" w:rsidR="008616D9" w:rsidRPr="008616D9" w:rsidRDefault="008616D9" w:rsidP="0068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April 17, 2014, PSE made a revised filing, which adjusted the total revenue requirement to reflect an updated budget for the Electric Vehicle Charger Incentive (EVCI) in Docket UE-131585, and removed $160,700 associated with the conservation voltage reduction program.</w:t>
      </w:r>
    </w:p>
    <w:p w14:paraId="06916F60" w14:textId="77777777" w:rsidR="00272507" w:rsidRDefault="00272507" w:rsidP="006817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A02083" w14:textId="77777777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Staff Review</w:t>
      </w:r>
    </w:p>
    <w:p w14:paraId="650C2EE9" w14:textId="77777777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</w:p>
    <w:p w14:paraId="1F707B03" w14:textId="0A00DE0B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6C17B2">
        <w:rPr>
          <w:rFonts w:ascii="Times New Roman" w:hAnsi="Times New Roman" w:cs="Times New Roman"/>
          <w:sz w:val="24"/>
          <w:szCs w:val="24"/>
        </w:rPr>
        <w:t xml:space="preserve"> overall</w:t>
      </w:r>
      <w:r>
        <w:rPr>
          <w:rFonts w:ascii="Times New Roman" w:hAnsi="Times New Roman" w:cs="Times New Roman"/>
          <w:sz w:val="24"/>
          <w:szCs w:val="24"/>
        </w:rPr>
        <w:t xml:space="preserve"> review of PSE’s conservation program expenditures occurs not only through this filing, but through participation in CRAG meetings throughout the year. </w:t>
      </w:r>
      <w:r w:rsidR="007726FA">
        <w:rPr>
          <w:rFonts w:ascii="Times New Roman" w:hAnsi="Times New Roman" w:cs="Times New Roman"/>
          <w:sz w:val="24"/>
          <w:szCs w:val="24"/>
        </w:rPr>
        <w:t>Commission s</w:t>
      </w:r>
      <w:r>
        <w:rPr>
          <w:rFonts w:ascii="Times New Roman" w:hAnsi="Times New Roman" w:cs="Times New Roman"/>
          <w:sz w:val="24"/>
          <w:szCs w:val="24"/>
        </w:rPr>
        <w:t>taff</w:t>
      </w:r>
      <w:r w:rsidR="007726FA">
        <w:rPr>
          <w:rFonts w:ascii="Times New Roman" w:hAnsi="Times New Roman" w:cs="Times New Roman"/>
          <w:sz w:val="24"/>
          <w:szCs w:val="24"/>
        </w:rPr>
        <w:t xml:space="preserve"> (staff)</w:t>
      </w:r>
      <w:r>
        <w:rPr>
          <w:rFonts w:ascii="Times New Roman" w:hAnsi="Times New Roman" w:cs="Times New Roman"/>
          <w:sz w:val="24"/>
          <w:szCs w:val="24"/>
        </w:rPr>
        <w:t xml:space="preserve"> attende</w:t>
      </w:r>
      <w:r w:rsidR="00E376A0">
        <w:rPr>
          <w:rFonts w:ascii="Times New Roman" w:hAnsi="Times New Roman" w:cs="Times New Roman"/>
          <w:sz w:val="24"/>
          <w:szCs w:val="24"/>
        </w:rPr>
        <w:t xml:space="preserve">d multiple CRAG meetings in 2013 to discuss </w:t>
      </w:r>
      <w:r>
        <w:rPr>
          <w:rFonts w:ascii="Times New Roman" w:hAnsi="Times New Roman" w:cs="Times New Roman"/>
          <w:sz w:val="24"/>
          <w:szCs w:val="24"/>
        </w:rPr>
        <w:t xml:space="preserve">conservation </w:t>
      </w:r>
      <w:r w:rsidR="00E376A0">
        <w:rPr>
          <w:rFonts w:ascii="Times New Roman" w:hAnsi="Times New Roman" w:cs="Times New Roman"/>
          <w:sz w:val="24"/>
          <w:szCs w:val="24"/>
        </w:rPr>
        <w:t>achievement</w:t>
      </w:r>
      <w:r>
        <w:rPr>
          <w:rFonts w:ascii="Times New Roman" w:hAnsi="Times New Roman" w:cs="Times New Roman"/>
          <w:sz w:val="24"/>
          <w:szCs w:val="24"/>
        </w:rPr>
        <w:t xml:space="preserve"> and expenditures. </w:t>
      </w:r>
      <w:r w:rsidR="006C17B2">
        <w:rPr>
          <w:rFonts w:ascii="Times New Roman" w:hAnsi="Times New Roman" w:cs="Times New Roman"/>
          <w:sz w:val="24"/>
          <w:szCs w:val="24"/>
        </w:rPr>
        <w:t xml:space="preserve">The review of the conservation program’s expenditures </w:t>
      </w:r>
      <w:r w:rsidR="00F54EE0">
        <w:rPr>
          <w:rFonts w:ascii="Times New Roman" w:hAnsi="Times New Roman" w:cs="Times New Roman"/>
          <w:sz w:val="24"/>
          <w:szCs w:val="24"/>
        </w:rPr>
        <w:t>included an assessment of</w:t>
      </w:r>
      <w:r w:rsidR="006C17B2">
        <w:rPr>
          <w:rFonts w:ascii="Times New Roman" w:hAnsi="Times New Roman" w:cs="Times New Roman"/>
          <w:sz w:val="24"/>
          <w:szCs w:val="24"/>
        </w:rPr>
        <w:t xml:space="preserve"> </w:t>
      </w:r>
      <w:r w:rsidR="006C17B2">
        <w:rPr>
          <w:rFonts w:ascii="Times New Roman" w:hAnsi="Times New Roman" w:cs="Times New Roman"/>
          <w:sz w:val="24"/>
          <w:szCs w:val="24"/>
        </w:rPr>
        <w:lastRenderedPageBreak/>
        <w:t xml:space="preserve">the year-over-year variance in </w:t>
      </w:r>
      <w:r w:rsidR="00F54EE0">
        <w:rPr>
          <w:rFonts w:ascii="Times New Roman" w:hAnsi="Times New Roman" w:cs="Times New Roman"/>
          <w:sz w:val="24"/>
          <w:szCs w:val="24"/>
        </w:rPr>
        <w:t xml:space="preserve">program achievement and </w:t>
      </w:r>
      <w:r w:rsidR="006C17B2">
        <w:rPr>
          <w:rFonts w:ascii="Times New Roman" w:hAnsi="Times New Roman" w:cs="Times New Roman"/>
          <w:sz w:val="24"/>
          <w:szCs w:val="24"/>
        </w:rPr>
        <w:t>Direct Benefit to Customers (DBtC)</w:t>
      </w:r>
      <w:r w:rsidR="00F54EE0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6C17B2">
        <w:rPr>
          <w:rFonts w:ascii="Times New Roman" w:hAnsi="Times New Roman" w:cs="Times New Roman"/>
          <w:sz w:val="24"/>
          <w:szCs w:val="24"/>
        </w:rPr>
        <w:t xml:space="preserve">an audit on operating expenses and incentive rebates for a select group of programs. </w:t>
      </w:r>
    </w:p>
    <w:p w14:paraId="392BD7D0" w14:textId="77777777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</w:p>
    <w:p w14:paraId="62032977" w14:textId="32EB81F0" w:rsidR="00681739" w:rsidRPr="007B11D7" w:rsidRDefault="00681739" w:rsidP="00681739">
      <w:pPr>
        <w:rPr>
          <w:rFonts w:ascii="Times New Roman" w:hAnsi="Times New Roman" w:cs="Times New Roman"/>
          <w:sz w:val="24"/>
          <w:szCs w:val="24"/>
        </w:rPr>
      </w:pPr>
      <w:r w:rsidRPr="00887DB1">
        <w:rPr>
          <w:rFonts w:ascii="Times New Roman" w:hAnsi="Times New Roman" w:cs="Times New Roman"/>
          <w:b/>
          <w:i/>
          <w:sz w:val="24"/>
          <w:szCs w:val="24"/>
        </w:rPr>
        <w:t xml:space="preserve">Review of variance. </w:t>
      </w:r>
      <w:r>
        <w:rPr>
          <w:rFonts w:ascii="Times New Roman" w:hAnsi="Times New Roman" w:cs="Times New Roman"/>
          <w:sz w:val="24"/>
          <w:szCs w:val="24"/>
        </w:rPr>
        <w:t xml:space="preserve">PSE spent </w:t>
      </w:r>
      <w:r w:rsidRPr="007F755C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7F755C" w:rsidRPr="007F755C">
        <w:rPr>
          <w:rFonts w:ascii="Times New Roman" w:hAnsi="Times New Roman" w:cs="Times New Roman"/>
          <w:sz w:val="24"/>
          <w:szCs w:val="24"/>
        </w:rPr>
        <w:t>$4.2 million more</w:t>
      </w:r>
      <w:r>
        <w:rPr>
          <w:rFonts w:ascii="Times New Roman" w:hAnsi="Times New Roman" w:cs="Times New Roman"/>
          <w:sz w:val="24"/>
          <w:szCs w:val="24"/>
        </w:rPr>
        <w:t xml:space="preserve"> on its electr</w:t>
      </w:r>
      <w:r w:rsidR="00E376A0">
        <w:rPr>
          <w:rFonts w:ascii="Times New Roman" w:hAnsi="Times New Roman" w:cs="Times New Roman"/>
          <w:sz w:val="24"/>
          <w:szCs w:val="24"/>
        </w:rPr>
        <w:t>ic conservation programs in 2013</w:t>
      </w:r>
      <w:r>
        <w:rPr>
          <w:rFonts w:ascii="Times New Roman" w:hAnsi="Times New Roman" w:cs="Times New Roman"/>
          <w:sz w:val="24"/>
          <w:szCs w:val="24"/>
        </w:rPr>
        <w:t xml:space="preserve"> than originally budgeted and achieved approximately </w:t>
      </w:r>
      <w:r w:rsidR="007F755C" w:rsidRPr="007F755C">
        <w:rPr>
          <w:rFonts w:ascii="Times New Roman" w:hAnsi="Times New Roman" w:cs="Times New Roman"/>
          <w:sz w:val="24"/>
          <w:szCs w:val="24"/>
        </w:rPr>
        <w:t>10</w:t>
      </w:r>
      <w:r w:rsidR="007F755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percent of expected conservation savings, subject to evaluation and </w:t>
      </w:r>
      <w:r w:rsidR="00C6741C">
        <w:rPr>
          <w:rFonts w:ascii="Times New Roman" w:hAnsi="Times New Roman" w:cs="Times New Roman"/>
          <w:sz w:val="24"/>
          <w:szCs w:val="24"/>
        </w:rPr>
        <w:t>c</w:t>
      </w:r>
      <w:r w:rsidR="00E376A0">
        <w:rPr>
          <w:rFonts w:ascii="Times New Roman" w:hAnsi="Times New Roman" w:cs="Times New Roman"/>
          <w:sz w:val="24"/>
          <w:szCs w:val="24"/>
        </w:rPr>
        <w:t>ommission approval. PSE’s 2013</w:t>
      </w:r>
      <w:r>
        <w:rPr>
          <w:rFonts w:ascii="Times New Roman" w:hAnsi="Times New Roman" w:cs="Times New Roman"/>
          <w:sz w:val="24"/>
          <w:szCs w:val="24"/>
        </w:rPr>
        <w:t xml:space="preserve"> Electric Portfolio had a Total Resource Cost (TRC) ratio of </w:t>
      </w:r>
      <w:r w:rsidR="007F755C" w:rsidRPr="007F755C">
        <w:rPr>
          <w:rFonts w:ascii="Times New Roman" w:hAnsi="Times New Roman" w:cs="Times New Roman"/>
          <w:sz w:val="24"/>
          <w:szCs w:val="24"/>
        </w:rPr>
        <w:t>1.74</w:t>
      </w:r>
      <w:r w:rsidRPr="007F75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Recent </w:t>
      </w:r>
      <w:r w:rsidRPr="007B11D7">
        <w:rPr>
          <w:rFonts w:ascii="Times New Roman" w:hAnsi="Times New Roman" w:cs="Times New Roman"/>
          <w:sz w:val="24"/>
          <w:szCs w:val="24"/>
        </w:rPr>
        <w:t>audits have examined the DBtC metric</w:t>
      </w:r>
      <w:r>
        <w:rPr>
          <w:rFonts w:ascii="Times New Roman" w:hAnsi="Times New Roman" w:cs="Times New Roman"/>
          <w:sz w:val="24"/>
          <w:szCs w:val="24"/>
        </w:rPr>
        <w:t xml:space="preserve">, which is the ratio of </w:t>
      </w:r>
      <w:r w:rsidRPr="007B11D7">
        <w:rPr>
          <w:rFonts w:ascii="Times New Roman" w:hAnsi="Times New Roman" w:cs="Times New Roman"/>
          <w:sz w:val="24"/>
          <w:szCs w:val="24"/>
        </w:rPr>
        <w:t xml:space="preserve">incentives paid to customers </w:t>
      </w:r>
      <w:r>
        <w:rPr>
          <w:rFonts w:ascii="Times New Roman" w:hAnsi="Times New Roman" w:cs="Times New Roman"/>
          <w:sz w:val="24"/>
          <w:szCs w:val="24"/>
        </w:rPr>
        <w:t xml:space="preserve">compared </w:t>
      </w:r>
      <w:r w:rsidRPr="007B11D7">
        <w:rPr>
          <w:rFonts w:ascii="Times New Roman" w:hAnsi="Times New Roman" w:cs="Times New Roman"/>
          <w:sz w:val="24"/>
          <w:szCs w:val="24"/>
        </w:rPr>
        <w:t>to the total expenditures of a program</w:t>
      </w:r>
      <w:r>
        <w:rPr>
          <w:rFonts w:ascii="Times New Roman" w:hAnsi="Times New Roman" w:cs="Times New Roman"/>
          <w:sz w:val="24"/>
          <w:szCs w:val="24"/>
        </w:rPr>
        <w:t xml:space="preserve"> or portfolio</w:t>
      </w:r>
      <w:r w:rsidR="007A448C">
        <w:rPr>
          <w:rFonts w:ascii="Times New Roman" w:hAnsi="Times New Roman" w:cs="Times New Roman"/>
          <w:sz w:val="24"/>
          <w:szCs w:val="24"/>
        </w:rPr>
        <w:t xml:space="preserve"> and </w:t>
      </w:r>
      <w:r w:rsidR="00CA3673">
        <w:rPr>
          <w:rFonts w:ascii="Times New Roman" w:hAnsi="Times New Roman" w:cs="Times New Roman"/>
          <w:sz w:val="24"/>
          <w:szCs w:val="24"/>
        </w:rPr>
        <w:t xml:space="preserve">is </w:t>
      </w:r>
      <w:r w:rsidR="007A448C">
        <w:rPr>
          <w:rFonts w:ascii="Times New Roman" w:hAnsi="Times New Roman" w:cs="Times New Roman"/>
          <w:sz w:val="24"/>
          <w:szCs w:val="24"/>
        </w:rPr>
        <w:t>a measure of programmatic efficiency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55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314"/>
        <w:gridCol w:w="2314"/>
        <w:gridCol w:w="2213"/>
      </w:tblGrid>
      <w:tr w:rsidR="00681739" w:rsidRPr="007B11D7" w14:paraId="4B64380A" w14:textId="77777777" w:rsidTr="001A4CA2">
        <w:trPr>
          <w:trHeight w:val="566"/>
          <w:jc w:val="center"/>
        </w:trPr>
        <w:tc>
          <w:tcPr>
            <w:tcW w:w="2434" w:type="dxa"/>
            <w:vAlign w:val="bottom"/>
          </w:tcPr>
          <w:p w14:paraId="2E5AB171" w14:textId="77777777" w:rsidR="00681739" w:rsidRPr="007B11D7" w:rsidRDefault="00681739" w:rsidP="001A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PSE</w:t>
            </w:r>
            <w:r w:rsidRPr="007B1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Direct Benefit to Customers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(DBtC)</w:t>
            </w:r>
          </w:p>
        </w:tc>
        <w:tc>
          <w:tcPr>
            <w:tcW w:w="2314" w:type="dxa"/>
            <w:vAlign w:val="bottom"/>
          </w:tcPr>
          <w:p w14:paraId="68561583" w14:textId="016A120A" w:rsidR="00681739" w:rsidRPr="007B11D7" w:rsidRDefault="00E376A0" w:rsidP="001A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314" w:type="dxa"/>
            <w:vAlign w:val="bottom"/>
          </w:tcPr>
          <w:p w14:paraId="49843E25" w14:textId="430682AA" w:rsidR="00681739" w:rsidRPr="007B11D7" w:rsidRDefault="00E376A0" w:rsidP="001A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2213" w:type="dxa"/>
            <w:vAlign w:val="bottom"/>
          </w:tcPr>
          <w:p w14:paraId="7150FF6F" w14:textId="24B41360" w:rsidR="00681739" w:rsidRPr="007B11D7" w:rsidRDefault="00E376A0" w:rsidP="001A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D7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</w:tr>
      <w:tr w:rsidR="00681739" w:rsidRPr="007B11D7" w14:paraId="73BB4331" w14:textId="77777777" w:rsidTr="001A4CA2">
        <w:trPr>
          <w:trHeight w:val="283"/>
          <w:jc w:val="center"/>
        </w:trPr>
        <w:tc>
          <w:tcPr>
            <w:tcW w:w="2434" w:type="dxa"/>
          </w:tcPr>
          <w:p w14:paraId="5EC6B511" w14:textId="77777777" w:rsidR="00681739" w:rsidRPr="007B11D7" w:rsidRDefault="00681739" w:rsidP="001A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D7">
              <w:rPr>
                <w:rFonts w:ascii="Times New Roman" w:hAnsi="Times New Roman" w:cs="Times New Roman"/>
                <w:sz w:val="24"/>
                <w:szCs w:val="24"/>
              </w:rPr>
              <w:t>Residential – Electric</w:t>
            </w:r>
          </w:p>
        </w:tc>
        <w:tc>
          <w:tcPr>
            <w:tcW w:w="2314" w:type="dxa"/>
          </w:tcPr>
          <w:p w14:paraId="081D3A6D" w14:textId="3CA74CBB" w:rsidR="00681739" w:rsidRPr="007B11D7" w:rsidRDefault="007F755C" w:rsidP="001A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2314" w:type="dxa"/>
          </w:tcPr>
          <w:p w14:paraId="645714A1" w14:textId="5CB53E1D" w:rsidR="00681739" w:rsidRPr="007B11D7" w:rsidRDefault="00E376A0" w:rsidP="001A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7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2213" w:type="dxa"/>
          </w:tcPr>
          <w:p w14:paraId="7BBF44B1" w14:textId="2B2496DC" w:rsidR="00681739" w:rsidRPr="007B11D7" w:rsidRDefault="00E376A0" w:rsidP="001A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7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681739" w:rsidRPr="007B11D7" w14:paraId="4BDFBD0A" w14:textId="77777777" w:rsidTr="001A4CA2">
        <w:trPr>
          <w:trHeight w:val="271"/>
          <w:jc w:val="center"/>
        </w:trPr>
        <w:tc>
          <w:tcPr>
            <w:tcW w:w="2434" w:type="dxa"/>
          </w:tcPr>
          <w:p w14:paraId="720DA99B" w14:textId="77777777" w:rsidR="00681739" w:rsidRPr="007B11D7" w:rsidRDefault="00681739" w:rsidP="001A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D7">
              <w:rPr>
                <w:rFonts w:ascii="Times New Roman" w:hAnsi="Times New Roman" w:cs="Times New Roman"/>
                <w:sz w:val="24"/>
                <w:szCs w:val="24"/>
              </w:rPr>
              <w:t>Business – Electric</w:t>
            </w:r>
          </w:p>
        </w:tc>
        <w:tc>
          <w:tcPr>
            <w:tcW w:w="2314" w:type="dxa"/>
          </w:tcPr>
          <w:p w14:paraId="1130946D" w14:textId="79378583" w:rsidR="00681739" w:rsidRPr="007B11D7" w:rsidRDefault="007F755C" w:rsidP="001A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314" w:type="dxa"/>
          </w:tcPr>
          <w:p w14:paraId="0FBAC97B" w14:textId="15FD1EC0" w:rsidR="00681739" w:rsidRPr="007B11D7" w:rsidRDefault="00E376A0" w:rsidP="001A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213" w:type="dxa"/>
          </w:tcPr>
          <w:p w14:paraId="0BD029C9" w14:textId="72976704" w:rsidR="00681739" w:rsidRPr="007B11D7" w:rsidRDefault="00E376A0" w:rsidP="001A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7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681739" w:rsidRPr="007B11D7" w14:paraId="4B1B70A8" w14:textId="77777777" w:rsidTr="001A4CA2">
        <w:trPr>
          <w:trHeight w:val="295"/>
          <w:jc w:val="center"/>
        </w:trPr>
        <w:tc>
          <w:tcPr>
            <w:tcW w:w="2434" w:type="dxa"/>
          </w:tcPr>
          <w:p w14:paraId="61640B3D" w14:textId="77777777" w:rsidR="00681739" w:rsidRPr="007B11D7" w:rsidRDefault="00681739" w:rsidP="001A4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D7">
              <w:rPr>
                <w:rFonts w:ascii="Times New Roman" w:hAnsi="Times New Roman" w:cs="Times New Roman"/>
                <w:b/>
                <w:sz w:val="24"/>
                <w:szCs w:val="24"/>
              </w:rPr>
              <w:t>Total – Electric</w:t>
            </w:r>
          </w:p>
        </w:tc>
        <w:tc>
          <w:tcPr>
            <w:tcW w:w="2314" w:type="dxa"/>
          </w:tcPr>
          <w:p w14:paraId="560FFE7F" w14:textId="6209DBCA" w:rsidR="00681739" w:rsidRPr="007B11D7" w:rsidRDefault="007F755C" w:rsidP="001A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2314" w:type="dxa"/>
          </w:tcPr>
          <w:p w14:paraId="3EA33816" w14:textId="4897C4EA" w:rsidR="00681739" w:rsidRPr="007B11D7" w:rsidRDefault="00E376A0" w:rsidP="001A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D7">
              <w:rPr>
                <w:rFonts w:ascii="Times New Roman" w:hAnsi="Times New Roman" w:cs="Times New Roman"/>
                <w:b/>
                <w:sz w:val="24"/>
                <w:szCs w:val="24"/>
              </w:rPr>
              <w:t>76%</w:t>
            </w:r>
          </w:p>
        </w:tc>
        <w:tc>
          <w:tcPr>
            <w:tcW w:w="2213" w:type="dxa"/>
          </w:tcPr>
          <w:p w14:paraId="16AB77B1" w14:textId="07907CCB" w:rsidR="00681739" w:rsidRPr="007B11D7" w:rsidRDefault="00E376A0" w:rsidP="001A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1D7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</w:tr>
    </w:tbl>
    <w:p w14:paraId="76BDAF13" w14:textId="77777777" w:rsidR="00681739" w:rsidRPr="00274D79" w:rsidRDefault="00681739" w:rsidP="00681739">
      <w:pPr>
        <w:rPr>
          <w:rFonts w:ascii="Times New Roman" w:hAnsi="Times New Roman" w:cs="Times New Roman"/>
          <w:sz w:val="24"/>
          <w:szCs w:val="24"/>
        </w:rPr>
      </w:pPr>
    </w:p>
    <w:p w14:paraId="65F26822" w14:textId="65C14E4B" w:rsidR="00681739" w:rsidRPr="00EF6786" w:rsidRDefault="006E0AEA" w:rsidP="00681739">
      <w:pPr>
        <w:rPr>
          <w:rFonts w:ascii="Times New Roman" w:hAnsi="Times New Roman" w:cs="Times New Roman"/>
          <w:sz w:val="24"/>
          <w:szCs w:val="24"/>
        </w:rPr>
      </w:pPr>
      <w:r w:rsidRPr="00274D79">
        <w:rPr>
          <w:rFonts w:ascii="Times New Roman" w:hAnsi="Times New Roman" w:cs="Times New Roman"/>
          <w:sz w:val="24"/>
          <w:szCs w:val="24"/>
        </w:rPr>
        <w:t>There has been decline in the DBtC for the Business prog</w:t>
      </w:r>
      <w:r w:rsidR="002B2A92">
        <w:rPr>
          <w:rFonts w:ascii="Times New Roman" w:hAnsi="Times New Roman" w:cs="Times New Roman"/>
          <w:sz w:val="24"/>
          <w:szCs w:val="24"/>
        </w:rPr>
        <w:t xml:space="preserve">ram over the last three years. </w:t>
      </w:r>
      <w:r w:rsidRPr="00274D79">
        <w:rPr>
          <w:rFonts w:ascii="Times New Roman" w:hAnsi="Times New Roman" w:cs="Times New Roman"/>
          <w:sz w:val="24"/>
          <w:szCs w:val="24"/>
        </w:rPr>
        <w:t xml:space="preserve">At the same time, the DBtC for the Residential program has seen continued improvement. The result of these two factors has kept the overall DBtC for the electric portfolio fairly steady. </w:t>
      </w:r>
      <w:r w:rsidR="00274D79">
        <w:rPr>
          <w:rFonts w:ascii="Times New Roman" w:hAnsi="Times New Roman" w:cs="Times New Roman"/>
          <w:sz w:val="24"/>
          <w:szCs w:val="24"/>
        </w:rPr>
        <w:t xml:space="preserve">PSE explained that the </w:t>
      </w:r>
      <w:r w:rsidR="00274D79" w:rsidRPr="00274D79">
        <w:rPr>
          <w:rFonts w:ascii="Times New Roman" w:hAnsi="Times New Roman" w:cs="Times New Roman"/>
          <w:sz w:val="24"/>
          <w:szCs w:val="24"/>
        </w:rPr>
        <w:t>decline</w:t>
      </w:r>
      <w:r w:rsidR="00274D79">
        <w:rPr>
          <w:rFonts w:ascii="Times New Roman" w:hAnsi="Times New Roman" w:cs="Times New Roman"/>
          <w:sz w:val="24"/>
          <w:szCs w:val="24"/>
        </w:rPr>
        <w:t xml:space="preserve"> in DBtC for the </w:t>
      </w:r>
      <w:r w:rsidR="00274D79" w:rsidRPr="00274D79">
        <w:rPr>
          <w:rFonts w:ascii="Times New Roman" w:hAnsi="Times New Roman" w:cs="Times New Roman"/>
          <w:sz w:val="24"/>
          <w:szCs w:val="24"/>
        </w:rPr>
        <w:t xml:space="preserve">Business Electric </w:t>
      </w:r>
      <w:r w:rsidR="00274D79">
        <w:rPr>
          <w:rFonts w:ascii="Times New Roman" w:hAnsi="Times New Roman" w:cs="Times New Roman"/>
          <w:sz w:val="24"/>
          <w:szCs w:val="24"/>
        </w:rPr>
        <w:t>is</w:t>
      </w:r>
      <w:r w:rsidR="00274D79" w:rsidRPr="00274D79">
        <w:rPr>
          <w:rFonts w:ascii="Times New Roman" w:hAnsi="Times New Roman" w:cs="Times New Roman"/>
          <w:sz w:val="24"/>
          <w:szCs w:val="24"/>
        </w:rPr>
        <w:t xml:space="preserve"> due to PSE’s </w:t>
      </w:r>
      <w:r w:rsidR="00274D79">
        <w:rPr>
          <w:rFonts w:ascii="Times New Roman" w:hAnsi="Times New Roman" w:cs="Times New Roman"/>
          <w:sz w:val="24"/>
          <w:szCs w:val="24"/>
        </w:rPr>
        <w:t>focus</w:t>
      </w:r>
      <w:r w:rsidR="00274D79" w:rsidRPr="00274D79">
        <w:rPr>
          <w:rFonts w:ascii="Times New Roman" w:hAnsi="Times New Roman" w:cs="Times New Roman"/>
          <w:sz w:val="24"/>
          <w:szCs w:val="24"/>
        </w:rPr>
        <w:t xml:space="preserve"> on low</w:t>
      </w:r>
      <w:r w:rsidR="00274D79">
        <w:rPr>
          <w:rFonts w:ascii="Times New Roman" w:hAnsi="Times New Roman" w:cs="Times New Roman"/>
          <w:sz w:val="24"/>
          <w:szCs w:val="24"/>
        </w:rPr>
        <w:t>-</w:t>
      </w:r>
      <w:r w:rsidR="00274D79" w:rsidRPr="00274D79">
        <w:rPr>
          <w:rFonts w:ascii="Times New Roman" w:hAnsi="Times New Roman" w:cs="Times New Roman"/>
          <w:sz w:val="24"/>
          <w:szCs w:val="24"/>
        </w:rPr>
        <w:t>cost</w:t>
      </w:r>
      <w:r w:rsidR="00274D79">
        <w:rPr>
          <w:rFonts w:ascii="Times New Roman" w:hAnsi="Times New Roman" w:cs="Times New Roman"/>
          <w:sz w:val="24"/>
          <w:szCs w:val="24"/>
        </w:rPr>
        <w:t xml:space="preserve"> direct install measures</w:t>
      </w:r>
      <w:r w:rsidR="00274D79" w:rsidRPr="00274D79">
        <w:rPr>
          <w:rFonts w:ascii="Times New Roman" w:hAnsi="Times New Roman" w:cs="Times New Roman"/>
          <w:sz w:val="24"/>
          <w:szCs w:val="24"/>
        </w:rPr>
        <w:t xml:space="preserve"> and operational efficiency improvements</w:t>
      </w:r>
      <w:r w:rsidR="00274D79">
        <w:rPr>
          <w:rFonts w:ascii="Times New Roman" w:hAnsi="Times New Roman" w:cs="Times New Roman"/>
          <w:sz w:val="24"/>
          <w:szCs w:val="24"/>
        </w:rPr>
        <w:t>, which</w:t>
      </w:r>
      <w:r w:rsidR="00274D79" w:rsidRPr="00274D79">
        <w:rPr>
          <w:rFonts w:ascii="Times New Roman" w:hAnsi="Times New Roman" w:cs="Times New Roman"/>
          <w:sz w:val="24"/>
          <w:szCs w:val="24"/>
        </w:rPr>
        <w:t xml:space="preserve"> </w:t>
      </w:r>
      <w:r w:rsidR="00274D79">
        <w:rPr>
          <w:rFonts w:ascii="Times New Roman" w:hAnsi="Times New Roman" w:cs="Times New Roman"/>
          <w:sz w:val="24"/>
          <w:szCs w:val="24"/>
        </w:rPr>
        <w:t>involve</w:t>
      </w:r>
      <w:r w:rsidR="00274D79" w:rsidRPr="00274D79">
        <w:rPr>
          <w:rFonts w:ascii="Times New Roman" w:hAnsi="Times New Roman" w:cs="Times New Roman"/>
          <w:sz w:val="24"/>
          <w:szCs w:val="24"/>
        </w:rPr>
        <w:t xml:space="preserve"> lower </w:t>
      </w:r>
      <w:r w:rsidR="00274D79">
        <w:rPr>
          <w:rFonts w:ascii="Times New Roman" w:hAnsi="Times New Roman" w:cs="Times New Roman"/>
          <w:sz w:val="24"/>
          <w:szCs w:val="24"/>
        </w:rPr>
        <w:t xml:space="preserve">customer </w:t>
      </w:r>
      <w:r w:rsidR="00274D79" w:rsidRPr="00274D79">
        <w:rPr>
          <w:rFonts w:ascii="Times New Roman" w:hAnsi="Times New Roman" w:cs="Times New Roman"/>
          <w:sz w:val="24"/>
          <w:szCs w:val="24"/>
        </w:rPr>
        <w:t xml:space="preserve">incentive payments </w:t>
      </w:r>
      <w:r w:rsidR="00274D79">
        <w:rPr>
          <w:rFonts w:ascii="Times New Roman" w:hAnsi="Times New Roman" w:cs="Times New Roman"/>
          <w:sz w:val="24"/>
          <w:szCs w:val="24"/>
        </w:rPr>
        <w:t>but</w:t>
      </w:r>
      <w:r w:rsidR="00274D79" w:rsidRPr="00274D79">
        <w:rPr>
          <w:rFonts w:ascii="Times New Roman" w:hAnsi="Times New Roman" w:cs="Times New Roman"/>
          <w:sz w:val="24"/>
          <w:szCs w:val="24"/>
        </w:rPr>
        <w:t xml:space="preserve"> </w:t>
      </w:r>
      <w:r w:rsidR="00274D79">
        <w:rPr>
          <w:rFonts w:ascii="Times New Roman" w:hAnsi="Times New Roman" w:cs="Times New Roman"/>
          <w:sz w:val="24"/>
          <w:szCs w:val="24"/>
        </w:rPr>
        <w:t xml:space="preserve">require </w:t>
      </w:r>
      <w:r w:rsidR="00274D79" w:rsidRPr="00274D79">
        <w:rPr>
          <w:rFonts w:ascii="Times New Roman" w:hAnsi="Times New Roman" w:cs="Times New Roman"/>
          <w:sz w:val="24"/>
          <w:szCs w:val="24"/>
        </w:rPr>
        <w:t xml:space="preserve">the same </w:t>
      </w:r>
      <w:r w:rsidR="00274D79">
        <w:rPr>
          <w:rFonts w:ascii="Times New Roman" w:hAnsi="Times New Roman" w:cs="Times New Roman"/>
          <w:sz w:val="24"/>
          <w:szCs w:val="24"/>
        </w:rPr>
        <w:t>level of expenditures to</w:t>
      </w:r>
      <w:r w:rsidR="00274D79" w:rsidRPr="00274D79">
        <w:rPr>
          <w:rFonts w:ascii="Times New Roman" w:hAnsi="Times New Roman" w:cs="Times New Roman"/>
          <w:sz w:val="24"/>
          <w:szCs w:val="24"/>
        </w:rPr>
        <w:t xml:space="preserve"> implement, track, verify and evaluate</w:t>
      </w:r>
      <w:r w:rsidR="00681739" w:rsidRPr="007726FA">
        <w:rPr>
          <w:rFonts w:ascii="Times New Roman" w:hAnsi="Times New Roman" w:cs="Times New Roman"/>
          <w:sz w:val="24"/>
          <w:szCs w:val="24"/>
        </w:rPr>
        <w:t>.</w:t>
      </w:r>
    </w:p>
    <w:p w14:paraId="1F91C07D" w14:textId="77777777" w:rsidR="00681739" w:rsidRPr="00EF6786" w:rsidRDefault="00681739" w:rsidP="00681739">
      <w:pPr>
        <w:rPr>
          <w:rFonts w:ascii="Times New Roman" w:hAnsi="Times New Roman" w:cs="Times New Roman"/>
          <w:sz w:val="24"/>
          <w:szCs w:val="24"/>
        </w:rPr>
      </w:pPr>
    </w:p>
    <w:p w14:paraId="3592309C" w14:textId="5A7DD579" w:rsidR="00681739" w:rsidRPr="00906E43" w:rsidRDefault="00681739" w:rsidP="0068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Incentive rebate audit</w:t>
      </w:r>
      <w:r w:rsidRPr="00887DB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376A0">
        <w:rPr>
          <w:rFonts w:ascii="Times New Roman" w:hAnsi="Times New Roman" w:cs="Times New Roman"/>
          <w:sz w:val="24"/>
          <w:szCs w:val="24"/>
        </w:rPr>
        <w:t>On April 11, 2014</w:t>
      </w:r>
      <w:r>
        <w:rPr>
          <w:rFonts w:ascii="Times New Roman" w:hAnsi="Times New Roman" w:cs="Times New Roman"/>
          <w:sz w:val="24"/>
          <w:szCs w:val="24"/>
        </w:rPr>
        <w:t xml:space="preserve">, staff performed an on-site financial audit of PSE’s electric and gas conservation programs. The audit focused on operating expenses and incentive rebates for a select group of programs during specific months, confirming that expenditures were paid as stated. </w:t>
      </w:r>
      <w:r w:rsidRPr="00906E43">
        <w:rPr>
          <w:rFonts w:ascii="Times New Roman" w:hAnsi="Times New Roman" w:cs="Times New Roman"/>
          <w:sz w:val="24"/>
          <w:szCs w:val="24"/>
        </w:rPr>
        <w:t>The priority of this audit was to ensure the integrity of the financial data presented by PSE, and to review the efficiency of program expenditures</w:t>
      </w:r>
      <w:r>
        <w:rPr>
          <w:rFonts w:ascii="Times New Roman" w:hAnsi="Times New Roman" w:cs="Times New Roman"/>
          <w:sz w:val="24"/>
          <w:szCs w:val="24"/>
        </w:rPr>
        <w:t>. All of the materials requested were available for review and organized for staff.</w:t>
      </w:r>
    </w:p>
    <w:p w14:paraId="6C5CF40C" w14:textId="77777777" w:rsidR="00CA3673" w:rsidRDefault="00CA3673" w:rsidP="0068173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4E97797" w14:textId="6081D8B2" w:rsidR="00681739" w:rsidRPr="00AF7C86" w:rsidRDefault="00681739" w:rsidP="0068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Overall, the information, documentation and internal controls in place for PSE</w:t>
      </w:r>
      <w:r w:rsidR="00935A14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conservation programs were good</w:t>
      </w:r>
      <w:r w:rsidRPr="00AF7C86">
        <w:rPr>
          <w:rFonts w:ascii="Times New Roman" w:hAnsi="Times New Roman" w:cs="Times New Roman"/>
          <w:sz w:val="24"/>
          <w:szCs w:val="24"/>
        </w:rPr>
        <w:t xml:space="preserve">. </w:t>
      </w:r>
      <w:r w:rsidR="00AF7C86">
        <w:rPr>
          <w:rFonts w:ascii="Times New Roman" w:hAnsi="Times New Roman" w:cs="Times New Roman"/>
          <w:sz w:val="24"/>
          <w:szCs w:val="24"/>
        </w:rPr>
        <w:t xml:space="preserve">Staff reviewed 21 commercial and 11 residential rebate files. </w:t>
      </w:r>
      <w:r w:rsidRPr="00AF7C86">
        <w:rPr>
          <w:rFonts w:ascii="Times New Roman" w:hAnsi="Times New Roman" w:cs="Times New Roman"/>
          <w:sz w:val="24"/>
          <w:szCs w:val="24"/>
        </w:rPr>
        <w:t xml:space="preserve">For each </w:t>
      </w:r>
      <w:r w:rsidR="00AF7C86">
        <w:rPr>
          <w:rFonts w:ascii="Times New Roman" w:hAnsi="Times New Roman" w:cs="Times New Roman"/>
          <w:sz w:val="24"/>
          <w:szCs w:val="24"/>
        </w:rPr>
        <w:t>payment the</w:t>
      </w:r>
      <w:r w:rsidRPr="00AF7C86">
        <w:rPr>
          <w:rFonts w:ascii="Times New Roman" w:hAnsi="Times New Roman" w:cs="Times New Roman"/>
          <w:sz w:val="24"/>
          <w:szCs w:val="24"/>
        </w:rPr>
        <w:t xml:space="preserve"> total dollar amounts in the files matched documentation presented by PSE. </w:t>
      </w:r>
      <w:r w:rsidR="00AF7C86">
        <w:rPr>
          <w:rFonts w:ascii="Times New Roman" w:hAnsi="Times New Roman" w:cs="Times New Roman"/>
          <w:sz w:val="24"/>
          <w:szCs w:val="24"/>
        </w:rPr>
        <w:t xml:space="preserve">Staff also reviewed non-rebate </w:t>
      </w:r>
      <w:r w:rsidR="002B2A92">
        <w:rPr>
          <w:rFonts w:ascii="Times New Roman" w:hAnsi="Times New Roman" w:cs="Times New Roman"/>
          <w:sz w:val="24"/>
          <w:szCs w:val="24"/>
        </w:rPr>
        <w:t xml:space="preserve">expenditures in every program. </w:t>
      </w:r>
      <w:r w:rsidR="00DB2E9B">
        <w:rPr>
          <w:rFonts w:ascii="Times New Roman" w:hAnsi="Times New Roman" w:cs="Times New Roman"/>
          <w:sz w:val="24"/>
          <w:szCs w:val="24"/>
        </w:rPr>
        <w:t>Staff has confidence that PSE’s internal controls and review procedures are robust and working as intended.</w:t>
      </w:r>
    </w:p>
    <w:p w14:paraId="6168CE89" w14:textId="77777777" w:rsidR="00272507" w:rsidRDefault="00272507" w:rsidP="00681739">
      <w:pPr>
        <w:rPr>
          <w:rFonts w:ascii="Times New Roman" w:hAnsi="Times New Roman" w:cs="Times New Roman"/>
          <w:sz w:val="24"/>
          <w:szCs w:val="24"/>
        </w:rPr>
      </w:pPr>
    </w:p>
    <w:p w14:paraId="27C56820" w14:textId="77777777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14:paraId="5B386166" w14:textId="77777777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</w:p>
    <w:p w14:paraId="1CFD74BA" w14:textId="329D4B51" w:rsidR="00681739" w:rsidRDefault="006524A7" w:rsidP="0068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calendar year 2013</w:t>
      </w:r>
      <w:r w:rsidR="00681739">
        <w:rPr>
          <w:rFonts w:ascii="Times New Roman" w:hAnsi="Times New Roman" w:cs="Times New Roman"/>
          <w:sz w:val="24"/>
          <w:szCs w:val="24"/>
        </w:rPr>
        <w:t xml:space="preserve">, PSE </w:t>
      </w:r>
      <w:r w:rsidR="00681739" w:rsidRPr="006E0AEA">
        <w:rPr>
          <w:rFonts w:ascii="Times New Roman" w:hAnsi="Times New Roman" w:cs="Times New Roman"/>
          <w:sz w:val="24"/>
          <w:szCs w:val="24"/>
        </w:rPr>
        <w:t xml:space="preserve">spent </w:t>
      </w:r>
      <w:r w:rsidR="006E0AEA" w:rsidRPr="006E0AEA">
        <w:rPr>
          <w:rFonts w:ascii="Times New Roman" w:hAnsi="Times New Roman" w:cs="Times New Roman"/>
          <w:sz w:val="24"/>
          <w:szCs w:val="24"/>
        </w:rPr>
        <w:t>$98</w:t>
      </w:r>
      <w:r w:rsidR="006E0AEA">
        <w:rPr>
          <w:rFonts w:ascii="Times New Roman" w:hAnsi="Times New Roman" w:cs="Times New Roman"/>
          <w:sz w:val="24"/>
          <w:szCs w:val="24"/>
        </w:rPr>
        <w:t>,615,917</w:t>
      </w:r>
      <w:r w:rsidR="00681739">
        <w:rPr>
          <w:rFonts w:ascii="Times New Roman" w:hAnsi="Times New Roman" w:cs="Times New Roman"/>
          <w:sz w:val="24"/>
          <w:szCs w:val="24"/>
        </w:rPr>
        <w:t xml:space="preserve"> on electric energy efficiency programs, which was a</w:t>
      </w:r>
      <w:r w:rsidR="00A76BE7">
        <w:rPr>
          <w:rFonts w:ascii="Times New Roman" w:hAnsi="Times New Roman" w:cs="Times New Roman"/>
          <w:sz w:val="24"/>
          <w:szCs w:val="24"/>
        </w:rPr>
        <w:t>n</w:t>
      </w:r>
      <w:r w:rsidR="00681739">
        <w:rPr>
          <w:rFonts w:ascii="Times New Roman" w:hAnsi="Times New Roman" w:cs="Times New Roman"/>
          <w:sz w:val="24"/>
          <w:szCs w:val="24"/>
        </w:rPr>
        <w:t xml:space="preserve"> </w:t>
      </w:r>
      <w:r w:rsidR="00A76BE7">
        <w:rPr>
          <w:rFonts w:ascii="Times New Roman" w:hAnsi="Times New Roman" w:cs="Times New Roman"/>
          <w:sz w:val="24"/>
          <w:szCs w:val="24"/>
        </w:rPr>
        <w:t>increase</w:t>
      </w:r>
      <w:r w:rsidR="00681739">
        <w:rPr>
          <w:rFonts w:ascii="Times New Roman" w:hAnsi="Times New Roman" w:cs="Times New Roman"/>
          <w:sz w:val="24"/>
          <w:szCs w:val="24"/>
        </w:rPr>
        <w:t xml:space="preserve"> of approximately </w:t>
      </w:r>
      <w:r w:rsidR="00A76BE7">
        <w:rPr>
          <w:rFonts w:ascii="Times New Roman" w:hAnsi="Times New Roman" w:cs="Times New Roman"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percent from projected 2013</w:t>
      </w:r>
      <w:r w:rsidR="0068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expenditures. </w:t>
      </w:r>
    </w:p>
    <w:p w14:paraId="3DBE3073" w14:textId="77777777" w:rsidR="008616D9" w:rsidRDefault="008616D9" w:rsidP="00681739">
      <w:pPr>
        <w:rPr>
          <w:rFonts w:ascii="Times New Roman" w:hAnsi="Times New Roman" w:cs="Times New Roman"/>
          <w:sz w:val="24"/>
          <w:szCs w:val="24"/>
        </w:rPr>
      </w:pPr>
    </w:p>
    <w:p w14:paraId="41E6F2BC" w14:textId="77777777" w:rsidR="00FD3C50" w:rsidRDefault="00FD3C50" w:rsidP="00681739">
      <w:pPr>
        <w:rPr>
          <w:rFonts w:ascii="Times New Roman" w:hAnsi="Times New Roman" w:cs="Times New Roman"/>
          <w:sz w:val="24"/>
          <w:szCs w:val="24"/>
        </w:rPr>
      </w:pPr>
    </w:p>
    <w:p w14:paraId="32326047" w14:textId="2416997A" w:rsidR="009E0769" w:rsidRDefault="00681739" w:rsidP="00AA1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total revenue requirement in this filing </w:t>
      </w:r>
      <w:r w:rsidRPr="007E19BD">
        <w:rPr>
          <w:rFonts w:ascii="Times New Roman" w:hAnsi="Times New Roman" w:cs="Times New Roman"/>
          <w:sz w:val="24"/>
          <w:szCs w:val="24"/>
        </w:rPr>
        <w:t xml:space="preserve">is </w:t>
      </w:r>
      <w:r w:rsidR="00F6779C">
        <w:rPr>
          <w:rFonts w:ascii="Times New Roman" w:hAnsi="Times New Roman" w:cs="Times New Roman"/>
          <w:sz w:val="24"/>
          <w:szCs w:val="24"/>
        </w:rPr>
        <w:t>$104,066,827</w:t>
      </w:r>
      <w:r w:rsidR="007E19BD" w:rsidRPr="007E19BD">
        <w:rPr>
          <w:rFonts w:ascii="Times New Roman" w:hAnsi="Times New Roman" w:cs="Times New Roman"/>
          <w:sz w:val="24"/>
          <w:szCs w:val="24"/>
        </w:rPr>
        <w:t>,</w:t>
      </w:r>
      <w:r w:rsidR="009E0769" w:rsidRPr="009E0769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="009E0769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7E19BD" w:rsidRPr="007E19BD">
        <w:rPr>
          <w:rFonts w:ascii="Times New Roman" w:hAnsi="Times New Roman" w:cs="Times New Roman"/>
          <w:sz w:val="24"/>
          <w:szCs w:val="24"/>
        </w:rPr>
        <w:t xml:space="preserve"> c</w:t>
      </w:r>
      <w:r w:rsidR="000604E3">
        <w:rPr>
          <w:rFonts w:ascii="Times New Roman" w:hAnsi="Times New Roman" w:cs="Times New Roman"/>
          <w:sz w:val="24"/>
          <w:szCs w:val="24"/>
        </w:rPr>
        <w:t>omposed of</w:t>
      </w:r>
      <w:r w:rsidR="009E0769">
        <w:rPr>
          <w:rFonts w:ascii="Times New Roman" w:hAnsi="Times New Roman" w:cs="Times New Roman"/>
          <w:sz w:val="24"/>
          <w:szCs w:val="24"/>
        </w:rPr>
        <w:t>:</w:t>
      </w:r>
      <w:r w:rsidR="00AA1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EC0C6" w14:textId="6C8A0A79" w:rsidR="009E0769" w:rsidRDefault="00AA1B18" w:rsidP="009E07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0769">
        <w:rPr>
          <w:rFonts w:ascii="Times New Roman" w:hAnsi="Times New Roman" w:cs="Times New Roman"/>
          <w:sz w:val="24"/>
          <w:szCs w:val="24"/>
        </w:rPr>
        <w:t>$9</w:t>
      </w:r>
      <w:r w:rsidR="00BC79C9" w:rsidRPr="009E0769">
        <w:rPr>
          <w:rFonts w:ascii="Times New Roman" w:hAnsi="Times New Roman" w:cs="Times New Roman"/>
          <w:sz w:val="24"/>
          <w:szCs w:val="24"/>
        </w:rPr>
        <w:t>2,381,592</w:t>
      </w:r>
      <w:r w:rsidR="007E19BD" w:rsidRPr="009E0769">
        <w:rPr>
          <w:rFonts w:ascii="Times New Roman" w:hAnsi="Times New Roman" w:cs="Times New Roman"/>
          <w:sz w:val="24"/>
          <w:szCs w:val="24"/>
        </w:rPr>
        <w:t xml:space="preserve"> million projected 2014</w:t>
      </w:r>
      <w:r w:rsidR="00681739" w:rsidRPr="009E0769">
        <w:rPr>
          <w:rFonts w:ascii="Times New Roman" w:hAnsi="Times New Roman" w:cs="Times New Roman"/>
          <w:sz w:val="24"/>
          <w:szCs w:val="24"/>
        </w:rPr>
        <w:t xml:space="preserve"> program expenditures</w:t>
      </w:r>
      <w:r w:rsidR="009E0769">
        <w:rPr>
          <w:rFonts w:ascii="Times New Roman" w:hAnsi="Times New Roman" w:cs="Times New Roman"/>
          <w:sz w:val="24"/>
          <w:szCs w:val="24"/>
        </w:rPr>
        <w:t>;</w:t>
      </w:r>
    </w:p>
    <w:p w14:paraId="29B0DB3D" w14:textId="4132682E" w:rsidR="009E0769" w:rsidRPr="00F6779C" w:rsidRDefault="00F6779C" w:rsidP="00F677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$1,383,60</w:t>
      </w:r>
      <w:r w:rsidR="009E0769" w:rsidRPr="009E0769">
        <w:rPr>
          <w:rFonts w:ascii="Times New Roman" w:hAnsi="Times New Roman" w:cs="Times New Roman"/>
          <w:sz w:val="24"/>
          <w:szCs w:val="24"/>
        </w:rPr>
        <w:t>0 for the Electric Vehicle Charger Incentiv</w:t>
      </w:r>
      <w:r w:rsidR="009E0769">
        <w:rPr>
          <w:rFonts w:ascii="Times New Roman" w:hAnsi="Times New Roman" w:cs="Times New Roman"/>
          <w:sz w:val="24"/>
          <w:szCs w:val="24"/>
        </w:rPr>
        <w:t xml:space="preserve">e </w:t>
      </w:r>
      <w:r w:rsidR="00580EC3">
        <w:rPr>
          <w:rFonts w:ascii="Times New Roman" w:hAnsi="Times New Roman" w:cs="Times New Roman"/>
          <w:sz w:val="24"/>
          <w:szCs w:val="24"/>
        </w:rPr>
        <w:t xml:space="preserve">(EVCI) </w:t>
      </w:r>
      <w:r w:rsidR="009E0769">
        <w:rPr>
          <w:rFonts w:ascii="Times New Roman" w:hAnsi="Times New Roman" w:cs="Times New Roman"/>
          <w:sz w:val="24"/>
          <w:szCs w:val="24"/>
        </w:rPr>
        <w:t>proposed in Docket UE-131585;</w:t>
      </w:r>
    </w:p>
    <w:p w14:paraId="7B0AF70D" w14:textId="246FEB43" w:rsidR="009E0769" w:rsidRDefault="007E19BD" w:rsidP="009E07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0769">
        <w:rPr>
          <w:rFonts w:ascii="Times New Roman" w:hAnsi="Times New Roman" w:cs="Times New Roman"/>
          <w:sz w:val="24"/>
          <w:szCs w:val="24"/>
        </w:rPr>
        <w:t>a $4,</w:t>
      </w:r>
      <w:r w:rsidR="00F6779C">
        <w:rPr>
          <w:rFonts w:ascii="Times New Roman" w:hAnsi="Times New Roman" w:cs="Times New Roman"/>
          <w:sz w:val="24"/>
          <w:szCs w:val="24"/>
        </w:rPr>
        <w:t>747,643</w:t>
      </w:r>
      <w:r w:rsidR="00681739" w:rsidRPr="009E0769">
        <w:rPr>
          <w:rFonts w:ascii="Times New Roman" w:hAnsi="Times New Roman" w:cs="Times New Roman"/>
          <w:sz w:val="24"/>
          <w:szCs w:val="24"/>
        </w:rPr>
        <w:t xml:space="preserve"> revenue-sensitive adjustment</w:t>
      </w:r>
      <w:r w:rsidR="009E0769">
        <w:rPr>
          <w:rFonts w:ascii="Times New Roman" w:hAnsi="Times New Roman" w:cs="Times New Roman"/>
          <w:sz w:val="24"/>
          <w:szCs w:val="24"/>
        </w:rPr>
        <w:t>;</w:t>
      </w:r>
      <w:r w:rsidR="00681739" w:rsidRPr="009E0769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22817F0D" w14:textId="5ABEE270" w:rsidR="00AA1B18" w:rsidRPr="009E0769" w:rsidRDefault="00681739" w:rsidP="009E07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0769">
        <w:rPr>
          <w:rFonts w:ascii="Times New Roman" w:hAnsi="Times New Roman" w:cs="Times New Roman"/>
          <w:sz w:val="24"/>
          <w:szCs w:val="24"/>
        </w:rPr>
        <w:t xml:space="preserve">a </w:t>
      </w:r>
      <w:r w:rsidR="007E19BD" w:rsidRPr="009E0769">
        <w:rPr>
          <w:rFonts w:ascii="Times New Roman" w:hAnsi="Times New Roman" w:cs="Times New Roman"/>
          <w:sz w:val="24"/>
          <w:szCs w:val="24"/>
        </w:rPr>
        <w:t>$</w:t>
      </w:r>
      <w:r w:rsidR="00AA1B18" w:rsidRPr="009E0769">
        <w:rPr>
          <w:rFonts w:ascii="Times New Roman" w:hAnsi="Times New Roman" w:cs="Times New Roman"/>
          <w:sz w:val="24"/>
          <w:szCs w:val="24"/>
        </w:rPr>
        <w:t>5,553,992</w:t>
      </w:r>
      <w:r w:rsidRPr="009E0769">
        <w:rPr>
          <w:rFonts w:ascii="Times New Roman" w:hAnsi="Times New Roman" w:cs="Times New Roman"/>
          <w:sz w:val="24"/>
          <w:szCs w:val="24"/>
        </w:rPr>
        <w:t xml:space="preserve"> true-up </w:t>
      </w:r>
      <w:r w:rsidR="007E19BD" w:rsidRPr="009E0769">
        <w:rPr>
          <w:rFonts w:ascii="Times New Roman" w:hAnsi="Times New Roman" w:cs="Times New Roman"/>
          <w:sz w:val="24"/>
          <w:szCs w:val="24"/>
        </w:rPr>
        <w:t>of 2013 revenues and expenditures</w:t>
      </w:r>
      <w:r w:rsidRPr="009E0769">
        <w:rPr>
          <w:rFonts w:ascii="Times New Roman" w:hAnsi="Times New Roman" w:cs="Times New Roman"/>
          <w:sz w:val="24"/>
          <w:szCs w:val="24"/>
        </w:rPr>
        <w:t>.</w:t>
      </w:r>
    </w:p>
    <w:p w14:paraId="34A91B71" w14:textId="77777777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</w:p>
    <w:p w14:paraId="568E9C62" w14:textId="0C5A6B6D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filing</w:t>
      </w:r>
      <w:r w:rsidR="00473AE7">
        <w:rPr>
          <w:rFonts w:ascii="Times New Roman" w:hAnsi="Times New Roman" w:cs="Times New Roman"/>
          <w:sz w:val="24"/>
          <w:szCs w:val="24"/>
        </w:rPr>
        <w:t xml:space="preserve"> proposes to change</w:t>
      </w:r>
      <w:r>
        <w:rPr>
          <w:rFonts w:ascii="Times New Roman" w:hAnsi="Times New Roman" w:cs="Times New Roman"/>
          <w:sz w:val="24"/>
          <w:szCs w:val="24"/>
        </w:rPr>
        <w:t xml:space="preserve"> the electric rider </w:t>
      </w:r>
      <w:r w:rsidR="007A448C">
        <w:rPr>
          <w:rFonts w:ascii="Times New Roman" w:hAnsi="Times New Roman" w:cs="Times New Roman"/>
          <w:sz w:val="24"/>
          <w:szCs w:val="24"/>
        </w:rPr>
        <w:t>rates</w:t>
      </w:r>
      <w:r>
        <w:rPr>
          <w:rFonts w:ascii="Times New Roman" w:hAnsi="Times New Roman" w:cs="Times New Roman"/>
          <w:sz w:val="24"/>
          <w:szCs w:val="24"/>
        </w:rPr>
        <w:t xml:space="preserve"> as shown in the following table, reflecting actual costs and collections over the past year, correcting the true-up of actual expenditures and revenues in previous years, and covering the increased amounts budgeted for energy efficiency in the upcoming year. </w:t>
      </w:r>
    </w:p>
    <w:p w14:paraId="11A3DE3B" w14:textId="77777777" w:rsidR="006524A7" w:rsidRPr="00AF73D9" w:rsidRDefault="006524A7" w:rsidP="006817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388"/>
        <w:gridCol w:w="4020"/>
        <w:gridCol w:w="1530"/>
        <w:gridCol w:w="1614"/>
        <w:gridCol w:w="24"/>
      </w:tblGrid>
      <w:tr w:rsidR="00681739" w:rsidRPr="00AF73D9" w14:paraId="69C6FAA2" w14:textId="77777777" w:rsidTr="001A4CA2">
        <w:trPr>
          <w:gridAfter w:val="1"/>
          <w:wAfter w:w="24" w:type="dxa"/>
          <w:trHeight w:val="557"/>
        </w:trPr>
        <w:tc>
          <w:tcPr>
            <w:tcW w:w="2388" w:type="dxa"/>
          </w:tcPr>
          <w:p w14:paraId="060D85FB" w14:textId="77777777" w:rsidR="00681739" w:rsidRPr="00AF73D9" w:rsidRDefault="00681739" w:rsidP="001A4C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</w:tcPr>
          <w:p w14:paraId="4FD9B178" w14:textId="77777777" w:rsidR="00681739" w:rsidRDefault="00681739" w:rsidP="001A4C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7A26C7" w14:textId="77777777" w:rsidR="00681739" w:rsidRPr="00AF73D9" w:rsidRDefault="00681739" w:rsidP="001A4C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73D9">
              <w:rPr>
                <w:rFonts w:ascii="Times New Roman" w:hAnsi="Times New Roman"/>
                <w:b/>
                <w:bCs/>
                <w:sz w:val="24"/>
                <w:szCs w:val="24"/>
              </w:rPr>
              <w:t>Schedule</w:t>
            </w:r>
          </w:p>
        </w:tc>
        <w:tc>
          <w:tcPr>
            <w:tcW w:w="1530" w:type="dxa"/>
          </w:tcPr>
          <w:p w14:paraId="022E8680" w14:textId="77777777" w:rsidR="00681739" w:rsidRPr="00AF73D9" w:rsidRDefault="00681739" w:rsidP="001A4C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3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Current Rate </w:t>
            </w:r>
          </w:p>
          <w:p w14:paraId="4DEA86AF" w14:textId="77777777" w:rsidR="00681739" w:rsidRPr="00AF73D9" w:rsidRDefault="00681739" w:rsidP="001A4C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73D9">
              <w:rPr>
                <w:rFonts w:ascii="Times New Roman" w:hAnsi="Times New Roman"/>
                <w:b/>
                <w:bCs/>
                <w:sz w:val="24"/>
                <w:szCs w:val="24"/>
              </w:rPr>
              <w:t>per kWh</w:t>
            </w:r>
          </w:p>
        </w:tc>
        <w:tc>
          <w:tcPr>
            <w:tcW w:w="1614" w:type="dxa"/>
          </w:tcPr>
          <w:p w14:paraId="393DCB88" w14:textId="77777777" w:rsidR="00681739" w:rsidRPr="00AF73D9" w:rsidRDefault="00681739" w:rsidP="001A4CA2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73D9">
              <w:rPr>
                <w:rFonts w:ascii="Times New Roman" w:hAnsi="Times New Roman"/>
                <w:b/>
                <w:sz w:val="24"/>
                <w:szCs w:val="24"/>
              </w:rPr>
              <w:t>Proposed</w:t>
            </w:r>
          </w:p>
          <w:p w14:paraId="12B5F6BA" w14:textId="77777777" w:rsidR="00681739" w:rsidRPr="00AF73D9" w:rsidRDefault="00681739" w:rsidP="001A4C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73D9">
              <w:rPr>
                <w:rFonts w:ascii="Times New Roman" w:hAnsi="Times New Roman"/>
                <w:b/>
                <w:sz w:val="24"/>
                <w:szCs w:val="24"/>
              </w:rPr>
              <w:t>Rate per kWh</w:t>
            </w:r>
          </w:p>
        </w:tc>
      </w:tr>
      <w:tr w:rsidR="00681739" w:rsidRPr="00AF73D9" w14:paraId="78D76123" w14:textId="77777777" w:rsidTr="001A4CA2">
        <w:tc>
          <w:tcPr>
            <w:tcW w:w="2388" w:type="dxa"/>
          </w:tcPr>
          <w:p w14:paraId="118A1A7B" w14:textId="77777777" w:rsidR="00681739" w:rsidRPr="00AF73D9" w:rsidRDefault="00681739" w:rsidP="001A4CA2">
            <w:pPr>
              <w:rPr>
                <w:rFonts w:ascii="Times New Roman" w:hAnsi="Times New Roman"/>
                <w:sz w:val="24"/>
                <w:szCs w:val="24"/>
              </w:rPr>
            </w:pPr>
            <w:r w:rsidRPr="00AF73D9">
              <w:rPr>
                <w:rFonts w:ascii="Times New Roman" w:hAnsi="Times New Roman"/>
                <w:sz w:val="24"/>
                <w:szCs w:val="24"/>
              </w:rPr>
              <w:t>Residential Service</w:t>
            </w:r>
          </w:p>
        </w:tc>
        <w:tc>
          <w:tcPr>
            <w:tcW w:w="4020" w:type="dxa"/>
          </w:tcPr>
          <w:p w14:paraId="7A269D4C" w14:textId="77777777" w:rsidR="00681739" w:rsidRPr="00C66AF1" w:rsidRDefault="00681739" w:rsidP="001A4CA2">
            <w:pPr>
              <w:rPr>
                <w:rFonts w:ascii="Times New Roman" w:hAnsi="Times New Roman"/>
                <w:sz w:val="24"/>
                <w:szCs w:val="24"/>
              </w:rPr>
            </w:pPr>
            <w:r w:rsidRPr="00C66AF1">
              <w:rPr>
                <w:rFonts w:ascii="Times New Roman" w:hAnsi="Times New Roman"/>
                <w:sz w:val="24"/>
                <w:szCs w:val="24"/>
              </w:rPr>
              <w:t>Schedule 7</w:t>
            </w:r>
          </w:p>
        </w:tc>
        <w:tc>
          <w:tcPr>
            <w:tcW w:w="1530" w:type="dxa"/>
          </w:tcPr>
          <w:p w14:paraId="366D6ACA" w14:textId="15F95140" w:rsidR="00681739" w:rsidRPr="00C66AF1" w:rsidRDefault="006524A7" w:rsidP="001A4CA2">
            <w:pPr>
              <w:rPr>
                <w:rFonts w:ascii="Times New Roman" w:hAnsi="Times New Roman"/>
                <w:sz w:val="24"/>
                <w:szCs w:val="24"/>
              </w:rPr>
            </w:pPr>
            <w:r w:rsidRPr="00C66AF1">
              <w:rPr>
                <w:rFonts w:ascii="Times New Roman" w:hAnsi="Times New Roman"/>
                <w:sz w:val="24"/>
                <w:szCs w:val="24"/>
              </w:rPr>
              <w:t>$0.004632</w:t>
            </w:r>
          </w:p>
        </w:tc>
        <w:tc>
          <w:tcPr>
            <w:tcW w:w="1638" w:type="dxa"/>
            <w:gridSpan w:val="2"/>
          </w:tcPr>
          <w:p w14:paraId="1EA69CBA" w14:textId="404BD174" w:rsidR="00681739" w:rsidRPr="00AF73D9" w:rsidRDefault="00F6779C" w:rsidP="001A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$0.005297</w:t>
            </w:r>
          </w:p>
        </w:tc>
      </w:tr>
      <w:tr w:rsidR="00681739" w:rsidRPr="00AF73D9" w14:paraId="5469C7A3" w14:textId="77777777" w:rsidTr="001A4CA2">
        <w:tc>
          <w:tcPr>
            <w:tcW w:w="2388" w:type="dxa"/>
          </w:tcPr>
          <w:p w14:paraId="79B6662F" w14:textId="77777777" w:rsidR="00681739" w:rsidRPr="00AF73D9" w:rsidRDefault="00681739" w:rsidP="001A4CA2">
            <w:pPr>
              <w:rPr>
                <w:rFonts w:ascii="Times New Roman" w:hAnsi="Times New Roman"/>
                <w:sz w:val="24"/>
                <w:szCs w:val="24"/>
              </w:rPr>
            </w:pPr>
            <w:r w:rsidRPr="00AF73D9">
              <w:rPr>
                <w:rFonts w:ascii="Times New Roman" w:hAnsi="Times New Roman"/>
                <w:sz w:val="24"/>
                <w:szCs w:val="24"/>
              </w:rPr>
              <w:t>Commercial Service</w:t>
            </w:r>
            <w:r w:rsidRPr="00AF73D9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  <w:tc>
          <w:tcPr>
            <w:tcW w:w="4020" w:type="dxa"/>
          </w:tcPr>
          <w:p w14:paraId="657B1D9F" w14:textId="77777777" w:rsidR="00681739" w:rsidRPr="00AF73D9" w:rsidRDefault="00681739" w:rsidP="001A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Schedules </w:t>
            </w:r>
            <w:r w:rsidRPr="00AF73D9">
              <w:rPr>
                <w:rFonts w:ascii="Times New Roman" w:hAnsi="Times New Roman"/>
                <w:sz w:val="24"/>
                <w:szCs w:val="24"/>
              </w:rPr>
              <w:t>24, 25, 26, 29</w:t>
            </w:r>
          </w:p>
        </w:tc>
        <w:tc>
          <w:tcPr>
            <w:tcW w:w="1530" w:type="dxa"/>
          </w:tcPr>
          <w:p w14:paraId="3F2C430A" w14:textId="2A3D7387" w:rsidR="00681739" w:rsidRPr="006524A7" w:rsidRDefault="000920FB" w:rsidP="001A4CA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20FB">
              <w:rPr>
                <w:rFonts w:ascii="Times New Roman" w:hAnsi="Times New Roman"/>
                <w:sz w:val="24"/>
                <w:szCs w:val="24"/>
              </w:rPr>
              <w:t>$0.004151</w:t>
            </w:r>
          </w:p>
        </w:tc>
        <w:tc>
          <w:tcPr>
            <w:tcW w:w="1638" w:type="dxa"/>
            <w:gridSpan w:val="2"/>
          </w:tcPr>
          <w:p w14:paraId="2014AE27" w14:textId="336E28FE" w:rsidR="00681739" w:rsidRPr="00AF73D9" w:rsidRDefault="000920FB" w:rsidP="001A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$0.004618</w:t>
            </w:r>
          </w:p>
        </w:tc>
      </w:tr>
      <w:tr w:rsidR="00681739" w:rsidRPr="00AF73D9" w14:paraId="3EDAB92A" w14:textId="77777777" w:rsidTr="001A4CA2">
        <w:tc>
          <w:tcPr>
            <w:tcW w:w="2388" w:type="dxa"/>
          </w:tcPr>
          <w:p w14:paraId="791C9E44" w14:textId="77777777" w:rsidR="00681739" w:rsidRPr="00AF73D9" w:rsidRDefault="00681739" w:rsidP="001A4CA2">
            <w:pPr>
              <w:rPr>
                <w:rFonts w:ascii="Times New Roman" w:hAnsi="Times New Roman"/>
                <w:sz w:val="24"/>
                <w:szCs w:val="24"/>
              </w:rPr>
            </w:pPr>
            <w:r w:rsidRPr="00AF73D9">
              <w:rPr>
                <w:rFonts w:ascii="Times New Roman" w:hAnsi="Times New Roman"/>
                <w:sz w:val="24"/>
                <w:szCs w:val="24"/>
              </w:rPr>
              <w:t>Primary Service</w:t>
            </w:r>
            <w:r w:rsidRPr="00AF73D9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  <w:tc>
          <w:tcPr>
            <w:tcW w:w="4020" w:type="dxa"/>
          </w:tcPr>
          <w:p w14:paraId="59F07FAD" w14:textId="77777777" w:rsidR="00681739" w:rsidRPr="00AF73D9" w:rsidRDefault="00681739" w:rsidP="001A4CA2">
            <w:pPr>
              <w:rPr>
                <w:rFonts w:ascii="Times New Roman" w:hAnsi="Times New Roman"/>
                <w:sz w:val="24"/>
                <w:szCs w:val="24"/>
              </w:rPr>
            </w:pPr>
            <w:r w:rsidRPr="00AF73D9">
              <w:rPr>
                <w:rFonts w:ascii="Times New Roman" w:hAnsi="Times New Roman"/>
                <w:sz w:val="24"/>
                <w:szCs w:val="24"/>
              </w:rPr>
              <w:t xml:space="preserve">Schedules 31, 35, 43 </w:t>
            </w:r>
          </w:p>
        </w:tc>
        <w:tc>
          <w:tcPr>
            <w:tcW w:w="1530" w:type="dxa"/>
          </w:tcPr>
          <w:p w14:paraId="7A5EFC1E" w14:textId="2CB24A0E" w:rsidR="00681739" w:rsidRPr="006524A7" w:rsidRDefault="000920FB" w:rsidP="001A4CA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20FB">
              <w:rPr>
                <w:rFonts w:ascii="Times New Roman" w:hAnsi="Times New Roman"/>
                <w:sz w:val="24"/>
                <w:szCs w:val="24"/>
              </w:rPr>
              <w:t>$0.003825</w:t>
            </w:r>
          </w:p>
        </w:tc>
        <w:tc>
          <w:tcPr>
            <w:tcW w:w="1638" w:type="dxa"/>
            <w:gridSpan w:val="2"/>
          </w:tcPr>
          <w:p w14:paraId="28FAF6CC" w14:textId="4ECFD79F" w:rsidR="00681739" w:rsidRPr="00AF73D9" w:rsidRDefault="000920FB" w:rsidP="001A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$0.04211</w:t>
            </w:r>
          </w:p>
        </w:tc>
      </w:tr>
      <w:tr w:rsidR="00681739" w:rsidRPr="00AF73D9" w14:paraId="56E6D400" w14:textId="77777777" w:rsidTr="001A4CA2">
        <w:tc>
          <w:tcPr>
            <w:tcW w:w="2388" w:type="dxa"/>
          </w:tcPr>
          <w:p w14:paraId="67FE5DEB" w14:textId="77777777" w:rsidR="00681739" w:rsidRPr="00AF73D9" w:rsidRDefault="00681739" w:rsidP="001A4CA2">
            <w:pPr>
              <w:rPr>
                <w:rFonts w:ascii="Times New Roman" w:hAnsi="Times New Roman"/>
                <w:sz w:val="24"/>
                <w:szCs w:val="24"/>
              </w:rPr>
            </w:pPr>
            <w:r w:rsidRPr="00AF73D9">
              <w:rPr>
                <w:rFonts w:ascii="Times New Roman" w:hAnsi="Times New Roman"/>
                <w:sz w:val="24"/>
                <w:szCs w:val="24"/>
              </w:rPr>
              <w:t>Campus Service</w:t>
            </w:r>
          </w:p>
        </w:tc>
        <w:tc>
          <w:tcPr>
            <w:tcW w:w="4020" w:type="dxa"/>
          </w:tcPr>
          <w:p w14:paraId="2465DC29" w14:textId="77777777" w:rsidR="00681739" w:rsidRPr="00AF73D9" w:rsidRDefault="00681739" w:rsidP="001A4CA2">
            <w:pPr>
              <w:rPr>
                <w:rFonts w:ascii="Times New Roman" w:hAnsi="Times New Roman"/>
                <w:sz w:val="24"/>
                <w:szCs w:val="24"/>
              </w:rPr>
            </w:pPr>
            <w:r w:rsidRPr="00AF73D9">
              <w:rPr>
                <w:rFonts w:ascii="Times New Roman" w:hAnsi="Times New Roman"/>
                <w:sz w:val="24"/>
                <w:szCs w:val="24"/>
              </w:rPr>
              <w:t>Schedule 40</w:t>
            </w:r>
          </w:p>
        </w:tc>
        <w:tc>
          <w:tcPr>
            <w:tcW w:w="1530" w:type="dxa"/>
          </w:tcPr>
          <w:p w14:paraId="72BBD7EC" w14:textId="6BA93B61" w:rsidR="00681739" w:rsidRPr="006524A7" w:rsidRDefault="006524A7" w:rsidP="001A4CA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665D">
              <w:rPr>
                <w:rFonts w:ascii="Times New Roman" w:hAnsi="Times New Roman"/>
                <w:sz w:val="24"/>
                <w:szCs w:val="24"/>
              </w:rPr>
              <w:t>$0.004004</w:t>
            </w:r>
          </w:p>
        </w:tc>
        <w:tc>
          <w:tcPr>
            <w:tcW w:w="1638" w:type="dxa"/>
            <w:gridSpan w:val="2"/>
          </w:tcPr>
          <w:p w14:paraId="2B57806E" w14:textId="733D6CDC" w:rsidR="00681739" w:rsidRPr="00AF73D9" w:rsidRDefault="0041665D" w:rsidP="001A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$0.004758</w:t>
            </w:r>
          </w:p>
        </w:tc>
      </w:tr>
      <w:tr w:rsidR="00681739" w:rsidRPr="00AF73D9" w14:paraId="591893ED" w14:textId="77777777" w:rsidTr="001A4CA2">
        <w:tc>
          <w:tcPr>
            <w:tcW w:w="2388" w:type="dxa"/>
            <w:tcBorders>
              <w:bottom w:val="single" w:sz="4" w:space="0" w:color="000000"/>
            </w:tcBorders>
          </w:tcPr>
          <w:p w14:paraId="705FEE3F" w14:textId="77777777" w:rsidR="00681739" w:rsidRPr="00AF73D9" w:rsidRDefault="00681739" w:rsidP="001A4CA2">
            <w:pPr>
              <w:rPr>
                <w:rFonts w:ascii="Times New Roman" w:hAnsi="Times New Roman"/>
                <w:sz w:val="24"/>
                <w:szCs w:val="24"/>
              </w:rPr>
            </w:pPr>
            <w:r w:rsidRPr="00AF73D9">
              <w:rPr>
                <w:rFonts w:ascii="Times New Roman" w:hAnsi="Times New Roman"/>
                <w:sz w:val="24"/>
                <w:szCs w:val="24"/>
              </w:rPr>
              <w:t>Large User Services</w:t>
            </w:r>
            <w:r w:rsidRPr="00AF73D9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  <w:tc>
          <w:tcPr>
            <w:tcW w:w="4020" w:type="dxa"/>
            <w:tcBorders>
              <w:bottom w:val="single" w:sz="4" w:space="0" w:color="000000"/>
            </w:tcBorders>
          </w:tcPr>
          <w:p w14:paraId="2B43D675" w14:textId="77777777" w:rsidR="00681739" w:rsidRPr="00AF73D9" w:rsidRDefault="00681739" w:rsidP="001A4CA2">
            <w:pPr>
              <w:rPr>
                <w:rFonts w:ascii="Times New Roman" w:hAnsi="Times New Roman"/>
                <w:sz w:val="24"/>
                <w:szCs w:val="24"/>
              </w:rPr>
            </w:pPr>
            <w:r w:rsidRPr="00AF73D9">
              <w:rPr>
                <w:rFonts w:ascii="Times New Roman" w:hAnsi="Times New Roman"/>
                <w:sz w:val="24"/>
                <w:szCs w:val="24"/>
              </w:rPr>
              <w:t xml:space="preserve">Schedules 46, 49 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64870BD0" w14:textId="50A7D387" w:rsidR="00681739" w:rsidRPr="006524A7" w:rsidRDefault="000920FB" w:rsidP="001A4CA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20FB">
              <w:rPr>
                <w:rFonts w:ascii="Times New Roman" w:hAnsi="Times New Roman"/>
                <w:sz w:val="24"/>
                <w:szCs w:val="24"/>
              </w:rPr>
              <w:t>$0.003708</w:t>
            </w:r>
          </w:p>
        </w:tc>
        <w:tc>
          <w:tcPr>
            <w:tcW w:w="1638" w:type="dxa"/>
            <w:gridSpan w:val="2"/>
            <w:tcBorders>
              <w:bottom w:val="single" w:sz="4" w:space="0" w:color="000000"/>
            </w:tcBorders>
          </w:tcPr>
          <w:p w14:paraId="2BDD0514" w14:textId="516AC878" w:rsidR="00681739" w:rsidRPr="00AF73D9" w:rsidRDefault="000920FB" w:rsidP="001A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$0.003977</w:t>
            </w:r>
          </w:p>
        </w:tc>
      </w:tr>
      <w:tr w:rsidR="00681739" w:rsidRPr="00AF73D9" w14:paraId="3939E7B2" w14:textId="77777777" w:rsidTr="00C4401D">
        <w:tc>
          <w:tcPr>
            <w:tcW w:w="2388" w:type="dxa"/>
          </w:tcPr>
          <w:p w14:paraId="1EEFC5C3" w14:textId="77777777" w:rsidR="00681739" w:rsidRPr="00AF73D9" w:rsidRDefault="00681739" w:rsidP="001A4CA2">
            <w:pPr>
              <w:rPr>
                <w:rFonts w:ascii="Times New Roman" w:hAnsi="Times New Roman"/>
                <w:sz w:val="24"/>
                <w:szCs w:val="24"/>
              </w:rPr>
            </w:pPr>
            <w:r w:rsidRPr="00AF73D9">
              <w:rPr>
                <w:rFonts w:ascii="Times New Roman" w:hAnsi="Times New Roman"/>
                <w:sz w:val="24"/>
                <w:szCs w:val="24"/>
              </w:rPr>
              <w:t>Outdoor Lighting</w:t>
            </w:r>
            <w:r w:rsidRPr="00AF73D9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  <w:tc>
          <w:tcPr>
            <w:tcW w:w="4020" w:type="dxa"/>
          </w:tcPr>
          <w:p w14:paraId="6F829B6F" w14:textId="77777777" w:rsidR="00681739" w:rsidRPr="00AF73D9" w:rsidRDefault="00681739" w:rsidP="001A4CA2">
            <w:pPr>
              <w:rPr>
                <w:rFonts w:ascii="Times New Roman" w:hAnsi="Times New Roman"/>
                <w:sz w:val="24"/>
                <w:szCs w:val="24"/>
              </w:rPr>
            </w:pPr>
            <w:r w:rsidRPr="00AF73D9">
              <w:rPr>
                <w:rFonts w:ascii="Times New Roman" w:hAnsi="Times New Roman"/>
                <w:sz w:val="24"/>
                <w:szCs w:val="24"/>
              </w:rPr>
              <w:t>Schedules 50, 51, 52, 53, 54, 55, 57, 58</w:t>
            </w:r>
          </w:p>
        </w:tc>
        <w:tc>
          <w:tcPr>
            <w:tcW w:w="1530" w:type="dxa"/>
          </w:tcPr>
          <w:p w14:paraId="0091EA1D" w14:textId="6188F494" w:rsidR="00681739" w:rsidRPr="006524A7" w:rsidRDefault="006524A7" w:rsidP="00C4401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01D">
              <w:rPr>
                <w:rFonts w:ascii="Times New Roman" w:hAnsi="Times New Roman"/>
                <w:sz w:val="24"/>
                <w:szCs w:val="24"/>
              </w:rPr>
              <w:t>$0.0040</w:t>
            </w:r>
            <w:r w:rsidR="00C4401D" w:rsidRPr="00C4401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638" w:type="dxa"/>
            <w:gridSpan w:val="2"/>
          </w:tcPr>
          <w:p w14:paraId="78CF0684" w14:textId="75A65C35" w:rsidR="00681739" w:rsidRPr="00AF73D9" w:rsidRDefault="00C4401D" w:rsidP="001A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$0.004650</w:t>
            </w:r>
          </w:p>
        </w:tc>
      </w:tr>
      <w:tr w:rsidR="00C4401D" w:rsidRPr="00AF73D9" w14:paraId="0D4ABF4C" w14:textId="77777777" w:rsidTr="001A4CA2">
        <w:tc>
          <w:tcPr>
            <w:tcW w:w="2388" w:type="dxa"/>
            <w:tcBorders>
              <w:bottom w:val="single" w:sz="4" w:space="0" w:color="auto"/>
            </w:tcBorders>
          </w:tcPr>
          <w:p w14:paraId="1794A86A" w14:textId="07996C61" w:rsidR="00C4401D" w:rsidRPr="00AF73D9" w:rsidRDefault="00C4401D" w:rsidP="001A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Transportation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3D0D9D29" w14:textId="23DF6755" w:rsidR="00C4401D" w:rsidRPr="00AF73D9" w:rsidRDefault="00C4401D" w:rsidP="001A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Schedules 449, 459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E52FFA4" w14:textId="6E06E8A4" w:rsidR="00C4401D" w:rsidRPr="00C4401D" w:rsidRDefault="00C4401D" w:rsidP="00C44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$0.000944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</w:tcPr>
          <w:p w14:paraId="612616EF" w14:textId="20295B79" w:rsidR="00C4401D" w:rsidRDefault="00C4401D" w:rsidP="001A4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$0.001082</w:t>
            </w:r>
          </w:p>
        </w:tc>
      </w:tr>
    </w:tbl>
    <w:p w14:paraId="7D7A72B3" w14:textId="77777777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</w:p>
    <w:p w14:paraId="5D8F3177" w14:textId="64644D0E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proposed r</w:t>
      </w:r>
      <w:r w:rsidR="007A448C">
        <w:rPr>
          <w:rFonts w:ascii="Times New Roman" w:hAnsi="Times New Roman" w:cs="Times New Roman"/>
          <w:sz w:val="24"/>
          <w:szCs w:val="24"/>
        </w:rPr>
        <w:t>ates</w:t>
      </w:r>
      <w:r>
        <w:rPr>
          <w:rFonts w:ascii="Times New Roman" w:hAnsi="Times New Roman" w:cs="Times New Roman"/>
          <w:sz w:val="24"/>
          <w:szCs w:val="24"/>
        </w:rPr>
        <w:t xml:space="preserve"> reflect a </w:t>
      </w:r>
      <w:r w:rsidR="00C663AC" w:rsidRPr="00C663AC">
        <w:rPr>
          <w:rFonts w:ascii="Times New Roman" w:hAnsi="Times New Roman" w:cs="Times New Roman"/>
          <w:sz w:val="24"/>
          <w:szCs w:val="24"/>
        </w:rPr>
        <w:t>0.</w:t>
      </w:r>
      <w:r w:rsidR="00A678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percent increase </w:t>
      </w:r>
      <w:r w:rsidR="00CA3673">
        <w:rPr>
          <w:rFonts w:ascii="Times New Roman" w:hAnsi="Times New Roman" w:cs="Times New Roman"/>
          <w:sz w:val="24"/>
          <w:szCs w:val="24"/>
        </w:rPr>
        <w:t>in annual revenue</w:t>
      </w:r>
      <w:r w:rsidR="00C663AC">
        <w:rPr>
          <w:rFonts w:ascii="Times New Roman" w:hAnsi="Times New Roman" w:cs="Times New Roman"/>
          <w:sz w:val="24"/>
          <w:szCs w:val="24"/>
        </w:rPr>
        <w:t>. The</w:t>
      </w:r>
      <w:r>
        <w:rPr>
          <w:rFonts w:ascii="Times New Roman" w:hAnsi="Times New Roman" w:cs="Times New Roman"/>
          <w:sz w:val="24"/>
          <w:szCs w:val="24"/>
        </w:rPr>
        <w:t xml:space="preserve"> average bill for an electric residential customer using 1,000 kWh per month </w:t>
      </w:r>
      <w:r w:rsidR="00C663AC">
        <w:rPr>
          <w:rFonts w:ascii="Times New Roman" w:hAnsi="Times New Roman" w:cs="Times New Roman"/>
          <w:sz w:val="24"/>
          <w:szCs w:val="24"/>
        </w:rPr>
        <w:t xml:space="preserve">would increase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A67815">
        <w:rPr>
          <w:rFonts w:ascii="Times New Roman" w:hAnsi="Times New Roman" w:cs="Times New Roman"/>
          <w:sz w:val="24"/>
          <w:szCs w:val="24"/>
        </w:rPr>
        <w:t>$0.67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69868F" w14:textId="77777777" w:rsidR="00681739" w:rsidRDefault="00681739" w:rsidP="00681739">
      <w:pPr>
        <w:rPr>
          <w:rFonts w:ascii="Times New Roman" w:hAnsi="Times New Roman"/>
          <w:sz w:val="24"/>
          <w:szCs w:val="24"/>
        </w:rPr>
      </w:pPr>
    </w:p>
    <w:p w14:paraId="3508D5E6" w14:textId="26E70081" w:rsidR="00C4401D" w:rsidRPr="0079010B" w:rsidRDefault="00C4401D" w:rsidP="00A03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Transportation Customers</w:t>
      </w:r>
      <w:r w:rsidR="007E04B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E5236">
        <w:rPr>
          <w:rFonts w:ascii="Times New Roman" w:hAnsi="Times New Roman" w:cs="Times New Roman"/>
          <w:sz w:val="24"/>
          <w:szCs w:val="24"/>
        </w:rPr>
        <w:t>The rates for collecting conservation funds from c</w:t>
      </w:r>
      <w:r>
        <w:rPr>
          <w:rFonts w:ascii="Times New Roman" w:hAnsi="Times New Roman" w:cs="Times New Roman"/>
          <w:sz w:val="24"/>
          <w:szCs w:val="24"/>
        </w:rPr>
        <w:t>ustomer</w:t>
      </w:r>
      <w:r w:rsidR="005E523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receiving transportation service under Schedules 449 and 459 </w:t>
      </w:r>
      <w:r w:rsidR="005E5236">
        <w:rPr>
          <w:rFonts w:ascii="Times New Roman" w:hAnsi="Times New Roman" w:cs="Times New Roman"/>
          <w:sz w:val="24"/>
          <w:szCs w:val="24"/>
        </w:rPr>
        <w:t xml:space="preserve">are updated </w:t>
      </w:r>
      <w:r w:rsidR="0079010B">
        <w:rPr>
          <w:rFonts w:ascii="Times New Roman" w:hAnsi="Times New Roman" w:cs="Times New Roman"/>
          <w:sz w:val="24"/>
          <w:szCs w:val="24"/>
        </w:rPr>
        <w:t>on a four-year cycle.</w:t>
      </w:r>
      <w:r w:rsidR="0079010B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5E5236">
        <w:rPr>
          <w:rFonts w:ascii="Times New Roman" w:hAnsi="Times New Roman" w:cs="Times New Roman"/>
          <w:sz w:val="24"/>
          <w:szCs w:val="24"/>
        </w:rPr>
        <w:t xml:space="preserve"> The funds are exclusively reserved for these customers</w:t>
      </w:r>
      <w:r w:rsidR="0079010B">
        <w:rPr>
          <w:rFonts w:ascii="Times New Roman" w:hAnsi="Times New Roman" w:cs="Times New Roman"/>
          <w:sz w:val="24"/>
          <w:szCs w:val="24"/>
        </w:rPr>
        <w:t xml:space="preserve">, and </w:t>
      </w:r>
      <w:r w:rsidR="0079010B" w:rsidRPr="0079010B">
        <w:rPr>
          <w:rFonts w:ascii="Times New Roman" w:hAnsi="Times New Roman" w:cs="Times New Roman"/>
          <w:sz w:val="24"/>
          <w:szCs w:val="24"/>
        </w:rPr>
        <w:t xml:space="preserve">are </w:t>
      </w:r>
      <w:r w:rsidR="0079010B" w:rsidRPr="0079010B">
        <w:rPr>
          <w:rFonts w:ascii="Times New Roman" w:hAnsi="Times New Roman" w:cs="Times New Roman"/>
          <w:sz w:val="24"/>
        </w:rPr>
        <w:t>scalable depending on whether the overall conservation budget increases or decreases</w:t>
      </w:r>
      <w:r w:rsidR="00272507">
        <w:rPr>
          <w:rFonts w:ascii="Times New Roman" w:hAnsi="Times New Roman" w:cs="Times New Roman"/>
          <w:sz w:val="24"/>
        </w:rPr>
        <w:t xml:space="preserve">. </w:t>
      </w:r>
      <w:r w:rsidR="0079010B">
        <w:rPr>
          <w:rFonts w:ascii="Times New Roman" w:hAnsi="Times New Roman" w:cs="Times New Roman"/>
          <w:sz w:val="24"/>
        </w:rPr>
        <w:t>The proposed increase in rates for transportation customers is directly proportional to the increase of the overall conservation budget between the 2012-13 biennium and the 2014-15 biennium.</w:t>
      </w:r>
    </w:p>
    <w:p w14:paraId="3BB22D27" w14:textId="77777777" w:rsidR="00C4401D" w:rsidRPr="00580EC3" w:rsidRDefault="00C4401D" w:rsidP="00A03EC4">
      <w:pPr>
        <w:rPr>
          <w:rFonts w:ascii="Times New Roman" w:hAnsi="Times New Roman" w:cs="Times New Roman"/>
          <w:b/>
          <w:sz w:val="24"/>
          <w:szCs w:val="24"/>
        </w:rPr>
      </w:pPr>
    </w:p>
    <w:p w14:paraId="0E732E15" w14:textId="13AF29E5" w:rsidR="00A03EC4" w:rsidRDefault="00A03EC4" w:rsidP="00A03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El</w:t>
      </w:r>
      <w:r w:rsidR="007E04B8">
        <w:rPr>
          <w:rFonts w:ascii="Times New Roman" w:hAnsi="Times New Roman" w:cs="Times New Roman"/>
          <w:b/>
          <w:i/>
          <w:sz w:val="24"/>
          <w:szCs w:val="24"/>
        </w:rPr>
        <w:t xml:space="preserve">ectric Vehicle Charger Incentive. </w:t>
      </w:r>
      <w:r>
        <w:rPr>
          <w:rFonts w:ascii="Times New Roman" w:hAnsi="Times New Roman" w:cs="Times New Roman"/>
          <w:sz w:val="24"/>
          <w:szCs w:val="24"/>
        </w:rPr>
        <w:t>The revenue requirement for this fili</w:t>
      </w:r>
      <w:r w:rsidR="00F6779C">
        <w:rPr>
          <w:rFonts w:ascii="Times New Roman" w:hAnsi="Times New Roman" w:cs="Times New Roman"/>
          <w:sz w:val="24"/>
          <w:szCs w:val="24"/>
        </w:rPr>
        <w:t>ng includes $1,449,739</w:t>
      </w:r>
      <w:r>
        <w:rPr>
          <w:rFonts w:ascii="Times New Roman" w:hAnsi="Times New Roman" w:cs="Times New Roman"/>
          <w:sz w:val="24"/>
          <w:szCs w:val="24"/>
        </w:rPr>
        <w:t xml:space="preserve"> associated with the </w:t>
      </w:r>
      <w:r w:rsidR="00580EC3">
        <w:rPr>
          <w:rFonts w:ascii="Times New Roman" w:hAnsi="Times New Roman" w:cs="Times New Roman"/>
          <w:sz w:val="24"/>
          <w:szCs w:val="24"/>
        </w:rPr>
        <w:t>EVCI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4EE0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 xml:space="preserve"> which was filed in Docket UE-131585 and pending a decision from the commission</w:t>
      </w:r>
      <w:r w:rsidR="00227278">
        <w:rPr>
          <w:rFonts w:ascii="Times New Roman" w:hAnsi="Times New Roman" w:cs="Times New Roman"/>
          <w:sz w:val="24"/>
          <w:szCs w:val="24"/>
        </w:rPr>
        <w:t xml:space="preserve">. </w:t>
      </w:r>
      <w:r w:rsidR="00683F97">
        <w:rPr>
          <w:rFonts w:ascii="Times New Roman" w:hAnsi="Times New Roman" w:cs="Times New Roman"/>
          <w:sz w:val="24"/>
          <w:szCs w:val="24"/>
        </w:rPr>
        <w:t xml:space="preserve">The </w:t>
      </w:r>
      <w:r w:rsidR="00580EC3">
        <w:rPr>
          <w:rFonts w:ascii="Times New Roman" w:hAnsi="Times New Roman" w:cs="Times New Roman"/>
          <w:sz w:val="24"/>
          <w:szCs w:val="24"/>
        </w:rPr>
        <w:t>EVCI</w:t>
      </w:r>
      <w:r w:rsidR="00683F97">
        <w:rPr>
          <w:rFonts w:ascii="Times New Roman" w:hAnsi="Times New Roman" w:cs="Times New Roman"/>
          <w:sz w:val="24"/>
          <w:szCs w:val="24"/>
        </w:rPr>
        <w:t xml:space="preserve"> </w:t>
      </w:r>
      <w:r w:rsidR="00F54EE0">
        <w:rPr>
          <w:rFonts w:ascii="Times New Roman" w:hAnsi="Times New Roman" w:cs="Times New Roman"/>
          <w:sz w:val="24"/>
          <w:szCs w:val="24"/>
        </w:rPr>
        <w:t xml:space="preserve">funds </w:t>
      </w:r>
      <w:r w:rsidR="00683F97">
        <w:rPr>
          <w:rFonts w:ascii="Times New Roman" w:hAnsi="Times New Roman" w:cs="Times New Roman"/>
          <w:sz w:val="24"/>
          <w:szCs w:val="24"/>
        </w:rPr>
        <w:t>would only be recov</w:t>
      </w:r>
      <w:r w:rsidR="00473AE7">
        <w:rPr>
          <w:rFonts w:ascii="Times New Roman" w:hAnsi="Times New Roman" w:cs="Times New Roman"/>
          <w:sz w:val="24"/>
          <w:szCs w:val="24"/>
        </w:rPr>
        <w:t>ered from residential customers</w:t>
      </w:r>
      <w:r w:rsidR="00D51DD2">
        <w:rPr>
          <w:rFonts w:ascii="Times New Roman" w:hAnsi="Times New Roman" w:cs="Times New Roman"/>
          <w:sz w:val="24"/>
          <w:szCs w:val="24"/>
        </w:rPr>
        <w:t xml:space="preserve">, the only </w:t>
      </w:r>
      <w:r w:rsidR="00D51DD2">
        <w:rPr>
          <w:rFonts w:ascii="Times New Roman" w:hAnsi="Times New Roman" w:cs="Times New Roman"/>
          <w:sz w:val="24"/>
          <w:szCs w:val="24"/>
        </w:rPr>
        <w:lastRenderedPageBreak/>
        <w:t>cla</w:t>
      </w:r>
      <w:r w:rsidR="00272507">
        <w:rPr>
          <w:rFonts w:ascii="Times New Roman" w:hAnsi="Times New Roman" w:cs="Times New Roman"/>
          <w:sz w:val="24"/>
          <w:szCs w:val="24"/>
        </w:rPr>
        <w:t xml:space="preserve">ss eligible for the incentive. </w:t>
      </w:r>
      <w:r w:rsidR="00D51DD2">
        <w:rPr>
          <w:rFonts w:ascii="Times New Roman" w:hAnsi="Times New Roman" w:cs="Times New Roman"/>
          <w:sz w:val="24"/>
          <w:szCs w:val="24"/>
        </w:rPr>
        <w:t>The exact amount to be included in Schedule 120, if any, wil</w:t>
      </w:r>
      <w:r w:rsidR="00935A14">
        <w:rPr>
          <w:rFonts w:ascii="Times New Roman" w:hAnsi="Times New Roman" w:cs="Times New Roman"/>
          <w:sz w:val="24"/>
          <w:szCs w:val="24"/>
        </w:rPr>
        <w:t>l depend on the outcome of the c</w:t>
      </w:r>
      <w:r w:rsidR="00D51DD2">
        <w:rPr>
          <w:rFonts w:ascii="Times New Roman" w:hAnsi="Times New Roman" w:cs="Times New Roman"/>
          <w:sz w:val="24"/>
          <w:szCs w:val="24"/>
        </w:rPr>
        <w:t>ommission’s decision on UE-131585 at the</w:t>
      </w:r>
      <w:r w:rsidR="00272507">
        <w:rPr>
          <w:rFonts w:ascii="Times New Roman" w:hAnsi="Times New Roman" w:cs="Times New Roman"/>
          <w:sz w:val="24"/>
          <w:szCs w:val="24"/>
        </w:rPr>
        <w:t xml:space="preserve"> April 24, 2014, open meeting. </w:t>
      </w:r>
      <w:r w:rsidR="00E74A34">
        <w:rPr>
          <w:rFonts w:ascii="Times New Roman" w:hAnsi="Times New Roman" w:cs="Times New Roman"/>
          <w:sz w:val="24"/>
          <w:szCs w:val="24"/>
        </w:rPr>
        <w:t xml:space="preserve">PSE has agreed to make a compliance filing reflecting </w:t>
      </w:r>
      <w:r w:rsidR="00D51DD2">
        <w:rPr>
          <w:rFonts w:ascii="Times New Roman" w:hAnsi="Times New Roman" w:cs="Times New Roman"/>
          <w:sz w:val="24"/>
          <w:szCs w:val="24"/>
        </w:rPr>
        <w:t xml:space="preserve">the amount of </w:t>
      </w:r>
      <w:r w:rsidR="00580EC3">
        <w:rPr>
          <w:rFonts w:ascii="Times New Roman" w:hAnsi="Times New Roman" w:cs="Times New Roman"/>
          <w:sz w:val="24"/>
          <w:szCs w:val="24"/>
        </w:rPr>
        <w:t>EVCI</w:t>
      </w:r>
      <w:r w:rsidR="00D51DD2">
        <w:rPr>
          <w:rFonts w:ascii="Times New Roman" w:hAnsi="Times New Roman" w:cs="Times New Roman"/>
          <w:sz w:val="24"/>
          <w:szCs w:val="24"/>
        </w:rPr>
        <w:t xml:space="preserve"> </w:t>
      </w:r>
      <w:r w:rsidR="00E74A34">
        <w:rPr>
          <w:rFonts w:ascii="Times New Roman" w:hAnsi="Times New Roman" w:cs="Times New Roman"/>
          <w:sz w:val="24"/>
          <w:szCs w:val="24"/>
        </w:rPr>
        <w:t xml:space="preserve">funding </w:t>
      </w:r>
      <w:r w:rsidR="007E04B8">
        <w:rPr>
          <w:rFonts w:ascii="Times New Roman" w:hAnsi="Times New Roman" w:cs="Times New Roman"/>
          <w:sz w:val="24"/>
          <w:szCs w:val="24"/>
        </w:rPr>
        <w:t>approved by the commission</w:t>
      </w:r>
      <w:r w:rsidR="00D51DD2">
        <w:rPr>
          <w:rFonts w:ascii="Times New Roman" w:hAnsi="Times New Roman" w:cs="Times New Roman"/>
          <w:sz w:val="24"/>
          <w:szCs w:val="24"/>
        </w:rPr>
        <w:t>, if th</w:t>
      </w:r>
      <w:r w:rsidR="007E04B8">
        <w:rPr>
          <w:rFonts w:ascii="Times New Roman" w:hAnsi="Times New Roman" w:cs="Times New Roman"/>
          <w:sz w:val="24"/>
          <w:szCs w:val="24"/>
        </w:rPr>
        <w:t>at</w:t>
      </w:r>
      <w:r w:rsidR="00D51DD2">
        <w:rPr>
          <w:rFonts w:ascii="Times New Roman" w:hAnsi="Times New Roman" w:cs="Times New Roman"/>
          <w:sz w:val="24"/>
          <w:szCs w:val="24"/>
        </w:rPr>
        <w:t xml:space="preserve"> amount differ</w:t>
      </w:r>
      <w:r w:rsidR="007E04B8">
        <w:rPr>
          <w:rFonts w:ascii="Times New Roman" w:hAnsi="Times New Roman" w:cs="Times New Roman"/>
          <w:sz w:val="24"/>
          <w:szCs w:val="24"/>
        </w:rPr>
        <w:t>s</w:t>
      </w:r>
      <w:r w:rsidR="00D51DD2">
        <w:rPr>
          <w:rFonts w:ascii="Times New Roman" w:hAnsi="Times New Roman" w:cs="Times New Roman"/>
          <w:sz w:val="24"/>
          <w:szCs w:val="24"/>
        </w:rPr>
        <w:t xml:space="preserve"> from the </w:t>
      </w:r>
      <w:r w:rsidR="007E04B8">
        <w:rPr>
          <w:rFonts w:ascii="Times New Roman" w:hAnsi="Times New Roman" w:cs="Times New Roman"/>
          <w:sz w:val="24"/>
          <w:szCs w:val="24"/>
        </w:rPr>
        <w:t xml:space="preserve">company’s </w:t>
      </w:r>
      <w:r w:rsidR="009C7AA2">
        <w:rPr>
          <w:rFonts w:ascii="Times New Roman" w:hAnsi="Times New Roman" w:cs="Times New Roman"/>
          <w:sz w:val="24"/>
          <w:szCs w:val="24"/>
        </w:rPr>
        <w:t xml:space="preserve">April 17, 2014, </w:t>
      </w:r>
      <w:r w:rsidR="007E04B8">
        <w:rPr>
          <w:rFonts w:ascii="Times New Roman" w:hAnsi="Times New Roman" w:cs="Times New Roman"/>
          <w:sz w:val="24"/>
          <w:szCs w:val="24"/>
        </w:rPr>
        <w:t>filing</w:t>
      </w:r>
      <w:r w:rsidR="00D51DD2">
        <w:rPr>
          <w:rFonts w:ascii="Times New Roman" w:hAnsi="Times New Roman" w:cs="Times New Roman"/>
          <w:sz w:val="24"/>
          <w:szCs w:val="24"/>
        </w:rPr>
        <w:t>.</w:t>
      </w:r>
    </w:p>
    <w:p w14:paraId="4891F132" w14:textId="77777777" w:rsidR="00A03EC4" w:rsidRDefault="00A03EC4" w:rsidP="00681739">
      <w:pPr>
        <w:rPr>
          <w:rFonts w:ascii="Times New Roman" w:hAnsi="Times New Roman"/>
          <w:sz w:val="24"/>
          <w:szCs w:val="24"/>
        </w:rPr>
      </w:pPr>
    </w:p>
    <w:p w14:paraId="405BFE1B" w14:textId="77777777" w:rsidR="00681739" w:rsidRDefault="00681739" w:rsidP="00681739">
      <w:pPr>
        <w:rPr>
          <w:rFonts w:ascii="Times New Roman" w:hAnsi="Times New Roman"/>
          <w:b/>
          <w:sz w:val="24"/>
          <w:szCs w:val="24"/>
          <w:u w:val="single"/>
        </w:rPr>
      </w:pPr>
      <w:r w:rsidRPr="002F3DAF">
        <w:rPr>
          <w:rFonts w:ascii="Times New Roman" w:hAnsi="Times New Roman"/>
          <w:b/>
          <w:sz w:val="24"/>
          <w:szCs w:val="24"/>
          <w:u w:val="single"/>
        </w:rPr>
        <w:t>Customer Comments</w:t>
      </w:r>
    </w:p>
    <w:p w14:paraId="243029B4" w14:textId="77777777" w:rsidR="00681739" w:rsidRDefault="00681739" w:rsidP="00681739">
      <w:pPr>
        <w:pStyle w:val="PlainText"/>
        <w:rPr>
          <w:rFonts w:ascii="Times New Roman" w:hAnsi="Times New Roman"/>
          <w:sz w:val="24"/>
          <w:szCs w:val="24"/>
        </w:rPr>
      </w:pPr>
    </w:p>
    <w:p w14:paraId="38A1DBC7" w14:textId="34652EEA" w:rsidR="00681739" w:rsidRPr="007F6BA3" w:rsidRDefault="00681739" w:rsidP="007F6BA3">
      <w:pPr>
        <w:pStyle w:val="PlainText"/>
        <w:rPr>
          <w:rFonts w:ascii="Times New Roman" w:hAnsi="Times New Roman"/>
          <w:sz w:val="24"/>
          <w:szCs w:val="24"/>
          <w:highlight w:val="yellow"/>
        </w:rPr>
      </w:pPr>
      <w:r w:rsidRPr="007F6BA3">
        <w:rPr>
          <w:rFonts w:ascii="Times New Roman" w:hAnsi="Times New Roman"/>
          <w:sz w:val="24"/>
          <w:szCs w:val="24"/>
        </w:rPr>
        <w:t xml:space="preserve">On </w:t>
      </w:r>
      <w:r w:rsidR="00D51DD2" w:rsidRPr="007F6BA3">
        <w:rPr>
          <w:rFonts w:ascii="Times New Roman" w:hAnsi="Times New Roman"/>
          <w:sz w:val="24"/>
          <w:szCs w:val="24"/>
        </w:rPr>
        <w:t>April 1</w:t>
      </w:r>
      <w:r w:rsidRPr="007F6BA3">
        <w:rPr>
          <w:rFonts w:ascii="Times New Roman" w:hAnsi="Times New Roman"/>
          <w:sz w:val="24"/>
          <w:szCs w:val="24"/>
        </w:rPr>
        <w:t>, 201</w:t>
      </w:r>
      <w:r w:rsidR="00D51DD2" w:rsidRPr="007F6BA3">
        <w:rPr>
          <w:rFonts w:ascii="Times New Roman" w:hAnsi="Times New Roman"/>
          <w:sz w:val="24"/>
          <w:szCs w:val="24"/>
        </w:rPr>
        <w:t>4</w:t>
      </w:r>
      <w:r w:rsidRPr="007F6BA3">
        <w:rPr>
          <w:rFonts w:ascii="Times New Roman" w:hAnsi="Times New Roman"/>
          <w:sz w:val="24"/>
          <w:szCs w:val="24"/>
        </w:rPr>
        <w:t xml:space="preserve">, the company notified its customers of the proposed rate increase via paid advertisements in daily newspapers distributed in its service territory. </w:t>
      </w:r>
      <w:r w:rsidR="00D51DD2" w:rsidRPr="007F6BA3">
        <w:rPr>
          <w:rFonts w:ascii="Times New Roman" w:hAnsi="Times New Roman"/>
          <w:sz w:val="24"/>
          <w:szCs w:val="24"/>
        </w:rPr>
        <w:t>PSE also provided information</w:t>
      </w:r>
      <w:r w:rsidR="007A448C">
        <w:rPr>
          <w:rFonts w:ascii="Times New Roman" w:hAnsi="Times New Roman"/>
          <w:sz w:val="24"/>
          <w:szCs w:val="24"/>
        </w:rPr>
        <w:t xml:space="preserve"> to </w:t>
      </w:r>
      <w:r w:rsidRPr="007F6BA3">
        <w:rPr>
          <w:rFonts w:ascii="Times New Roman" w:hAnsi="Times New Roman"/>
          <w:sz w:val="24"/>
          <w:szCs w:val="24"/>
        </w:rPr>
        <w:t>local newspapers, television and radio stations</w:t>
      </w:r>
      <w:r w:rsidR="00D51DD2" w:rsidRPr="007F6BA3">
        <w:rPr>
          <w:rFonts w:ascii="Times New Roman" w:hAnsi="Times New Roman"/>
          <w:sz w:val="24"/>
          <w:szCs w:val="24"/>
        </w:rPr>
        <w:t>, and</w:t>
      </w:r>
      <w:r w:rsidRPr="007F6BA3">
        <w:rPr>
          <w:rFonts w:ascii="Times New Roman" w:hAnsi="Times New Roman"/>
          <w:sz w:val="24"/>
          <w:szCs w:val="24"/>
        </w:rPr>
        <w:t xml:space="preserve"> posted the notice on its website. The commission received </w:t>
      </w:r>
      <w:r w:rsidR="00580EC3">
        <w:rPr>
          <w:rFonts w:ascii="Times New Roman" w:hAnsi="Times New Roman"/>
          <w:sz w:val="24"/>
          <w:szCs w:val="24"/>
        </w:rPr>
        <w:t>customer</w:t>
      </w:r>
      <w:r w:rsidRPr="007F6BA3">
        <w:rPr>
          <w:rFonts w:ascii="Times New Roman" w:hAnsi="Times New Roman"/>
          <w:sz w:val="24"/>
          <w:szCs w:val="24"/>
        </w:rPr>
        <w:t xml:space="preserve"> comment</w:t>
      </w:r>
      <w:r w:rsidR="00580EC3">
        <w:rPr>
          <w:rFonts w:ascii="Times New Roman" w:hAnsi="Times New Roman"/>
          <w:sz w:val="24"/>
          <w:szCs w:val="24"/>
        </w:rPr>
        <w:t xml:space="preserve"> in opposition to</w:t>
      </w:r>
      <w:r w:rsidR="00D51DD2" w:rsidRPr="007F6BA3">
        <w:rPr>
          <w:rFonts w:ascii="Times New Roman" w:hAnsi="Times New Roman"/>
          <w:sz w:val="24"/>
          <w:szCs w:val="24"/>
        </w:rPr>
        <w:t xml:space="preserve"> this filing</w:t>
      </w:r>
      <w:r w:rsidRPr="007F6BA3">
        <w:rPr>
          <w:rFonts w:ascii="Times New Roman" w:hAnsi="Times New Roman"/>
          <w:sz w:val="24"/>
          <w:szCs w:val="24"/>
        </w:rPr>
        <w:t xml:space="preserve">. </w:t>
      </w:r>
      <w:r w:rsidR="00580EC3">
        <w:rPr>
          <w:rFonts w:ascii="Times New Roman" w:hAnsi="Times New Roman"/>
          <w:sz w:val="24"/>
          <w:szCs w:val="24"/>
        </w:rPr>
        <w:t>The customer</w:t>
      </w:r>
      <w:r w:rsidR="007F6BA3">
        <w:rPr>
          <w:rFonts w:ascii="Times New Roman" w:hAnsi="Times New Roman"/>
          <w:sz w:val="24"/>
          <w:szCs w:val="24"/>
        </w:rPr>
        <w:t xml:space="preserve"> w</w:t>
      </w:r>
      <w:r w:rsidR="00580EC3">
        <w:rPr>
          <w:rFonts w:ascii="Times New Roman" w:hAnsi="Times New Roman"/>
          <w:sz w:val="24"/>
          <w:szCs w:val="24"/>
        </w:rPr>
        <w:t>as</w:t>
      </w:r>
      <w:r w:rsidR="007F6BA3">
        <w:rPr>
          <w:rFonts w:ascii="Times New Roman" w:hAnsi="Times New Roman"/>
          <w:sz w:val="24"/>
          <w:szCs w:val="24"/>
        </w:rPr>
        <w:t xml:space="preserve"> notified that documents </w:t>
      </w:r>
      <w:r w:rsidR="00935A14">
        <w:rPr>
          <w:rFonts w:ascii="Times New Roman" w:hAnsi="Times New Roman"/>
          <w:sz w:val="24"/>
          <w:szCs w:val="24"/>
        </w:rPr>
        <w:t>in</w:t>
      </w:r>
      <w:r w:rsidR="007F6BA3">
        <w:rPr>
          <w:rFonts w:ascii="Times New Roman" w:hAnsi="Times New Roman"/>
          <w:sz w:val="24"/>
          <w:szCs w:val="24"/>
        </w:rPr>
        <w:t xml:space="preserve"> this case may be accessed at </w:t>
      </w:r>
      <w:hyperlink r:id="rId12" w:history="1">
        <w:r w:rsidR="007F6BA3" w:rsidRPr="00CB1AB7">
          <w:rPr>
            <w:rStyle w:val="Hyperlink"/>
            <w:rFonts w:ascii="Times New Roman" w:hAnsi="Times New Roman"/>
            <w:sz w:val="24"/>
            <w:szCs w:val="24"/>
          </w:rPr>
          <w:t>www.utc.wa.gov</w:t>
        </w:r>
      </w:hyperlink>
      <w:r w:rsidR="007F6BA3">
        <w:rPr>
          <w:rFonts w:ascii="Times New Roman" w:hAnsi="Times New Roman"/>
          <w:sz w:val="24"/>
          <w:szCs w:val="24"/>
        </w:rPr>
        <w:t xml:space="preserve"> and questions may be directed to Roger Kouch</w:t>
      </w:r>
      <w:r w:rsidR="00580EC3">
        <w:rPr>
          <w:rFonts w:ascii="Times New Roman" w:hAnsi="Times New Roman"/>
          <w:sz w:val="24"/>
          <w:szCs w:val="24"/>
        </w:rPr>
        <w:t>i at 1-888-333-9882</w:t>
      </w:r>
      <w:r w:rsidR="007F6BA3">
        <w:rPr>
          <w:rFonts w:ascii="Times New Roman" w:hAnsi="Times New Roman"/>
          <w:sz w:val="24"/>
          <w:szCs w:val="24"/>
        </w:rPr>
        <w:t>.</w:t>
      </w:r>
    </w:p>
    <w:p w14:paraId="49E8BC0A" w14:textId="77777777" w:rsidR="007F6BA3" w:rsidRDefault="007F6BA3" w:rsidP="00681739">
      <w:pPr>
        <w:rPr>
          <w:rFonts w:ascii="Times New Roman" w:hAnsi="Times New Roman" w:cs="Times New Roman"/>
          <w:sz w:val="24"/>
          <w:szCs w:val="24"/>
        </w:rPr>
      </w:pPr>
    </w:p>
    <w:p w14:paraId="3064E505" w14:textId="77735970" w:rsidR="007F6BA3" w:rsidRPr="00580EC3" w:rsidRDefault="00580EC3" w:rsidP="007F6B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Pr="009F55AE">
        <w:rPr>
          <w:rFonts w:ascii="Times New Roman" w:hAnsi="Times New Roman"/>
          <w:sz w:val="24"/>
          <w:szCs w:val="24"/>
        </w:rPr>
        <w:t xml:space="preserve"> customer expressed frustration with the frequent rate increases</w:t>
      </w:r>
      <w:r>
        <w:rPr>
          <w:rFonts w:ascii="Times New Roman" w:hAnsi="Times New Roman"/>
          <w:sz w:val="24"/>
          <w:szCs w:val="24"/>
        </w:rPr>
        <w:t xml:space="preserve"> and stated that p</w:t>
      </w:r>
      <w:r w:rsidRPr="009F55AE">
        <w:rPr>
          <w:rFonts w:ascii="Times New Roman" w:hAnsi="Times New Roman"/>
          <w:sz w:val="24"/>
          <w:szCs w:val="24"/>
        </w:rPr>
        <w:t>rofit has become more important than people.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6BA3" w:rsidRPr="007F6BA3">
        <w:rPr>
          <w:rFonts w:ascii="Times New Roman" w:hAnsi="Times New Roman" w:cs="Times New Roman"/>
          <w:sz w:val="24"/>
          <w:szCs w:val="24"/>
        </w:rPr>
        <w:t>Staff provided information on the ratemaking process and energy rates</w:t>
      </w:r>
      <w:r w:rsidR="007F6BA3">
        <w:rPr>
          <w:rFonts w:ascii="Times New Roman" w:hAnsi="Times New Roman" w:cs="Times New Roman"/>
          <w:sz w:val="24"/>
          <w:szCs w:val="24"/>
        </w:rPr>
        <w:t>, and a</w:t>
      </w:r>
      <w:r w:rsidR="007F6BA3" w:rsidRPr="007F6BA3">
        <w:rPr>
          <w:rFonts w:ascii="Times New Roman" w:hAnsi="Times New Roman" w:cs="Times New Roman"/>
          <w:sz w:val="24"/>
          <w:szCs w:val="24"/>
        </w:rPr>
        <w:t xml:space="preserve">dvised customers that state law requires rates to be fair and reasonable and sufficient to allow the company the opportunity to recover reasonable operating expenses. </w:t>
      </w:r>
      <w:r>
        <w:rPr>
          <w:rFonts w:ascii="Times New Roman" w:hAnsi="Times New Roman" w:cs="Times New Roman"/>
          <w:sz w:val="24"/>
          <w:szCs w:val="24"/>
        </w:rPr>
        <w:t>Staff also</w:t>
      </w:r>
      <w:r w:rsidRPr="009F55AE">
        <w:rPr>
          <w:rFonts w:ascii="Times New Roman" w:hAnsi="Times New Roman"/>
          <w:sz w:val="24"/>
          <w:szCs w:val="24"/>
        </w:rPr>
        <w:t xml:space="preserve"> provided information on conservation requirements of the </w:t>
      </w:r>
      <w:r>
        <w:rPr>
          <w:rFonts w:ascii="Times New Roman" w:hAnsi="Times New Roman"/>
          <w:sz w:val="24"/>
          <w:szCs w:val="24"/>
        </w:rPr>
        <w:t>EIA</w:t>
      </w:r>
      <w:r w:rsidRPr="009F55AE">
        <w:rPr>
          <w:rFonts w:ascii="Times New Roman" w:hAnsi="Times New Roman"/>
          <w:sz w:val="24"/>
          <w:szCs w:val="24"/>
        </w:rPr>
        <w:t>.</w:t>
      </w:r>
    </w:p>
    <w:p w14:paraId="008297FD" w14:textId="77777777" w:rsidR="007F6BA3" w:rsidRDefault="007F6BA3" w:rsidP="00681739">
      <w:pPr>
        <w:rPr>
          <w:rFonts w:ascii="Times New Roman" w:hAnsi="Times New Roman" w:cs="Times New Roman"/>
          <w:sz w:val="24"/>
          <w:szCs w:val="24"/>
        </w:rPr>
      </w:pPr>
    </w:p>
    <w:p w14:paraId="347939DC" w14:textId="77777777" w:rsidR="00681739" w:rsidRDefault="00681739" w:rsidP="006817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</w:p>
    <w:p w14:paraId="29AD7B39" w14:textId="77777777" w:rsidR="00681739" w:rsidRDefault="00681739" w:rsidP="00681739">
      <w:pPr>
        <w:rPr>
          <w:rFonts w:ascii="Times New Roman" w:hAnsi="Times New Roman" w:cs="Times New Roman"/>
          <w:sz w:val="24"/>
          <w:szCs w:val="24"/>
        </w:rPr>
      </w:pPr>
    </w:p>
    <w:p w14:paraId="5CCE42E1" w14:textId="13235424" w:rsidR="002742DB" w:rsidRPr="00CA3673" w:rsidRDefault="00622E0D" w:rsidP="00622E0D">
      <w:pPr>
        <w:rPr>
          <w:rFonts w:ascii="Times New Roman" w:hAnsi="Times New Roman" w:cs="Times New Roman"/>
          <w:sz w:val="24"/>
          <w:szCs w:val="24"/>
        </w:rPr>
      </w:pPr>
      <w:r w:rsidRPr="00622E0D">
        <w:rPr>
          <w:rFonts w:ascii="Times New Roman" w:hAnsi="Times New Roman" w:cs="Times New Roman"/>
          <w:sz w:val="24"/>
          <w:szCs w:val="24"/>
        </w:rPr>
        <w:t xml:space="preserve">Take no action, allowing the tariff to go into effect by operation of law, on the condition that Puget Sound Energy make a compliance filing by April 29, 2014, with an effective date of </w:t>
      </w:r>
      <w:r w:rsidR="00935E5E">
        <w:rPr>
          <w:rFonts w:ascii="Times New Roman" w:hAnsi="Times New Roman" w:cs="Times New Roman"/>
          <w:sz w:val="24"/>
          <w:szCs w:val="24"/>
        </w:rPr>
        <w:t xml:space="preserve">   </w:t>
      </w:r>
      <w:r w:rsidRPr="00622E0D">
        <w:rPr>
          <w:rFonts w:ascii="Times New Roman" w:hAnsi="Times New Roman" w:cs="Times New Roman"/>
          <w:sz w:val="24"/>
          <w:szCs w:val="24"/>
        </w:rPr>
        <w:t>May 1, 2014, that reflects any Commission action in Docket UE-131585 regarding the Electric Vehicle Charger Incentive that differs from the Company’s filing in Docket UE-131585.</w:t>
      </w:r>
    </w:p>
    <w:sectPr w:rsidR="002742DB" w:rsidRPr="00CA3673" w:rsidSect="00EF1E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7B6E8" w14:textId="77777777" w:rsidR="00A67815" w:rsidRDefault="00A67815" w:rsidP="00FA36E1">
      <w:r>
        <w:separator/>
      </w:r>
    </w:p>
  </w:endnote>
  <w:endnote w:type="continuationSeparator" w:id="0">
    <w:p w14:paraId="65534CC3" w14:textId="77777777" w:rsidR="00A67815" w:rsidRDefault="00A67815" w:rsidP="00F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31CE5" w14:textId="77777777" w:rsidR="0021142F" w:rsidRDefault="002114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C793E" w14:textId="77777777" w:rsidR="0021142F" w:rsidRDefault="002114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415B3" w14:textId="77777777" w:rsidR="0021142F" w:rsidRDefault="00211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4E89D" w14:textId="77777777" w:rsidR="00A67815" w:rsidRDefault="00A67815" w:rsidP="00FA36E1">
      <w:r>
        <w:separator/>
      </w:r>
    </w:p>
  </w:footnote>
  <w:footnote w:type="continuationSeparator" w:id="0">
    <w:p w14:paraId="349FCA58" w14:textId="77777777" w:rsidR="00A67815" w:rsidRDefault="00A67815" w:rsidP="00FA36E1">
      <w:r>
        <w:continuationSeparator/>
      </w:r>
    </w:p>
  </w:footnote>
  <w:footnote w:id="1">
    <w:p w14:paraId="72A9F641" w14:textId="47BC4755" w:rsidR="00A67815" w:rsidRPr="00124CBA" w:rsidRDefault="00A67815" w:rsidP="00681739">
      <w:pPr>
        <w:pStyle w:val="FootnoteText"/>
        <w:rPr>
          <w:rFonts w:ascii="Times New Roman" w:hAnsi="Times New Roman" w:cs="Times New Roman"/>
        </w:rPr>
      </w:pPr>
      <w:r w:rsidRPr="00124CBA">
        <w:rPr>
          <w:rStyle w:val="FootnoteReference"/>
          <w:rFonts w:ascii="Times New Roman" w:hAnsi="Times New Roman" w:cs="Times New Roman"/>
        </w:rPr>
        <w:footnoteRef/>
      </w:r>
      <w:r w:rsidRPr="00124C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Dockets </w:t>
      </w:r>
      <w:r w:rsidRPr="00124CBA">
        <w:rPr>
          <w:rFonts w:ascii="Times New Roman" w:hAnsi="Times New Roman" w:cs="Times New Roman"/>
        </w:rPr>
        <w:t>UE-011570 and UG-011571 (consolidated), Twelfth Supplemental Order, Exhibit F to Settlement Attachment</w:t>
      </w:r>
      <w:r>
        <w:rPr>
          <w:rFonts w:ascii="Times New Roman" w:hAnsi="Times New Roman" w:cs="Times New Roman"/>
        </w:rPr>
        <w:t xml:space="preserve">. </w:t>
      </w:r>
      <w:r w:rsidRPr="00124CBA">
        <w:rPr>
          <w:rFonts w:ascii="Times New Roman" w:hAnsi="Times New Roman" w:cs="Times New Roman"/>
        </w:rPr>
        <w:t>See also Docket UE-970686 for details on deferral.</w:t>
      </w:r>
    </w:p>
  </w:footnote>
  <w:footnote w:id="2">
    <w:p w14:paraId="7D5919F0" w14:textId="3B2B011E" w:rsidR="00A67815" w:rsidRPr="00E376A0" w:rsidRDefault="00A67815" w:rsidP="00681739">
      <w:pPr>
        <w:pStyle w:val="FootnoteText"/>
        <w:rPr>
          <w:rFonts w:ascii="Times New Roman" w:hAnsi="Times New Roman" w:cs="Times New Roman"/>
        </w:rPr>
      </w:pPr>
      <w:r w:rsidRPr="00124CBA">
        <w:rPr>
          <w:rStyle w:val="FootnoteReference"/>
          <w:rFonts w:ascii="Times New Roman" w:hAnsi="Times New Roman" w:cs="Times New Roman"/>
        </w:rPr>
        <w:footnoteRef/>
      </w:r>
      <w:r w:rsidRPr="00124C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Docket </w:t>
      </w:r>
      <w:r w:rsidRPr="00E376A0">
        <w:rPr>
          <w:rFonts w:ascii="Times New Roman" w:hAnsi="Times New Roman" w:cs="Times New Roman"/>
        </w:rPr>
        <w:t>UE-13</w:t>
      </w:r>
      <w:r>
        <w:rPr>
          <w:rFonts w:ascii="Times New Roman" w:hAnsi="Times New Roman" w:cs="Times New Roman"/>
        </w:rPr>
        <w:t>2</w:t>
      </w:r>
      <w:r w:rsidRPr="00E376A0">
        <w:rPr>
          <w:rFonts w:ascii="Times New Roman" w:hAnsi="Times New Roman" w:cs="Times New Roman"/>
        </w:rPr>
        <w:t>043</w:t>
      </w:r>
      <w:r>
        <w:rPr>
          <w:rFonts w:ascii="Times New Roman" w:hAnsi="Times New Roman" w:cs="Times New Roman"/>
        </w:rPr>
        <w:t>, Order 01, December 19, 2013</w:t>
      </w:r>
      <w:r w:rsidRPr="00124CBA">
        <w:rPr>
          <w:rFonts w:ascii="Times New Roman" w:hAnsi="Times New Roman" w:cs="Times New Roman"/>
        </w:rPr>
        <w:t xml:space="preserve">, requiring submission of tariffs to recover electric conservation costs, </w:t>
      </w:r>
      <w:r>
        <w:rPr>
          <w:rFonts w:ascii="Times New Roman" w:hAnsi="Times New Roman" w:cs="Times New Roman"/>
        </w:rPr>
        <w:t xml:space="preserve">and </w:t>
      </w:r>
      <w:r w:rsidRPr="00124CBA">
        <w:rPr>
          <w:rFonts w:ascii="Times New Roman" w:hAnsi="Times New Roman" w:cs="Times New Roman"/>
        </w:rPr>
        <w:t>establishing 201</w:t>
      </w:r>
      <w:r>
        <w:rPr>
          <w:rFonts w:ascii="Times New Roman" w:hAnsi="Times New Roman" w:cs="Times New Roman"/>
        </w:rPr>
        <w:t>4</w:t>
      </w:r>
      <w:r w:rsidRPr="00124CBA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5</w:t>
      </w:r>
      <w:r w:rsidRPr="00124CBA">
        <w:rPr>
          <w:rFonts w:ascii="Times New Roman" w:hAnsi="Times New Roman" w:cs="Times New Roman"/>
        </w:rPr>
        <w:t xml:space="preserve"> biennial conservation</w:t>
      </w:r>
      <w:r w:rsidRPr="00E376A0">
        <w:rPr>
          <w:rFonts w:ascii="Times New Roman" w:hAnsi="Times New Roman" w:cs="Times New Roman"/>
        </w:rPr>
        <w:t xml:space="preserve"> targets. </w:t>
      </w:r>
    </w:p>
  </w:footnote>
  <w:footnote w:id="3">
    <w:p w14:paraId="5E4515FB" w14:textId="63E41405" w:rsidR="00A67815" w:rsidRPr="00E376A0" w:rsidRDefault="00A67815" w:rsidP="00681739">
      <w:pPr>
        <w:pStyle w:val="FootnoteText"/>
        <w:rPr>
          <w:rFonts w:ascii="Times New Roman" w:hAnsi="Times New Roman" w:cs="Times New Roman"/>
        </w:rPr>
      </w:pPr>
      <w:r w:rsidRPr="00E376A0">
        <w:rPr>
          <w:rStyle w:val="FootnoteReference"/>
          <w:rFonts w:ascii="Times New Roman" w:hAnsi="Times New Roman" w:cs="Times New Roman"/>
        </w:rPr>
        <w:footnoteRef/>
      </w:r>
      <w:r w:rsidRPr="00E376A0">
        <w:rPr>
          <w:rFonts w:ascii="Times New Roman" w:hAnsi="Times New Roman" w:cs="Times New Roman"/>
        </w:rPr>
        <w:t xml:space="preserve"> Docket UE-111881,</w:t>
      </w:r>
      <w:r>
        <w:rPr>
          <w:rFonts w:ascii="Times New Roman" w:hAnsi="Times New Roman" w:cs="Times New Roman"/>
        </w:rPr>
        <w:t xml:space="preserve"> </w:t>
      </w:r>
      <w:r w:rsidRPr="00E376A0">
        <w:rPr>
          <w:rFonts w:ascii="Times New Roman" w:hAnsi="Times New Roman" w:cs="Times New Roman"/>
        </w:rPr>
        <w:t>2013 Annual Report of Energy Conservation Accomplishments, February 13, 2014.</w:t>
      </w:r>
    </w:p>
  </w:footnote>
  <w:footnote w:id="4">
    <w:p w14:paraId="7D1FEA5B" w14:textId="22D09167" w:rsidR="00A67815" w:rsidRPr="002022F1" w:rsidRDefault="00A67815">
      <w:pPr>
        <w:pStyle w:val="FootnoteText"/>
        <w:rPr>
          <w:rFonts w:ascii="Times New Roman" w:hAnsi="Times New Roman" w:cs="Times New Roman"/>
        </w:rPr>
      </w:pPr>
      <w:r w:rsidRPr="002022F1">
        <w:rPr>
          <w:rStyle w:val="FootnoteReference"/>
          <w:rFonts w:ascii="Times New Roman" w:hAnsi="Times New Roman" w:cs="Times New Roman"/>
        </w:rPr>
        <w:footnoteRef/>
      </w:r>
      <w:r w:rsidRPr="002022F1">
        <w:rPr>
          <w:rFonts w:ascii="Times New Roman" w:hAnsi="Times New Roman" w:cs="Times New Roman"/>
        </w:rPr>
        <w:t xml:space="preserve"> Docket UE-132043</w:t>
      </w:r>
      <w:r>
        <w:rPr>
          <w:rFonts w:ascii="Times New Roman" w:hAnsi="Times New Roman" w:cs="Times New Roman"/>
        </w:rPr>
        <w:t>, Order 01</w:t>
      </w:r>
      <w:r w:rsidRPr="002022F1">
        <w:rPr>
          <w:rFonts w:ascii="Times New Roman" w:hAnsi="Times New Roman" w:cs="Times New Roman"/>
        </w:rPr>
        <w:t>.</w:t>
      </w:r>
    </w:p>
  </w:footnote>
  <w:footnote w:id="5">
    <w:p w14:paraId="2A04ED44" w14:textId="370DB33B" w:rsidR="00A67815" w:rsidRPr="00EF6786" w:rsidRDefault="00A67815" w:rsidP="00681739">
      <w:pPr>
        <w:pStyle w:val="FootnoteText"/>
      </w:pPr>
      <w:r w:rsidRPr="00EF6786">
        <w:rPr>
          <w:rStyle w:val="FootnoteReference"/>
          <w:rFonts w:ascii="Times New Roman" w:hAnsi="Times New Roman" w:cs="Times New Roman"/>
        </w:rPr>
        <w:footnoteRef/>
      </w:r>
      <w:r w:rsidRPr="00EF6786">
        <w:rPr>
          <w:rFonts w:ascii="Times New Roman" w:hAnsi="Times New Roman" w:cs="Times New Roman"/>
        </w:rPr>
        <w:t xml:space="preserve"> The total portfolio includes all the non-program-specific administration, research, regional initiative</w:t>
      </w:r>
      <w:r>
        <w:rPr>
          <w:rFonts w:ascii="Times New Roman" w:hAnsi="Times New Roman" w:cs="Times New Roman"/>
        </w:rPr>
        <w:t>s</w:t>
      </w:r>
      <w:r w:rsidRPr="00EF6786">
        <w:rPr>
          <w:rFonts w:ascii="Times New Roman" w:hAnsi="Times New Roman" w:cs="Times New Roman"/>
        </w:rPr>
        <w:t xml:space="preserve"> and other electric program</w:t>
      </w:r>
      <w:r>
        <w:rPr>
          <w:rFonts w:ascii="Times New Roman" w:hAnsi="Times New Roman" w:cs="Times New Roman"/>
        </w:rPr>
        <w:t>s</w:t>
      </w:r>
      <w:r w:rsidRPr="00EF6786">
        <w:rPr>
          <w:rFonts w:ascii="Times New Roman" w:hAnsi="Times New Roman" w:cs="Times New Roman"/>
        </w:rPr>
        <w:t xml:space="preserve"> funded</w:t>
      </w:r>
      <w:r>
        <w:rPr>
          <w:rFonts w:ascii="Times New Roman" w:hAnsi="Times New Roman" w:cs="Times New Roman"/>
        </w:rPr>
        <w:t xml:space="preserve"> by Schedule 120 such as </w:t>
      </w:r>
      <w:r w:rsidRPr="00EF6786">
        <w:rPr>
          <w:rFonts w:ascii="Times New Roman" w:hAnsi="Times New Roman" w:cs="Times New Roman"/>
        </w:rPr>
        <w:t>net metering, demand response</w:t>
      </w:r>
      <w:r>
        <w:rPr>
          <w:rFonts w:ascii="Times New Roman" w:hAnsi="Times New Roman" w:cs="Times New Roman"/>
        </w:rPr>
        <w:t xml:space="preserve">, and renewable energy education. </w:t>
      </w:r>
    </w:p>
  </w:footnote>
  <w:footnote w:id="6">
    <w:p w14:paraId="296A6D86" w14:textId="5682150A" w:rsidR="00A67815" w:rsidRPr="00EF1E9D" w:rsidRDefault="00A67815" w:rsidP="009E0769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EF1E9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EF1E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Excluding c</w:t>
      </w:r>
      <w:r w:rsidRPr="00EF1E9D">
        <w:rPr>
          <w:rFonts w:ascii="Times New Roman" w:hAnsi="Times New Roman" w:cs="Times New Roman"/>
          <w:sz w:val="20"/>
          <w:szCs w:val="20"/>
        </w:rPr>
        <w:t xml:space="preserve">onservation expenditures </w:t>
      </w:r>
      <w:r>
        <w:rPr>
          <w:rFonts w:ascii="Times New Roman" w:hAnsi="Times New Roman" w:cs="Times New Roman"/>
          <w:sz w:val="20"/>
          <w:szCs w:val="20"/>
        </w:rPr>
        <w:t>for large industrial</w:t>
      </w:r>
      <w:r w:rsidRPr="00EF1E9D">
        <w:rPr>
          <w:rFonts w:ascii="Times New Roman" w:hAnsi="Times New Roman" w:cs="Times New Roman"/>
          <w:sz w:val="20"/>
          <w:szCs w:val="20"/>
        </w:rPr>
        <w:t xml:space="preserve"> customers receiving service under Schedules 449 and 459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7">
    <w:p w14:paraId="50E7A7C6" w14:textId="302278ED" w:rsidR="00A67815" w:rsidRPr="002C745F" w:rsidRDefault="00A67815" w:rsidP="00681739">
      <w:pPr>
        <w:pStyle w:val="FootnoteText"/>
        <w:rPr>
          <w:rFonts w:ascii="Times New Roman" w:hAnsi="Times New Roman" w:cs="Times New Roman"/>
        </w:rPr>
      </w:pPr>
      <w:r w:rsidRPr="002C745F">
        <w:rPr>
          <w:rStyle w:val="FootnoteReference"/>
          <w:rFonts w:ascii="Times New Roman" w:hAnsi="Times New Roman" w:cs="Times New Roman"/>
        </w:rPr>
        <w:footnoteRef/>
      </w:r>
      <w:r w:rsidRPr="002C745F">
        <w:rPr>
          <w:rFonts w:ascii="Times New Roman" w:hAnsi="Times New Roman" w:cs="Times New Roman"/>
        </w:rPr>
        <w:t xml:space="preserve"> Commercial Service rate shown in table equals a</w:t>
      </w:r>
      <w:r>
        <w:rPr>
          <w:rFonts w:ascii="Times New Roman" w:hAnsi="Times New Roman" w:cs="Times New Roman"/>
        </w:rPr>
        <w:t xml:space="preserve"> weighted</w:t>
      </w:r>
      <w:r w:rsidRPr="002C745F">
        <w:rPr>
          <w:rFonts w:ascii="Times New Roman" w:hAnsi="Times New Roman" w:cs="Times New Roman"/>
        </w:rPr>
        <w:t xml:space="preserve"> average of schedules.</w:t>
      </w:r>
    </w:p>
  </w:footnote>
  <w:footnote w:id="8">
    <w:p w14:paraId="621C28F9" w14:textId="6BF44F7E" w:rsidR="00A67815" w:rsidRPr="002C745F" w:rsidRDefault="00A67815" w:rsidP="00681739">
      <w:pPr>
        <w:pStyle w:val="FootnoteText"/>
        <w:rPr>
          <w:rFonts w:ascii="Times New Roman" w:hAnsi="Times New Roman" w:cs="Times New Roman"/>
        </w:rPr>
      </w:pPr>
      <w:r w:rsidRPr="002C745F">
        <w:rPr>
          <w:rStyle w:val="FootnoteReference"/>
          <w:rFonts w:ascii="Times New Roman" w:hAnsi="Times New Roman" w:cs="Times New Roman"/>
        </w:rPr>
        <w:footnoteRef/>
      </w:r>
      <w:r w:rsidRPr="002C745F">
        <w:rPr>
          <w:rFonts w:ascii="Times New Roman" w:hAnsi="Times New Roman" w:cs="Times New Roman"/>
        </w:rPr>
        <w:t xml:space="preserve"> Primary Service rate shown in table equals a</w:t>
      </w:r>
      <w:r>
        <w:rPr>
          <w:rFonts w:ascii="Times New Roman" w:hAnsi="Times New Roman" w:cs="Times New Roman"/>
        </w:rPr>
        <w:t xml:space="preserve"> weighted</w:t>
      </w:r>
      <w:r w:rsidRPr="002C745F">
        <w:rPr>
          <w:rFonts w:ascii="Times New Roman" w:hAnsi="Times New Roman" w:cs="Times New Roman"/>
        </w:rPr>
        <w:t xml:space="preserve"> average of schedules.</w:t>
      </w:r>
    </w:p>
  </w:footnote>
  <w:footnote w:id="9">
    <w:p w14:paraId="6D5CD4B0" w14:textId="3EFF5E6F" w:rsidR="00A67815" w:rsidRPr="002C745F" w:rsidRDefault="00A67815" w:rsidP="00681739">
      <w:pPr>
        <w:pStyle w:val="FootnoteText"/>
        <w:rPr>
          <w:rFonts w:ascii="Times New Roman" w:hAnsi="Times New Roman" w:cs="Times New Roman"/>
        </w:rPr>
      </w:pPr>
      <w:r w:rsidRPr="002C745F">
        <w:rPr>
          <w:rStyle w:val="FootnoteReference"/>
          <w:rFonts w:ascii="Times New Roman" w:hAnsi="Times New Roman" w:cs="Times New Roman"/>
        </w:rPr>
        <w:footnoteRef/>
      </w:r>
      <w:r w:rsidRPr="002C745F">
        <w:rPr>
          <w:rFonts w:ascii="Times New Roman" w:hAnsi="Times New Roman" w:cs="Times New Roman"/>
        </w:rPr>
        <w:t xml:space="preserve"> Large User Services shown in table equals a</w:t>
      </w:r>
      <w:r>
        <w:rPr>
          <w:rFonts w:ascii="Times New Roman" w:hAnsi="Times New Roman" w:cs="Times New Roman"/>
        </w:rPr>
        <w:t xml:space="preserve"> weighted</w:t>
      </w:r>
      <w:r w:rsidRPr="002C745F">
        <w:rPr>
          <w:rFonts w:ascii="Times New Roman" w:hAnsi="Times New Roman" w:cs="Times New Roman"/>
        </w:rPr>
        <w:t xml:space="preserve"> average of schedules.</w:t>
      </w:r>
    </w:p>
  </w:footnote>
  <w:footnote w:id="10">
    <w:p w14:paraId="1D5843EC" w14:textId="746BAA32" w:rsidR="00A67815" w:rsidRPr="0079010B" w:rsidRDefault="00A67815" w:rsidP="00681739">
      <w:pPr>
        <w:pStyle w:val="FootnoteText"/>
        <w:rPr>
          <w:rFonts w:ascii="Times New Roman" w:hAnsi="Times New Roman" w:cs="Times New Roman"/>
        </w:rPr>
      </w:pPr>
      <w:r w:rsidRPr="0079010B">
        <w:rPr>
          <w:rStyle w:val="FootnoteReference"/>
          <w:rFonts w:ascii="Times New Roman" w:hAnsi="Times New Roman" w:cs="Times New Roman"/>
        </w:rPr>
        <w:footnoteRef/>
      </w:r>
      <w:r w:rsidRPr="0079010B">
        <w:rPr>
          <w:rFonts w:ascii="Times New Roman" w:hAnsi="Times New Roman" w:cs="Times New Roman"/>
        </w:rPr>
        <w:t xml:space="preserve"> Outdoor Lighting shown in table equals a weighted average of schedules.</w:t>
      </w:r>
    </w:p>
  </w:footnote>
  <w:footnote w:id="11">
    <w:p w14:paraId="43E08465" w14:textId="4A09C997" w:rsidR="00A67815" w:rsidRPr="0079010B" w:rsidRDefault="00A67815" w:rsidP="0079010B">
      <w:pPr>
        <w:rPr>
          <w:rFonts w:ascii="Times New Roman" w:hAnsi="Times New Roman" w:cs="Times New Roman"/>
          <w:sz w:val="20"/>
          <w:szCs w:val="20"/>
        </w:rPr>
      </w:pPr>
      <w:r w:rsidRPr="0079010B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79010B">
        <w:rPr>
          <w:rFonts w:ascii="Times New Roman" w:hAnsi="Times New Roman" w:cs="Times New Roman"/>
          <w:sz w:val="20"/>
          <w:szCs w:val="20"/>
        </w:rPr>
        <w:t xml:space="preserve"> Docket </w:t>
      </w:r>
      <w:r>
        <w:rPr>
          <w:rFonts w:ascii="Times New Roman" w:hAnsi="Times New Roman" w:cs="Times New Roman"/>
          <w:sz w:val="20"/>
          <w:szCs w:val="20"/>
        </w:rPr>
        <w:t>UE</w:t>
      </w:r>
      <w:r w:rsidRPr="0079010B">
        <w:rPr>
          <w:rFonts w:ascii="Times New Roman" w:hAnsi="Times New Roman" w:cs="Times New Roman"/>
          <w:sz w:val="20"/>
          <w:szCs w:val="20"/>
        </w:rPr>
        <w:t xml:space="preserve">-100177, </w:t>
      </w:r>
      <w:r>
        <w:rPr>
          <w:rFonts w:ascii="Times New Roman" w:hAnsi="Times New Roman" w:cs="Times New Roman"/>
          <w:sz w:val="20"/>
          <w:szCs w:val="20"/>
        </w:rPr>
        <w:t>Order 05, September 28, 2010, approving and adopting the A</w:t>
      </w:r>
      <w:r w:rsidRPr="0079010B">
        <w:rPr>
          <w:rFonts w:ascii="Times New Roman" w:hAnsi="Times New Roman" w:cs="Times New Roman"/>
          <w:sz w:val="20"/>
          <w:szCs w:val="20"/>
        </w:rPr>
        <w:t xml:space="preserve">greed </w:t>
      </w:r>
      <w:r>
        <w:rPr>
          <w:rFonts w:ascii="Times New Roman" w:hAnsi="Times New Roman" w:cs="Times New Roman"/>
          <w:sz w:val="20"/>
          <w:szCs w:val="20"/>
        </w:rPr>
        <w:t xml:space="preserve">Conditions For Approval Of </w:t>
      </w:r>
      <w:r w:rsidRPr="0079010B">
        <w:rPr>
          <w:rFonts w:ascii="Times New Roman" w:hAnsi="Times New Roman" w:cs="Times New Roman"/>
          <w:sz w:val="20"/>
          <w:szCs w:val="20"/>
        </w:rPr>
        <w:t>Puget Sound Energy, Inc.'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79010B">
        <w:rPr>
          <w:rFonts w:ascii="Times New Roman" w:hAnsi="Times New Roman" w:cs="Times New Roman"/>
          <w:sz w:val="20"/>
          <w:szCs w:val="20"/>
        </w:rPr>
        <w:t xml:space="preserve"> 2010-2011 Biennial Electric Conser</w:t>
      </w:r>
      <w:r>
        <w:rPr>
          <w:rFonts w:ascii="Times New Roman" w:hAnsi="Times New Roman" w:cs="Times New Roman"/>
          <w:sz w:val="20"/>
          <w:szCs w:val="20"/>
        </w:rPr>
        <w:t>vation Targets under RCW 19.285 a</w:t>
      </w:r>
      <w:r w:rsidRPr="0079010B">
        <w:rPr>
          <w:rFonts w:ascii="Times New Roman" w:hAnsi="Times New Roman" w:cs="Times New Roman"/>
          <w:sz w:val="20"/>
          <w:szCs w:val="20"/>
        </w:rPr>
        <w:t xml:space="preserve">nd Agreed Modifications To Electric Settlement Terms For Conservation In </w:t>
      </w:r>
      <w:r w:rsidRPr="0079010B">
        <w:rPr>
          <w:rFonts w:ascii="Times New Roman" w:hAnsi="Times New Roman" w:cs="Times New Roman"/>
          <w:bCs/>
          <w:sz w:val="20"/>
          <w:szCs w:val="20"/>
        </w:rPr>
        <w:t>Docket No. U</w:t>
      </w:r>
      <w:r>
        <w:rPr>
          <w:rFonts w:ascii="Times New Roman" w:hAnsi="Times New Roman" w:cs="Times New Roman"/>
          <w:bCs/>
          <w:sz w:val="20"/>
          <w:szCs w:val="20"/>
        </w:rPr>
        <w:t>E</w:t>
      </w:r>
      <w:r w:rsidRPr="0079010B">
        <w:rPr>
          <w:rFonts w:ascii="Times New Roman" w:hAnsi="Times New Roman" w:cs="Times New Roman"/>
          <w:bCs/>
          <w:sz w:val="20"/>
          <w:szCs w:val="20"/>
        </w:rPr>
        <w:t>-011570</w:t>
      </w:r>
      <w:r>
        <w:rPr>
          <w:rFonts w:ascii="Times New Roman" w:hAnsi="Times New Roman" w:cs="Times New Roman"/>
          <w:bCs/>
          <w:sz w:val="20"/>
          <w:szCs w:val="20"/>
        </w:rPr>
        <w:t>, Section H.</w:t>
      </w:r>
    </w:p>
  </w:footnote>
  <w:footnote w:id="12">
    <w:p w14:paraId="49134AC2" w14:textId="719DB4C5" w:rsidR="00A67815" w:rsidRPr="00F54EE0" w:rsidRDefault="00A67815" w:rsidP="00F54EE0">
      <w:pPr>
        <w:pStyle w:val="FootnoteText"/>
        <w:rPr>
          <w:rFonts w:ascii="Times New Roman" w:hAnsi="Times New Roman" w:cs="Times New Roman"/>
        </w:rPr>
      </w:pPr>
      <w:r w:rsidRPr="00F54EE0">
        <w:rPr>
          <w:rStyle w:val="FootnoteReference"/>
          <w:rFonts w:ascii="Times New Roman" w:hAnsi="Times New Roman" w:cs="Times New Roman"/>
        </w:rPr>
        <w:footnoteRef/>
      </w:r>
      <w:r w:rsidRPr="00F54EE0">
        <w:rPr>
          <w:rFonts w:ascii="Times New Roman" w:hAnsi="Times New Roman" w:cs="Times New Roman"/>
        </w:rPr>
        <w:t xml:space="preserve"> The total </w:t>
      </w:r>
      <w:r>
        <w:rPr>
          <w:rFonts w:ascii="Times New Roman" w:hAnsi="Times New Roman" w:cs="Times New Roman"/>
        </w:rPr>
        <w:t>EVCI</w:t>
      </w:r>
      <w:r w:rsidRPr="00F54EE0">
        <w:rPr>
          <w:rFonts w:ascii="Times New Roman" w:hAnsi="Times New Roman" w:cs="Times New Roman"/>
        </w:rPr>
        <w:t xml:space="preserve"> impact on this filing’s revenue requi</w:t>
      </w:r>
      <w:r>
        <w:rPr>
          <w:rFonts w:ascii="Times New Roman" w:hAnsi="Times New Roman" w:cs="Times New Roman"/>
        </w:rPr>
        <w:t>rement is composed of $1,383,600 of program expenditures and a $66,139 revenue-sensitive adjustment.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D6895" w14:textId="77777777" w:rsidR="0021142F" w:rsidRDefault="002114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E42E6" w14:textId="170913EC" w:rsidR="00A67815" w:rsidRPr="00EF1E9D" w:rsidRDefault="00A67815">
    <w:pPr>
      <w:pStyle w:val="Header"/>
      <w:rPr>
        <w:rFonts w:ascii="Times New Roman" w:hAnsi="Times New Roman" w:cs="Times New Roman"/>
        <w:b/>
        <w:sz w:val="20"/>
        <w:szCs w:val="20"/>
      </w:rPr>
    </w:pPr>
    <w:r w:rsidRPr="00EF1E9D">
      <w:rPr>
        <w:rFonts w:ascii="Times New Roman" w:hAnsi="Times New Roman" w:cs="Times New Roman"/>
        <w:b/>
        <w:sz w:val="20"/>
        <w:szCs w:val="20"/>
      </w:rPr>
      <w:t>Docket UE-1</w:t>
    </w:r>
    <w:r w:rsidR="00F6687E">
      <w:rPr>
        <w:rFonts w:ascii="Times New Roman" w:hAnsi="Times New Roman" w:cs="Times New Roman"/>
        <w:b/>
        <w:sz w:val="20"/>
        <w:szCs w:val="20"/>
      </w:rPr>
      <w:t>40330</w:t>
    </w:r>
  </w:p>
  <w:p w14:paraId="5CCE42E7" w14:textId="4158AA85" w:rsidR="00A67815" w:rsidRPr="00EF1E9D" w:rsidRDefault="00A67815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April 24, 2014</w:t>
    </w:r>
  </w:p>
  <w:p w14:paraId="5CCE42E8" w14:textId="77777777" w:rsidR="00A67815" w:rsidRPr="00EF1E9D" w:rsidRDefault="00A67815">
    <w:pPr>
      <w:pStyle w:val="Header"/>
      <w:rPr>
        <w:rFonts w:ascii="Times New Roman" w:hAnsi="Times New Roman" w:cs="Times New Roman"/>
        <w:b/>
        <w:sz w:val="20"/>
        <w:szCs w:val="20"/>
      </w:rPr>
    </w:pPr>
    <w:r w:rsidRPr="00EF1E9D">
      <w:rPr>
        <w:rFonts w:ascii="Times New Roman" w:hAnsi="Times New Roman" w:cs="Times New Roman"/>
        <w:b/>
        <w:sz w:val="20"/>
        <w:szCs w:val="20"/>
      </w:rPr>
      <w:t xml:space="preserve">Page </w:t>
    </w:r>
    <w:r w:rsidRPr="00EF1E9D">
      <w:rPr>
        <w:rFonts w:ascii="Times New Roman" w:hAnsi="Times New Roman" w:cs="Times New Roman"/>
        <w:b/>
        <w:sz w:val="20"/>
        <w:szCs w:val="20"/>
      </w:rPr>
      <w:fldChar w:fldCharType="begin"/>
    </w:r>
    <w:r w:rsidRPr="00EF1E9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EF1E9D">
      <w:rPr>
        <w:rFonts w:ascii="Times New Roman" w:hAnsi="Times New Roman" w:cs="Times New Roman"/>
        <w:b/>
        <w:sz w:val="20"/>
        <w:szCs w:val="20"/>
      </w:rPr>
      <w:fldChar w:fldCharType="separate"/>
    </w:r>
    <w:r w:rsidR="009024FF">
      <w:rPr>
        <w:rFonts w:ascii="Times New Roman" w:hAnsi="Times New Roman" w:cs="Times New Roman"/>
        <w:b/>
        <w:noProof/>
        <w:sz w:val="20"/>
        <w:szCs w:val="20"/>
      </w:rPr>
      <w:t>4</w:t>
    </w:r>
    <w:r w:rsidRPr="00EF1E9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CCE42E9" w14:textId="77777777" w:rsidR="00A67815" w:rsidRDefault="00A678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888B2" w14:textId="77777777" w:rsidR="0021142F" w:rsidRDefault="002114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412A"/>
    <w:multiLevelType w:val="hybridMultilevel"/>
    <w:tmpl w:val="5448DD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44782"/>
    <w:multiLevelType w:val="hybridMultilevel"/>
    <w:tmpl w:val="28C2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E0338"/>
    <w:multiLevelType w:val="hybridMultilevel"/>
    <w:tmpl w:val="A3D6D7D8"/>
    <w:lvl w:ilvl="0" w:tplc="1908C86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607261"/>
    <w:multiLevelType w:val="hybridMultilevel"/>
    <w:tmpl w:val="1390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37BC9"/>
    <w:multiLevelType w:val="hybridMultilevel"/>
    <w:tmpl w:val="5802B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81D93"/>
    <w:multiLevelType w:val="hybridMultilevel"/>
    <w:tmpl w:val="B23E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B69AA"/>
    <w:multiLevelType w:val="hybridMultilevel"/>
    <w:tmpl w:val="FD60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C6DAD"/>
    <w:multiLevelType w:val="hybridMultilevel"/>
    <w:tmpl w:val="1390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871A4"/>
    <w:multiLevelType w:val="hybridMultilevel"/>
    <w:tmpl w:val="1390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007CD"/>
    <w:multiLevelType w:val="hybridMultilevel"/>
    <w:tmpl w:val="0DB8B7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B6EED"/>
    <w:multiLevelType w:val="hybridMultilevel"/>
    <w:tmpl w:val="1390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DB"/>
    <w:rsid w:val="000151FB"/>
    <w:rsid w:val="000604E3"/>
    <w:rsid w:val="000614C8"/>
    <w:rsid w:val="0008292A"/>
    <w:rsid w:val="000920FB"/>
    <w:rsid w:val="000E640C"/>
    <w:rsid w:val="00101468"/>
    <w:rsid w:val="00124CBA"/>
    <w:rsid w:val="00136BAA"/>
    <w:rsid w:val="001A4CA2"/>
    <w:rsid w:val="001C5AB1"/>
    <w:rsid w:val="001E1D7A"/>
    <w:rsid w:val="002022F1"/>
    <w:rsid w:val="0021142F"/>
    <w:rsid w:val="00227278"/>
    <w:rsid w:val="00254927"/>
    <w:rsid w:val="00272507"/>
    <w:rsid w:val="002742DB"/>
    <w:rsid w:val="00274D79"/>
    <w:rsid w:val="00275480"/>
    <w:rsid w:val="002B2A92"/>
    <w:rsid w:val="002C039A"/>
    <w:rsid w:val="002C745F"/>
    <w:rsid w:val="002D3F71"/>
    <w:rsid w:val="002D7BD6"/>
    <w:rsid w:val="00363A17"/>
    <w:rsid w:val="00384C35"/>
    <w:rsid w:val="0041665D"/>
    <w:rsid w:val="00417EE0"/>
    <w:rsid w:val="00424180"/>
    <w:rsid w:val="004417D8"/>
    <w:rsid w:val="00473AE7"/>
    <w:rsid w:val="004855C1"/>
    <w:rsid w:val="004A77A8"/>
    <w:rsid w:val="00523278"/>
    <w:rsid w:val="00552600"/>
    <w:rsid w:val="00580EC3"/>
    <w:rsid w:val="005968B2"/>
    <w:rsid w:val="005A6C74"/>
    <w:rsid w:val="005B6264"/>
    <w:rsid w:val="005E5236"/>
    <w:rsid w:val="00622E0D"/>
    <w:rsid w:val="006524A7"/>
    <w:rsid w:val="00672F7B"/>
    <w:rsid w:val="00673DB4"/>
    <w:rsid w:val="00681739"/>
    <w:rsid w:val="00683F97"/>
    <w:rsid w:val="006962C8"/>
    <w:rsid w:val="006A41EE"/>
    <w:rsid w:val="006C17B2"/>
    <w:rsid w:val="006E0AEA"/>
    <w:rsid w:val="007726FA"/>
    <w:rsid w:val="00777FC7"/>
    <w:rsid w:val="0079010B"/>
    <w:rsid w:val="007A448C"/>
    <w:rsid w:val="007B11D7"/>
    <w:rsid w:val="007B79D2"/>
    <w:rsid w:val="007C5408"/>
    <w:rsid w:val="007E04B8"/>
    <w:rsid w:val="007E19BD"/>
    <w:rsid w:val="007F6BA3"/>
    <w:rsid w:val="007F755C"/>
    <w:rsid w:val="008065FA"/>
    <w:rsid w:val="0081308A"/>
    <w:rsid w:val="0084443A"/>
    <w:rsid w:val="008616D9"/>
    <w:rsid w:val="00885C0B"/>
    <w:rsid w:val="00887DB1"/>
    <w:rsid w:val="008970AE"/>
    <w:rsid w:val="008B4419"/>
    <w:rsid w:val="009024FF"/>
    <w:rsid w:val="00906E43"/>
    <w:rsid w:val="00935A14"/>
    <w:rsid w:val="00935E5E"/>
    <w:rsid w:val="00940A43"/>
    <w:rsid w:val="00974F64"/>
    <w:rsid w:val="00984DAB"/>
    <w:rsid w:val="009868AC"/>
    <w:rsid w:val="00995C91"/>
    <w:rsid w:val="009C7AA2"/>
    <w:rsid w:val="009D3B77"/>
    <w:rsid w:val="009E0769"/>
    <w:rsid w:val="00A03EC4"/>
    <w:rsid w:val="00A67815"/>
    <w:rsid w:val="00A76BE7"/>
    <w:rsid w:val="00A84C2A"/>
    <w:rsid w:val="00A93DF7"/>
    <w:rsid w:val="00AA1B18"/>
    <w:rsid w:val="00AB5067"/>
    <w:rsid w:val="00AD3312"/>
    <w:rsid w:val="00AE273E"/>
    <w:rsid w:val="00AF73D9"/>
    <w:rsid w:val="00AF7C86"/>
    <w:rsid w:val="00B13041"/>
    <w:rsid w:val="00BA4DC3"/>
    <w:rsid w:val="00BC79C9"/>
    <w:rsid w:val="00C4401D"/>
    <w:rsid w:val="00C6547D"/>
    <w:rsid w:val="00C663AC"/>
    <w:rsid w:val="00C66AF1"/>
    <w:rsid w:val="00C6741C"/>
    <w:rsid w:val="00CA3673"/>
    <w:rsid w:val="00CB3120"/>
    <w:rsid w:val="00CC15FD"/>
    <w:rsid w:val="00CF57F7"/>
    <w:rsid w:val="00D51DD2"/>
    <w:rsid w:val="00DA1B86"/>
    <w:rsid w:val="00DA76A9"/>
    <w:rsid w:val="00DB2E9B"/>
    <w:rsid w:val="00DD1951"/>
    <w:rsid w:val="00DD2A47"/>
    <w:rsid w:val="00E05F38"/>
    <w:rsid w:val="00E37575"/>
    <w:rsid w:val="00E376A0"/>
    <w:rsid w:val="00E74A34"/>
    <w:rsid w:val="00E91EE7"/>
    <w:rsid w:val="00EB58DA"/>
    <w:rsid w:val="00EE0F40"/>
    <w:rsid w:val="00EE59AB"/>
    <w:rsid w:val="00EF1E9D"/>
    <w:rsid w:val="00EF4BE7"/>
    <w:rsid w:val="00EF6786"/>
    <w:rsid w:val="00F21B68"/>
    <w:rsid w:val="00F31EC0"/>
    <w:rsid w:val="00F411E3"/>
    <w:rsid w:val="00F54EE0"/>
    <w:rsid w:val="00F6687E"/>
    <w:rsid w:val="00F6779C"/>
    <w:rsid w:val="00FA326C"/>
    <w:rsid w:val="00FA36E1"/>
    <w:rsid w:val="00FD06C6"/>
    <w:rsid w:val="00FD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CCE4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39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2742D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742DB"/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42DB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2742DB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FA36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36E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FA36E1"/>
    <w:rPr>
      <w:vertAlign w:val="superscript"/>
    </w:rPr>
  </w:style>
  <w:style w:type="table" w:styleId="TableGrid">
    <w:name w:val="Table Grid"/>
    <w:basedOn w:val="TableNormal"/>
    <w:uiPriority w:val="59"/>
    <w:rsid w:val="007B1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7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FC7"/>
  </w:style>
  <w:style w:type="paragraph" w:styleId="Footer">
    <w:name w:val="footer"/>
    <w:basedOn w:val="Normal"/>
    <w:link w:val="FooterChar"/>
    <w:uiPriority w:val="99"/>
    <w:unhideWhenUsed/>
    <w:rsid w:val="00777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FC7"/>
  </w:style>
  <w:style w:type="paragraph" w:styleId="BalloonText">
    <w:name w:val="Balloon Text"/>
    <w:basedOn w:val="Normal"/>
    <w:link w:val="BalloonTextChar"/>
    <w:uiPriority w:val="99"/>
    <w:semiHidden/>
    <w:unhideWhenUsed/>
    <w:rsid w:val="00EF1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3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A1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39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2742D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742DB"/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42DB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2742DB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FA36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36E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FA36E1"/>
    <w:rPr>
      <w:vertAlign w:val="superscript"/>
    </w:rPr>
  </w:style>
  <w:style w:type="table" w:styleId="TableGrid">
    <w:name w:val="Table Grid"/>
    <w:basedOn w:val="TableNormal"/>
    <w:uiPriority w:val="59"/>
    <w:rsid w:val="007B1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7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FC7"/>
  </w:style>
  <w:style w:type="paragraph" w:styleId="Footer">
    <w:name w:val="footer"/>
    <w:basedOn w:val="Normal"/>
    <w:link w:val="FooterChar"/>
    <w:uiPriority w:val="99"/>
    <w:unhideWhenUsed/>
    <w:rsid w:val="00777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FC7"/>
  </w:style>
  <w:style w:type="paragraph" w:styleId="BalloonText">
    <w:name w:val="Balloon Text"/>
    <w:basedOn w:val="Normal"/>
    <w:link w:val="BalloonTextChar"/>
    <w:uiPriority w:val="99"/>
    <w:semiHidden/>
    <w:unhideWhenUsed/>
    <w:rsid w:val="00EF1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3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A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microsoft.com/office/2007/relationships/stylesWithEffects" Target="stylesWithEffects.xml"/><Relationship Id="rId12" Type="http://schemas.openxmlformats.org/officeDocument/2006/relationships/hyperlink" Target="http://www.utc.w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89D510C03100498CE0BB051F07A067" ma:contentTypeVersion="175" ma:contentTypeDescription="" ma:contentTypeScope="" ma:versionID="dd3b8ef8ccd44981336f3a65546a23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2014-02-28T08:00:00+00:00</OpenedDate>
    <Date1 xmlns="dc463f71-b30c-4ab2-9473-d307f9d35888">2014-04-24T07:00:00+00:00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140330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0096E9-C6ED-4FA8-9A8A-194F381B9D66}"/>
</file>

<file path=customXml/itemProps2.xml><?xml version="1.0" encoding="utf-8"?>
<ds:datastoreItem xmlns:ds="http://schemas.openxmlformats.org/officeDocument/2006/customXml" ds:itemID="{7CAD505C-AE35-49D8-B9AB-F910246A4B8E}"/>
</file>

<file path=customXml/itemProps3.xml><?xml version="1.0" encoding="utf-8"?>
<ds:datastoreItem xmlns:ds="http://schemas.openxmlformats.org/officeDocument/2006/customXml" ds:itemID="{54AED9A3-3C83-44C4-8497-162D1010DC73}"/>
</file>

<file path=customXml/itemProps4.xml><?xml version="1.0" encoding="utf-8"?>
<ds:datastoreItem xmlns:ds="http://schemas.openxmlformats.org/officeDocument/2006/customXml" ds:itemID="{AA66A414-5B8D-4F22-BA11-A75847107C24}"/>
</file>

<file path=customXml/itemProps5.xml><?xml version="1.0" encoding="utf-8"?>
<ds:datastoreItem xmlns:ds="http://schemas.openxmlformats.org/officeDocument/2006/customXml" ds:itemID="{8F2AB209-4BF1-4C93-B7CA-A4E1B06AD1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UE-140330 memo</vt:lpstr>
    </vt:vector>
  </TitlesOfParts>
  <Company>Washington Utilities and Transportation Commission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UE-140330 memo</dc:title>
  <dc:creator>Juliana Williams</dc:creator>
  <cp:lastModifiedBy>Lisa Wyse</cp:lastModifiedBy>
  <cp:revision>2</cp:revision>
  <dcterms:created xsi:type="dcterms:W3CDTF">2014-04-21T23:59:00Z</dcterms:created>
  <dcterms:modified xsi:type="dcterms:W3CDTF">2014-04-21T23:59:00Z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0x0101006E56B4D1795A2E4DB2F0B01679ED314A002689D510C03100498CE0BB051F07A067</vt:lpwstr>
  </property>
  <property fmtid="{D5CDD505-2E9C-101B-9397-08002B2CF9AE}" pid="3" name="_docset_NoMedatataSyncRequired">
    <vt:lpwstr>False</vt:lpwstr>
  </property>
</Properties>
</file>