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20" w:rsidRPr="00AA3A5E" w:rsidRDefault="00195720" w:rsidP="00AA3A5E">
      <w:pPr>
        <w:spacing w:line="264" w:lineRule="auto"/>
        <w:jc w:val="center"/>
        <w:rPr>
          <w:b/>
          <w:bCs/>
          <w:sz w:val="25"/>
          <w:szCs w:val="25"/>
        </w:rPr>
      </w:pPr>
      <w:bookmarkStart w:id="0" w:name="_GoBack"/>
      <w:bookmarkEnd w:id="0"/>
      <w:r w:rsidRPr="00AA3A5E">
        <w:rPr>
          <w:b/>
          <w:bCs/>
          <w:sz w:val="25"/>
          <w:szCs w:val="25"/>
        </w:rPr>
        <w:t>BEFORE THE WASHINGTON</w:t>
      </w:r>
    </w:p>
    <w:p w:rsidR="00195720" w:rsidRPr="00AA3A5E" w:rsidRDefault="00195720" w:rsidP="00AA3A5E">
      <w:pPr>
        <w:spacing w:line="264" w:lineRule="auto"/>
        <w:jc w:val="center"/>
        <w:rPr>
          <w:b/>
          <w:bCs/>
          <w:sz w:val="25"/>
          <w:szCs w:val="25"/>
        </w:rPr>
      </w:pPr>
      <w:r w:rsidRPr="00AA3A5E">
        <w:rPr>
          <w:b/>
          <w:bCs/>
          <w:sz w:val="25"/>
          <w:szCs w:val="25"/>
        </w:rPr>
        <w:t>UTILITIES AND TRANSPORTATION COMMISSION</w:t>
      </w:r>
    </w:p>
    <w:tbl>
      <w:tblPr>
        <w:tblW w:w="8603" w:type="dxa"/>
        <w:tblLayout w:type="fixed"/>
        <w:tblLook w:val="0000" w:firstRow="0" w:lastRow="0" w:firstColumn="0" w:lastColumn="0" w:noHBand="0" w:noVBand="0"/>
      </w:tblPr>
      <w:tblGrid>
        <w:gridCol w:w="4248"/>
        <w:gridCol w:w="489"/>
        <w:gridCol w:w="3866"/>
      </w:tblGrid>
      <w:tr w:rsidR="00195720" w:rsidRPr="00AA3A5E" w:rsidTr="003969D3">
        <w:tc>
          <w:tcPr>
            <w:tcW w:w="4248" w:type="dxa"/>
          </w:tcPr>
          <w:p w:rsidR="00195720" w:rsidRPr="00AA3A5E" w:rsidRDefault="00195720" w:rsidP="00AA3A5E">
            <w:pPr>
              <w:keepLines/>
              <w:spacing w:line="264" w:lineRule="auto"/>
              <w:rPr>
                <w:sz w:val="25"/>
                <w:szCs w:val="25"/>
              </w:rPr>
            </w:pPr>
          </w:p>
          <w:p w:rsidR="00195720" w:rsidRPr="00AA3A5E" w:rsidRDefault="00195720" w:rsidP="00AA3A5E">
            <w:pPr>
              <w:keepLines/>
              <w:spacing w:line="264" w:lineRule="auto"/>
              <w:rPr>
                <w:sz w:val="25"/>
                <w:szCs w:val="25"/>
              </w:rPr>
            </w:pPr>
          </w:p>
          <w:p w:rsidR="00195720" w:rsidRPr="00AA3A5E" w:rsidRDefault="00195720" w:rsidP="00AA3A5E">
            <w:pPr>
              <w:spacing w:line="264" w:lineRule="auto"/>
              <w:rPr>
                <w:sz w:val="25"/>
                <w:szCs w:val="25"/>
              </w:rPr>
            </w:pPr>
            <w:r w:rsidRPr="00AA3A5E">
              <w:rPr>
                <w:sz w:val="25"/>
                <w:szCs w:val="25"/>
              </w:rPr>
              <w:t>In the Matter of Determining the Proper Classification of, and Complaint</w:t>
            </w:r>
          </w:p>
          <w:p w:rsidR="00195720" w:rsidRPr="00AA3A5E" w:rsidRDefault="00195720" w:rsidP="00AA3A5E">
            <w:pPr>
              <w:spacing w:line="264" w:lineRule="auto"/>
              <w:rPr>
                <w:sz w:val="25"/>
                <w:szCs w:val="25"/>
              </w:rPr>
            </w:pPr>
            <w:r w:rsidRPr="00AA3A5E">
              <w:rPr>
                <w:sz w:val="25"/>
                <w:szCs w:val="25"/>
              </w:rPr>
              <w:t>for Penalties against:</w:t>
            </w:r>
          </w:p>
          <w:p w:rsidR="00195720" w:rsidRPr="00AA3A5E" w:rsidRDefault="00195720" w:rsidP="00AA3A5E">
            <w:pPr>
              <w:keepLines/>
              <w:spacing w:line="264" w:lineRule="auto"/>
              <w:rPr>
                <w:sz w:val="25"/>
                <w:szCs w:val="25"/>
              </w:rPr>
            </w:pPr>
          </w:p>
          <w:p w:rsidR="00195720" w:rsidRPr="00AA3A5E" w:rsidRDefault="00195720" w:rsidP="00AA3A5E">
            <w:pPr>
              <w:keepLines/>
              <w:spacing w:line="264" w:lineRule="auto"/>
              <w:rPr>
                <w:sz w:val="25"/>
                <w:szCs w:val="25"/>
              </w:rPr>
            </w:pPr>
          </w:p>
          <w:p w:rsidR="00195720" w:rsidRPr="00AA3A5E" w:rsidRDefault="00195720" w:rsidP="00AA3A5E">
            <w:pPr>
              <w:keepLines/>
              <w:spacing w:line="264" w:lineRule="auto"/>
              <w:rPr>
                <w:caps/>
                <w:sz w:val="25"/>
                <w:szCs w:val="25"/>
              </w:rPr>
            </w:pPr>
            <w:r w:rsidRPr="00AA3A5E">
              <w:rPr>
                <w:caps/>
                <w:sz w:val="25"/>
                <w:szCs w:val="25"/>
              </w:rPr>
              <w:t>NEWAUKUM WATER SYSTEM, INC.</w:t>
            </w:r>
          </w:p>
          <w:p w:rsidR="00E463B1" w:rsidRPr="00AA3A5E" w:rsidRDefault="00E463B1" w:rsidP="00AA3A5E">
            <w:pPr>
              <w:keepLines/>
              <w:spacing w:line="264" w:lineRule="auto"/>
              <w:rPr>
                <w:sz w:val="25"/>
                <w:szCs w:val="25"/>
              </w:rPr>
            </w:pPr>
          </w:p>
          <w:p w:rsidR="00195720" w:rsidRPr="00AA3A5E" w:rsidRDefault="00195720" w:rsidP="00AA3A5E">
            <w:pPr>
              <w:keepLines/>
              <w:spacing w:line="264" w:lineRule="auto"/>
              <w:rPr>
                <w:sz w:val="25"/>
                <w:szCs w:val="25"/>
              </w:rPr>
            </w:pPr>
            <w:r w:rsidRPr="00AA3A5E">
              <w:rPr>
                <w:sz w:val="25"/>
                <w:szCs w:val="25"/>
              </w:rPr>
              <w:t xml:space="preserve">. . . . . . . . . . . . . . . . . . . . . . . . . . . . . . . . </w:t>
            </w:r>
          </w:p>
        </w:tc>
        <w:tc>
          <w:tcPr>
            <w:tcW w:w="489" w:type="dxa"/>
          </w:tcPr>
          <w:p w:rsidR="00195720" w:rsidRPr="00AA3A5E" w:rsidRDefault="00195720" w:rsidP="00AA3A5E">
            <w:pPr>
              <w:keepLines/>
              <w:spacing w:line="264" w:lineRule="auto"/>
              <w:rPr>
                <w:sz w:val="25"/>
                <w:szCs w:val="25"/>
              </w:rPr>
            </w:pPr>
          </w:p>
          <w:p w:rsidR="00195720" w:rsidRPr="00AA3A5E" w:rsidRDefault="00195720" w:rsidP="00AA3A5E">
            <w:pPr>
              <w:keepLines/>
              <w:spacing w:line="264" w:lineRule="auto"/>
              <w:rPr>
                <w:sz w:val="25"/>
                <w:szCs w:val="25"/>
              </w:rPr>
            </w:pP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195720" w:rsidRPr="00AA3A5E" w:rsidRDefault="00195720" w:rsidP="00AA3A5E">
            <w:pPr>
              <w:keepLines/>
              <w:spacing w:line="264" w:lineRule="auto"/>
              <w:rPr>
                <w:sz w:val="25"/>
                <w:szCs w:val="25"/>
              </w:rPr>
            </w:pPr>
            <w:r w:rsidRPr="00AA3A5E">
              <w:rPr>
                <w:sz w:val="25"/>
                <w:szCs w:val="25"/>
              </w:rPr>
              <w:t>)</w:t>
            </w:r>
          </w:p>
          <w:p w:rsidR="00E463B1" w:rsidRPr="00AA3A5E" w:rsidRDefault="00195720" w:rsidP="00AA3A5E">
            <w:pPr>
              <w:keepLines/>
              <w:spacing w:line="264" w:lineRule="auto"/>
              <w:rPr>
                <w:sz w:val="25"/>
                <w:szCs w:val="25"/>
              </w:rPr>
            </w:pPr>
            <w:r w:rsidRPr="00AA3A5E">
              <w:rPr>
                <w:sz w:val="25"/>
                <w:szCs w:val="25"/>
              </w:rPr>
              <w:t>)</w:t>
            </w:r>
          </w:p>
        </w:tc>
        <w:tc>
          <w:tcPr>
            <w:tcW w:w="3866" w:type="dxa"/>
          </w:tcPr>
          <w:p w:rsidR="00195720" w:rsidRPr="00AA3A5E" w:rsidRDefault="00195720" w:rsidP="00AA3A5E">
            <w:pPr>
              <w:spacing w:line="264" w:lineRule="auto"/>
              <w:rPr>
                <w:sz w:val="25"/>
                <w:szCs w:val="25"/>
              </w:rPr>
            </w:pPr>
          </w:p>
          <w:p w:rsidR="00195720" w:rsidRPr="00AA3A5E" w:rsidRDefault="00195720" w:rsidP="00AA3A5E">
            <w:pPr>
              <w:spacing w:line="264" w:lineRule="auto"/>
              <w:rPr>
                <w:sz w:val="25"/>
                <w:szCs w:val="25"/>
              </w:rPr>
            </w:pPr>
          </w:p>
          <w:p w:rsidR="00195720" w:rsidRPr="00AA3A5E" w:rsidRDefault="00195720" w:rsidP="00AA3A5E">
            <w:pPr>
              <w:spacing w:line="264" w:lineRule="auto"/>
              <w:rPr>
                <w:sz w:val="25"/>
                <w:szCs w:val="25"/>
              </w:rPr>
            </w:pPr>
            <w:r w:rsidRPr="00AA3A5E">
              <w:rPr>
                <w:sz w:val="25"/>
                <w:szCs w:val="25"/>
              </w:rPr>
              <w:t xml:space="preserve">DOCKET </w:t>
            </w:r>
            <w:r w:rsidR="00285436" w:rsidRPr="00AA3A5E">
              <w:rPr>
                <w:color w:val="000000"/>
                <w:sz w:val="25"/>
                <w:szCs w:val="25"/>
              </w:rPr>
              <w:t>UW-1322</w:t>
            </w:r>
            <w:r w:rsidR="00292992" w:rsidRPr="00AA3A5E">
              <w:rPr>
                <w:color w:val="000000"/>
                <w:sz w:val="25"/>
                <w:szCs w:val="25"/>
              </w:rPr>
              <w:t>8</w:t>
            </w:r>
            <w:r w:rsidR="00285436" w:rsidRPr="00AA3A5E">
              <w:rPr>
                <w:color w:val="000000"/>
                <w:sz w:val="25"/>
                <w:szCs w:val="25"/>
              </w:rPr>
              <w:t>1</w:t>
            </w:r>
          </w:p>
          <w:p w:rsidR="00195720" w:rsidRPr="00AA3A5E" w:rsidRDefault="00195720" w:rsidP="00AA3A5E">
            <w:pPr>
              <w:spacing w:line="264" w:lineRule="auto"/>
              <w:rPr>
                <w:sz w:val="25"/>
                <w:szCs w:val="25"/>
              </w:rPr>
            </w:pPr>
          </w:p>
          <w:p w:rsidR="00195720" w:rsidRPr="00AA3A5E" w:rsidRDefault="00195720" w:rsidP="00AA3A5E">
            <w:pPr>
              <w:spacing w:line="264" w:lineRule="auto"/>
              <w:rPr>
                <w:sz w:val="25"/>
                <w:szCs w:val="25"/>
              </w:rPr>
            </w:pPr>
            <w:r w:rsidRPr="00AA3A5E">
              <w:rPr>
                <w:sz w:val="25"/>
                <w:szCs w:val="25"/>
              </w:rPr>
              <w:t>ORDER 0</w:t>
            </w:r>
            <w:r w:rsidR="00E87505" w:rsidRPr="00AA3A5E">
              <w:rPr>
                <w:sz w:val="25"/>
                <w:szCs w:val="25"/>
              </w:rPr>
              <w:t>2</w:t>
            </w:r>
          </w:p>
          <w:p w:rsidR="00195720" w:rsidRPr="00AA3A5E" w:rsidRDefault="00195720" w:rsidP="00AA3A5E">
            <w:pPr>
              <w:spacing w:line="264" w:lineRule="auto"/>
              <w:rPr>
                <w:sz w:val="25"/>
                <w:szCs w:val="25"/>
              </w:rPr>
            </w:pPr>
          </w:p>
          <w:p w:rsidR="00E87505" w:rsidRPr="00AA3A5E" w:rsidRDefault="001F1FDC" w:rsidP="00AA3A5E">
            <w:pPr>
              <w:pStyle w:val="Header"/>
              <w:tabs>
                <w:tab w:val="clear" w:pos="4320"/>
                <w:tab w:val="clear" w:pos="8640"/>
              </w:tabs>
              <w:spacing w:line="264" w:lineRule="auto"/>
              <w:rPr>
                <w:b/>
                <w:bCs/>
                <w:sz w:val="25"/>
                <w:szCs w:val="25"/>
              </w:rPr>
            </w:pPr>
            <w:r w:rsidRPr="00AA3A5E">
              <w:rPr>
                <w:sz w:val="25"/>
                <w:szCs w:val="25"/>
              </w:rPr>
              <w:t>INITIAL</w:t>
            </w:r>
            <w:r w:rsidR="00E87505" w:rsidRPr="00AA3A5E">
              <w:rPr>
                <w:sz w:val="25"/>
                <w:szCs w:val="25"/>
              </w:rPr>
              <w:t xml:space="preserve"> </w:t>
            </w:r>
            <w:r w:rsidR="00195720" w:rsidRPr="00AA3A5E">
              <w:rPr>
                <w:sz w:val="25"/>
                <w:szCs w:val="25"/>
              </w:rPr>
              <w:t xml:space="preserve">ORDER </w:t>
            </w:r>
            <w:r w:rsidR="00AA4B3D" w:rsidRPr="00AA3A5E">
              <w:rPr>
                <w:sz w:val="25"/>
                <w:szCs w:val="25"/>
              </w:rPr>
              <w:t>APPROVING SETTLEMENT; IMPOSING AND SUSPENDING PENALTIES SUBJECT TO CONDITIONS</w:t>
            </w:r>
          </w:p>
          <w:p w:rsidR="00195720" w:rsidRPr="00AA3A5E" w:rsidRDefault="00195720" w:rsidP="00AA3A5E">
            <w:pPr>
              <w:spacing w:line="264" w:lineRule="auto"/>
              <w:rPr>
                <w:b/>
                <w:bCs/>
                <w:sz w:val="25"/>
                <w:szCs w:val="25"/>
              </w:rPr>
            </w:pPr>
          </w:p>
        </w:tc>
      </w:tr>
    </w:tbl>
    <w:p w:rsidR="00195720" w:rsidRPr="00AA3A5E" w:rsidRDefault="00195720" w:rsidP="00AA3A5E">
      <w:pPr>
        <w:spacing w:line="264" w:lineRule="auto"/>
        <w:rPr>
          <w:sz w:val="25"/>
          <w:szCs w:val="25"/>
        </w:rPr>
      </w:pPr>
    </w:p>
    <w:p w:rsidR="00195720" w:rsidRPr="00AA3A5E" w:rsidRDefault="00195720" w:rsidP="00AA3A5E">
      <w:pPr>
        <w:spacing w:line="264" w:lineRule="auto"/>
        <w:rPr>
          <w:sz w:val="25"/>
          <w:szCs w:val="25"/>
        </w:rPr>
      </w:pPr>
    </w:p>
    <w:p w:rsidR="00195720" w:rsidRPr="00AA3A5E" w:rsidRDefault="00212F87" w:rsidP="00AA3A5E">
      <w:pPr>
        <w:spacing w:line="264" w:lineRule="auto"/>
        <w:jc w:val="center"/>
        <w:rPr>
          <w:b/>
          <w:sz w:val="25"/>
          <w:szCs w:val="25"/>
          <w:u w:val="single"/>
        </w:rPr>
      </w:pPr>
      <w:r w:rsidRPr="00AA3A5E">
        <w:rPr>
          <w:b/>
          <w:sz w:val="25"/>
          <w:szCs w:val="25"/>
          <w:u w:val="single"/>
        </w:rPr>
        <w:t>MEMORANDUM</w:t>
      </w:r>
    </w:p>
    <w:p w:rsidR="00195720" w:rsidRPr="00AA3A5E" w:rsidRDefault="00195720" w:rsidP="00AA3A5E">
      <w:pPr>
        <w:spacing w:line="264" w:lineRule="auto"/>
        <w:rPr>
          <w:sz w:val="25"/>
          <w:szCs w:val="25"/>
        </w:rPr>
      </w:pPr>
    </w:p>
    <w:p w:rsidR="00AA4B3D" w:rsidRPr="00AA3A5E" w:rsidRDefault="00212F87" w:rsidP="00AA3A5E">
      <w:pPr>
        <w:numPr>
          <w:ilvl w:val="0"/>
          <w:numId w:val="1"/>
        </w:numPr>
        <w:tabs>
          <w:tab w:val="num" w:pos="720"/>
        </w:tabs>
        <w:spacing w:line="264" w:lineRule="auto"/>
        <w:rPr>
          <w:sz w:val="25"/>
          <w:szCs w:val="25"/>
        </w:rPr>
      </w:pPr>
      <w:r w:rsidRPr="00AA3A5E">
        <w:rPr>
          <w:b/>
          <w:sz w:val="25"/>
          <w:szCs w:val="25"/>
        </w:rPr>
        <w:t xml:space="preserve">Proceeding.  </w:t>
      </w:r>
      <w:r w:rsidR="00195720" w:rsidRPr="00AA3A5E">
        <w:rPr>
          <w:sz w:val="25"/>
          <w:szCs w:val="25"/>
        </w:rPr>
        <w:t>The Washington Utilities and Transportation Commission (Commission</w:t>
      </w:r>
      <w:r w:rsidR="008246EA" w:rsidRPr="00AA3A5E">
        <w:rPr>
          <w:sz w:val="25"/>
          <w:szCs w:val="25"/>
        </w:rPr>
        <w:t>)</w:t>
      </w:r>
      <w:r w:rsidR="00195720" w:rsidRPr="00AA3A5E">
        <w:rPr>
          <w:sz w:val="25"/>
          <w:szCs w:val="25"/>
        </w:rPr>
        <w:t xml:space="preserve"> institute</w:t>
      </w:r>
      <w:r w:rsidR="00FF399F" w:rsidRPr="00AA3A5E">
        <w:rPr>
          <w:sz w:val="25"/>
          <w:szCs w:val="25"/>
        </w:rPr>
        <w:t>d</w:t>
      </w:r>
      <w:r w:rsidR="00195720" w:rsidRPr="00AA3A5E">
        <w:rPr>
          <w:sz w:val="25"/>
          <w:szCs w:val="25"/>
        </w:rPr>
        <w:t xml:space="preserve"> this special proceeding</w:t>
      </w:r>
      <w:r w:rsidRPr="00AA3A5E">
        <w:rPr>
          <w:sz w:val="25"/>
          <w:szCs w:val="25"/>
        </w:rPr>
        <w:t xml:space="preserve"> </w:t>
      </w:r>
      <w:r w:rsidR="00B261D7" w:rsidRPr="00AA3A5E">
        <w:rPr>
          <w:sz w:val="25"/>
          <w:szCs w:val="25"/>
        </w:rPr>
        <w:t>under RCW 80.04.015</w:t>
      </w:r>
      <w:r w:rsidRPr="00AA3A5E">
        <w:rPr>
          <w:sz w:val="25"/>
          <w:szCs w:val="25"/>
        </w:rPr>
        <w:t xml:space="preserve"> on January 21, 2014, </w:t>
      </w:r>
      <w:r w:rsidR="00195720" w:rsidRPr="00AA3A5E">
        <w:rPr>
          <w:sz w:val="25"/>
          <w:szCs w:val="25"/>
        </w:rPr>
        <w:t xml:space="preserve">to determine whether Newaukum Water System, Inc. (NWS) is </w:t>
      </w:r>
      <w:r w:rsidR="00B078C0" w:rsidRPr="00AA3A5E">
        <w:rPr>
          <w:sz w:val="25"/>
          <w:szCs w:val="25"/>
        </w:rPr>
        <w:t xml:space="preserve">a water company </w:t>
      </w:r>
      <w:r w:rsidR="00195720" w:rsidRPr="00AA3A5E">
        <w:rPr>
          <w:sz w:val="25"/>
          <w:szCs w:val="25"/>
        </w:rPr>
        <w:t xml:space="preserve">subject to regulation </w:t>
      </w:r>
      <w:r w:rsidR="00B078C0" w:rsidRPr="00AA3A5E">
        <w:rPr>
          <w:sz w:val="25"/>
          <w:szCs w:val="25"/>
        </w:rPr>
        <w:t xml:space="preserve">by the Commission </w:t>
      </w:r>
      <w:r w:rsidR="00195720" w:rsidRPr="00AA3A5E">
        <w:rPr>
          <w:sz w:val="25"/>
          <w:szCs w:val="25"/>
        </w:rPr>
        <w:t xml:space="preserve">under </w:t>
      </w:r>
      <w:r w:rsidR="00B078C0" w:rsidRPr="00AA3A5E">
        <w:rPr>
          <w:sz w:val="25"/>
          <w:szCs w:val="25"/>
        </w:rPr>
        <w:t xml:space="preserve">RCW </w:t>
      </w:r>
      <w:r w:rsidR="005660A2" w:rsidRPr="00AA3A5E">
        <w:rPr>
          <w:sz w:val="25"/>
          <w:szCs w:val="25"/>
        </w:rPr>
        <w:t>Title 80</w:t>
      </w:r>
      <w:r w:rsidR="001B622E" w:rsidRPr="00AA3A5E">
        <w:rPr>
          <w:sz w:val="25"/>
          <w:szCs w:val="25"/>
        </w:rPr>
        <w:t xml:space="preserve">.  </w:t>
      </w:r>
      <w:r w:rsidRPr="00AA3A5E">
        <w:rPr>
          <w:sz w:val="25"/>
          <w:szCs w:val="25"/>
        </w:rPr>
        <w:t>In addition, o</w:t>
      </w:r>
      <w:r w:rsidR="001B622E" w:rsidRPr="00AA3A5E">
        <w:rPr>
          <w:sz w:val="25"/>
          <w:szCs w:val="25"/>
        </w:rPr>
        <w:t>n finding</w:t>
      </w:r>
      <w:r w:rsidRPr="00AA3A5E">
        <w:rPr>
          <w:sz w:val="25"/>
          <w:szCs w:val="25"/>
        </w:rPr>
        <w:t>s</w:t>
      </w:r>
      <w:r w:rsidR="001B622E" w:rsidRPr="00AA3A5E">
        <w:rPr>
          <w:sz w:val="25"/>
          <w:szCs w:val="25"/>
        </w:rPr>
        <w:t xml:space="preserve"> of probable cause by the Commission</w:t>
      </w:r>
      <w:r w:rsidR="00AA4B3D" w:rsidRPr="00AA3A5E">
        <w:rPr>
          <w:sz w:val="25"/>
          <w:szCs w:val="25"/>
        </w:rPr>
        <w:t xml:space="preserve"> that NWS is subject to Commission jurisdiction</w:t>
      </w:r>
      <w:r w:rsidRPr="00AA3A5E">
        <w:rPr>
          <w:sz w:val="25"/>
          <w:szCs w:val="25"/>
        </w:rPr>
        <w:t xml:space="preserve"> and that the company illegally provided service without having a tariff on file</w:t>
      </w:r>
      <w:r w:rsidR="001B622E" w:rsidRPr="00AA3A5E">
        <w:rPr>
          <w:sz w:val="25"/>
          <w:szCs w:val="25"/>
        </w:rPr>
        <w:t>, the Commission’s regulatory staff (Staff)</w:t>
      </w:r>
      <w:r w:rsidRPr="00AA3A5E">
        <w:rPr>
          <w:sz w:val="25"/>
          <w:szCs w:val="25"/>
          <w:vertAlign w:val="superscript"/>
        </w:rPr>
        <w:t xml:space="preserve"> </w:t>
      </w:r>
      <w:r w:rsidRPr="00AA3A5E">
        <w:rPr>
          <w:sz w:val="25"/>
          <w:szCs w:val="25"/>
          <w:vertAlign w:val="superscript"/>
        </w:rPr>
        <w:footnoteReference w:id="1"/>
      </w:r>
      <w:r w:rsidR="001B622E" w:rsidRPr="00AA3A5E">
        <w:rPr>
          <w:sz w:val="25"/>
          <w:szCs w:val="25"/>
        </w:rPr>
        <w:t xml:space="preserve"> complain</w:t>
      </w:r>
      <w:r w:rsidR="00FF399F" w:rsidRPr="00AA3A5E">
        <w:rPr>
          <w:sz w:val="25"/>
          <w:szCs w:val="25"/>
        </w:rPr>
        <w:t>ed</w:t>
      </w:r>
      <w:r w:rsidR="001B622E" w:rsidRPr="00AA3A5E">
        <w:rPr>
          <w:sz w:val="25"/>
          <w:szCs w:val="25"/>
        </w:rPr>
        <w:t xml:space="preserve"> that NWS </w:t>
      </w:r>
      <w:r w:rsidR="005660A2" w:rsidRPr="00AA3A5E">
        <w:rPr>
          <w:sz w:val="25"/>
          <w:szCs w:val="25"/>
        </w:rPr>
        <w:t>should be subject to monetary penalties</w:t>
      </w:r>
      <w:r w:rsidRPr="00AA3A5E">
        <w:rPr>
          <w:sz w:val="25"/>
          <w:szCs w:val="25"/>
        </w:rPr>
        <w:t xml:space="preserve">.  Staff proposed penalties </w:t>
      </w:r>
      <w:r w:rsidR="001E53F9" w:rsidRPr="00AA3A5E">
        <w:rPr>
          <w:sz w:val="25"/>
          <w:szCs w:val="25"/>
        </w:rPr>
        <w:t>of $4,400</w:t>
      </w:r>
      <w:r w:rsidR="00B261D7" w:rsidRPr="00AA3A5E">
        <w:rPr>
          <w:sz w:val="25"/>
          <w:szCs w:val="25"/>
        </w:rPr>
        <w:t xml:space="preserve"> for</w:t>
      </w:r>
      <w:r w:rsidRPr="00AA3A5E">
        <w:rPr>
          <w:sz w:val="25"/>
          <w:szCs w:val="25"/>
        </w:rPr>
        <w:t xml:space="preserve"> the alleged violation</w:t>
      </w:r>
      <w:r w:rsidR="00195720" w:rsidRPr="00AA3A5E">
        <w:rPr>
          <w:sz w:val="25"/>
          <w:szCs w:val="25"/>
        </w:rPr>
        <w:t xml:space="preserve">. </w:t>
      </w:r>
      <w:r w:rsidR="00B261D7" w:rsidRPr="00AA3A5E">
        <w:rPr>
          <w:sz w:val="25"/>
          <w:szCs w:val="25"/>
        </w:rPr>
        <w:t xml:space="preserve"> </w:t>
      </w:r>
      <w:r w:rsidR="001B622E" w:rsidRPr="00AA3A5E">
        <w:rPr>
          <w:sz w:val="25"/>
          <w:szCs w:val="25"/>
        </w:rPr>
        <w:t>The Commission has jurisdiction over Staff’s Complaint under RCW 80.04.110</w:t>
      </w:r>
      <w:r w:rsidRPr="00AA3A5E">
        <w:rPr>
          <w:sz w:val="25"/>
          <w:szCs w:val="25"/>
        </w:rPr>
        <w:t xml:space="preserve"> and is authorized to impose penalties under RCW 80.04.380 and RCW 80.04.405</w:t>
      </w:r>
      <w:r w:rsidR="001B622E" w:rsidRPr="00AA3A5E">
        <w:rPr>
          <w:sz w:val="25"/>
          <w:szCs w:val="25"/>
        </w:rPr>
        <w:t xml:space="preserve">.  </w:t>
      </w:r>
    </w:p>
    <w:p w:rsidR="00AA4B3D" w:rsidRPr="00AA3A5E" w:rsidRDefault="00AA4B3D" w:rsidP="00AA3A5E">
      <w:pPr>
        <w:tabs>
          <w:tab w:val="num" w:pos="720"/>
        </w:tabs>
        <w:spacing w:line="264" w:lineRule="auto"/>
        <w:rPr>
          <w:sz w:val="25"/>
          <w:szCs w:val="25"/>
        </w:rPr>
      </w:pPr>
    </w:p>
    <w:p w:rsidR="0086493A" w:rsidRPr="00AA3A5E" w:rsidRDefault="00B261D7" w:rsidP="00AA3A5E">
      <w:pPr>
        <w:numPr>
          <w:ilvl w:val="0"/>
          <w:numId w:val="1"/>
        </w:numPr>
        <w:tabs>
          <w:tab w:val="num" w:pos="720"/>
        </w:tabs>
        <w:spacing w:line="264" w:lineRule="auto"/>
        <w:rPr>
          <w:sz w:val="25"/>
          <w:szCs w:val="25"/>
        </w:rPr>
      </w:pPr>
      <w:r w:rsidRPr="00AA3A5E">
        <w:rPr>
          <w:sz w:val="25"/>
          <w:szCs w:val="25"/>
        </w:rPr>
        <w:t>On March 10, 2014, the Commission conducted a duly noticed hearing before Administrative Law Judge Dennis J. Moss.  The</w:t>
      </w:r>
      <w:r w:rsidR="00195720" w:rsidRPr="00AA3A5E">
        <w:rPr>
          <w:sz w:val="25"/>
          <w:szCs w:val="25"/>
        </w:rPr>
        <w:t xml:space="preserve"> hearing </w:t>
      </w:r>
      <w:r w:rsidRPr="00AA3A5E">
        <w:rPr>
          <w:sz w:val="25"/>
          <w:szCs w:val="25"/>
        </w:rPr>
        <w:t xml:space="preserve">was </w:t>
      </w:r>
      <w:r w:rsidR="00195720" w:rsidRPr="00AA3A5E">
        <w:rPr>
          <w:sz w:val="25"/>
          <w:szCs w:val="25"/>
        </w:rPr>
        <w:t xml:space="preserve">conducted </w:t>
      </w:r>
      <w:r w:rsidRPr="00AA3A5E">
        <w:rPr>
          <w:sz w:val="25"/>
          <w:szCs w:val="25"/>
        </w:rPr>
        <w:t>as required under</w:t>
      </w:r>
      <w:r w:rsidR="00195720" w:rsidRPr="00AA3A5E">
        <w:rPr>
          <w:sz w:val="25"/>
          <w:szCs w:val="25"/>
        </w:rPr>
        <w:t xml:space="preserve"> Part IV of the Administrative Procedure Act (APA), RCW 34.05</w:t>
      </w:r>
      <w:r w:rsidR="003F157D" w:rsidRPr="00AA3A5E">
        <w:rPr>
          <w:sz w:val="25"/>
          <w:szCs w:val="25"/>
        </w:rPr>
        <w:t>.</w:t>
      </w:r>
      <w:r w:rsidR="001E53F9" w:rsidRPr="00AA3A5E">
        <w:rPr>
          <w:sz w:val="25"/>
          <w:szCs w:val="25"/>
        </w:rPr>
        <w:t xml:space="preserve">  As discussed below, NWS and Staff composed their differences during the course of the hearing, were afforded the opportunity to reach an informal agreement, and agreed to terms of settlement that were made part of the record.  This Order approves the parties’ </w:t>
      </w:r>
      <w:r w:rsidR="001E53F9" w:rsidRPr="00AA3A5E">
        <w:rPr>
          <w:sz w:val="25"/>
          <w:szCs w:val="25"/>
        </w:rPr>
        <w:lastRenderedPageBreak/>
        <w:t>settlement agreement and memorializes its terms for purposes of enforcement, if any enforcement is required.</w:t>
      </w:r>
    </w:p>
    <w:p w:rsidR="0086493A" w:rsidRPr="00AA3A5E" w:rsidRDefault="0086493A" w:rsidP="00AA3A5E">
      <w:pPr>
        <w:tabs>
          <w:tab w:val="num" w:pos="720"/>
        </w:tabs>
        <w:spacing w:line="264" w:lineRule="auto"/>
        <w:rPr>
          <w:sz w:val="25"/>
          <w:szCs w:val="25"/>
        </w:rPr>
      </w:pPr>
    </w:p>
    <w:p w:rsidR="00212F87" w:rsidRPr="00AA3A5E" w:rsidRDefault="00212F87" w:rsidP="00AA3A5E">
      <w:pPr>
        <w:numPr>
          <w:ilvl w:val="0"/>
          <w:numId w:val="1"/>
        </w:numPr>
        <w:spacing w:line="264" w:lineRule="auto"/>
        <w:rPr>
          <w:sz w:val="25"/>
          <w:szCs w:val="25"/>
        </w:rPr>
      </w:pPr>
      <w:r w:rsidRPr="00AA3A5E">
        <w:rPr>
          <w:b/>
          <w:bCs/>
          <w:sz w:val="25"/>
          <w:szCs w:val="25"/>
        </w:rPr>
        <w:t>Appearances.</w:t>
      </w:r>
      <w:r w:rsidRPr="00AA3A5E">
        <w:rPr>
          <w:sz w:val="25"/>
          <w:szCs w:val="25"/>
        </w:rPr>
        <w:t xml:space="preserve">  Ken Lindebak, </w:t>
      </w:r>
      <w:r w:rsidRPr="00AA3A5E">
        <w:rPr>
          <w:i/>
          <w:sz w:val="25"/>
          <w:szCs w:val="25"/>
        </w:rPr>
        <w:t xml:space="preserve">pro se, </w:t>
      </w:r>
      <w:r w:rsidRPr="00AA3A5E">
        <w:rPr>
          <w:sz w:val="25"/>
          <w:szCs w:val="25"/>
        </w:rPr>
        <w:t>Auburn, represents NWS.  Robert D. Cedarbaum, Senior Assistant Attorney General, Olympia, represents Staff.</w:t>
      </w:r>
    </w:p>
    <w:p w:rsidR="00212F87" w:rsidRPr="00AA3A5E" w:rsidRDefault="00212F87" w:rsidP="00AA3A5E">
      <w:pPr>
        <w:pStyle w:val="ListParagraph"/>
        <w:spacing w:line="264" w:lineRule="auto"/>
        <w:rPr>
          <w:sz w:val="25"/>
          <w:szCs w:val="25"/>
        </w:rPr>
      </w:pPr>
    </w:p>
    <w:p w:rsidR="00B611F5" w:rsidRPr="00AA3A5E" w:rsidRDefault="00B611F5" w:rsidP="00AA3A5E">
      <w:pPr>
        <w:numPr>
          <w:ilvl w:val="0"/>
          <w:numId w:val="1"/>
        </w:numPr>
        <w:spacing w:line="264" w:lineRule="auto"/>
        <w:rPr>
          <w:sz w:val="25"/>
          <w:szCs w:val="25"/>
        </w:rPr>
      </w:pPr>
      <w:r w:rsidRPr="00AA3A5E">
        <w:rPr>
          <w:b/>
          <w:sz w:val="25"/>
          <w:szCs w:val="25"/>
        </w:rPr>
        <w:t>Settlement Agreement</w:t>
      </w:r>
      <w:r w:rsidRPr="00AA3A5E">
        <w:rPr>
          <w:sz w:val="25"/>
          <w:szCs w:val="25"/>
        </w:rPr>
        <w:t xml:space="preserve">.  Mr. Lindebak conceded at hearing that NWS is subject to Commission jurisdiction, despite the company’s largely, but not wholly, successful efforts to qualify for exemption.  This concession opened the door to a potential informal resolution of both the classification action and Staff’s Complaint.  The presiding officer recessed the hearing to provide the parties an opportunity to discuss the possibility of settling these matters.  They succeeded.  </w:t>
      </w:r>
    </w:p>
    <w:p w:rsidR="00B611F5" w:rsidRPr="00AA3A5E" w:rsidRDefault="00B611F5" w:rsidP="00AA3A5E">
      <w:pPr>
        <w:spacing w:line="264" w:lineRule="auto"/>
        <w:rPr>
          <w:sz w:val="25"/>
          <w:szCs w:val="25"/>
        </w:rPr>
      </w:pPr>
    </w:p>
    <w:p w:rsidR="00B611F5" w:rsidRPr="00AA3A5E" w:rsidRDefault="00B611F5" w:rsidP="00AA3A5E">
      <w:pPr>
        <w:numPr>
          <w:ilvl w:val="0"/>
          <w:numId w:val="1"/>
        </w:numPr>
        <w:spacing w:line="264" w:lineRule="auto"/>
        <w:rPr>
          <w:sz w:val="25"/>
          <w:szCs w:val="25"/>
        </w:rPr>
      </w:pPr>
      <w:r w:rsidRPr="00AA3A5E">
        <w:rPr>
          <w:sz w:val="25"/>
          <w:szCs w:val="25"/>
        </w:rPr>
        <w:t>Mr. Cedarbaum for Commission Staff described the terms of the settlement, as follows:</w:t>
      </w:r>
    </w:p>
    <w:p w:rsidR="00B611F5" w:rsidRPr="00AA3A5E" w:rsidRDefault="00B611F5" w:rsidP="00AA3A5E">
      <w:pPr>
        <w:spacing w:line="264" w:lineRule="auto"/>
        <w:rPr>
          <w:sz w:val="25"/>
          <w:szCs w:val="25"/>
        </w:rPr>
      </w:pPr>
    </w:p>
    <w:p w:rsidR="00B611F5" w:rsidRPr="00AA3A5E" w:rsidRDefault="00B611F5" w:rsidP="00AA3A5E">
      <w:pPr>
        <w:pStyle w:val="ListParagraph"/>
        <w:numPr>
          <w:ilvl w:val="0"/>
          <w:numId w:val="7"/>
        </w:numPr>
        <w:spacing w:after="120" w:line="264" w:lineRule="auto"/>
        <w:ind w:right="864" w:hanging="720"/>
        <w:rPr>
          <w:sz w:val="25"/>
          <w:szCs w:val="25"/>
        </w:rPr>
      </w:pPr>
      <w:r w:rsidRPr="00AA3A5E">
        <w:rPr>
          <w:sz w:val="25"/>
          <w:szCs w:val="25"/>
        </w:rPr>
        <w:t>NWS agrees to move forward with preparation of a suitable tariff and to file it within two weeks following the date of hearing</w:t>
      </w:r>
      <w:r w:rsidR="003C220D" w:rsidRPr="00AA3A5E">
        <w:rPr>
          <w:sz w:val="25"/>
          <w:szCs w:val="25"/>
        </w:rPr>
        <w:t xml:space="preserve"> (</w:t>
      </w:r>
      <w:r w:rsidR="003C220D" w:rsidRPr="00AA3A5E">
        <w:rPr>
          <w:i/>
          <w:sz w:val="25"/>
          <w:szCs w:val="25"/>
        </w:rPr>
        <w:t>i.e.,</w:t>
      </w:r>
      <w:r w:rsidR="003C220D" w:rsidRPr="00AA3A5E">
        <w:rPr>
          <w:sz w:val="25"/>
          <w:szCs w:val="25"/>
        </w:rPr>
        <w:t xml:space="preserve"> by March 25, 2014)</w:t>
      </w:r>
      <w:r w:rsidRPr="00AA3A5E">
        <w:rPr>
          <w:sz w:val="25"/>
          <w:szCs w:val="25"/>
        </w:rPr>
        <w:t>.</w:t>
      </w:r>
    </w:p>
    <w:p w:rsidR="00B611F5" w:rsidRPr="00AA3A5E" w:rsidRDefault="00B611F5" w:rsidP="00AA3A5E">
      <w:pPr>
        <w:pStyle w:val="ListParagraph"/>
        <w:numPr>
          <w:ilvl w:val="0"/>
          <w:numId w:val="7"/>
        </w:numPr>
        <w:spacing w:after="120" w:line="264" w:lineRule="auto"/>
        <w:ind w:right="864" w:hanging="720"/>
        <w:rPr>
          <w:sz w:val="25"/>
          <w:szCs w:val="25"/>
        </w:rPr>
      </w:pPr>
      <w:r w:rsidRPr="00AA3A5E">
        <w:rPr>
          <w:sz w:val="25"/>
          <w:szCs w:val="25"/>
        </w:rPr>
        <w:t xml:space="preserve">NWS agrees to work with Staff </w:t>
      </w:r>
      <w:r w:rsidR="003C220D" w:rsidRPr="00AA3A5E">
        <w:rPr>
          <w:sz w:val="25"/>
          <w:szCs w:val="25"/>
        </w:rPr>
        <w:t xml:space="preserve">during this two week period </w:t>
      </w:r>
      <w:r w:rsidRPr="00AA3A5E">
        <w:rPr>
          <w:sz w:val="25"/>
          <w:szCs w:val="25"/>
        </w:rPr>
        <w:t>to prepare and serve on its customers an appropriate customer notice of the tariff filing.</w:t>
      </w:r>
    </w:p>
    <w:p w:rsidR="00B611F5" w:rsidRPr="00AA3A5E" w:rsidRDefault="00B611F5" w:rsidP="00AA3A5E">
      <w:pPr>
        <w:pStyle w:val="ListParagraph"/>
        <w:numPr>
          <w:ilvl w:val="0"/>
          <w:numId w:val="7"/>
        </w:numPr>
        <w:spacing w:after="120" w:line="264" w:lineRule="auto"/>
        <w:ind w:right="864" w:hanging="720"/>
        <w:rPr>
          <w:sz w:val="25"/>
          <w:szCs w:val="25"/>
        </w:rPr>
      </w:pPr>
      <w:r w:rsidRPr="00AA3A5E">
        <w:rPr>
          <w:sz w:val="25"/>
          <w:szCs w:val="25"/>
        </w:rPr>
        <w:t>Staff agrees to suspend the entire amount of the suggested penalty of $4,400, subject to NWS meeting its obligations as described in the preceding bullet points.</w:t>
      </w:r>
      <w:r w:rsidR="003C220D" w:rsidRPr="00AA3A5E">
        <w:rPr>
          <w:sz w:val="25"/>
          <w:szCs w:val="25"/>
        </w:rPr>
        <w:t xml:space="preserve">  If NWS fails to meet its obligations, the entire amount of the penalty will become due and payable without the need for further action by the Commission.</w:t>
      </w:r>
    </w:p>
    <w:p w:rsidR="00B611F5" w:rsidRPr="00AA3A5E" w:rsidRDefault="00B611F5" w:rsidP="00AA3A5E">
      <w:pPr>
        <w:pStyle w:val="ListParagraph"/>
        <w:spacing w:line="264" w:lineRule="auto"/>
        <w:rPr>
          <w:sz w:val="25"/>
          <w:szCs w:val="25"/>
        </w:rPr>
      </w:pPr>
    </w:p>
    <w:p w:rsidR="009838E5" w:rsidRPr="00AA3A5E" w:rsidRDefault="00011BAC" w:rsidP="00AA3A5E">
      <w:pPr>
        <w:numPr>
          <w:ilvl w:val="0"/>
          <w:numId w:val="1"/>
        </w:numPr>
        <w:tabs>
          <w:tab w:val="num" w:pos="720"/>
        </w:tabs>
        <w:spacing w:line="264" w:lineRule="auto"/>
        <w:rPr>
          <w:b/>
          <w:sz w:val="25"/>
          <w:szCs w:val="25"/>
        </w:rPr>
      </w:pPr>
      <w:r w:rsidRPr="00AA3A5E">
        <w:rPr>
          <w:sz w:val="25"/>
          <w:szCs w:val="25"/>
        </w:rPr>
        <w:t>T</w:t>
      </w:r>
      <w:r w:rsidR="009D3661" w:rsidRPr="00AA3A5E">
        <w:rPr>
          <w:sz w:val="25"/>
          <w:szCs w:val="25"/>
        </w:rPr>
        <w:t xml:space="preserve">he Commission commends Mr. Lindebak for his cooperation and forthrightness during the hearing.  By the time of hearing, through his efforts, NWS </w:t>
      </w:r>
      <w:r w:rsidRPr="00AA3A5E">
        <w:rPr>
          <w:sz w:val="25"/>
          <w:szCs w:val="25"/>
        </w:rPr>
        <w:t xml:space="preserve">already had </w:t>
      </w:r>
      <w:r w:rsidR="009D3661" w:rsidRPr="00AA3A5E">
        <w:rPr>
          <w:sz w:val="25"/>
          <w:szCs w:val="25"/>
        </w:rPr>
        <w:t>contracted for an appropriate tariff to be prepared.  Indeed, Mr. Lindebak was accompanied at the hearing by Mr. Purtteman, the engineer NWS has hired to assist in preparing a suitable tariff.</w:t>
      </w:r>
      <w:r w:rsidRPr="00AA3A5E">
        <w:rPr>
          <w:sz w:val="25"/>
          <w:szCs w:val="25"/>
        </w:rPr>
        <w:t xml:space="preserve">  This should make it possible for NWS to meet the deadline</w:t>
      </w:r>
      <w:r w:rsidR="00B611F5" w:rsidRPr="00AA3A5E">
        <w:rPr>
          <w:sz w:val="25"/>
          <w:szCs w:val="25"/>
        </w:rPr>
        <w:t>s</w:t>
      </w:r>
      <w:r w:rsidRPr="00AA3A5E">
        <w:rPr>
          <w:sz w:val="25"/>
          <w:szCs w:val="25"/>
        </w:rPr>
        <w:t xml:space="preserve"> to which the parties agree.</w:t>
      </w:r>
      <w:r w:rsidR="009D3661" w:rsidRPr="00AA3A5E">
        <w:rPr>
          <w:sz w:val="25"/>
          <w:szCs w:val="25"/>
        </w:rPr>
        <w:t xml:space="preserve"> </w:t>
      </w:r>
    </w:p>
    <w:p w:rsidR="00FF399F" w:rsidRPr="00AA3A5E" w:rsidRDefault="00FF399F" w:rsidP="00AA3A5E">
      <w:pPr>
        <w:spacing w:line="264" w:lineRule="auto"/>
        <w:jc w:val="center"/>
        <w:rPr>
          <w:b/>
          <w:sz w:val="25"/>
          <w:szCs w:val="25"/>
        </w:rPr>
      </w:pPr>
    </w:p>
    <w:p w:rsidR="00E647FF" w:rsidRPr="00AA3A5E" w:rsidRDefault="00011BAC" w:rsidP="00AA3A5E">
      <w:pPr>
        <w:numPr>
          <w:ilvl w:val="0"/>
          <w:numId w:val="1"/>
        </w:numPr>
        <w:tabs>
          <w:tab w:val="num" w:pos="720"/>
        </w:tabs>
        <w:spacing w:line="264" w:lineRule="auto"/>
        <w:rPr>
          <w:sz w:val="25"/>
          <w:szCs w:val="25"/>
        </w:rPr>
      </w:pPr>
      <w:r w:rsidRPr="00AA3A5E">
        <w:rPr>
          <w:sz w:val="25"/>
          <w:szCs w:val="25"/>
        </w:rPr>
        <w:lastRenderedPageBreak/>
        <w:t xml:space="preserve">Insofar as Staff’s Complaint is concerned, </w:t>
      </w:r>
      <w:r w:rsidR="00B03544" w:rsidRPr="00AA3A5E">
        <w:rPr>
          <w:sz w:val="25"/>
          <w:szCs w:val="25"/>
        </w:rPr>
        <w:t>it is</w:t>
      </w:r>
      <w:r w:rsidR="00FA4C6F" w:rsidRPr="00AA3A5E">
        <w:rPr>
          <w:sz w:val="25"/>
          <w:szCs w:val="25"/>
        </w:rPr>
        <w:t xml:space="preserve"> illegal to engage in business as a water company </w:t>
      </w:r>
      <w:r w:rsidR="00B611F5" w:rsidRPr="00AA3A5E">
        <w:rPr>
          <w:sz w:val="25"/>
          <w:szCs w:val="25"/>
        </w:rPr>
        <w:t>in</w:t>
      </w:r>
      <w:r w:rsidR="00FA4C6F" w:rsidRPr="00AA3A5E">
        <w:rPr>
          <w:sz w:val="25"/>
          <w:szCs w:val="25"/>
        </w:rPr>
        <w:t xml:space="preserve"> Washington without having</w:t>
      </w:r>
      <w:r w:rsidR="00CB01A5" w:rsidRPr="00AA3A5E">
        <w:rPr>
          <w:sz w:val="25"/>
          <w:szCs w:val="25"/>
        </w:rPr>
        <w:t xml:space="preserve"> an appropriate tariff</w:t>
      </w:r>
      <w:r w:rsidR="00FA4C6F" w:rsidRPr="00AA3A5E">
        <w:rPr>
          <w:sz w:val="25"/>
          <w:szCs w:val="25"/>
        </w:rPr>
        <w:t xml:space="preserve"> on file with the Commission</w:t>
      </w:r>
      <w:r w:rsidR="00B611F5" w:rsidRPr="00AA3A5E">
        <w:rPr>
          <w:sz w:val="25"/>
          <w:szCs w:val="25"/>
        </w:rPr>
        <w:t xml:space="preserve">.  </w:t>
      </w:r>
      <w:r w:rsidR="00F16D16" w:rsidRPr="00AA3A5E">
        <w:rPr>
          <w:sz w:val="25"/>
          <w:szCs w:val="25"/>
        </w:rPr>
        <w:t>Any person, corporation, or company that engages in business as a water company in Washington without the required tariff is subject to a penalty</w:t>
      </w:r>
      <w:r w:rsidR="003C220D" w:rsidRPr="00AA3A5E">
        <w:rPr>
          <w:sz w:val="25"/>
          <w:szCs w:val="25"/>
        </w:rPr>
        <w:t xml:space="preserve"> as provided by</w:t>
      </w:r>
      <w:r w:rsidR="00F16D16" w:rsidRPr="00AA3A5E">
        <w:rPr>
          <w:sz w:val="25"/>
          <w:szCs w:val="25"/>
        </w:rPr>
        <w:t xml:space="preserve"> RCW 80.04.380 and RCW 80.04.405.</w:t>
      </w:r>
      <w:r w:rsidR="00CB01A5" w:rsidRPr="00AA3A5E">
        <w:rPr>
          <w:sz w:val="25"/>
          <w:szCs w:val="25"/>
        </w:rPr>
        <w:t xml:space="preserve">  </w:t>
      </w:r>
    </w:p>
    <w:p w:rsidR="00E647FF" w:rsidRPr="00AA3A5E" w:rsidRDefault="00E647FF" w:rsidP="00AA3A5E">
      <w:pPr>
        <w:spacing w:line="264" w:lineRule="auto"/>
        <w:rPr>
          <w:sz w:val="25"/>
          <w:szCs w:val="25"/>
        </w:rPr>
      </w:pPr>
    </w:p>
    <w:p w:rsidR="003C220D" w:rsidRPr="00AA3A5E" w:rsidRDefault="00A5605D" w:rsidP="00AA3A5E">
      <w:pPr>
        <w:pStyle w:val="ListParagraph"/>
        <w:numPr>
          <w:ilvl w:val="0"/>
          <w:numId w:val="1"/>
        </w:numPr>
        <w:tabs>
          <w:tab w:val="num" w:pos="720"/>
        </w:tabs>
        <w:spacing w:line="264" w:lineRule="auto"/>
        <w:rPr>
          <w:sz w:val="25"/>
          <w:szCs w:val="25"/>
        </w:rPr>
      </w:pPr>
      <w:r w:rsidRPr="00AA3A5E">
        <w:rPr>
          <w:sz w:val="25"/>
          <w:szCs w:val="25"/>
        </w:rPr>
        <w:t xml:space="preserve">NWS violated RCW 80.28.050 and WAC 480-110-433 by failing to file </w:t>
      </w:r>
      <w:r w:rsidR="00CB01A5" w:rsidRPr="00AA3A5E">
        <w:rPr>
          <w:sz w:val="25"/>
          <w:szCs w:val="25"/>
        </w:rPr>
        <w:t xml:space="preserve">a tariff </w:t>
      </w:r>
      <w:r w:rsidRPr="00AA3A5E">
        <w:rPr>
          <w:sz w:val="25"/>
          <w:szCs w:val="25"/>
        </w:rPr>
        <w:t>with the Commission</w:t>
      </w:r>
      <w:r w:rsidR="00CB01A5" w:rsidRPr="00AA3A5E">
        <w:rPr>
          <w:sz w:val="25"/>
          <w:szCs w:val="25"/>
        </w:rPr>
        <w:t xml:space="preserve"> after the company became subject to jurisdiction in the fall of 2013.  </w:t>
      </w:r>
      <w:r w:rsidRPr="00AA3A5E">
        <w:rPr>
          <w:sz w:val="25"/>
          <w:szCs w:val="25"/>
        </w:rPr>
        <w:t>Staff</w:t>
      </w:r>
      <w:r w:rsidR="00CB01A5" w:rsidRPr="00AA3A5E">
        <w:rPr>
          <w:sz w:val="25"/>
          <w:szCs w:val="25"/>
        </w:rPr>
        <w:t>, exercising discretion,</w:t>
      </w:r>
      <w:r w:rsidRPr="00AA3A5E">
        <w:rPr>
          <w:sz w:val="25"/>
          <w:szCs w:val="25"/>
        </w:rPr>
        <w:t xml:space="preserve"> </w:t>
      </w:r>
      <w:r w:rsidR="00CB01A5" w:rsidRPr="00AA3A5E">
        <w:rPr>
          <w:sz w:val="25"/>
          <w:szCs w:val="25"/>
        </w:rPr>
        <w:t xml:space="preserve">initially </w:t>
      </w:r>
      <w:r w:rsidRPr="00AA3A5E">
        <w:rPr>
          <w:sz w:val="25"/>
          <w:szCs w:val="25"/>
        </w:rPr>
        <w:t>request</w:t>
      </w:r>
      <w:r w:rsidR="00CB01A5" w:rsidRPr="00AA3A5E">
        <w:rPr>
          <w:sz w:val="25"/>
          <w:szCs w:val="25"/>
        </w:rPr>
        <w:t>ed</w:t>
      </w:r>
      <w:r w:rsidRPr="00AA3A5E">
        <w:rPr>
          <w:sz w:val="25"/>
          <w:szCs w:val="25"/>
        </w:rPr>
        <w:t xml:space="preserve"> that the Commission assess penalties </w:t>
      </w:r>
      <w:r w:rsidR="003C220D" w:rsidRPr="00AA3A5E">
        <w:rPr>
          <w:sz w:val="25"/>
          <w:szCs w:val="25"/>
        </w:rPr>
        <w:t>lower than what the Staff considers to be the maximum possible penalty under the circumstances</w:t>
      </w:r>
      <w:r w:rsidR="00CB01A5" w:rsidRPr="00AA3A5E">
        <w:rPr>
          <w:sz w:val="25"/>
          <w:szCs w:val="25"/>
        </w:rPr>
        <w:t xml:space="preserve">. </w:t>
      </w:r>
      <w:r w:rsidRPr="00AA3A5E">
        <w:rPr>
          <w:sz w:val="25"/>
          <w:szCs w:val="25"/>
        </w:rPr>
        <w:t xml:space="preserve"> </w:t>
      </w:r>
      <w:r w:rsidR="00B078C0" w:rsidRPr="00AA3A5E">
        <w:rPr>
          <w:sz w:val="25"/>
          <w:szCs w:val="25"/>
        </w:rPr>
        <w:t>In total, Staff requests that the Commission assess penalties of $4</w:t>
      </w:r>
      <w:r w:rsidR="003C220D" w:rsidRPr="00AA3A5E">
        <w:rPr>
          <w:sz w:val="25"/>
          <w:szCs w:val="25"/>
        </w:rPr>
        <w:t>,</w:t>
      </w:r>
      <w:r w:rsidR="00B078C0" w:rsidRPr="00AA3A5E">
        <w:rPr>
          <w:sz w:val="25"/>
          <w:szCs w:val="25"/>
        </w:rPr>
        <w:t xml:space="preserve">400.  </w:t>
      </w:r>
      <w:r w:rsidR="00CB01A5" w:rsidRPr="00AA3A5E">
        <w:rPr>
          <w:sz w:val="25"/>
          <w:szCs w:val="25"/>
        </w:rPr>
        <w:t xml:space="preserve">Staff acknowledged </w:t>
      </w:r>
      <w:r w:rsidR="003C220D" w:rsidRPr="00AA3A5E">
        <w:rPr>
          <w:sz w:val="25"/>
          <w:szCs w:val="25"/>
        </w:rPr>
        <w:t xml:space="preserve">in its Complaint </w:t>
      </w:r>
      <w:r w:rsidR="00CB01A5" w:rsidRPr="00AA3A5E">
        <w:rPr>
          <w:sz w:val="25"/>
          <w:szCs w:val="25"/>
        </w:rPr>
        <w:t>that it might request the Commission to suspend a portion of any penalty actually imposed for a period of time sufficient to demonstrate NWS’s intent to comply with all applicable laws and rules governing water companies subject to Commission jurisdiction.  Staff’s principal interest in this case is to have NWS come into compliance with the law.</w:t>
      </w:r>
    </w:p>
    <w:p w:rsidR="003C220D" w:rsidRPr="00AA3A5E" w:rsidRDefault="003C220D" w:rsidP="00AA3A5E">
      <w:pPr>
        <w:pStyle w:val="ListParagraph"/>
        <w:spacing w:line="264" w:lineRule="auto"/>
        <w:rPr>
          <w:sz w:val="25"/>
          <w:szCs w:val="25"/>
        </w:rPr>
      </w:pPr>
    </w:p>
    <w:p w:rsidR="00A5605D" w:rsidRPr="00AA3A5E" w:rsidRDefault="003C220D" w:rsidP="00AA3A5E">
      <w:pPr>
        <w:pStyle w:val="ListParagraph"/>
        <w:numPr>
          <w:ilvl w:val="0"/>
          <w:numId w:val="1"/>
        </w:numPr>
        <w:tabs>
          <w:tab w:val="num" w:pos="720"/>
        </w:tabs>
        <w:spacing w:line="264" w:lineRule="auto"/>
        <w:rPr>
          <w:sz w:val="25"/>
          <w:szCs w:val="25"/>
        </w:rPr>
      </w:pPr>
      <w:r w:rsidRPr="00AA3A5E">
        <w:rPr>
          <w:sz w:val="25"/>
          <w:szCs w:val="25"/>
        </w:rPr>
        <w:t>Staff, too, is commended for its outreach and flexible approach both prior to, and during the course of the hearing</w:t>
      </w:r>
      <w:r w:rsidR="00930BF1" w:rsidRPr="00AA3A5E">
        <w:rPr>
          <w:sz w:val="25"/>
          <w:szCs w:val="25"/>
        </w:rPr>
        <w:t xml:space="preserve"> in this proceeding</w:t>
      </w:r>
      <w:r w:rsidRPr="00AA3A5E">
        <w:rPr>
          <w:sz w:val="25"/>
          <w:szCs w:val="25"/>
        </w:rPr>
        <w:t>.</w:t>
      </w:r>
      <w:r w:rsidR="00930BF1" w:rsidRPr="00AA3A5E">
        <w:rPr>
          <w:sz w:val="25"/>
          <w:szCs w:val="25"/>
        </w:rPr>
        <w:t xml:space="preserve">  The Commission supports parties’ efforts to resolve matters via agreement when doing so is lawful, consistent with the public interest, and subject to Commission approval, as provided in WAC 480-07-700</w:t>
      </w:r>
      <w:r w:rsidR="0098745F" w:rsidRPr="00AA3A5E">
        <w:rPr>
          <w:sz w:val="25"/>
          <w:szCs w:val="25"/>
        </w:rPr>
        <w:t xml:space="preserve"> and 750</w:t>
      </w:r>
      <w:r w:rsidR="00930BF1" w:rsidRPr="00AA3A5E">
        <w:rPr>
          <w:sz w:val="25"/>
          <w:szCs w:val="25"/>
        </w:rPr>
        <w:t>.</w:t>
      </w:r>
      <w:r w:rsidRPr="00AA3A5E">
        <w:rPr>
          <w:sz w:val="25"/>
          <w:szCs w:val="25"/>
        </w:rPr>
        <w:t xml:space="preserve">  </w:t>
      </w:r>
      <w:r w:rsidR="00930BF1" w:rsidRPr="00AA3A5E">
        <w:rPr>
          <w:sz w:val="25"/>
          <w:szCs w:val="25"/>
        </w:rPr>
        <w:t xml:space="preserve">Such results depend critically on Staff’s </w:t>
      </w:r>
      <w:r w:rsidR="0098745F" w:rsidRPr="00AA3A5E">
        <w:rPr>
          <w:sz w:val="25"/>
          <w:szCs w:val="25"/>
        </w:rPr>
        <w:t xml:space="preserve">diligent </w:t>
      </w:r>
      <w:r w:rsidR="00930BF1" w:rsidRPr="00AA3A5E">
        <w:rPr>
          <w:sz w:val="25"/>
          <w:szCs w:val="25"/>
        </w:rPr>
        <w:t>efforts</w:t>
      </w:r>
      <w:r w:rsidR="00CB01A5" w:rsidRPr="00AA3A5E">
        <w:rPr>
          <w:sz w:val="25"/>
          <w:szCs w:val="25"/>
        </w:rPr>
        <w:t xml:space="preserve"> </w:t>
      </w:r>
      <w:r w:rsidR="00930BF1" w:rsidRPr="00AA3A5E">
        <w:rPr>
          <w:sz w:val="25"/>
          <w:szCs w:val="25"/>
        </w:rPr>
        <w:t xml:space="preserve">and willingness to compromise in appropriate circumstances, as </w:t>
      </w:r>
      <w:r w:rsidR="0098745F" w:rsidRPr="00AA3A5E">
        <w:rPr>
          <w:sz w:val="25"/>
          <w:szCs w:val="25"/>
        </w:rPr>
        <w:t>are evident</w:t>
      </w:r>
      <w:r w:rsidR="00930BF1" w:rsidRPr="00AA3A5E">
        <w:rPr>
          <w:sz w:val="25"/>
          <w:szCs w:val="25"/>
        </w:rPr>
        <w:t xml:space="preserve"> in this case.</w:t>
      </w:r>
    </w:p>
    <w:p w:rsidR="00F54FEB" w:rsidRPr="00AA3A5E" w:rsidRDefault="00F54FEB" w:rsidP="00AA3A5E">
      <w:pPr>
        <w:pStyle w:val="ListParagraph"/>
        <w:spacing w:line="264" w:lineRule="auto"/>
        <w:rPr>
          <w:sz w:val="25"/>
          <w:szCs w:val="25"/>
        </w:rPr>
      </w:pPr>
    </w:p>
    <w:p w:rsidR="00F54FEB" w:rsidRPr="00AA3A5E" w:rsidRDefault="00F54FEB" w:rsidP="00AA3A5E">
      <w:pPr>
        <w:pStyle w:val="ListParagraph"/>
        <w:numPr>
          <w:ilvl w:val="0"/>
          <w:numId w:val="1"/>
        </w:numPr>
        <w:tabs>
          <w:tab w:val="num" w:pos="720"/>
        </w:tabs>
        <w:spacing w:line="264" w:lineRule="auto"/>
        <w:rPr>
          <w:color w:val="000000"/>
          <w:sz w:val="25"/>
          <w:szCs w:val="25"/>
        </w:rPr>
      </w:pPr>
      <w:r w:rsidRPr="00AA3A5E">
        <w:rPr>
          <w:b/>
          <w:color w:val="000000"/>
          <w:sz w:val="25"/>
          <w:szCs w:val="25"/>
        </w:rPr>
        <w:t>Evaluation of Settlement.</w:t>
      </w:r>
      <w:r w:rsidRPr="00AA3A5E">
        <w:rPr>
          <w:color w:val="000000"/>
          <w:sz w:val="25"/>
          <w:szCs w:val="25"/>
        </w:rPr>
        <w:t xml:space="preserve">  WAC 480-07-750(1) states in part: “The commission will approve settlements when doing so is lawful, the settlement terms are supported by an appropriate record, and when the result is consistent with the public interest in light of all the information available to </w:t>
      </w:r>
      <w:r w:rsidRPr="00AA3A5E">
        <w:rPr>
          <w:sz w:val="25"/>
          <w:szCs w:val="25"/>
        </w:rPr>
        <w:t>the</w:t>
      </w:r>
      <w:r w:rsidRPr="00AA3A5E">
        <w:rPr>
          <w:color w:val="000000"/>
          <w:sz w:val="25"/>
          <w:szCs w:val="25"/>
        </w:rPr>
        <w:t xml:space="preserve"> commission.”  </w:t>
      </w:r>
      <w:r w:rsidRPr="00AA3A5E">
        <w:rPr>
          <w:sz w:val="25"/>
          <w:szCs w:val="25"/>
        </w:rPr>
        <w:t>Thus</w:t>
      </w:r>
      <w:r w:rsidRPr="00AA3A5E">
        <w:rPr>
          <w:color w:val="000000"/>
          <w:sz w:val="25"/>
          <w:szCs w:val="25"/>
        </w:rPr>
        <w:t xml:space="preserve">, the Commission considers the individual components of the </w:t>
      </w:r>
      <w:r w:rsidR="00B95613" w:rsidRPr="00AA3A5E">
        <w:rPr>
          <w:color w:val="000000"/>
          <w:sz w:val="25"/>
          <w:szCs w:val="25"/>
        </w:rPr>
        <w:t>s</w:t>
      </w:r>
      <w:r w:rsidRPr="00AA3A5E">
        <w:rPr>
          <w:color w:val="000000"/>
          <w:sz w:val="25"/>
          <w:szCs w:val="25"/>
        </w:rPr>
        <w:t xml:space="preserve">ettlement </w:t>
      </w:r>
      <w:r w:rsidR="00B95613" w:rsidRPr="00AA3A5E">
        <w:rPr>
          <w:color w:val="000000"/>
          <w:sz w:val="25"/>
          <w:szCs w:val="25"/>
        </w:rPr>
        <w:t>a</w:t>
      </w:r>
      <w:r w:rsidRPr="00AA3A5E">
        <w:rPr>
          <w:color w:val="000000"/>
          <w:sz w:val="25"/>
          <w:szCs w:val="25"/>
        </w:rPr>
        <w:t>greement asking</w:t>
      </w:r>
      <w:r w:rsidR="00B95613" w:rsidRPr="00AA3A5E">
        <w:rPr>
          <w:color w:val="000000"/>
          <w:sz w:val="25"/>
          <w:szCs w:val="25"/>
        </w:rPr>
        <w:t xml:space="preserve"> whether a</w:t>
      </w:r>
      <w:r w:rsidRPr="00AA3A5E">
        <w:rPr>
          <w:color w:val="000000"/>
          <w:sz w:val="25"/>
          <w:szCs w:val="25"/>
        </w:rPr>
        <w:t>ny aspect of the proposal is contrary to law</w:t>
      </w:r>
      <w:r w:rsidR="00B95613" w:rsidRPr="00AA3A5E">
        <w:rPr>
          <w:color w:val="000000"/>
          <w:sz w:val="25"/>
          <w:szCs w:val="25"/>
        </w:rPr>
        <w:t xml:space="preserve"> or offends public policy, and w</w:t>
      </w:r>
      <w:r w:rsidRPr="00AA3A5E">
        <w:rPr>
          <w:color w:val="000000"/>
          <w:sz w:val="25"/>
          <w:szCs w:val="25"/>
        </w:rPr>
        <w:t>hether the evidence supports</w:t>
      </w:r>
      <w:r w:rsidR="00B95613" w:rsidRPr="00AA3A5E">
        <w:rPr>
          <w:color w:val="000000"/>
          <w:sz w:val="25"/>
          <w:szCs w:val="25"/>
        </w:rPr>
        <w:t xml:space="preserve"> approval and adoption of</w:t>
      </w:r>
      <w:r w:rsidRPr="00AA3A5E">
        <w:rPr>
          <w:color w:val="000000"/>
          <w:sz w:val="25"/>
          <w:szCs w:val="25"/>
        </w:rPr>
        <w:t xml:space="preserve"> the </w:t>
      </w:r>
      <w:r w:rsidR="00B95613" w:rsidRPr="00AA3A5E">
        <w:rPr>
          <w:color w:val="000000"/>
          <w:sz w:val="25"/>
          <w:szCs w:val="25"/>
        </w:rPr>
        <w:t>terms</w:t>
      </w:r>
      <w:r w:rsidRPr="00AA3A5E">
        <w:rPr>
          <w:color w:val="000000"/>
          <w:sz w:val="25"/>
          <w:szCs w:val="25"/>
        </w:rPr>
        <w:t xml:space="preserve"> of the </w:t>
      </w:r>
      <w:r w:rsidR="00B95613" w:rsidRPr="00AA3A5E">
        <w:rPr>
          <w:color w:val="000000"/>
          <w:sz w:val="25"/>
          <w:szCs w:val="25"/>
        </w:rPr>
        <w:t>a</w:t>
      </w:r>
      <w:r w:rsidRPr="00AA3A5E">
        <w:rPr>
          <w:color w:val="000000"/>
          <w:sz w:val="25"/>
          <w:szCs w:val="25"/>
        </w:rPr>
        <w:t xml:space="preserve">greement as </w:t>
      </w:r>
      <w:r w:rsidR="00B95613" w:rsidRPr="00AA3A5E">
        <w:rPr>
          <w:color w:val="000000"/>
          <w:sz w:val="25"/>
          <w:szCs w:val="25"/>
        </w:rPr>
        <w:t>reasonabl</w:t>
      </w:r>
      <w:r w:rsidR="004825B1" w:rsidRPr="00AA3A5E">
        <w:rPr>
          <w:color w:val="000000"/>
          <w:sz w:val="25"/>
          <w:szCs w:val="25"/>
        </w:rPr>
        <w:t>e</w:t>
      </w:r>
      <w:r w:rsidR="00B95613" w:rsidRPr="00AA3A5E">
        <w:rPr>
          <w:color w:val="000000"/>
          <w:sz w:val="25"/>
          <w:szCs w:val="25"/>
        </w:rPr>
        <w:t xml:space="preserve"> resol</w:t>
      </w:r>
      <w:r w:rsidR="004825B1" w:rsidRPr="00AA3A5E">
        <w:rPr>
          <w:color w:val="000000"/>
          <w:sz w:val="25"/>
          <w:szCs w:val="25"/>
        </w:rPr>
        <w:t>utions of</w:t>
      </w:r>
      <w:r w:rsidRPr="00AA3A5E">
        <w:rPr>
          <w:color w:val="000000"/>
          <w:sz w:val="25"/>
          <w:szCs w:val="25"/>
        </w:rPr>
        <w:t xml:space="preserve"> the issues</w:t>
      </w:r>
      <w:r w:rsidR="00B95613" w:rsidRPr="00AA3A5E">
        <w:rPr>
          <w:color w:val="000000"/>
          <w:sz w:val="25"/>
          <w:szCs w:val="25"/>
        </w:rPr>
        <w:t xml:space="preserve"> presented</w:t>
      </w:r>
      <w:r w:rsidRPr="00AA3A5E">
        <w:rPr>
          <w:color w:val="000000"/>
          <w:sz w:val="25"/>
          <w:szCs w:val="25"/>
        </w:rPr>
        <w:t>.</w:t>
      </w:r>
      <w:r w:rsidR="00B95613" w:rsidRPr="00AA3A5E">
        <w:rPr>
          <w:color w:val="000000"/>
          <w:sz w:val="25"/>
          <w:szCs w:val="25"/>
        </w:rPr>
        <w:t xml:space="preserve"> </w:t>
      </w:r>
      <w:r w:rsidR="004825B1" w:rsidRPr="00AA3A5E">
        <w:rPr>
          <w:color w:val="000000"/>
          <w:sz w:val="25"/>
          <w:szCs w:val="25"/>
        </w:rPr>
        <w:t xml:space="preserve"> </w:t>
      </w:r>
      <w:r w:rsidRPr="00AA3A5E">
        <w:rPr>
          <w:color w:val="000000"/>
          <w:sz w:val="25"/>
          <w:szCs w:val="25"/>
        </w:rPr>
        <w:t xml:space="preserve">The Commission </w:t>
      </w:r>
      <w:r w:rsidR="00B95613" w:rsidRPr="00AA3A5E">
        <w:rPr>
          <w:color w:val="000000"/>
          <w:sz w:val="25"/>
          <w:szCs w:val="25"/>
        </w:rPr>
        <w:t>may a</w:t>
      </w:r>
      <w:r w:rsidRPr="00AA3A5E">
        <w:rPr>
          <w:sz w:val="25"/>
          <w:szCs w:val="25"/>
        </w:rPr>
        <w:t>pprove</w:t>
      </w:r>
      <w:r w:rsidRPr="00AA3A5E">
        <w:rPr>
          <w:color w:val="000000"/>
          <w:sz w:val="25"/>
          <w:szCs w:val="25"/>
        </w:rPr>
        <w:t xml:space="preserve"> the proposed settlement </w:t>
      </w:r>
      <w:r w:rsidR="004825B1" w:rsidRPr="00AA3A5E">
        <w:rPr>
          <w:color w:val="000000"/>
          <w:sz w:val="25"/>
          <w:szCs w:val="25"/>
        </w:rPr>
        <w:t xml:space="preserve">agreement </w:t>
      </w:r>
      <w:r w:rsidR="00B95613" w:rsidRPr="00AA3A5E">
        <w:rPr>
          <w:color w:val="000000"/>
          <w:sz w:val="25"/>
          <w:szCs w:val="25"/>
        </w:rPr>
        <w:t xml:space="preserve">with or </w:t>
      </w:r>
      <w:r w:rsidRPr="00AA3A5E">
        <w:rPr>
          <w:color w:val="000000"/>
          <w:sz w:val="25"/>
          <w:szCs w:val="25"/>
        </w:rPr>
        <w:t>without condition</w:t>
      </w:r>
      <w:r w:rsidR="00B95613" w:rsidRPr="00AA3A5E">
        <w:rPr>
          <w:color w:val="000000"/>
          <w:sz w:val="25"/>
          <w:szCs w:val="25"/>
        </w:rPr>
        <w:t xml:space="preserve">, </w:t>
      </w:r>
      <w:r w:rsidRPr="00AA3A5E">
        <w:rPr>
          <w:color w:val="000000"/>
          <w:sz w:val="25"/>
          <w:szCs w:val="25"/>
        </w:rPr>
        <w:t xml:space="preserve">or </w:t>
      </w:r>
      <w:r w:rsidR="00B95613" w:rsidRPr="00AA3A5E">
        <w:rPr>
          <w:color w:val="000000"/>
          <w:sz w:val="25"/>
          <w:szCs w:val="25"/>
        </w:rPr>
        <w:t>reject</w:t>
      </w:r>
      <w:r w:rsidRPr="00AA3A5E">
        <w:rPr>
          <w:color w:val="000000"/>
          <w:sz w:val="25"/>
          <w:szCs w:val="25"/>
        </w:rPr>
        <w:t xml:space="preserve"> </w:t>
      </w:r>
      <w:r w:rsidR="00B95613" w:rsidRPr="00AA3A5E">
        <w:rPr>
          <w:color w:val="000000"/>
          <w:sz w:val="25"/>
          <w:szCs w:val="25"/>
        </w:rPr>
        <w:t>it</w:t>
      </w:r>
      <w:r w:rsidRPr="00AA3A5E">
        <w:rPr>
          <w:color w:val="000000"/>
          <w:sz w:val="25"/>
          <w:szCs w:val="25"/>
        </w:rPr>
        <w:t>.</w:t>
      </w:r>
      <w:r w:rsidRPr="00AA3A5E">
        <w:rPr>
          <w:color w:val="000000"/>
          <w:position w:val="8"/>
          <w:sz w:val="25"/>
          <w:szCs w:val="25"/>
          <w:vertAlign w:val="superscript"/>
        </w:rPr>
        <w:t xml:space="preserve"> </w:t>
      </w:r>
    </w:p>
    <w:p w:rsidR="00F54FEB" w:rsidRPr="00AA3A5E" w:rsidRDefault="00F54FEB" w:rsidP="00AA3A5E">
      <w:pPr>
        <w:tabs>
          <w:tab w:val="num" w:pos="720"/>
        </w:tabs>
        <w:spacing w:line="264" w:lineRule="auto"/>
        <w:rPr>
          <w:sz w:val="25"/>
          <w:szCs w:val="25"/>
        </w:rPr>
      </w:pPr>
    </w:p>
    <w:p w:rsidR="002A464D" w:rsidRPr="00AA3A5E" w:rsidRDefault="002A464D" w:rsidP="00AA3A5E">
      <w:pPr>
        <w:pStyle w:val="ListParagraph"/>
        <w:numPr>
          <w:ilvl w:val="0"/>
          <w:numId w:val="1"/>
        </w:numPr>
        <w:tabs>
          <w:tab w:val="num" w:pos="720"/>
        </w:tabs>
        <w:spacing w:line="264" w:lineRule="auto"/>
        <w:rPr>
          <w:sz w:val="25"/>
          <w:szCs w:val="25"/>
        </w:rPr>
      </w:pPr>
      <w:r w:rsidRPr="00AA3A5E">
        <w:rPr>
          <w:b/>
          <w:sz w:val="25"/>
          <w:szCs w:val="25"/>
        </w:rPr>
        <w:t>Commission Decision:</w:t>
      </w:r>
      <w:r w:rsidRPr="00AA3A5E">
        <w:rPr>
          <w:sz w:val="25"/>
          <w:szCs w:val="25"/>
        </w:rPr>
        <w:t xml:space="preserve">  The Commission approves the parties’ settlement agreement.  The settlement terms are not contrary to law or public policy and reasonably resolve all issues in this proceeding.  They are based on an appropriate record.  There remains no dispute concerning NWS’s jurisdictional status and the company agrees to take the steps necessary to bring itself into compliance with all applicable law.  The record supports Commission imposition of a penalty</w:t>
      </w:r>
      <w:r w:rsidR="004825B1" w:rsidRPr="00AA3A5E">
        <w:rPr>
          <w:sz w:val="25"/>
          <w:szCs w:val="25"/>
        </w:rPr>
        <w:t xml:space="preserve"> while</w:t>
      </w:r>
      <w:r w:rsidR="00930BF1" w:rsidRPr="00AA3A5E">
        <w:rPr>
          <w:sz w:val="25"/>
          <w:szCs w:val="25"/>
        </w:rPr>
        <w:t xml:space="preserve"> the circumstances of the case support</w:t>
      </w:r>
      <w:r w:rsidR="00B95613" w:rsidRPr="00AA3A5E">
        <w:rPr>
          <w:sz w:val="25"/>
          <w:szCs w:val="25"/>
        </w:rPr>
        <w:t xml:space="preserve"> its</w:t>
      </w:r>
      <w:r w:rsidR="00930BF1" w:rsidRPr="00AA3A5E">
        <w:rPr>
          <w:sz w:val="25"/>
          <w:szCs w:val="25"/>
        </w:rPr>
        <w:t xml:space="preserve"> </w:t>
      </w:r>
      <w:r w:rsidRPr="00AA3A5E">
        <w:rPr>
          <w:sz w:val="25"/>
          <w:szCs w:val="25"/>
        </w:rPr>
        <w:t>suspension subject to the condition that NWS timely meet</w:t>
      </w:r>
      <w:r w:rsidR="00930BF1" w:rsidRPr="00AA3A5E">
        <w:rPr>
          <w:sz w:val="25"/>
          <w:szCs w:val="25"/>
        </w:rPr>
        <w:t>s</w:t>
      </w:r>
      <w:r w:rsidRPr="00AA3A5E">
        <w:rPr>
          <w:sz w:val="25"/>
          <w:szCs w:val="25"/>
        </w:rPr>
        <w:t xml:space="preserve"> </w:t>
      </w:r>
      <w:r w:rsidR="00930BF1" w:rsidRPr="00AA3A5E">
        <w:rPr>
          <w:sz w:val="25"/>
          <w:szCs w:val="25"/>
        </w:rPr>
        <w:t>its obligations under the</w:t>
      </w:r>
      <w:r w:rsidRPr="00AA3A5E">
        <w:rPr>
          <w:sz w:val="25"/>
          <w:szCs w:val="25"/>
        </w:rPr>
        <w:t xml:space="preserve"> </w:t>
      </w:r>
      <w:r w:rsidR="00930BF1" w:rsidRPr="00AA3A5E">
        <w:rPr>
          <w:sz w:val="25"/>
          <w:szCs w:val="25"/>
        </w:rPr>
        <w:t xml:space="preserve">settlement </w:t>
      </w:r>
      <w:r w:rsidRPr="00AA3A5E">
        <w:rPr>
          <w:sz w:val="25"/>
          <w:szCs w:val="25"/>
        </w:rPr>
        <w:t>terms</w:t>
      </w:r>
      <w:r w:rsidR="00930BF1" w:rsidRPr="00AA3A5E">
        <w:rPr>
          <w:sz w:val="25"/>
          <w:szCs w:val="25"/>
        </w:rPr>
        <w:t>.</w:t>
      </w:r>
      <w:r w:rsidRPr="00AA3A5E">
        <w:rPr>
          <w:sz w:val="25"/>
          <w:szCs w:val="25"/>
        </w:rPr>
        <w:t xml:space="preserve"> </w:t>
      </w:r>
    </w:p>
    <w:p w:rsidR="002A464D" w:rsidRPr="00AA3A5E" w:rsidRDefault="002A464D" w:rsidP="00AA3A5E">
      <w:pPr>
        <w:pStyle w:val="ListParagraph"/>
        <w:tabs>
          <w:tab w:val="num" w:pos="720"/>
        </w:tabs>
        <w:spacing w:line="264" w:lineRule="auto"/>
        <w:ind w:left="0"/>
        <w:rPr>
          <w:sz w:val="25"/>
          <w:szCs w:val="25"/>
        </w:rPr>
      </w:pPr>
      <w:r w:rsidRPr="00AA3A5E">
        <w:rPr>
          <w:sz w:val="25"/>
          <w:szCs w:val="25"/>
        </w:rPr>
        <w:t xml:space="preserve"> </w:t>
      </w:r>
    </w:p>
    <w:p w:rsidR="008246EA" w:rsidRPr="00AA3A5E" w:rsidRDefault="002A464D" w:rsidP="00AA3A5E">
      <w:pPr>
        <w:pStyle w:val="ListParagraph"/>
        <w:numPr>
          <w:ilvl w:val="0"/>
          <w:numId w:val="1"/>
        </w:numPr>
        <w:tabs>
          <w:tab w:val="num" w:pos="720"/>
        </w:tabs>
        <w:spacing w:line="264" w:lineRule="auto"/>
        <w:rPr>
          <w:sz w:val="25"/>
          <w:szCs w:val="25"/>
        </w:rPr>
      </w:pPr>
      <w:r w:rsidRPr="00AA3A5E">
        <w:rPr>
          <w:sz w:val="25"/>
          <w:szCs w:val="25"/>
        </w:rPr>
        <w:t xml:space="preserve">The Commission’s primary objective in </w:t>
      </w:r>
      <w:r w:rsidR="00B95613" w:rsidRPr="00AA3A5E">
        <w:rPr>
          <w:sz w:val="25"/>
          <w:szCs w:val="25"/>
        </w:rPr>
        <w:t>this</w:t>
      </w:r>
      <w:r w:rsidRPr="00AA3A5E">
        <w:rPr>
          <w:sz w:val="25"/>
          <w:szCs w:val="25"/>
        </w:rPr>
        <w:t xml:space="preserve"> case is to obtain compliance with applicable law.  The settlement agreement </w:t>
      </w:r>
      <w:r w:rsidR="00742E1E" w:rsidRPr="00AA3A5E">
        <w:rPr>
          <w:sz w:val="25"/>
          <w:szCs w:val="25"/>
        </w:rPr>
        <w:t xml:space="preserve">promises to </w:t>
      </w:r>
      <w:r w:rsidRPr="00AA3A5E">
        <w:rPr>
          <w:sz w:val="25"/>
          <w:szCs w:val="25"/>
        </w:rPr>
        <w:t xml:space="preserve">accomplish this goal. </w:t>
      </w:r>
      <w:r w:rsidR="00742E1E" w:rsidRPr="00AA3A5E">
        <w:rPr>
          <w:sz w:val="25"/>
          <w:szCs w:val="25"/>
        </w:rPr>
        <w:t xml:space="preserve"> It should be approved and adopted by the Commission </w:t>
      </w:r>
      <w:r w:rsidR="00B14D6A" w:rsidRPr="00AA3A5E">
        <w:rPr>
          <w:sz w:val="25"/>
          <w:szCs w:val="25"/>
        </w:rPr>
        <w:t>to resolve</w:t>
      </w:r>
      <w:r w:rsidR="00742E1E" w:rsidRPr="00AA3A5E">
        <w:rPr>
          <w:sz w:val="25"/>
          <w:szCs w:val="25"/>
        </w:rPr>
        <w:t xml:space="preserve"> the issues in this proceeding.</w:t>
      </w:r>
    </w:p>
    <w:p w:rsidR="008246EA" w:rsidRPr="00AA3A5E" w:rsidRDefault="008246EA" w:rsidP="00AA3A5E">
      <w:pPr>
        <w:tabs>
          <w:tab w:val="num" w:pos="720"/>
        </w:tabs>
        <w:spacing w:line="264" w:lineRule="auto"/>
        <w:rPr>
          <w:sz w:val="25"/>
          <w:szCs w:val="25"/>
        </w:rPr>
      </w:pPr>
    </w:p>
    <w:p w:rsidR="008246EA" w:rsidRPr="00AA3A5E" w:rsidRDefault="008246EA" w:rsidP="00AA3A5E">
      <w:pPr>
        <w:spacing w:line="264" w:lineRule="auto"/>
        <w:jc w:val="center"/>
        <w:rPr>
          <w:b/>
          <w:sz w:val="25"/>
          <w:szCs w:val="25"/>
          <w:u w:val="single"/>
        </w:rPr>
      </w:pPr>
      <w:r w:rsidRPr="00AA3A5E">
        <w:rPr>
          <w:b/>
          <w:sz w:val="25"/>
          <w:szCs w:val="25"/>
          <w:u w:val="single"/>
        </w:rPr>
        <w:t>ORDER</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THE COMMISSION ORDERS:</w:t>
      </w:r>
    </w:p>
    <w:p w:rsidR="008246EA" w:rsidRPr="00AA3A5E" w:rsidRDefault="008246EA" w:rsidP="00AA3A5E">
      <w:pPr>
        <w:spacing w:line="264" w:lineRule="auto"/>
        <w:rPr>
          <w:sz w:val="25"/>
          <w:szCs w:val="25"/>
        </w:rPr>
      </w:pPr>
    </w:p>
    <w:p w:rsidR="00A5605D" w:rsidRPr="00AA3A5E" w:rsidRDefault="008246EA" w:rsidP="00AA3A5E">
      <w:pPr>
        <w:numPr>
          <w:ilvl w:val="0"/>
          <w:numId w:val="1"/>
        </w:numPr>
        <w:spacing w:after="240" w:line="264" w:lineRule="auto"/>
        <w:ind w:left="864" w:hanging="1584"/>
        <w:rPr>
          <w:sz w:val="25"/>
          <w:szCs w:val="25"/>
        </w:rPr>
      </w:pPr>
      <w:r w:rsidRPr="00AA3A5E">
        <w:rPr>
          <w:sz w:val="25"/>
          <w:szCs w:val="25"/>
        </w:rPr>
        <w:t>(1)</w:t>
      </w:r>
      <w:r w:rsidRPr="00AA3A5E">
        <w:rPr>
          <w:sz w:val="25"/>
          <w:szCs w:val="25"/>
        </w:rPr>
        <w:tab/>
      </w:r>
      <w:r w:rsidR="00B14D6A" w:rsidRPr="00AA3A5E">
        <w:rPr>
          <w:sz w:val="25"/>
          <w:szCs w:val="25"/>
        </w:rPr>
        <w:t xml:space="preserve">The parties’ settlement agreement, as described in the body of this </w:t>
      </w:r>
      <w:r w:rsidR="00B95613" w:rsidRPr="00AA3A5E">
        <w:rPr>
          <w:sz w:val="25"/>
          <w:szCs w:val="25"/>
        </w:rPr>
        <w:t>O</w:t>
      </w:r>
      <w:r w:rsidR="00B14D6A" w:rsidRPr="00AA3A5E">
        <w:rPr>
          <w:sz w:val="25"/>
          <w:szCs w:val="25"/>
        </w:rPr>
        <w:t>rder, is approved and adopted by the Commission in full resolution of the issues in this proceeding.</w:t>
      </w:r>
    </w:p>
    <w:p w:rsidR="00A5605D" w:rsidRPr="00AA3A5E" w:rsidRDefault="00B14D6A" w:rsidP="00AA3A5E">
      <w:pPr>
        <w:numPr>
          <w:ilvl w:val="0"/>
          <w:numId w:val="1"/>
        </w:numPr>
        <w:spacing w:after="240" w:line="264" w:lineRule="auto"/>
        <w:ind w:left="864" w:hanging="1584"/>
        <w:rPr>
          <w:sz w:val="25"/>
          <w:szCs w:val="25"/>
        </w:rPr>
      </w:pPr>
      <w:r w:rsidRPr="00AA3A5E">
        <w:rPr>
          <w:sz w:val="25"/>
          <w:szCs w:val="25"/>
        </w:rPr>
        <w:t>(2)</w:t>
      </w:r>
      <w:r w:rsidRPr="00AA3A5E">
        <w:rPr>
          <w:sz w:val="25"/>
          <w:szCs w:val="25"/>
        </w:rPr>
        <w:tab/>
        <w:t xml:space="preserve">NWS is subject to a penalty of $4,400 for violation of RCW 80.28.050 and WAC 480-110-433, as established on the record of this proceeding.  This penalty amount is waived in full subject to the condition that NWS satisfy its obligations under the settlement agreement, as described in the body of this </w:t>
      </w:r>
      <w:r w:rsidR="00B95613" w:rsidRPr="00AA3A5E">
        <w:rPr>
          <w:sz w:val="25"/>
          <w:szCs w:val="25"/>
        </w:rPr>
        <w:t>O</w:t>
      </w:r>
      <w:r w:rsidRPr="00AA3A5E">
        <w:rPr>
          <w:sz w:val="25"/>
          <w:szCs w:val="25"/>
        </w:rPr>
        <w:t>rder.  If NWS fails to meet its obligations, the full amount of the penalty will be</w:t>
      </w:r>
      <w:r w:rsidR="00B95613" w:rsidRPr="00AA3A5E">
        <w:rPr>
          <w:sz w:val="25"/>
          <w:szCs w:val="25"/>
        </w:rPr>
        <w:t>come</w:t>
      </w:r>
      <w:r w:rsidRPr="00AA3A5E">
        <w:rPr>
          <w:sz w:val="25"/>
          <w:szCs w:val="25"/>
        </w:rPr>
        <w:t xml:space="preserve"> due and payable without the requirement for any further action by the Commission.</w:t>
      </w:r>
    </w:p>
    <w:p w:rsidR="008246EA" w:rsidRPr="00AA3A5E" w:rsidRDefault="008246EA" w:rsidP="00AA3A5E">
      <w:pPr>
        <w:numPr>
          <w:ilvl w:val="0"/>
          <w:numId w:val="1"/>
        </w:numPr>
        <w:spacing w:after="240" w:line="264" w:lineRule="auto"/>
        <w:ind w:left="864" w:hanging="1584"/>
        <w:rPr>
          <w:sz w:val="25"/>
          <w:szCs w:val="25"/>
        </w:rPr>
      </w:pPr>
      <w:r w:rsidRPr="00AA3A5E">
        <w:rPr>
          <w:sz w:val="25"/>
          <w:szCs w:val="25"/>
        </w:rPr>
        <w:t>(</w:t>
      </w:r>
      <w:r w:rsidR="00B14D6A" w:rsidRPr="00AA3A5E">
        <w:rPr>
          <w:sz w:val="25"/>
          <w:szCs w:val="25"/>
        </w:rPr>
        <w:t>3</w:t>
      </w:r>
      <w:r w:rsidRPr="00AA3A5E">
        <w:rPr>
          <w:sz w:val="25"/>
          <w:szCs w:val="25"/>
        </w:rPr>
        <w:t>)</w:t>
      </w:r>
      <w:r w:rsidRPr="00AA3A5E">
        <w:rPr>
          <w:sz w:val="25"/>
          <w:szCs w:val="25"/>
        </w:rPr>
        <w:tab/>
        <w:t>The Commission retains jurisdiction to e</w:t>
      </w:r>
      <w:r w:rsidR="00B95613" w:rsidRPr="00AA3A5E">
        <w:rPr>
          <w:sz w:val="25"/>
          <w:szCs w:val="25"/>
        </w:rPr>
        <w:t>nforce</w:t>
      </w:r>
      <w:r w:rsidRPr="00AA3A5E">
        <w:rPr>
          <w:sz w:val="25"/>
          <w:szCs w:val="25"/>
        </w:rPr>
        <w:t xml:space="preserve"> the terms of this </w:t>
      </w:r>
      <w:r w:rsidR="00B95613" w:rsidRPr="00AA3A5E">
        <w:rPr>
          <w:sz w:val="25"/>
          <w:szCs w:val="25"/>
        </w:rPr>
        <w:t>O</w:t>
      </w:r>
      <w:r w:rsidRPr="00AA3A5E">
        <w:rPr>
          <w:sz w:val="25"/>
          <w:szCs w:val="25"/>
        </w:rPr>
        <w:t>rder.</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proofErr w:type="gramStart"/>
      <w:r w:rsidRPr="00AA3A5E">
        <w:rPr>
          <w:sz w:val="25"/>
          <w:szCs w:val="25"/>
        </w:rPr>
        <w:t xml:space="preserve">Dated at Olympia, Washington, and effective </w:t>
      </w:r>
      <w:r w:rsidR="00B95613" w:rsidRPr="00AA3A5E">
        <w:rPr>
          <w:sz w:val="25"/>
          <w:szCs w:val="25"/>
        </w:rPr>
        <w:t>March 11, 2014</w:t>
      </w:r>
      <w:r w:rsidRPr="00AA3A5E">
        <w:rPr>
          <w:sz w:val="25"/>
          <w:szCs w:val="25"/>
        </w:rPr>
        <w:t>.</w:t>
      </w:r>
      <w:proofErr w:type="gramEnd"/>
    </w:p>
    <w:p w:rsidR="008246EA" w:rsidRPr="00AA3A5E" w:rsidRDefault="008246EA" w:rsidP="00AA3A5E">
      <w:pPr>
        <w:spacing w:line="264" w:lineRule="auto"/>
        <w:rPr>
          <w:sz w:val="25"/>
          <w:szCs w:val="25"/>
        </w:rPr>
      </w:pPr>
    </w:p>
    <w:p w:rsidR="008246EA" w:rsidRPr="00AA3A5E" w:rsidRDefault="008246EA" w:rsidP="00AA3A5E">
      <w:pPr>
        <w:spacing w:line="264" w:lineRule="auto"/>
        <w:jc w:val="center"/>
        <w:rPr>
          <w:sz w:val="25"/>
          <w:szCs w:val="25"/>
        </w:rPr>
      </w:pPr>
      <w:r w:rsidRPr="00AA3A5E">
        <w:rPr>
          <w:sz w:val="25"/>
          <w:szCs w:val="25"/>
        </w:rPr>
        <w:t>WASHINGTON UTILITIES AND TRANSPORTATION COMMISSION</w:t>
      </w:r>
    </w:p>
    <w:p w:rsidR="008246EA" w:rsidRPr="00AA3A5E" w:rsidRDefault="008246EA" w:rsidP="00AA3A5E">
      <w:pPr>
        <w:spacing w:line="264" w:lineRule="auto"/>
        <w:rPr>
          <w:sz w:val="25"/>
          <w:szCs w:val="25"/>
        </w:rPr>
      </w:pPr>
    </w:p>
    <w:p w:rsidR="008246EA" w:rsidRPr="00AA3A5E" w:rsidRDefault="008246EA" w:rsidP="00AA3A5E">
      <w:pPr>
        <w:spacing w:line="264" w:lineRule="auto"/>
        <w:ind w:left="5760"/>
        <w:rPr>
          <w:sz w:val="25"/>
          <w:szCs w:val="25"/>
        </w:rPr>
      </w:pPr>
    </w:p>
    <w:p w:rsidR="008246EA" w:rsidRPr="00AA3A5E" w:rsidRDefault="008246EA" w:rsidP="00AA3A5E">
      <w:pPr>
        <w:spacing w:line="264" w:lineRule="auto"/>
        <w:ind w:left="5040"/>
        <w:rPr>
          <w:sz w:val="25"/>
          <w:szCs w:val="25"/>
        </w:rPr>
      </w:pPr>
    </w:p>
    <w:p w:rsidR="008246EA" w:rsidRPr="00AA3A5E" w:rsidRDefault="008246EA" w:rsidP="00AA3A5E">
      <w:pPr>
        <w:spacing w:line="264" w:lineRule="auto"/>
        <w:ind w:left="4320"/>
        <w:rPr>
          <w:sz w:val="25"/>
          <w:szCs w:val="25"/>
        </w:rPr>
      </w:pPr>
      <w:r w:rsidRPr="00AA3A5E">
        <w:rPr>
          <w:sz w:val="25"/>
          <w:szCs w:val="25"/>
        </w:rPr>
        <w:t>DENNIS J. MOSS</w:t>
      </w:r>
    </w:p>
    <w:p w:rsidR="008246EA" w:rsidRPr="00AA3A5E" w:rsidRDefault="008246EA" w:rsidP="00AA3A5E">
      <w:pPr>
        <w:spacing w:line="264" w:lineRule="auto"/>
        <w:ind w:left="4320"/>
        <w:rPr>
          <w:sz w:val="25"/>
          <w:szCs w:val="25"/>
        </w:rPr>
      </w:pPr>
      <w:r w:rsidRPr="00AA3A5E">
        <w:rPr>
          <w:sz w:val="25"/>
          <w:szCs w:val="25"/>
        </w:rPr>
        <w:t>Administrative Law Judge</w:t>
      </w:r>
    </w:p>
    <w:p w:rsidR="004825B1" w:rsidRPr="00AA3A5E" w:rsidRDefault="004825B1" w:rsidP="00AA3A5E">
      <w:pPr>
        <w:spacing w:line="264" w:lineRule="auto"/>
        <w:rPr>
          <w:sz w:val="25"/>
          <w:szCs w:val="25"/>
        </w:rPr>
      </w:pPr>
    </w:p>
    <w:p w:rsidR="00AA3A5E" w:rsidRPr="00AA3A5E" w:rsidRDefault="00AA3A5E" w:rsidP="00AA3A5E">
      <w:pPr>
        <w:spacing w:line="264" w:lineRule="auto"/>
        <w:rPr>
          <w:sz w:val="25"/>
          <w:szCs w:val="25"/>
        </w:rPr>
      </w:pPr>
      <w:r w:rsidRPr="00AA3A5E">
        <w:rPr>
          <w:sz w:val="25"/>
          <w:szCs w:val="25"/>
        </w:rPr>
        <w:br w:type="page"/>
      </w:r>
    </w:p>
    <w:p w:rsidR="008246EA" w:rsidRPr="00AA3A5E" w:rsidRDefault="008246EA" w:rsidP="00AA3A5E">
      <w:pPr>
        <w:spacing w:line="264" w:lineRule="auto"/>
        <w:rPr>
          <w:sz w:val="25"/>
          <w:szCs w:val="25"/>
        </w:rPr>
      </w:pPr>
    </w:p>
    <w:p w:rsidR="008246EA" w:rsidRPr="00AA3A5E" w:rsidRDefault="008246EA" w:rsidP="00AA3A5E">
      <w:pPr>
        <w:spacing w:line="264" w:lineRule="auto"/>
        <w:rPr>
          <w:b/>
          <w:sz w:val="25"/>
          <w:szCs w:val="25"/>
        </w:rPr>
      </w:pPr>
      <w:r w:rsidRPr="00AA3A5E">
        <w:rPr>
          <w:b/>
          <w:sz w:val="25"/>
          <w:szCs w:val="25"/>
        </w:rPr>
        <w:t>NOTICE TO PARTIES</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 xml:space="preserve">WAC 480-07-825(2) provides that any party to this proceeding has twenty (20) days after the entry of this Initial Order to file a Petition for Administrative Review.  What must be included in any Petition and other requirements for a Petition are stated in WAC 480-07-825(3).  WAC 480-07-825(4) states that any party may file an Answer to a Petition for review within ten (10) days after service of the Petition.  </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 xml:space="preserve">WAC 480-07-830 provides that before entry of a Final Order any party may file a Petition to </w:t>
      </w:r>
      <w:proofErr w:type="gramStart"/>
      <w:r w:rsidRPr="00AA3A5E">
        <w:rPr>
          <w:sz w:val="25"/>
          <w:szCs w:val="25"/>
        </w:rPr>
        <w:t>Reopen</w:t>
      </w:r>
      <w:proofErr w:type="gramEnd"/>
      <w:r w:rsidRPr="00AA3A5E">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AA3A5E">
        <w:rPr>
          <w:sz w:val="25"/>
          <w:szCs w:val="25"/>
        </w:rPr>
        <w:t>Reopen</w:t>
      </w:r>
      <w:proofErr w:type="gramEnd"/>
      <w:r w:rsidRPr="00AA3A5E">
        <w:rPr>
          <w:sz w:val="25"/>
          <w:szCs w:val="25"/>
        </w:rPr>
        <w:t xml:space="preserve"> will be accepted for filing absent express notice by the Commission calling for such answer.</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One copy of any Petition or Answer filed must be served on each party of record with proof of service as required by WAC 480-07-150(8) and (9).  An Original and five (5) copies of any Petition or Answer must be filed by mail delivery to:</w:t>
      </w:r>
    </w:p>
    <w:p w:rsidR="008246EA" w:rsidRPr="00AA3A5E" w:rsidRDefault="008246EA" w:rsidP="00AA3A5E">
      <w:pPr>
        <w:spacing w:line="264" w:lineRule="auto"/>
        <w:rPr>
          <w:sz w:val="25"/>
          <w:szCs w:val="25"/>
        </w:rPr>
      </w:pPr>
    </w:p>
    <w:p w:rsidR="008246EA" w:rsidRPr="00AA3A5E" w:rsidRDefault="008246EA" w:rsidP="00AA3A5E">
      <w:pPr>
        <w:spacing w:line="264" w:lineRule="auto"/>
        <w:rPr>
          <w:sz w:val="25"/>
          <w:szCs w:val="25"/>
        </w:rPr>
      </w:pPr>
      <w:r w:rsidRPr="00AA3A5E">
        <w:rPr>
          <w:sz w:val="25"/>
          <w:szCs w:val="25"/>
        </w:rPr>
        <w:t>Attn:  Steven V. King, Executive Director and Secretary</w:t>
      </w:r>
    </w:p>
    <w:p w:rsidR="008246EA" w:rsidRPr="00AA3A5E" w:rsidRDefault="008246EA" w:rsidP="00AA3A5E">
      <w:pPr>
        <w:spacing w:line="264" w:lineRule="auto"/>
        <w:rPr>
          <w:sz w:val="25"/>
          <w:szCs w:val="25"/>
        </w:rPr>
      </w:pPr>
      <w:r w:rsidRPr="00AA3A5E">
        <w:rPr>
          <w:sz w:val="25"/>
          <w:szCs w:val="25"/>
        </w:rPr>
        <w:t>Washington Utilities and Transportation Commission</w:t>
      </w:r>
    </w:p>
    <w:p w:rsidR="008246EA" w:rsidRPr="00AA3A5E" w:rsidRDefault="008246EA" w:rsidP="00AA3A5E">
      <w:pPr>
        <w:spacing w:line="264" w:lineRule="auto"/>
        <w:rPr>
          <w:sz w:val="25"/>
          <w:szCs w:val="25"/>
        </w:rPr>
      </w:pPr>
      <w:r w:rsidRPr="00AA3A5E">
        <w:rPr>
          <w:sz w:val="25"/>
          <w:szCs w:val="25"/>
        </w:rPr>
        <w:t>P.O. Box 47250</w:t>
      </w:r>
    </w:p>
    <w:p w:rsidR="008246EA" w:rsidRPr="00AA3A5E" w:rsidRDefault="008246EA" w:rsidP="00AA3A5E">
      <w:pPr>
        <w:spacing w:line="264" w:lineRule="auto"/>
        <w:rPr>
          <w:sz w:val="25"/>
          <w:szCs w:val="25"/>
        </w:rPr>
      </w:pPr>
      <w:r w:rsidRPr="00AA3A5E">
        <w:rPr>
          <w:sz w:val="25"/>
          <w:szCs w:val="25"/>
        </w:rPr>
        <w:t>Olympia, Washington  98504-7250</w:t>
      </w:r>
    </w:p>
    <w:p w:rsidR="00A5605D" w:rsidRPr="00AA3A5E" w:rsidRDefault="00A5605D" w:rsidP="00AA3A5E">
      <w:pPr>
        <w:spacing w:line="264" w:lineRule="auto"/>
        <w:rPr>
          <w:sz w:val="25"/>
          <w:szCs w:val="25"/>
        </w:rPr>
      </w:pPr>
    </w:p>
    <w:p w:rsidR="00AA3A5E" w:rsidRPr="00AA3A5E" w:rsidRDefault="00AA3A5E">
      <w:pPr>
        <w:spacing w:line="264" w:lineRule="auto"/>
        <w:rPr>
          <w:sz w:val="25"/>
          <w:szCs w:val="25"/>
        </w:rPr>
      </w:pPr>
    </w:p>
    <w:sectPr w:rsidR="00AA3A5E" w:rsidRPr="00AA3A5E" w:rsidSect="003969D3">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13" w:rsidRDefault="00B95613" w:rsidP="003969D3">
      <w:r>
        <w:separator/>
      </w:r>
    </w:p>
  </w:endnote>
  <w:endnote w:type="continuationSeparator" w:id="0">
    <w:p w:rsidR="00B95613" w:rsidRDefault="00B95613" w:rsidP="003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13" w:rsidRDefault="00B95613" w:rsidP="003969D3">
      <w:r>
        <w:separator/>
      </w:r>
    </w:p>
  </w:footnote>
  <w:footnote w:type="continuationSeparator" w:id="0">
    <w:p w:rsidR="00B95613" w:rsidRDefault="00B95613" w:rsidP="003969D3">
      <w:r>
        <w:continuationSeparator/>
      </w:r>
    </w:p>
  </w:footnote>
  <w:footnote w:id="1">
    <w:p w:rsidR="00B95613" w:rsidRPr="00AA3A5E" w:rsidRDefault="00B95613" w:rsidP="00212F87">
      <w:pPr>
        <w:pStyle w:val="FootnoteText"/>
        <w:rPr>
          <w:sz w:val="22"/>
          <w:szCs w:val="22"/>
        </w:rPr>
      </w:pPr>
      <w:r w:rsidRPr="00AA3A5E">
        <w:rPr>
          <w:rStyle w:val="FootnoteReference"/>
          <w:sz w:val="22"/>
          <w:szCs w:val="22"/>
        </w:rPr>
        <w:footnoteRef/>
      </w:r>
      <w:r w:rsidRPr="00AA3A5E">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A3A5E">
        <w:rPr>
          <w:i/>
          <w:sz w:val="22"/>
          <w:szCs w:val="22"/>
        </w:rPr>
        <w:t>See</w:t>
      </w:r>
      <w:r w:rsidRPr="00AA3A5E">
        <w:rPr>
          <w:sz w:val="22"/>
          <w:szCs w:val="22"/>
        </w:rPr>
        <w:t xml:space="preserve"> </w:t>
      </w:r>
      <w:r w:rsidRPr="00AA3A5E">
        <w:rPr>
          <w:iCs/>
          <w:sz w:val="22"/>
          <w:szCs w:val="22"/>
        </w:rPr>
        <w:t>RCW 34.05.455</w:t>
      </w:r>
      <w:r w:rsidRPr="00AA3A5E">
        <w:rPr>
          <w:i/>
          <w:iCs/>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13" w:rsidRPr="00AA3A5E" w:rsidRDefault="00B95613" w:rsidP="003969D3">
    <w:pPr>
      <w:pStyle w:val="Header"/>
      <w:tabs>
        <w:tab w:val="clear" w:pos="8640"/>
        <w:tab w:val="right" w:pos="9180"/>
      </w:tabs>
      <w:rPr>
        <w:b/>
        <w:noProof/>
        <w:sz w:val="20"/>
        <w:szCs w:val="20"/>
      </w:rPr>
    </w:pPr>
    <w:r w:rsidRPr="00AA3A5E">
      <w:rPr>
        <w:b/>
        <w:sz w:val="20"/>
        <w:szCs w:val="20"/>
      </w:rPr>
      <w:t>DOCKET UW-132281</w:t>
    </w:r>
    <w:r w:rsidRPr="00AA3A5E">
      <w:rPr>
        <w:b/>
        <w:sz w:val="20"/>
        <w:szCs w:val="20"/>
      </w:rPr>
      <w:tab/>
    </w:r>
    <w:r w:rsidRPr="00AA3A5E">
      <w:rPr>
        <w:b/>
        <w:sz w:val="20"/>
        <w:szCs w:val="20"/>
      </w:rPr>
      <w:tab/>
      <w:t xml:space="preserve">PAGE </w:t>
    </w:r>
    <w:r w:rsidRPr="00AA3A5E">
      <w:rPr>
        <w:b/>
        <w:sz w:val="20"/>
        <w:szCs w:val="20"/>
      </w:rPr>
      <w:fldChar w:fldCharType="begin"/>
    </w:r>
    <w:r w:rsidRPr="00AA3A5E">
      <w:rPr>
        <w:b/>
        <w:sz w:val="20"/>
        <w:szCs w:val="20"/>
      </w:rPr>
      <w:instrText xml:space="preserve"> PAGE   \* MERGEFORMAT </w:instrText>
    </w:r>
    <w:r w:rsidRPr="00AA3A5E">
      <w:rPr>
        <w:b/>
        <w:sz w:val="20"/>
        <w:szCs w:val="20"/>
      </w:rPr>
      <w:fldChar w:fldCharType="separate"/>
    </w:r>
    <w:r w:rsidR="00D2321A">
      <w:rPr>
        <w:b/>
        <w:noProof/>
        <w:sz w:val="20"/>
        <w:szCs w:val="20"/>
      </w:rPr>
      <w:t>2</w:t>
    </w:r>
    <w:r w:rsidRPr="00AA3A5E">
      <w:rPr>
        <w:b/>
        <w:noProof/>
        <w:sz w:val="20"/>
        <w:szCs w:val="20"/>
      </w:rPr>
      <w:fldChar w:fldCharType="end"/>
    </w:r>
  </w:p>
  <w:p w:rsidR="00B95613" w:rsidRPr="00AA3A5E" w:rsidRDefault="00B95613" w:rsidP="003969D3">
    <w:pPr>
      <w:pStyle w:val="Header"/>
      <w:tabs>
        <w:tab w:val="clear" w:pos="8640"/>
        <w:tab w:val="right" w:pos="9180"/>
      </w:tabs>
      <w:rPr>
        <w:b/>
        <w:noProof/>
        <w:sz w:val="20"/>
        <w:szCs w:val="20"/>
      </w:rPr>
    </w:pPr>
    <w:r w:rsidRPr="00AA3A5E">
      <w:rPr>
        <w:b/>
        <w:noProof/>
        <w:sz w:val="20"/>
        <w:szCs w:val="20"/>
      </w:rPr>
      <w:t>ORDER 02</w:t>
    </w:r>
  </w:p>
  <w:p w:rsidR="00B95613" w:rsidRPr="00AA3A5E" w:rsidRDefault="00B95613" w:rsidP="003969D3">
    <w:pPr>
      <w:pStyle w:val="Header"/>
      <w:tabs>
        <w:tab w:val="clear" w:pos="8640"/>
        <w:tab w:val="right" w:pos="918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13" w:rsidRPr="00817183" w:rsidRDefault="00B95613" w:rsidP="00E703B0">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82B6D9E"/>
    <w:multiLevelType w:val="hybridMultilevel"/>
    <w:tmpl w:val="1AE6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C46130"/>
    <w:multiLevelType w:val="hybridMultilevel"/>
    <w:tmpl w:val="02E68C30"/>
    <w:lvl w:ilvl="0" w:tplc="6E065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338"/>
    <w:multiLevelType w:val="hybridMultilevel"/>
    <w:tmpl w:val="5912587A"/>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927B13"/>
    <w:multiLevelType w:val="hybridMultilevel"/>
    <w:tmpl w:val="971E0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5879C6"/>
    <w:multiLevelType w:val="hybridMultilevel"/>
    <w:tmpl w:val="19D6973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131667"/>
    <w:multiLevelType w:val="hybridMultilevel"/>
    <w:tmpl w:val="6A664796"/>
    <w:lvl w:ilvl="0" w:tplc="869EC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8"/>
  </w:num>
  <w:num w:numId="4">
    <w:abstractNumId w:val="1"/>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20"/>
    <w:rsid w:val="00011BAC"/>
    <w:rsid w:val="000A6B52"/>
    <w:rsid w:val="000D7E2C"/>
    <w:rsid w:val="0012658F"/>
    <w:rsid w:val="0013502A"/>
    <w:rsid w:val="001466B9"/>
    <w:rsid w:val="00195720"/>
    <w:rsid w:val="001B622E"/>
    <w:rsid w:val="001E53F9"/>
    <w:rsid w:val="001F1FDC"/>
    <w:rsid w:val="00212F87"/>
    <w:rsid w:val="00285436"/>
    <w:rsid w:val="00292992"/>
    <w:rsid w:val="002A464D"/>
    <w:rsid w:val="003969D3"/>
    <w:rsid w:val="003C220D"/>
    <w:rsid w:val="003E4FA6"/>
    <w:rsid w:val="003F157D"/>
    <w:rsid w:val="00465AEC"/>
    <w:rsid w:val="004825B1"/>
    <w:rsid w:val="004879EC"/>
    <w:rsid w:val="00555F59"/>
    <w:rsid w:val="005660A2"/>
    <w:rsid w:val="005666EC"/>
    <w:rsid w:val="005A4FF8"/>
    <w:rsid w:val="005D0CB6"/>
    <w:rsid w:val="006409C6"/>
    <w:rsid w:val="006C33A7"/>
    <w:rsid w:val="00706F1E"/>
    <w:rsid w:val="00720788"/>
    <w:rsid w:val="00733371"/>
    <w:rsid w:val="00742E1E"/>
    <w:rsid w:val="007A7F4A"/>
    <w:rsid w:val="00810131"/>
    <w:rsid w:val="0081164F"/>
    <w:rsid w:val="00817183"/>
    <w:rsid w:val="008246EA"/>
    <w:rsid w:val="0086493A"/>
    <w:rsid w:val="00874963"/>
    <w:rsid w:val="00917032"/>
    <w:rsid w:val="00921C37"/>
    <w:rsid w:val="00930BF1"/>
    <w:rsid w:val="009838E5"/>
    <w:rsid w:val="0098745F"/>
    <w:rsid w:val="009D2370"/>
    <w:rsid w:val="009D3661"/>
    <w:rsid w:val="00A02039"/>
    <w:rsid w:val="00A5605D"/>
    <w:rsid w:val="00AA3A5E"/>
    <w:rsid w:val="00AA4B3D"/>
    <w:rsid w:val="00B03544"/>
    <w:rsid w:val="00B078C0"/>
    <w:rsid w:val="00B12711"/>
    <w:rsid w:val="00B14D6A"/>
    <w:rsid w:val="00B261D7"/>
    <w:rsid w:val="00B611F5"/>
    <w:rsid w:val="00B95613"/>
    <w:rsid w:val="00C3725C"/>
    <w:rsid w:val="00C67004"/>
    <w:rsid w:val="00CB01A5"/>
    <w:rsid w:val="00D2321A"/>
    <w:rsid w:val="00D43B71"/>
    <w:rsid w:val="00D82A77"/>
    <w:rsid w:val="00E463B1"/>
    <w:rsid w:val="00E647FF"/>
    <w:rsid w:val="00E703B0"/>
    <w:rsid w:val="00E87505"/>
    <w:rsid w:val="00F16D16"/>
    <w:rsid w:val="00F54FEB"/>
    <w:rsid w:val="00F700F9"/>
    <w:rsid w:val="00F958FF"/>
    <w:rsid w:val="00FA4C6F"/>
    <w:rsid w:val="00FB3C32"/>
    <w:rsid w:val="00FE532E"/>
    <w:rsid w:val="00FF363E"/>
    <w:rsid w:val="00FF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2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720"/>
    <w:pPr>
      <w:tabs>
        <w:tab w:val="center" w:pos="4320"/>
        <w:tab w:val="right" w:pos="8640"/>
      </w:tabs>
    </w:pPr>
  </w:style>
  <w:style w:type="character" w:customStyle="1" w:styleId="HeaderChar">
    <w:name w:val="Header Char"/>
    <w:basedOn w:val="DefaultParagraphFont"/>
    <w:link w:val="Header"/>
    <w:uiPriority w:val="99"/>
    <w:rsid w:val="00195720"/>
    <w:rPr>
      <w:rFonts w:eastAsia="Times New Roman" w:cs="Times New Roman"/>
      <w:szCs w:val="24"/>
    </w:rPr>
  </w:style>
  <w:style w:type="paragraph" w:styleId="ListParagraph">
    <w:name w:val="List Paragraph"/>
    <w:basedOn w:val="Normal"/>
    <w:uiPriority w:val="34"/>
    <w:qFormat/>
    <w:rsid w:val="00195720"/>
    <w:pPr>
      <w:ind w:left="720"/>
    </w:pPr>
  </w:style>
  <w:style w:type="paragraph" w:customStyle="1" w:styleId="FindingsConclusions">
    <w:name w:val="Findings &amp; Conclusions"/>
    <w:basedOn w:val="Normal"/>
    <w:rsid w:val="0086493A"/>
    <w:pPr>
      <w:numPr>
        <w:numId w:val="2"/>
      </w:numPr>
    </w:pPr>
  </w:style>
  <w:style w:type="paragraph" w:styleId="NoSpacing">
    <w:name w:val="No Spacing"/>
    <w:uiPriority w:val="1"/>
    <w:qFormat/>
    <w:rsid w:val="00A5605D"/>
    <w:rPr>
      <w:rFonts w:eastAsia="Times New Roman" w:cs="Times New Roman"/>
      <w:szCs w:val="24"/>
    </w:rPr>
  </w:style>
  <w:style w:type="paragraph" w:styleId="BalloonText">
    <w:name w:val="Balloon Text"/>
    <w:basedOn w:val="Normal"/>
    <w:link w:val="BalloonTextChar"/>
    <w:uiPriority w:val="99"/>
    <w:semiHidden/>
    <w:unhideWhenUsed/>
    <w:rsid w:val="00A5605D"/>
    <w:rPr>
      <w:rFonts w:ascii="Tahoma" w:hAnsi="Tahoma" w:cs="Tahoma"/>
      <w:sz w:val="16"/>
      <w:szCs w:val="16"/>
    </w:rPr>
  </w:style>
  <w:style w:type="character" w:customStyle="1" w:styleId="BalloonTextChar">
    <w:name w:val="Balloon Text Char"/>
    <w:basedOn w:val="DefaultParagraphFont"/>
    <w:link w:val="BalloonText"/>
    <w:uiPriority w:val="99"/>
    <w:semiHidden/>
    <w:rsid w:val="00A5605D"/>
    <w:rPr>
      <w:rFonts w:ascii="Tahoma" w:eastAsia="Times New Roman" w:hAnsi="Tahoma" w:cs="Tahoma"/>
      <w:sz w:val="16"/>
      <w:szCs w:val="16"/>
    </w:rPr>
  </w:style>
  <w:style w:type="paragraph" w:styleId="Footer">
    <w:name w:val="footer"/>
    <w:basedOn w:val="Normal"/>
    <w:link w:val="FooterChar"/>
    <w:uiPriority w:val="99"/>
    <w:unhideWhenUsed/>
    <w:rsid w:val="003969D3"/>
    <w:pPr>
      <w:tabs>
        <w:tab w:val="center" w:pos="4680"/>
        <w:tab w:val="right" w:pos="9360"/>
      </w:tabs>
    </w:pPr>
  </w:style>
  <w:style w:type="character" w:customStyle="1" w:styleId="FooterChar">
    <w:name w:val="Footer Char"/>
    <w:basedOn w:val="DefaultParagraphFont"/>
    <w:link w:val="Footer"/>
    <w:uiPriority w:val="99"/>
    <w:rsid w:val="003969D3"/>
    <w:rPr>
      <w:rFonts w:eastAsia="Times New Roman" w:cs="Times New Roman"/>
      <w:szCs w:val="24"/>
    </w:rPr>
  </w:style>
  <w:style w:type="paragraph" w:styleId="FootnoteText">
    <w:name w:val="footnote text"/>
    <w:basedOn w:val="Normal"/>
    <w:link w:val="FootnoteTextChar"/>
    <w:uiPriority w:val="99"/>
    <w:semiHidden/>
    <w:unhideWhenUsed/>
    <w:rsid w:val="008246EA"/>
    <w:rPr>
      <w:sz w:val="20"/>
      <w:szCs w:val="20"/>
    </w:rPr>
  </w:style>
  <w:style w:type="character" w:customStyle="1" w:styleId="FootnoteTextChar">
    <w:name w:val="Footnote Text Char"/>
    <w:basedOn w:val="DefaultParagraphFont"/>
    <w:link w:val="FootnoteText"/>
    <w:uiPriority w:val="99"/>
    <w:semiHidden/>
    <w:rsid w:val="008246EA"/>
    <w:rPr>
      <w:rFonts w:eastAsia="Times New Roman" w:cs="Times New Roman"/>
      <w:sz w:val="20"/>
      <w:szCs w:val="20"/>
    </w:rPr>
  </w:style>
  <w:style w:type="character" w:styleId="FootnoteReference">
    <w:name w:val="footnote reference"/>
    <w:basedOn w:val="DefaultParagraphFont"/>
    <w:uiPriority w:val="99"/>
    <w:semiHidden/>
    <w:unhideWhenUsed/>
    <w:rsid w:val="008246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2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720"/>
    <w:pPr>
      <w:tabs>
        <w:tab w:val="center" w:pos="4320"/>
        <w:tab w:val="right" w:pos="8640"/>
      </w:tabs>
    </w:pPr>
  </w:style>
  <w:style w:type="character" w:customStyle="1" w:styleId="HeaderChar">
    <w:name w:val="Header Char"/>
    <w:basedOn w:val="DefaultParagraphFont"/>
    <w:link w:val="Header"/>
    <w:uiPriority w:val="99"/>
    <w:rsid w:val="00195720"/>
    <w:rPr>
      <w:rFonts w:eastAsia="Times New Roman" w:cs="Times New Roman"/>
      <w:szCs w:val="24"/>
    </w:rPr>
  </w:style>
  <w:style w:type="paragraph" w:styleId="ListParagraph">
    <w:name w:val="List Paragraph"/>
    <w:basedOn w:val="Normal"/>
    <w:uiPriority w:val="34"/>
    <w:qFormat/>
    <w:rsid w:val="00195720"/>
    <w:pPr>
      <w:ind w:left="720"/>
    </w:pPr>
  </w:style>
  <w:style w:type="paragraph" w:customStyle="1" w:styleId="FindingsConclusions">
    <w:name w:val="Findings &amp; Conclusions"/>
    <w:basedOn w:val="Normal"/>
    <w:rsid w:val="0086493A"/>
    <w:pPr>
      <w:numPr>
        <w:numId w:val="2"/>
      </w:numPr>
    </w:pPr>
  </w:style>
  <w:style w:type="paragraph" w:styleId="NoSpacing">
    <w:name w:val="No Spacing"/>
    <w:uiPriority w:val="1"/>
    <w:qFormat/>
    <w:rsid w:val="00A5605D"/>
    <w:rPr>
      <w:rFonts w:eastAsia="Times New Roman" w:cs="Times New Roman"/>
      <w:szCs w:val="24"/>
    </w:rPr>
  </w:style>
  <w:style w:type="paragraph" w:styleId="BalloonText">
    <w:name w:val="Balloon Text"/>
    <w:basedOn w:val="Normal"/>
    <w:link w:val="BalloonTextChar"/>
    <w:uiPriority w:val="99"/>
    <w:semiHidden/>
    <w:unhideWhenUsed/>
    <w:rsid w:val="00A5605D"/>
    <w:rPr>
      <w:rFonts w:ascii="Tahoma" w:hAnsi="Tahoma" w:cs="Tahoma"/>
      <w:sz w:val="16"/>
      <w:szCs w:val="16"/>
    </w:rPr>
  </w:style>
  <w:style w:type="character" w:customStyle="1" w:styleId="BalloonTextChar">
    <w:name w:val="Balloon Text Char"/>
    <w:basedOn w:val="DefaultParagraphFont"/>
    <w:link w:val="BalloonText"/>
    <w:uiPriority w:val="99"/>
    <w:semiHidden/>
    <w:rsid w:val="00A5605D"/>
    <w:rPr>
      <w:rFonts w:ascii="Tahoma" w:eastAsia="Times New Roman" w:hAnsi="Tahoma" w:cs="Tahoma"/>
      <w:sz w:val="16"/>
      <w:szCs w:val="16"/>
    </w:rPr>
  </w:style>
  <w:style w:type="paragraph" w:styleId="Footer">
    <w:name w:val="footer"/>
    <w:basedOn w:val="Normal"/>
    <w:link w:val="FooterChar"/>
    <w:uiPriority w:val="99"/>
    <w:unhideWhenUsed/>
    <w:rsid w:val="003969D3"/>
    <w:pPr>
      <w:tabs>
        <w:tab w:val="center" w:pos="4680"/>
        <w:tab w:val="right" w:pos="9360"/>
      </w:tabs>
    </w:pPr>
  </w:style>
  <w:style w:type="character" w:customStyle="1" w:styleId="FooterChar">
    <w:name w:val="Footer Char"/>
    <w:basedOn w:val="DefaultParagraphFont"/>
    <w:link w:val="Footer"/>
    <w:uiPriority w:val="99"/>
    <w:rsid w:val="003969D3"/>
    <w:rPr>
      <w:rFonts w:eastAsia="Times New Roman" w:cs="Times New Roman"/>
      <w:szCs w:val="24"/>
    </w:rPr>
  </w:style>
  <w:style w:type="paragraph" w:styleId="FootnoteText">
    <w:name w:val="footnote text"/>
    <w:basedOn w:val="Normal"/>
    <w:link w:val="FootnoteTextChar"/>
    <w:uiPriority w:val="99"/>
    <w:semiHidden/>
    <w:unhideWhenUsed/>
    <w:rsid w:val="008246EA"/>
    <w:rPr>
      <w:sz w:val="20"/>
      <w:szCs w:val="20"/>
    </w:rPr>
  </w:style>
  <w:style w:type="character" w:customStyle="1" w:styleId="FootnoteTextChar">
    <w:name w:val="Footnote Text Char"/>
    <w:basedOn w:val="DefaultParagraphFont"/>
    <w:link w:val="FootnoteText"/>
    <w:uiPriority w:val="99"/>
    <w:semiHidden/>
    <w:rsid w:val="008246EA"/>
    <w:rPr>
      <w:rFonts w:eastAsia="Times New Roman" w:cs="Times New Roman"/>
      <w:sz w:val="20"/>
      <w:szCs w:val="20"/>
    </w:rPr>
  </w:style>
  <w:style w:type="character" w:styleId="FootnoteReference">
    <w:name w:val="footnote reference"/>
    <w:basedOn w:val="DefaultParagraphFont"/>
    <w:uiPriority w:val="99"/>
    <w:semiHidden/>
    <w:unhideWhenUsed/>
    <w:rsid w:val="0082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9968B3ADC60E40AD2C4E639426D0A1" ma:contentTypeVersion="135" ma:contentTypeDescription="" ma:contentTypeScope="" ma:versionID="e4be0cd5446617811ada6c70687728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2013-12-16T08:00:00+00:00</OpenedDate>
    <Date1 xmlns="dc463f71-b30c-4ab2-9473-d307f9d35888">2014-03-11T07:00:00+00:00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132281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9E9BC5-DDD1-49C8-9D23-FA200C7FE03E}"/>
</file>

<file path=customXml/itemProps2.xml><?xml version="1.0" encoding="utf-8"?>
<ds:datastoreItem xmlns:ds="http://schemas.openxmlformats.org/officeDocument/2006/customXml" ds:itemID="{DF73A1AC-6896-4CC3-90F6-2FA08FE58F85}"/>
</file>

<file path=customXml/itemProps3.xml><?xml version="1.0" encoding="utf-8"?>
<ds:datastoreItem xmlns:ds="http://schemas.openxmlformats.org/officeDocument/2006/customXml" ds:itemID="{54AA4D56-3A7E-407F-A89C-A99C26E62F33}"/>
</file>

<file path=customXml/itemProps4.xml><?xml version="1.0" encoding="utf-8"?>
<ds:datastoreItem xmlns:ds="http://schemas.openxmlformats.org/officeDocument/2006/customXml" ds:itemID="{554E279C-C94B-4FEA-A30F-8090B5C55AF4}"/>
</file>

<file path=customXml/itemProps5.xml><?xml version="1.0" encoding="utf-8"?>
<ds:datastoreItem xmlns:ds="http://schemas.openxmlformats.org/officeDocument/2006/customXml" ds:itemID="{0DD7A975-05F3-48B2-896F-7FC66A00562C}"/>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2014-03-11T18:06:00Z</dcterms:created>
  <dcterms:modified xsi:type="dcterms:W3CDTF">2014-03-11T18:06:00Z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0x0101006E56B4D1795A2E4DB2F0B01679ED314A009B9968B3ADC60E40AD2C4E639426D0A1</vt:lpwstr>
  </property>
  <property fmtid="{D5CDD505-2E9C-101B-9397-08002B2CF9AE}" pid="3" name="_docset_NoMedatataSyncRequired">
    <vt:lpwstr>False</vt:lpwstr>
  </property>
</Properties>
</file>