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8F99D" w14:textId="77777777" w:rsidR="00F0631D" w:rsidRPr="00843651" w:rsidRDefault="00F0631D" w:rsidP="000E03CA">
      <w:pPr>
        <w:rPr>
          <w:rFonts w:ascii="Times New Roman" w:hAnsi="Times New Roman"/>
        </w:rPr>
      </w:pPr>
      <w:bookmarkStart w:id="0" w:name="_GoBack"/>
      <w:bookmarkEnd w:id="0"/>
    </w:p>
    <w:p w14:paraId="0608F99E" w14:textId="77777777" w:rsidR="000E03CA" w:rsidRPr="00843651" w:rsidRDefault="000E03CA" w:rsidP="000E03CA">
      <w:pPr>
        <w:rPr>
          <w:rFonts w:ascii="Times New Roman" w:hAnsi="Times New Roman"/>
        </w:rPr>
      </w:pPr>
      <w:r w:rsidRPr="00843651">
        <w:rPr>
          <w:rFonts w:ascii="Times New Roman" w:hAnsi="Times New Roman"/>
        </w:rPr>
        <w:t>Agenda Date:</w:t>
      </w:r>
      <w:r w:rsidRPr="00843651">
        <w:rPr>
          <w:rFonts w:ascii="Times New Roman" w:hAnsi="Times New Roman"/>
        </w:rPr>
        <w:tab/>
      </w:r>
      <w:r w:rsidRPr="00843651">
        <w:rPr>
          <w:rFonts w:ascii="Times New Roman" w:hAnsi="Times New Roman"/>
        </w:rPr>
        <w:tab/>
      </w:r>
      <w:r w:rsidR="00BA6FC1">
        <w:rPr>
          <w:rFonts w:ascii="Times New Roman" w:hAnsi="Times New Roman"/>
        </w:rPr>
        <w:t>December 18, 2013</w:t>
      </w:r>
    </w:p>
    <w:p w14:paraId="0608F99F" w14:textId="77777777" w:rsidR="000E03CA" w:rsidRPr="00843651" w:rsidRDefault="000E03CA" w:rsidP="003A447A">
      <w:pPr>
        <w:ind w:left="2160" w:hanging="2160"/>
        <w:rPr>
          <w:rFonts w:ascii="Times New Roman" w:hAnsi="Times New Roman"/>
        </w:rPr>
      </w:pPr>
      <w:r w:rsidRPr="00843651">
        <w:rPr>
          <w:rFonts w:ascii="Times New Roman" w:hAnsi="Times New Roman"/>
        </w:rPr>
        <w:t>Item Number:</w:t>
      </w:r>
      <w:r w:rsidRPr="00843651">
        <w:rPr>
          <w:rFonts w:ascii="Times New Roman" w:hAnsi="Times New Roman"/>
        </w:rPr>
        <w:tab/>
      </w:r>
      <w:r w:rsidR="0008228A">
        <w:rPr>
          <w:rFonts w:ascii="Times New Roman" w:hAnsi="Times New Roman"/>
        </w:rPr>
        <w:t>D10</w:t>
      </w:r>
    </w:p>
    <w:p w14:paraId="0608F9A0" w14:textId="77777777" w:rsidR="000E03CA" w:rsidRPr="00843651" w:rsidRDefault="000E03CA" w:rsidP="000E03CA">
      <w:pPr>
        <w:rPr>
          <w:rFonts w:ascii="Times New Roman" w:hAnsi="Times New Roman"/>
        </w:rPr>
      </w:pPr>
    </w:p>
    <w:p w14:paraId="0608F9A1" w14:textId="77777777" w:rsidR="000E03CA" w:rsidRPr="00843651" w:rsidRDefault="000E03CA" w:rsidP="000E03CA">
      <w:pPr>
        <w:rPr>
          <w:rFonts w:ascii="Times New Roman" w:hAnsi="Times New Roman"/>
          <w:b/>
          <w:bCs/>
        </w:rPr>
      </w:pPr>
      <w:r w:rsidRPr="00843651">
        <w:rPr>
          <w:rFonts w:ascii="Times New Roman" w:hAnsi="Times New Roman"/>
          <w:b/>
          <w:bCs/>
        </w:rPr>
        <w:t>Docket:</w:t>
      </w:r>
      <w:r w:rsidRPr="00843651">
        <w:rPr>
          <w:rFonts w:ascii="Times New Roman" w:hAnsi="Times New Roman"/>
          <w:b/>
          <w:bCs/>
        </w:rPr>
        <w:tab/>
      </w:r>
      <w:r w:rsidRPr="00843651">
        <w:rPr>
          <w:rFonts w:ascii="Times New Roman" w:hAnsi="Times New Roman"/>
          <w:b/>
          <w:bCs/>
        </w:rPr>
        <w:tab/>
      </w:r>
      <w:r w:rsidR="00BA6FC1">
        <w:rPr>
          <w:rFonts w:ascii="Times New Roman" w:hAnsi="Times New Roman"/>
          <w:b/>
          <w:bCs/>
        </w:rPr>
        <w:t>UG-132147</w:t>
      </w:r>
    </w:p>
    <w:p w14:paraId="0608F9A2" w14:textId="77777777" w:rsidR="000E03CA" w:rsidRPr="00843651" w:rsidRDefault="000E03CA" w:rsidP="000E03CA">
      <w:pPr>
        <w:rPr>
          <w:rFonts w:ascii="Times New Roman" w:hAnsi="Times New Roman"/>
        </w:rPr>
      </w:pPr>
      <w:r w:rsidRPr="00843651">
        <w:rPr>
          <w:rFonts w:ascii="Times New Roman" w:hAnsi="Times New Roman"/>
        </w:rPr>
        <w:t>Company:</w:t>
      </w:r>
      <w:r w:rsidRPr="00843651">
        <w:rPr>
          <w:rFonts w:ascii="Times New Roman" w:hAnsi="Times New Roman"/>
        </w:rPr>
        <w:tab/>
      </w:r>
      <w:r w:rsidRPr="00843651">
        <w:rPr>
          <w:rFonts w:ascii="Times New Roman" w:hAnsi="Times New Roman"/>
        </w:rPr>
        <w:tab/>
      </w:r>
      <w:r w:rsidR="00A63258" w:rsidRPr="00843651">
        <w:rPr>
          <w:rFonts w:ascii="Times New Roman" w:hAnsi="Times New Roman"/>
        </w:rPr>
        <w:t>Northwest Natural Gas Company</w:t>
      </w:r>
    </w:p>
    <w:p w14:paraId="0608F9A3" w14:textId="77777777" w:rsidR="00C02A77" w:rsidRPr="00843651" w:rsidRDefault="00C02A77" w:rsidP="000E03CA">
      <w:pPr>
        <w:rPr>
          <w:rFonts w:ascii="Times New Roman" w:hAnsi="Times New Roman"/>
        </w:rPr>
      </w:pPr>
    </w:p>
    <w:p w14:paraId="0608F9A4" w14:textId="77777777" w:rsidR="00C36EB2" w:rsidRDefault="00766124" w:rsidP="00766124">
      <w:pPr>
        <w:rPr>
          <w:rFonts w:ascii="Times New Roman" w:hAnsi="Times New Roman"/>
        </w:rPr>
      </w:pPr>
      <w:r w:rsidRPr="00843651">
        <w:rPr>
          <w:rFonts w:ascii="Times New Roman" w:hAnsi="Times New Roman"/>
        </w:rPr>
        <w:t>Staff:</w:t>
      </w:r>
      <w:r w:rsidRPr="00843651">
        <w:rPr>
          <w:rFonts w:ascii="Times New Roman" w:hAnsi="Times New Roman"/>
        </w:rPr>
        <w:tab/>
      </w:r>
      <w:r w:rsidRPr="00843651">
        <w:rPr>
          <w:rFonts w:ascii="Times New Roman" w:hAnsi="Times New Roman"/>
        </w:rPr>
        <w:tab/>
      </w:r>
      <w:r w:rsidR="000E03CA" w:rsidRPr="00843651">
        <w:rPr>
          <w:rFonts w:ascii="Times New Roman" w:hAnsi="Times New Roman"/>
        </w:rPr>
        <w:t xml:space="preserve"> </w:t>
      </w:r>
      <w:r w:rsidRPr="00843651">
        <w:rPr>
          <w:rFonts w:ascii="Times New Roman" w:hAnsi="Times New Roman"/>
        </w:rPr>
        <w:tab/>
      </w:r>
      <w:r w:rsidR="00C36EB2">
        <w:rPr>
          <w:rFonts w:ascii="Times New Roman" w:hAnsi="Times New Roman"/>
        </w:rPr>
        <w:t>Brad Cebulko, Regulatory Analyst</w:t>
      </w:r>
    </w:p>
    <w:p w14:paraId="0608F9A5" w14:textId="77777777" w:rsidR="00766CE4" w:rsidRPr="00843651" w:rsidRDefault="000E03CA" w:rsidP="00C36EB2">
      <w:pPr>
        <w:ind w:left="1440" w:firstLine="720"/>
        <w:rPr>
          <w:rFonts w:ascii="Times New Roman" w:hAnsi="Times New Roman"/>
        </w:rPr>
      </w:pPr>
      <w:r w:rsidRPr="00843651">
        <w:rPr>
          <w:rFonts w:ascii="Times New Roman" w:hAnsi="Times New Roman"/>
        </w:rPr>
        <w:t>Chris McGuire, Regulatory Analyst</w:t>
      </w:r>
      <w:r w:rsidR="00766CE4" w:rsidRPr="00843651">
        <w:rPr>
          <w:rFonts w:ascii="Times New Roman" w:hAnsi="Times New Roman"/>
        </w:rPr>
        <w:tab/>
      </w:r>
    </w:p>
    <w:p w14:paraId="0608F9A6" w14:textId="77777777" w:rsidR="000911D5" w:rsidRPr="00843651" w:rsidRDefault="000911D5" w:rsidP="000E03CA">
      <w:pPr>
        <w:rPr>
          <w:rFonts w:ascii="Times New Roman" w:hAnsi="Times New Roman"/>
          <w:b/>
          <w:bCs/>
          <w:u w:val="single"/>
        </w:rPr>
      </w:pPr>
    </w:p>
    <w:p w14:paraId="0608F9A7" w14:textId="77777777" w:rsidR="00843651" w:rsidRPr="00775224" w:rsidRDefault="00843651" w:rsidP="00843651">
      <w:pPr>
        <w:pStyle w:val="Heading1"/>
        <w:rPr>
          <w:u w:val="single"/>
        </w:rPr>
      </w:pPr>
      <w:r w:rsidRPr="00775224">
        <w:rPr>
          <w:u w:val="single"/>
        </w:rPr>
        <w:t>Recommendation</w:t>
      </w:r>
    </w:p>
    <w:p w14:paraId="0608F9A8" w14:textId="07CD6549" w:rsidR="00843651" w:rsidRPr="00843651" w:rsidRDefault="00843651" w:rsidP="00843651">
      <w:pPr>
        <w:rPr>
          <w:rFonts w:ascii="Times New Roman" w:hAnsi="Times New Roman"/>
          <w:color w:val="1F497D"/>
        </w:rPr>
      </w:pPr>
      <w:r w:rsidRPr="00843651">
        <w:rPr>
          <w:rFonts w:ascii="Times New Roman" w:hAnsi="Times New Roman"/>
        </w:rPr>
        <w:t xml:space="preserve">Take no action, </w:t>
      </w:r>
      <w:r>
        <w:rPr>
          <w:rFonts w:ascii="Times New Roman" w:hAnsi="Times New Roman"/>
        </w:rPr>
        <w:t>thereby allowing t</w:t>
      </w:r>
      <w:r w:rsidR="006C19A6">
        <w:rPr>
          <w:rFonts w:ascii="Times New Roman" w:hAnsi="Times New Roman"/>
        </w:rPr>
        <w:t xml:space="preserve">he proposed tariff revision to </w:t>
      </w:r>
      <w:r w:rsidR="004972CF">
        <w:rPr>
          <w:rFonts w:ascii="Times New Roman" w:hAnsi="Times New Roman"/>
        </w:rPr>
        <w:t>go into effect</w:t>
      </w:r>
      <w:r w:rsidR="006C19A6">
        <w:rPr>
          <w:rFonts w:ascii="Times New Roman" w:hAnsi="Times New Roman"/>
        </w:rPr>
        <w:t xml:space="preserve"> by operation of law</w:t>
      </w:r>
      <w:r w:rsidR="00BF2893">
        <w:rPr>
          <w:rFonts w:ascii="Times New Roman" w:hAnsi="Times New Roman"/>
        </w:rPr>
        <w:t xml:space="preserve"> on </w:t>
      </w:r>
      <w:r w:rsidR="00DA322A">
        <w:rPr>
          <w:rFonts w:ascii="Times New Roman" w:hAnsi="Times New Roman"/>
        </w:rPr>
        <w:t>Jan</w:t>
      </w:r>
      <w:r w:rsidR="0081761C">
        <w:rPr>
          <w:rFonts w:ascii="Times New Roman" w:hAnsi="Times New Roman"/>
        </w:rPr>
        <w:t xml:space="preserve">uary </w:t>
      </w:r>
      <w:r w:rsidR="00BF2893">
        <w:rPr>
          <w:rFonts w:ascii="Times New Roman" w:hAnsi="Times New Roman"/>
        </w:rPr>
        <w:t>1, 2014</w:t>
      </w:r>
      <w:r w:rsidR="006C19A6">
        <w:rPr>
          <w:rFonts w:ascii="Times New Roman" w:hAnsi="Times New Roman"/>
        </w:rPr>
        <w:t>, and</w:t>
      </w:r>
      <w:r>
        <w:rPr>
          <w:rFonts w:ascii="Times New Roman" w:hAnsi="Times New Roman"/>
        </w:rPr>
        <w:t xml:space="preserve"> </w:t>
      </w:r>
      <w:r w:rsidR="006C19A6">
        <w:rPr>
          <w:rFonts w:ascii="Times New Roman" w:hAnsi="Times New Roman"/>
        </w:rPr>
        <w:t xml:space="preserve">acknowledging receipt of Northwest Natural Gas Company’s </w:t>
      </w:r>
      <w:r w:rsidR="00F72E98">
        <w:rPr>
          <w:rFonts w:ascii="Times New Roman" w:hAnsi="Times New Roman"/>
        </w:rPr>
        <w:t>2014</w:t>
      </w:r>
      <w:r w:rsidRPr="00843651">
        <w:rPr>
          <w:rFonts w:ascii="Times New Roman" w:hAnsi="Times New Roman"/>
        </w:rPr>
        <w:t xml:space="preserve"> </w:t>
      </w:r>
      <w:r w:rsidR="006C19A6">
        <w:rPr>
          <w:rFonts w:ascii="Times New Roman" w:hAnsi="Times New Roman"/>
        </w:rPr>
        <w:t>Energy Efficiency Plan</w:t>
      </w:r>
      <w:r w:rsidRPr="00843651">
        <w:rPr>
          <w:rFonts w:ascii="Times New Roman" w:hAnsi="Times New Roman"/>
        </w:rPr>
        <w:t xml:space="preserve"> </w:t>
      </w:r>
      <w:r>
        <w:rPr>
          <w:rFonts w:ascii="Times New Roman" w:hAnsi="Times New Roman"/>
        </w:rPr>
        <w:t xml:space="preserve">in Docket </w:t>
      </w:r>
      <w:r w:rsidR="007E7D82">
        <w:rPr>
          <w:rFonts w:ascii="Times New Roman" w:hAnsi="Times New Roman"/>
        </w:rPr>
        <w:t>UG</w:t>
      </w:r>
      <w:r>
        <w:rPr>
          <w:rFonts w:ascii="Times New Roman" w:hAnsi="Times New Roman"/>
        </w:rPr>
        <w:t>-1</w:t>
      </w:r>
      <w:r w:rsidR="00F72E98">
        <w:rPr>
          <w:rFonts w:ascii="Times New Roman" w:hAnsi="Times New Roman"/>
        </w:rPr>
        <w:t>32147</w:t>
      </w:r>
      <w:r w:rsidRPr="00843651">
        <w:rPr>
          <w:rFonts w:ascii="Times New Roman" w:hAnsi="Times New Roman"/>
        </w:rPr>
        <w:t xml:space="preserve">. </w:t>
      </w:r>
    </w:p>
    <w:p w14:paraId="0608F9A9" w14:textId="77777777" w:rsidR="00843651" w:rsidRPr="00775224" w:rsidRDefault="00843651" w:rsidP="00843651">
      <w:pPr>
        <w:pStyle w:val="Heading1"/>
        <w:rPr>
          <w:u w:val="single"/>
        </w:rPr>
      </w:pPr>
      <w:r w:rsidRPr="00775224">
        <w:rPr>
          <w:u w:val="single"/>
        </w:rPr>
        <w:t>Background</w:t>
      </w:r>
    </w:p>
    <w:p w14:paraId="0608F9AA" w14:textId="6DB35897" w:rsidR="004D072C" w:rsidRDefault="004D072C" w:rsidP="00843651">
      <w:pPr>
        <w:rPr>
          <w:rFonts w:ascii="Times New Roman" w:hAnsi="Times New Roman"/>
        </w:rPr>
      </w:pPr>
      <w:r>
        <w:rPr>
          <w:rFonts w:ascii="Times New Roman" w:hAnsi="Times New Roman"/>
        </w:rPr>
        <w:t>Northwest Natural Gas Company (NW Natural or company)</w:t>
      </w:r>
      <w:r w:rsidR="00843651" w:rsidRPr="00843651">
        <w:rPr>
          <w:rFonts w:ascii="Times New Roman" w:hAnsi="Times New Roman"/>
        </w:rPr>
        <w:t xml:space="preserve"> is currently operating its energy efficiency programs under </w:t>
      </w:r>
      <w:r w:rsidR="00EA778F">
        <w:rPr>
          <w:rFonts w:ascii="Times New Roman" w:hAnsi="Times New Roman"/>
        </w:rPr>
        <w:t xml:space="preserve">a </w:t>
      </w:r>
      <w:r w:rsidR="00BB3ABD">
        <w:rPr>
          <w:rFonts w:ascii="Times New Roman" w:hAnsi="Times New Roman"/>
        </w:rPr>
        <w:t>settlement s</w:t>
      </w:r>
      <w:r>
        <w:rPr>
          <w:rFonts w:ascii="Times New Roman" w:hAnsi="Times New Roman"/>
        </w:rPr>
        <w:t>tipulation</w:t>
      </w:r>
      <w:r w:rsidR="00843651" w:rsidRPr="00843651">
        <w:rPr>
          <w:rFonts w:ascii="Times New Roman" w:hAnsi="Times New Roman"/>
        </w:rPr>
        <w:t xml:space="preserve"> approved by the Washington Utilities and Transportation Commission (commission) </w:t>
      </w:r>
      <w:r>
        <w:rPr>
          <w:rFonts w:ascii="Times New Roman" w:hAnsi="Times New Roman"/>
        </w:rPr>
        <w:t xml:space="preserve">in Order 04 of Docket UG-080546. </w:t>
      </w:r>
      <w:r w:rsidR="00CB7DF6">
        <w:rPr>
          <w:rFonts w:ascii="Times New Roman" w:hAnsi="Times New Roman"/>
        </w:rPr>
        <w:t>The programs are administered by the Energy Trust of Oregon</w:t>
      </w:r>
      <w:r w:rsidR="001F3CA0">
        <w:rPr>
          <w:rFonts w:ascii="Times New Roman" w:hAnsi="Times New Roman"/>
        </w:rPr>
        <w:t xml:space="preserve"> (ETO)</w:t>
      </w:r>
      <w:r w:rsidR="00CB7DF6">
        <w:rPr>
          <w:rFonts w:ascii="Times New Roman" w:hAnsi="Times New Roman"/>
        </w:rPr>
        <w:t xml:space="preserve"> and reviewed and monitored by </w:t>
      </w:r>
      <w:r w:rsidR="00237022">
        <w:rPr>
          <w:rFonts w:ascii="Times New Roman" w:hAnsi="Times New Roman"/>
        </w:rPr>
        <w:t xml:space="preserve">the company’s Energy Efficiency </w:t>
      </w:r>
      <w:r w:rsidR="00CB7DF6">
        <w:rPr>
          <w:rFonts w:ascii="Times New Roman" w:hAnsi="Times New Roman"/>
        </w:rPr>
        <w:t>Advisory Group (EEAG) in compliance with the</w:t>
      </w:r>
      <w:r w:rsidR="00C9605B">
        <w:rPr>
          <w:rFonts w:ascii="Times New Roman" w:hAnsi="Times New Roman"/>
        </w:rPr>
        <w:t xml:space="preserve"> stipulated agreement</w:t>
      </w:r>
      <w:r w:rsidR="00904430">
        <w:rPr>
          <w:rFonts w:ascii="Times New Roman" w:hAnsi="Times New Roman"/>
        </w:rPr>
        <w:t>.</w:t>
      </w:r>
      <w:r w:rsidR="00303952">
        <w:rPr>
          <w:rFonts w:ascii="Times New Roman" w:hAnsi="Times New Roman"/>
        </w:rPr>
        <w:t xml:space="preserve"> Each year, NW Natural revises its Energy Efficiency </w:t>
      </w:r>
      <w:r w:rsidR="004534BD">
        <w:rPr>
          <w:rFonts w:ascii="Times New Roman" w:hAnsi="Times New Roman"/>
        </w:rPr>
        <w:t xml:space="preserve">(EE) </w:t>
      </w:r>
      <w:r w:rsidR="00303952">
        <w:rPr>
          <w:rFonts w:ascii="Times New Roman" w:hAnsi="Times New Roman"/>
        </w:rPr>
        <w:t>Plan to r</w:t>
      </w:r>
      <w:r w:rsidR="00024D69">
        <w:rPr>
          <w:rFonts w:ascii="Times New Roman" w:hAnsi="Times New Roman"/>
        </w:rPr>
        <w:t>eflect program modifications,</w:t>
      </w:r>
      <w:r w:rsidR="00303952">
        <w:rPr>
          <w:rFonts w:ascii="Times New Roman" w:hAnsi="Times New Roman"/>
        </w:rPr>
        <w:t xml:space="preserve"> </w:t>
      </w:r>
      <w:r w:rsidR="004534BD">
        <w:rPr>
          <w:rFonts w:ascii="Times New Roman" w:hAnsi="Times New Roman"/>
        </w:rPr>
        <w:t xml:space="preserve">a revised budget and performance metrics for the upcoming calendar year. The company submits its revised EE Plan to the commission when it makes its annual advice filing, submitted no later than </w:t>
      </w:r>
      <w:r w:rsidR="00DA322A">
        <w:rPr>
          <w:rFonts w:ascii="Times New Roman" w:hAnsi="Times New Roman"/>
        </w:rPr>
        <w:t>Dec</w:t>
      </w:r>
      <w:r w:rsidR="0081761C">
        <w:rPr>
          <w:rFonts w:ascii="Times New Roman" w:hAnsi="Times New Roman"/>
        </w:rPr>
        <w:t xml:space="preserve">ember </w:t>
      </w:r>
      <w:r w:rsidR="004534BD">
        <w:rPr>
          <w:rFonts w:ascii="Times New Roman" w:hAnsi="Times New Roman"/>
        </w:rPr>
        <w:t xml:space="preserve">1. </w:t>
      </w:r>
    </w:p>
    <w:p w14:paraId="0608F9AB" w14:textId="77777777" w:rsidR="004D072C" w:rsidRDefault="004D072C" w:rsidP="00843651">
      <w:pPr>
        <w:rPr>
          <w:rFonts w:ascii="Times New Roman" w:hAnsi="Times New Roman"/>
        </w:rPr>
      </w:pPr>
    </w:p>
    <w:p w14:paraId="0608F9AC" w14:textId="6FD766D7" w:rsidR="004D072C" w:rsidRDefault="00F72E98" w:rsidP="00843651">
      <w:pPr>
        <w:rPr>
          <w:rFonts w:ascii="Times New Roman" w:hAnsi="Times New Roman"/>
        </w:rPr>
      </w:pPr>
      <w:r>
        <w:rPr>
          <w:rFonts w:ascii="Times New Roman" w:hAnsi="Times New Roman"/>
        </w:rPr>
        <w:t xml:space="preserve">On </w:t>
      </w:r>
      <w:r w:rsidR="00DA322A">
        <w:rPr>
          <w:rFonts w:ascii="Times New Roman" w:hAnsi="Times New Roman"/>
        </w:rPr>
        <w:t>Nov</w:t>
      </w:r>
      <w:r w:rsidR="0081761C">
        <w:rPr>
          <w:rFonts w:ascii="Times New Roman" w:hAnsi="Times New Roman"/>
        </w:rPr>
        <w:t xml:space="preserve">ember </w:t>
      </w:r>
      <w:r>
        <w:rPr>
          <w:rFonts w:ascii="Times New Roman" w:hAnsi="Times New Roman"/>
        </w:rPr>
        <w:t>22, 2013</w:t>
      </w:r>
      <w:r w:rsidR="00F7409B">
        <w:rPr>
          <w:rFonts w:ascii="Times New Roman" w:hAnsi="Times New Roman"/>
        </w:rPr>
        <w:t>, NW Natural filed revisions to its tariff Schedule G</w:t>
      </w:r>
      <w:r w:rsidR="00190CA5">
        <w:rPr>
          <w:rFonts w:ascii="Times New Roman" w:hAnsi="Times New Roman"/>
        </w:rPr>
        <w:t xml:space="preserve"> in Docket UG-1</w:t>
      </w:r>
      <w:r>
        <w:rPr>
          <w:rFonts w:ascii="Times New Roman" w:hAnsi="Times New Roman"/>
        </w:rPr>
        <w:t>32147</w:t>
      </w:r>
      <w:r w:rsidR="00F7409B">
        <w:rPr>
          <w:rFonts w:ascii="Times New Roman" w:hAnsi="Times New Roman"/>
        </w:rPr>
        <w:t xml:space="preserve">. The purpose of the filing is to revise the company’s </w:t>
      </w:r>
      <w:r w:rsidR="007E7D82">
        <w:rPr>
          <w:rFonts w:ascii="Times New Roman" w:hAnsi="Times New Roman"/>
        </w:rPr>
        <w:t>EE</w:t>
      </w:r>
      <w:r w:rsidR="00F7409B">
        <w:rPr>
          <w:rFonts w:ascii="Times New Roman" w:hAnsi="Times New Roman"/>
        </w:rPr>
        <w:t xml:space="preserve"> Plan</w:t>
      </w:r>
      <w:r w:rsidR="007E7D82">
        <w:rPr>
          <w:rFonts w:ascii="Times New Roman" w:hAnsi="Times New Roman"/>
        </w:rPr>
        <w:t>,</w:t>
      </w:r>
      <w:r w:rsidR="00F7409B">
        <w:rPr>
          <w:rFonts w:ascii="Times New Roman" w:hAnsi="Times New Roman"/>
        </w:rPr>
        <w:t xml:space="preserve"> which </w:t>
      </w:r>
      <w:r w:rsidR="007E7D82">
        <w:rPr>
          <w:rFonts w:ascii="Times New Roman" w:hAnsi="Times New Roman"/>
        </w:rPr>
        <w:t xml:space="preserve">is incorporated by </w:t>
      </w:r>
      <w:r w:rsidR="00F7409B">
        <w:rPr>
          <w:rFonts w:ascii="Times New Roman" w:hAnsi="Times New Roman"/>
        </w:rPr>
        <w:t xml:space="preserve">reference on Sheet G.1 of the company’s </w:t>
      </w:r>
      <w:r w:rsidR="007E7D82">
        <w:rPr>
          <w:rFonts w:ascii="Times New Roman" w:hAnsi="Times New Roman"/>
        </w:rPr>
        <w:t>tariff</w:t>
      </w:r>
      <w:r w:rsidR="00F7409B">
        <w:rPr>
          <w:rFonts w:ascii="Times New Roman" w:hAnsi="Times New Roman"/>
        </w:rPr>
        <w:t>. The pla</w:t>
      </w:r>
      <w:r>
        <w:rPr>
          <w:rFonts w:ascii="Times New Roman" w:hAnsi="Times New Roman"/>
        </w:rPr>
        <w:t>n is revised to include the 2014</w:t>
      </w:r>
      <w:r w:rsidR="00F7409B">
        <w:rPr>
          <w:rFonts w:ascii="Times New Roman" w:hAnsi="Times New Roman"/>
        </w:rPr>
        <w:t xml:space="preserve"> calendar year program goals and </w:t>
      </w:r>
      <w:r w:rsidR="00CD62CB">
        <w:rPr>
          <w:rFonts w:ascii="Times New Roman" w:hAnsi="Times New Roman"/>
        </w:rPr>
        <w:t>budget and to reflect revisions</w:t>
      </w:r>
      <w:r w:rsidR="00F7409B">
        <w:rPr>
          <w:rFonts w:ascii="Times New Roman" w:hAnsi="Times New Roman"/>
        </w:rPr>
        <w:t xml:space="preserve"> to </w:t>
      </w:r>
      <w:r w:rsidR="00237022">
        <w:rPr>
          <w:rFonts w:ascii="Times New Roman" w:hAnsi="Times New Roman"/>
        </w:rPr>
        <w:t xml:space="preserve">three </w:t>
      </w:r>
      <w:r w:rsidR="00F7409B">
        <w:rPr>
          <w:rFonts w:ascii="Times New Roman" w:hAnsi="Times New Roman"/>
        </w:rPr>
        <w:t xml:space="preserve">of its existing incentive offerings. </w:t>
      </w:r>
      <w:r w:rsidR="00CD62CB">
        <w:rPr>
          <w:rFonts w:ascii="Times New Roman" w:hAnsi="Times New Roman"/>
        </w:rPr>
        <w:t>The proposed tariff revision is stated to bec</w:t>
      </w:r>
      <w:r>
        <w:rPr>
          <w:rFonts w:ascii="Times New Roman" w:hAnsi="Times New Roman"/>
        </w:rPr>
        <w:t xml:space="preserve">ome effective on </w:t>
      </w:r>
      <w:r w:rsidR="00DA322A">
        <w:rPr>
          <w:rFonts w:ascii="Times New Roman" w:hAnsi="Times New Roman"/>
        </w:rPr>
        <w:t>Jan</w:t>
      </w:r>
      <w:r w:rsidR="0081761C">
        <w:rPr>
          <w:rFonts w:ascii="Times New Roman" w:hAnsi="Times New Roman"/>
        </w:rPr>
        <w:t xml:space="preserve">uary </w:t>
      </w:r>
      <w:r>
        <w:rPr>
          <w:rFonts w:ascii="Times New Roman" w:hAnsi="Times New Roman"/>
        </w:rPr>
        <w:t>1, 2014</w:t>
      </w:r>
      <w:r w:rsidR="00CD62CB">
        <w:rPr>
          <w:rFonts w:ascii="Times New Roman" w:hAnsi="Times New Roman"/>
        </w:rPr>
        <w:t xml:space="preserve">. </w:t>
      </w:r>
    </w:p>
    <w:p w14:paraId="0608F9AD" w14:textId="77777777" w:rsidR="00721488" w:rsidRDefault="00721488" w:rsidP="00843651">
      <w:pPr>
        <w:rPr>
          <w:rFonts w:ascii="Times New Roman" w:hAnsi="Times New Roman"/>
        </w:rPr>
      </w:pPr>
    </w:p>
    <w:p w14:paraId="0608F9AE" w14:textId="77777777" w:rsidR="00721488" w:rsidRDefault="00721488" w:rsidP="00721488">
      <w:pPr>
        <w:rPr>
          <w:rFonts w:ascii="Times New Roman" w:hAnsi="Times New Roman"/>
        </w:rPr>
      </w:pPr>
      <w:r>
        <w:rPr>
          <w:rFonts w:ascii="Times New Roman" w:hAnsi="Times New Roman"/>
        </w:rPr>
        <w:t>NW Natural serves approximately 70,000 gas customers in Clark, Skamania, and Klickitat counties.</w:t>
      </w:r>
    </w:p>
    <w:p w14:paraId="0608F9AF" w14:textId="77777777" w:rsidR="00721488" w:rsidRDefault="00721488" w:rsidP="00843651">
      <w:pPr>
        <w:rPr>
          <w:rFonts w:ascii="Times New Roman" w:hAnsi="Times New Roman"/>
        </w:rPr>
      </w:pPr>
    </w:p>
    <w:p w14:paraId="0608F9B0" w14:textId="77777777" w:rsidR="00843651" w:rsidRPr="00775224" w:rsidRDefault="00775224" w:rsidP="00843651">
      <w:pPr>
        <w:rPr>
          <w:rFonts w:ascii="Times New Roman" w:hAnsi="Times New Roman"/>
          <w:b/>
          <w:u w:val="single"/>
        </w:rPr>
      </w:pPr>
      <w:r>
        <w:rPr>
          <w:rFonts w:ascii="Times New Roman" w:hAnsi="Times New Roman"/>
          <w:b/>
          <w:u w:val="single"/>
        </w:rPr>
        <w:t>Discussion</w:t>
      </w:r>
    </w:p>
    <w:p w14:paraId="0608F9B1" w14:textId="77777777" w:rsidR="00986533" w:rsidRDefault="00986533" w:rsidP="00843651">
      <w:pPr>
        <w:rPr>
          <w:rFonts w:ascii="Times New Roman" w:eastAsia="Calibri" w:hAnsi="Times New Roman"/>
        </w:rPr>
      </w:pPr>
    </w:p>
    <w:p w14:paraId="0608F9B2" w14:textId="77777777" w:rsidR="00986533" w:rsidRPr="000B045B" w:rsidRDefault="00585D36" w:rsidP="00843651">
      <w:pPr>
        <w:rPr>
          <w:rFonts w:ascii="Times New Roman" w:hAnsi="Times New Roman"/>
          <w:b/>
          <w:i/>
        </w:rPr>
      </w:pPr>
      <w:r w:rsidRPr="000B045B">
        <w:rPr>
          <w:rFonts w:ascii="Times New Roman" w:hAnsi="Times New Roman"/>
          <w:b/>
          <w:i/>
        </w:rPr>
        <w:t>Plan Changes for 2014</w:t>
      </w:r>
    </w:p>
    <w:p w14:paraId="0608F9B3" w14:textId="77777777" w:rsidR="001972FB" w:rsidRDefault="001972FB" w:rsidP="001972FB">
      <w:pPr>
        <w:rPr>
          <w:rFonts w:ascii="Times New Roman" w:hAnsi="Times New Roman"/>
        </w:rPr>
      </w:pPr>
    </w:p>
    <w:p w14:paraId="0608F9B4" w14:textId="1F54DCF2" w:rsidR="00CE73FC" w:rsidRPr="001C5270" w:rsidRDefault="00EA778F" w:rsidP="00CE73FC">
      <w:pPr>
        <w:rPr>
          <w:rFonts w:ascii="Times New Roman" w:hAnsi="Times New Roman"/>
        </w:rPr>
      </w:pPr>
      <w:r>
        <w:rPr>
          <w:rFonts w:ascii="Times New Roman" w:hAnsi="Times New Roman"/>
        </w:rPr>
        <w:t xml:space="preserve">The </w:t>
      </w:r>
      <w:r w:rsidR="00FC683F">
        <w:rPr>
          <w:rFonts w:ascii="Times New Roman" w:hAnsi="Times New Roman"/>
        </w:rPr>
        <w:t>tables below compare</w:t>
      </w:r>
      <w:r w:rsidR="00380BB0">
        <w:rPr>
          <w:rFonts w:ascii="Times New Roman" w:hAnsi="Times New Roman"/>
        </w:rPr>
        <w:t xml:space="preserve"> conservation</w:t>
      </w:r>
      <w:r w:rsidR="00FC683F">
        <w:rPr>
          <w:rFonts w:ascii="Times New Roman" w:hAnsi="Times New Roman"/>
        </w:rPr>
        <w:t xml:space="preserve"> program budgets and savings estimates</w:t>
      </w:r>
      <w:r>
        <w:rPr>
          <w:rFonts w:ascii="Times New Roman" w:hAnsi="Times New Roman"/>
        </w:rPr>
        <w:t xml:space="preserve"> for 2013 and 2014. </w:t>
      </w:r>
      <w:r w:rsidR="00CE73FC">
        <w:rPr>
          <w:rFonts w:ascii="Times New Roman" w:hAnsi="Times New Roman"/>
        </w:rPr>
        <w:t>In 2014, the company expects to acquire at least 225,088 therms for no more than $1</w:t>
      </w:r>
      <w:r w:rsidR="007E18A2">
        <w:rPr>
          <w:rFonts w:ascii="Times New Roman" w:hAnsi="Times New Roman"/>
        </w:rPr>
        <w:t>.6</w:t>
      </w:r>
      <w:r w:rsidR="00CE73FC">
        <w:rPr>
          <w:rFonts w:ascii="Times New Roman" w:hAnsi="Times New Roman"/>
        </w:rPr>
        <w:t xml:space="preserve"> </w:t>
      </w:r>
      <w:r w:rsidR="00CE73FC">
        <w:rPr>
          <w:rFonts w:ascii="Times New Roman" w:hAnsi="Times New Roman"/>
        </w:rPr>
        <w:lastRenderedPageBreak/>
        <w:t xml:space="preserve">million, a 4 </w:t>
      </w:r>
      <w:r w:rsidR="00CE73FC">
        <w:rPr>
          <w:rFonts w:ascii="Times New Roman" w:eastAsia="Calibri" w:hAnsi="Times New Roman"/>
        </w:rPr>
        <w:t>percent decrease in spending relative to 2013.</w:t>
      </w:r>
      <w:r w:rsidR="00CE73FC">
        <w:rPr>
          <w:rStyle w:val="FootnoteReference"/>
          <w:rFonts w:ascii="Times New Roman" w:hAnsi="Times New Roman"/>
        </w:rPr>
        <w:footnoteReference w:id="2"/>
      </w:r>
      <w:r w:rsidR="00CE73FC">
        <w:rPr>
          <w:rFonts w:ascii="Times New Roman" w:hAnsi="Times New Roman"/>
        </w:rPr>
        <w:t xml:space="preserve"> The decrease in spending is due to a forecasted decrease of internal costs at ETO. The residential and commerical savings will be delivered by the ETO</w:t>
      </w:r>
      <w:r w:rsidR="00FC683F">
        <w:rPr>
          <w:rFonts w:ascii="Times New Roman" w:hAnsi="Times New Roman"/>
        </w:rPr>
        <w:t>.</w:t>
      </w:r>
      <w:r w:rsidR="00CE73FC">
        <w:rPr>
          <w:rFonts w:ascii="Times New Roman" w:hAnsi="Times New Roman"/>
        </w:rPr>
        <w:t xml:space="preserve"> </w:t>
      </w:r>
      <w:r w:rsidR="00FC683F">
        <w:rPr>
          <w:rFonts w:ascii="Times New Roman" w:hAnsi="Times New Roman"/>
        </w:rPr>
        <w:t>The</w:t>
      </w:r>
      <w:r w:rsidR="00CE73FC">
        <w:rPr>
          <w:rFonts w:ascii="Times New Roman" w:hAnsi="Times New Roman"/>
        </w:rPr>
        <w:t xml:space="preserve"> </w:t>
      </w:r>
      <w:r w:rsidR="00FC683F">
        <w:rPr>
          <w:rFonts w:ascii="Times New Roman" w:hAnsi="Times New Roman"/>
        </w:rPr>
        <w:t>low-income savings will be delivered</w:t>
      </w:r>
      <w:r w:rsidR="00CE73FC">
        <w:rPr>
          <w:rFonts w:ascii="Times New Roman" w:hAnsi="Times New Roman"/>
        </w:rPr>
        <w:t xml:space="preserve"> by Clark County Community Action Agency</w:t>
      </w:r>
      <w:r w:rsidR="00FC683F" w:rsidRPr="00FC683F">
        <w:rPr>
          <w:rFonts w:ascii="Times New Roman" w:hAnsi="Times New Roman"/>
        </w:rPr>
        <w:t xml:space="preserve"> </w:t>
      </w:r>
      <w:r w:rsidR="00FC683F">
        <w:rPr>
          <w:rFonts w:ascii="Times New Roman" w:hAnsi="Times New Roman"/>
        </w:rPr>
        <w:t>through the Washington Low Income Energy Efficiency program (WALIEE)</w:t>
      </w:r>
      <w:r w:rsidR="00CE73FC">
        <w:rPr>
          <w:rFonts w:ascii="Times New Roman" w:hAnsi="Times New Roman"/>
        </w:rPr>
        <w:t xml:space="preserve">.  </w:t>
      </w:r>
      <w:r w:rsidR="00CE73FC">
        <w:rPr>
          <w:rFonts w:ascii="Times New Roman" w:eastAsia="Calibri" w:hAnsi="Times New Roman"/>
        </w:rPr>
        <w:t xml:space="preserve"> </w:t>
      </w:r>
    </w:p>
    <w:p w14:paraId="0608F9B5" w14:textId="77777777" w:rsidR="00721488" w:rsidRDefault="00721488" w:rsidP="00843651">
      <w:pPr>
        <w:rPr>
          <w:rFonts w:ascii="Times New Roman" w:eastAsia="Calibri" w:hAnsi="Times New Roman"/>
        </w:rPr>
      </w:pPr>
    </w:p>
    <w:p w14:paraId="78765806" w14:textId="454527A3" w:rsidR="007E18A2" w:rsidRPr="0041361C" w:rsidRDefault="007E18A2" w:rsidP="000711DE">
      <w:pPr>
        <w:spacing w:line="264" w:lineRule="auto"/>
        <w:ind w:right="720"/>
        <w:rPr>
          <w:rFonts w:ascii="Times New Roman" w:hAnsi="Times New Roman"/>
          <w:b/>
        </w:rPr>
      </w:pPr>
      <w:r w:rsidRPr="0041361C">
        <w:rPr>
          <w:rFonts w:ascii="Times New Roman" w:hAnsi="Times New Roman"/>
          <w:b/>
        </w:rPr>
        <w:t xml:space="preserve">Table </w:t>
      </w:r>
      <w:r>
        <w:rPr>
          <w:rFonts w:ascii="Times New Roman" w:hAnsi="Times New Roman"/>
          <w:b/>
        </w:rPr>
        <w:t>1</w:t>
      </w:r>
      <w:r w:rsidRPr="0041361C">
        <w:rPr>
          <w:rFonts w:ascii="Times New Roman" w:hAnsi="Times New Roman"/>
          <w:b/>
        </w:rPr>
        <w:t xml:space="preserve">. Comparison of </w:t>
      </w:r>
      <w:r>
        <w:rPr>
          <w:rFonts w:ascii="Times New Roman" w:hAnsi="Times New Roman"/>
          <w:b/>
        </w:rPr>
        <w:t>Budgets</w:t>
      </w:r>
      <w:r w:rsidRPr="0041361C">
        <w:rPr>
          <w:rFonts w:ascii="Times New Roman" w:hAnsi="Times New Roman"/>
          <w:b/>
        </w:rPr>
        <w:t xml:space="preserve"> from 2013 and 2014.</w:t>
      </w:r>
    </w:p>
    <w:p w14:paraId="75A1D388" w14:textId="77777777" w:rsidR="007E18A2" w:rsidRDefault="007E18A2" w:rsidP="00843651">
      <w:pPr>
        <w:rPr>
          <w:rFonts w:ascii="Times New Roman" w:eastAsia="Calibri" w:hAnsi="Times New Roman"/>
        </w:rPr>
      </w:pPr>
    </w:p>
    <w:tbl>
      <w:tblPr>
        <w:tblW w:w="7866" w:type="dxa"/>
        <w:tblInd w:w="173"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620"/>
        <w:gridCol w:w="1710"/>
        <w:gridCol w:w="1368"/>
      </w:tblGrid>
      <w:tr w:rsidR="003E6BD3" w:rsidRPr="003E6BD3" w14:paraId="0608F9BD" w14:textId="77777777" w:rsidTr="000711DE">
        <w:trPr>
          <w:trHeight w:val="279"/>
        </w:trPr>
        <w:tc>
          <w:tcPr>
            <w:tcW w:w="3168" w:type="dxa"/>
            <w:tcBorders>
              <w:bottom w:val="single" w:sz="12" w:space="0" w:color="000000"/>
            </w:tcBorders>
            <w:shd w:val="clear" w:color="auto" w:fill="auto"/>
          </w:tcPr>
          <w:p w14:paraId="0608F9B6" w14:textId="77777777" w:rsidR="00904430" w:rsidRDefault="00904430" w:rsidP="003E6BD3">
            <w:pPr>
              <w:rPr>
                <w:rFonts w:ascii="Times New Roman" w:hAnsi="Times New Roman"/>
                <w:b/>
                <w:bCs/>
                <w:color w:val="000000" w:themeColor="text1"/>
              </w:rPr>
            </w:pPr>
          </w:p>
          <w:p w14:paraId="0608F9B7" w14:textId="77777777" w:rsidR="003E6BD3" w:rsidRPr="003E6BD3" w:rsidRDefault="003E6BD3" w:rsidP="003E6BD3">
            <w:pPr>
              <w:rPr>
                <w:rFonts w:ascii="Times New Roman" w:hAnsi="Times New Roman"/>
                <w:b/>
                <w:bCs/>
                <w:color w:val="000080"/>
              </w:rPr>
            </w:pPr>
            <w:r w:rsidRPr="003E6BD3">
              <w:rPr>
                <w:rFonts w:ascii="Times New Roman" w:hAnsi="Times New Roman"/>
                <w:b/>
                <w:bCs/>
                <w:color w:val="000000" w:themeColor="text1"/>
              </w:rPr>
              <w:t>Program Budgets</w:t>
            </w:r>
          </w:p>
        </w:tc>
        <w:tc>
          <w:tcPr>
            <w:tcW w:w="1620" w:type="dxa"/>
            <w:tcBorders>
              <w:bottom w:val="single" w:sz="12" w:space="0" w:color="000000"/>
            </w:tcBorders>
          </w:tcPr>
          <w:p w14:paraId="0608F9B8" w14:textId="77777777" w:rsidR="00904430" w:rsidRDefault="00904430" w:rsidP="003E6BD3">
            <w:pPr>
              <w:jc w:val="right"/>
              <w:rPr>
                <w:rFonts w:ascii="Times New Roman" w:hAnsi="Times New Roman"/>
                <w:b/>
                <w:bCs/>
                <w:color w:val="000000" w:themeColor="text1"/>
              </w:rPr>
            </w:pPr>
          </w:p>
          <w:p w14:paraId="0608F9B9" w14:textId="77777777" w:rsidR="003E6BD3" w:rsidRPr="003E6BD3" w:rsidRDefault="004F0214" w:rsidP="003E6BD3">
            <w:pPr>
              <w:jc w:val="right"/>
              <w:rPr>
                <w:rFonts w:ascii="Times New Roman" w:hAnsi="Times New Roman"/>
                <w:b/>
                <w:bCs/>
                <w:color w:val="000000" w:themeColor="text1"/>
              </w:rPr>
            </w:pPr>
            <w:r>
              <w:rPr>
                <w:rFonts w:ascii="Times New Roman" w:hAnsi="Times New Roman"/>
                <w:b/>
                <w:bCs/>
                <w:color w:val="000000" w:themeColor="text1"/>
              </w:rPr>
              <w:t>2013</w:t>
            </w:r>
            <w:r w:rsidR="003E6BD3" w:rsidRPr="003E6BD3">
              <w:rPr>
                <w:rFonts w:ascii="Times New Roman" w:hAnsi="Times New Roman"/>
                <w:b/>
                <w:bCs/>
                <w:color w:val="000000" w:themeColor="text1"/>
              </w:rPr>
              <w:t xml:space="preserve"> Budget</w:t>
            </w:r>
            <w:r w:rsidR="003E6BD3" w:rsidRPr="003E6BD3">
              <w:rPr>
                <w:rStyle w:val="FootnoteReference"/>
                <w:rFonts w:ascii="Times New Roman" w:hAnsi="Times New Roman"/>
                <w:b/>
                <w:bCs/>
                <w:color w:val="000000" w:themeColor="text1"/>
              </w:rPr>
              <w:footnoteReference w:id="3"/>
            </w:r>
          </w:p>
        </w:tc>
        <w:tc>
          <w:tcPr>
            <w:tcW w:w="1710" w:type="dxa"/>
            <w:tcBorders>
              <w:bottom w:val="single" w:sz="12" w:space="0" w:color="000000"/>
            </w:tcBorders>
          </w:tcPr>
          <w:p w14:paraId="0608F9BA" w14:textId="77777777" w:rsidR="00904430" w:rsidRDefault="00904430" w:rsidP="003E6BD3">
            <w:pPr>
              <w:jc w:val="right"/>
              <w:rPr>
                <w:rFonts w:ascii="Times New Roman" w:hAnsi="Times New Roman"/>
                <w:b/>
                <w:bCs/>
                <w:color w:val="000000" w:themeColor="text1"/>
              </w:rPr>
            </w:pPr>
          </w:p>
          <w:p w14:paraId="0608F9BB" w14:textId="77777777" w:rsidR="003E6BD3" w:rsidRPr="003E6BD3" w:rsidRDefault="003E6BD3" w:rsidP="004F0214">
            <w:pPr>
              <w:jc w:val="right"/>
              <w:rPr>
                <w:rFonts w:ascii="Times New Roman" w:hAnsi="Times New Roman"/>
                <w:b/>
                <w:bCs/>
                <w:color w:val="000000" w:themeColor="text1"/>
              </w:rPr>
            </w:pPr>
            <w:r>
              <w:rPr>
                <w:rFonts w:ascii="Times New Roman" w:hAnsi="Times New Roman"/>
                <w:b/>
                <w:bCs/>
                <w:color w:val="000000" w:themeColor="text1"/>
              </w:rPr>
              <w:t>201</w:t>
            </w:r>
            <w:r w:rsidR="004F0214">
              <w:rPr>
                <w:rFonts w:ascii="Times New Roman" w:hAnsi="Times New Roman"/>
                <w:b/>
                <w:bCs/>
                <w:color w:val="000000" w:themeColor="text1"/>
              </w:rPr>
              <w:t>4</w:t>
            </w:r>
            <w:r w:rsidRPr="003E6BD3">
              <w:rPr>
                <w:rFonts w:ascii="Times New Roman" w:hAnsi="Times New Roman"/>
                <w:b/>
                <w:bCs/>
                <w:color w:val="000000" w:themeColor="text1"/>
              </w:rPr>
              <w:t xml:space="preserve"> Budget </w:t>
            </w:r>
          </w:p>
        </w:tc>
        <w:tc>
          <w:tcPr>
            <w:tcW w:w="1368" w:type="dxa"/>
            <w:tcBorders>
              <w:bottom w:val="single" w:sz="12" w:space="0" w:color="000000"/>
            </w:tcBorders>
            <w:shd w:val="clear" w:color="auto" w:fill="auto"/>
          </w:tcPr>
          <w:p w14:paraId="0608F9BC" w14:textId="77777777" w:rsidR="003E6BD3" w:rsidRPr="003E6BD3" w:rsidRDefault="005B538B" w:rsidP="003E6BD3">
            <w:pPr>
              <w:jc w:val="right"/>
              <w:rPr>
                <w:rFonts w:ascii="Times New Roman" w:hAnsi="Times New Roman"/>
                <w:b/>
                <w:bCs/>
                <w:color w:val="000000" w:themeColor="text1"/>
              </w:rPr>
            </w:pPr>
            <w:r>
              <w:rPr>
                <w:rFonts w:ascii="Times New Roman" w:hAnsi="Times New Roman"/>
                <w:b/>
                <w:bCs/>
                <w:color w:val="000000" w:themeColor="text1"/>
              </w:rPr>
              <w:t>2013-2014</w:t>
            </w:r>
            <w:r w:rsidR="003E6BD3" w:rsidRPr="003E6BD3">
              <w:rPr>
                <w:rFonts w:ascii="Times New Roman" w:hAnsi="Times New Roman"/>
                <w:b/>
                <w:bCs/>
                <w:color w:val="000000" w:themeColor="text1"/>
              </w:rPr>
              <w:t xml:space="preserve"> Change</w:t>
            </w:r>
          </w:p>
        </w:tc>
      </w:tr>
      <w:tr w:rsidR="004F0214" w:rsidRPr="003E6BD3" w14:paraId="0608F9C2" w14:textId="77777777" w:rsidTr="000711DE">
        <w:trPr>
          <w:trHeight w:val="291"/>
        </w:trPr>
        <w:tc>
          <w:tcPr>
            <w:tcW w:w="3168" w:type="dxa"/>
            <w:shd w:val="clear" w:color="auto" w:fill="auto"/>
          </w:tcPr>
          <w:p w14:paraId="0608F9BE" w14:textId="77777777" w:rsidR="004F0214" w:rsidRPr="003E6BD3" w:rsidRDefault="004F0214" w:rsidP="003E6BD3">
            <w:pPr>
              <w:rPr>
                <w:rFonts w:ascii="Times New Roman" w:hAnsi="Times New Roman"/>
              </w:rPr>
            </w:pPr>
            <w:r w:rsidRPr="003E6BD3">
              <w:rPr>
                <w:rFonts w:ascii="Times New Roman" w:hAnsi="Times New Roman"/>
              </w:rPr>
              <w:t xml:space="preserve">Residential </w:t>
            </w:r>
            <w:r>
              <w:rPr>
                <w:rFonts w:ascii="Times New Roman" w:hAnsi="Times New Roman"/>
              </w:rPr>
              <w:t>Retrofit</w:t>
            </w:r>
          </w:p>
        </w:tc>
        <w:tc>
          <w:tcPr>
            <w:tcW w:w="1620" w:type="dxa"/>
          </w:tcPr>
          <w:p w14:paraId="0608F9BF" w14:textId="77777777" w:rsidR="004F0214" w:rsidRPr="003E6BD3" w:rsidRDefault="004F0214" w:rsidP="007359ED">
            <w:pPr>
              <w:jc w:val="right"/>
              <w:rPr>
                <w:rFonts w:ascii="Times New Roman" w:hAnsi="Times New Roman"/>
                <w:highlight w:val="yellow"/>
              </w:rPr>
            </w:pPr>
            <w:r>
              <w:rPr>
                <w:rFonts w:ascii="Times New Roman" w:hAnsi="Times New Roman"/>
              </w:rPr>
              <w:t xml:space="preserve">$ </w:t>
            </w:r>
            <w:r w:rsidR="005B538B">
              <w:rPr>
                <w:rFonts w:ascii="Times New Roman" w:hAnsi="Times New Roman"/>
              </w:rPr>
              <w:t>525,</w:t>
            </w:r>
            <w:r w:rsidR="007359ED">
              <w:rPr>
                <w:rFonts w:ascii="Times New Roman" w:hAnsi="Times New Roman"/>
              </w:rPr>
              <w:t>300</w:t>
            </w:r>
          </w:p>
        </w:tc>
        <w:tc>
          <w:tcPr>
            <w:tcW w:w="1710" w:type="dxa"/>
          </w:tcPr>
          <w:p w14:paraId="0608F9C0" w14:textId="77777777" w:rsidR="004F0214" w:rsidRPr="003E6BD3" w:rsidRDefault="004F0214" w:rsidP="007359ED">
            <w:pPr>
              <w:jc w:val="right"/>
              <w:rPr>
                <w:rFonts w:ascii="Times New Roman" w:hAnsi="Times New Roman"/>
              </w:rPr>
            </w:pPr>
            <w:r>
              <w:rPr>
                <w:rFonts w:ascii="Times New Roman" w:hAnsi="Times New Roman"/>
              </w:rPr>
              <w:t xml:space="preserve">$ </w:t>
            </w:r>
            <w:r w:rsidR="005B538B">
              <w:rPr>
                <w:rFonts w:ascii="Times New Roman" w:hAnsi="Times New Roman"/>
              </w:rPr>
              <w:t>452,</w:t>
            </w:r>
            <w:r w:rsidR="007359ED">
              <w:rPr>
                <w:rFonts w:ascii="Times New Roman" w:hAnsi="Times New Roman"/>
              </w:rPr>
              <w:t>300</w:t>
            </w:r>
          </w:p>
        </w:tc>
        <w:tc>
          <w:tcPr>
            <w:tcW w:w="1368" w:type="dxa"/>
            <w:shd w:val="clear" w:color="auto" w:fill="auto"/>
          </w:tcPr>
          <w:p w14:paraId="0608F9C1" w14:textId="77777777" w:rsidR="004F0214" w:rsidRPr="003E6BD3" w:rsidRDefault="005B538B" w:rsidP="003E6BD3">
            <w:pPr>
              <w:jc w:val="right"/>
              <w:rPr>
                <w:rFonts w:ascii="Times New Roman" w:hAnsi="Times New Roman"/>
              </w:rPr>
            </w:pPr>
            <w:r>
              <w:rPr>
                <w:rFonts w:ascii="Times New Roman" w:hAnsi="Times New Roman"/>
              </w:rPr>
              <w:t>-16</w:t>
            </w:r>
            <w:r w:rsidR="004F0214" w:rsidRPr="003E6BD3">
              <w:rPr>
                <w:rFonts w:ascii="Times New Roman" w:hAnsi="Times New Roman"/>
              </w:rPr>
              <w:t>%</w:t>
            </w:r>
          </w:p>
        </w:tc>
      </w:tr>
      <w:tr w:rsidR="004F0214" w:rsidRPr="003E6BD3" w14:paraId="0608F9C7" w14:textId="77777777" w:rsidTr="000711DE">
        <w:trPr>
          <w:trHeight w:val="304"/>
        </w:trPr>
        <w:tc>
          <w:tcPr>
            <w:tcW w:w="3168" w:type="dxa"/>
            <w:shd w:val="clear" w:color="auto" w:fill="auto"/>
          </w:tcPr>
          <w:p w14:paraId="0608F9C3" w14:textId="77777777" w:rsidR="004F0214" w:rsidRPr="003E6BD3" w:rsidRDefault="004F0214" w:rsidP="003E6BD3">
            <w:pPr>
              <w:rPr>
                <w:rFonts w:ascii="Times New Roman" w:hAnsi="Times New Roman"/>
              </w:rPr>
            </w:pPr>
            <w:r>
              <w:rPr>
                <w:rFonts w:ascii="Times New Roman" w:hAnsi="Times New Roman"/>
              </w:rPr>
              <w:t>Residential New Homes</w:t>
            </w:r>
          </w:p>
        </w:tc>
        <w:tc>
          <w:tcPr>
            <w:tcW w:w="1620" w:type="dxa"/>
          </w:tcPr>
          <w:p w14:paraId="0608F9C4" w14:textId="77777777" w:rsidR="004F0214" w:rsidRPr="003E6BD3" w:rsidRDefault="004F0214" w:rsidP="007359ED">
            <w:pPr>
              <w:jc w:val="right"/>
              <w:rPr>
                <w:rFonts w:ascii="Times New Roman" w:hAnsi="Times New Roman"/>
              </w:rPr>
            </w:pPr>
            <w:r>
              <w:rPr>
                <w:rFonts w:ascii="Times New Roman" w:hAnsi="Times New Roman"/>
              </w:rPr>
              <w:t xml:space="preserve">$ </w:t>
            </w:r>
            <w:r w:rsidR="005B538B">
              <w:rPr>
                <w:rFonts w:ascii="Times New Roman" w:hAnsi="Times New Roman"/>
              </w:rPr>
              <w:t>371,</w:t>
            </w:r>
            <w:r w:rsidR="007359ED">
              <w:rPr>
                <w:rFonts w:ascii="Times New Roman" w:hAnsi="Times New Roman"/>
              </w:rPr>
              <w:t>100</w:t>
            </w:r>
          </w:p>
        </w:tc>
        <w:tc>
          <w:tcPr>
            <w:tcW w:w="1710" w:type="dxa"/>
          </w:tcPr>
          <w:p w14:paraId="0608F9C5" w14:textId="77777777" w:rsidR="004F0214" w:rsidRPr="003E6BD3" w:rsidRDefault="004F0214" w:rsidP="007359ED">
            <w:pPr>
              <w:jc w:val="right"/>
              <w:rPr>
                <w:rFonts w:ascii="Times New Roman" w:hAnsi="Times New Roman"/>
              </w:rPr>
            </w:pPr>
            <w:r>
              <w:rPr>
                <w:rFonts w:ascii="Times New Roman" w:hAnsi="Times New Roman"/>
              </w:rPr>
              <w:t xml:space="preserve">$ </w:t>
            </w:r>
            <w:r w:rsidR="005B538B">
              <w:rPr>
                <w:rFonts w:ascii="Times New Roman" w:hAnsi="Times New Roman"/>
              </w:rPr>
              <w:t>388,</w:t>
            </w:r>
            <w:r w:rsidR="007359ED">
              <w:rPr>
                <w:rFonts w:ascii="Times New Roman" w:hAnsi="Times New Roman"/>
              </w:rPr>
              <w:t>400</w:t>
            </w:r>
          </w:p>
        </w:tc>
        <w:tc>
          <w:tcPr>
            <w:tcW w:w="1368" w:type="dxa"/>
            <w:shd w:val="clear" w:color="auto" w:fill="auto"/>
          </w:tcPr>
          <w:p w14:paraId="0608F9C6" w14:textId="77777777" w:rsidR="004F0214" w:rsidRPr="003E6BD3" w:rsidRDefault="005B538B" w:rsidP="003E6BD3">
            <w:pPr>
              <w:jc w:val="right"/>
              <w:rPr>
                <w:rFonts w:ascii="Times New Roman" w:hAnsi="Times New Roman"/>
              </w:rPr>
            </w:pPr>
            <w:r>
              <w:rPr>
                <w:rFonts w:ascii="Times New Roman" w:hAnsi="Times New Roman"/>
              </w:rPr>
              <w:t>5</w:t>
            </w:r>
            <w:r w:rsidR="004F0214" w:rsidRPr="003E6BD3">
              <w:rPr>
                <w:rFonts w:ascii="Times New Roman" w:hAnsi="Times New Roman"/>
              </w:rPr>
              <w:t>%</w:t>
            </w:r>
          </w:p>
        </w:tc>
      </w:tr>
      <w:tr w:rsidR="004F0214" w:rsidRPr="003E6BD3" w14:paraId="0608F9CC" w14:textId="77777777" w:rsidTr="000711DE">
        <w:trPr>
          <w:trHeight w:val="291"/>
        </w:trPr>
        <w:tc>
          <w:tcPr>
            <w:tcW w:w="3168" w:type="dxa"/>
            <w:shd w:val="clear" w:color="auto" w:fill="auto"/>
          </w:tcPr>
          <w:p w14:paraId="0608F9C8" w14:textId="77777777" w:rsidR="004F0214" w:rsidRPr="003E6BD3" w:rsidRDefault="004F0214" w:rsidP="005B538B">
            <w:pPr>
              <w:rPr>
                <w:rFonts w:ascii="Times New Roman" w:hAnsi="Times New Roman"/>
              </w:rPr>
            </w:pPr>
            <w:r>
              <w:rPr>
                <w:rFonts w:ascii="Times New Roman" w:hAnsi="Times New Roman"/>
              </w:rPr>
              <w:t xml:space="preserve">Commercial </w:t>
            </w:r>
          </w:p>
        </w:tc>
        <w:tc>
          <w:tcPr>
            <w:tcW w:w="1620" w:type="dxa"/>
          </w:tcPr>
          <w:p w14:paraId="0608F9C9" w14:textId="77777777" w:rsidR="004F0214" w:rsidRPr="003E6BD3" w:rsidRDefault="004F0214" w:rsidP="007359ED">
            <w:pPr>
              <w:jc w:val="right"/>
              <w:rPr>
                <w:rFonts w:ascii="Times New Roman" w:hAnsi="Times New Roman"/>
              </w:rPr>
            </w:pPr>
            <w:r>
              <w:rPr>
                <w:rFonts w:ascii="Times New Roman" w:hAnsi="Times New Roman"/>
              </w:rPr>
              <w:t xml:space="preserve">$ </w:t>
            </w:r>
            <w:r w:rsidR="005B538B">
              <w:rPr>
                <w:rFonts w:ascii="Times New Roman" w:hAnsi="Times New Roman"/>
              </w:rPr>
              <w:t>717,</w:t>
            </w:r>
            <w:r w:rsidR="007359ED">
              <w:rPr>
                <w:rFonts w:ascii="Times New Roman" w:hAnsi="Times New Roman"/>
              </w:rPr>
              <w:t>100</w:t>
            </w:r>
          </w:p>
        </w:tc>
        <w:tc>
          <w:tcPr>
            <w:tcW w:w="1710" w:type="dxa"/>
          </w:tcPr>
          <w:p w14:paraId="0608F9CA" w14:textId="77777777" w:rsidR="004F0214" w:rsidRPr="003E6BD3" w:rsidRDefault="004F0214" w:rsidP="007359ED">
            <w:pPr>
              <w:jc w:val="right"/>
              <w:rPr>
                <w:rFonts w:ascii="Times New Roman" w:hAnsi="Times New Roman"/>
              </w:rPr>
            </w:pPr>
            <w:r>
              <w:rPr>
                <w:rFonts w:ascii="Times New Roman" w:hAnsi="Times New Roman"/>
              </w:rPr>
              <w:t xml:space="preserve">$ </w:t>
            </w:r>
            <w:r w:rsidR="005B538B">
              <w:rPr>
                <w:rFonts w:ascii="Times New Roman" w:hAnsi="Times New Roman"/>
              </w:rPr>
              <w:t>687,</w:t>
            </w:r>
            <w:r w:rsidR="007359ED">
              <w:rPr>
                <w:rFonts w:ascii="Times New Roman" w:hAnsi="Times New Roman"/>
              </w:rPr>
              <w:t>100</w:t>
            </w:r>
          </w:p>
        </w:tc>
        <w:tc>
          <w:tcPr>
            <w:tcW w:w="1368" w:type="dxa"/>
            <w:shd w:val="clear" w:color="auto" w:fill="auto"/>
          </w:tcPr>
          <w:p w14:paraId="0608F9CB" w14:textId="77777777" w:rsidR="004F0214" w:rsidRPr="003E6BD3" w:rsidRDefault="005B538B" w:rsidP="003E6BD3">
            <w:pPr>
              <w:jc w:val="right"/>
              <w:rPr>
                <w:rFonts w:ascii="Times New Roman" w:hAnsi="Times New Roman"/>
              </w:rPr>
            </w:pPr>
            <w:r>
              <w:rPr>
                <w:rFonts w:ascii="Times New Roman" w:hAnsi="Times New Roman"/>
              </w:rPr>
              <w:t>-4</w:t>
            </w:r>
            <w:r w:rsidR="004F0214" w:rsidRPr="003E6BD3">
              <w:rPr>
                <w:rFonts w:ascii="Times New Roman" w:hAnsi="Times New Roman"/>
              </w:rPr>
              <w:t>%</w:t>
            </w:r>
          </w:p>
        </w:tc>
      </w:tr>
      <w:tr w:rsidR="004F0214" w:rsidRPr="003E6BD3" w14:paraId="0608F9D1" w14:textId="77777777" w:rsidTr="000711DE">
        <w:trPr>
          <w:trHeight w:val="291"/>
        </w:trPr>
        <w:tc>
          <w:tcPr>
            <w:tcW w:w="3168" w:type="dxa"/>
            <w:shd w:val="clear" w:color="auto" w:fill="auto"/>
          </w:tcPr>
          <w:p w14:paraId="0608F9CD" w14:textId="77777777" w:rsidR="004F0214" w:rsidRDefault="003F63B8" w:rsidP="003E6BD3">
            <w:pPr>
              <w:rPr>
                <w:rFonts w:ascii="Times New Roman" w:hAnsi="Times New Roman"/>
              </w:rPr>
            </w:pPr>
            <w:r>
              <w:rPr>
                <w:rFonts w:ascii="Times New Roman" w:hAnsi="Times New Roman"/>
              </w:rPr>
              <w:t>WALIE</w:t>
            </w:r>
            <w:r w:rsidR="005B538B">
              <w:rPr>
                <w:rFonts w:ascii="Times New Roman" w:hAnsi="Times New Roman"/>
              </w:rPr>
              <w:t>E</w:t>
            </w:r>
          </w:p>
        </w:tc>
        <w:tc>
          <w:tcPr>
            <w:tcW w:w="1620" w:type="dxa"/>
          </w:tcPr>
          <w:p w14:paraId="0608F9CE" w14:textId="77777777" w:rsidR="004F0214" w:rsidRDefault="005B538B" w:rsidP="003E6BD3">
            <w:pPr>
              <w:jc w:val="right"/>
              <w:rPr>
                <w:rFonts w:ascii="Times New Roman" w:hAnsi="Times New Roman"/>
              </w:rPr>
            </w:pPr>
            <w:r>
              <w:rPr>
                <w:rFonts w:ascii="Times New Roman" w:hAnsi="Times New Roman"/>
              </w:rPr>
              <w:t>$89,300</w:t>
            </w:r>
          </w:p>
        </w:tc>
        <w:tc>
          <w:tcPr>
            <w:tcW w:w="1710" w:type="dxa"/>
          </w:tcPr>
          <w:p w14:paraId="0608F9CF" w14:textId="77777777" w:rsidR="004F0214" w:rsidRDefault="005B538B" w:rsidP="007359ED">
            <w:pPr>
              <w:jc w:val="right"/>
              <w:rPr>
                <w:rFonts w:ascii="Times New Roman" w:hAnsi="Times New Roman"/>
              </w:rPr>
            </w:pPr>
            <w:r>
              <w:rPr>
                <w:rFonts w:ascii="Times New Roman" w:hAnsi="Times New Roman"/>
              </w:rPr>
              <w:t>$111,</w:t>
            </w:r>
            <w:r w:rsidR="007359ED">
              <w:rPr>
                <w:rFonts w:ascii="Times New Roman" w:hAnsi="Times New Roman"/>
              </w:rPr>
              <w:t>600</w:t>
            </w:r>
          </w:p>
        </w:tc>
        <w:tc>
          <w:tcPr>
            <w:tcW w:w="1368" w:type="dxa"/>
            <w:shd w:val="clear" w:color="auto" w:fill="auto"/>
          </w:tcPr>
          <w:p w14:paraId="0608F9D0" w14:textId="77777777" w:rsidR="004F0214" w:rsidRDefault="005B538B" w:rsidP="003E6BD3">
            <w:pPr>
              <w:jc w:val="right"/>
              <w:rPr>
                <w:rFonts w:ascii="Times New Roman" w:hAnsi="Times New Roman"/>
              </w:rPr>
            </w:pPr>
            <w:r>
              <w:rPr>
                <w:rFonts w:ascii="Times New Roman" w:hAnsi="Times New Roman"/>
              </w:rPr>
              <w:t>20%</w:t>
            </w:r>
          </w:p>
        </w:tc>
      </w:tr>
      <w:tr w:rsidR="004F0214" w:rsidRPr="003E6BD3" w14:paraId="0608F9D6" w14:textId="77777777" w:rsidTr="000711DE">
        <w:trPr>
          <w:trHeight w:val="291"/>
        </w:trPr>
        <w:tc>
          <w:tcPr>
            <w:tcW w:w="3168" w:type="dxa"/>
            <w:shd w:val="clear" w:color="auto" w:fill="auto"/>
          </w:tcPr>
          <w:p w14:paraId="0608F9D2" w14:textId="77777777" w:rsidR="004F0214" w:rsidRPr="003E6BD3" w:rsidRDefault="004F0214" w:rsidP="003E6BD3">
            <w:pPr>
              <w:rPr>
                <w:rFonts w:ascii="Times New Roman" w:hAnsi="Times New Roman"/>
                <w:b/>
              </w:rPr>
            </w:pPr>
            <w:r w:rsidRPr="003E6BD3">
              <w:rPr>
                <w:rFonts w:ascii="Times New Roman" w:hAnsi="Times New Roman"/>
                <w:b/>
              </w:rPr>
              <w:t>Total</w:t>
            </w:r>
          </w:p>
        </w:tc>
        <w:tc>
          <w:tcPr>
            <w:tcW w:w="1620" w:type="dxa"/>
          </w:tcPr>
          <w:p w14:paraId="0608F9D3" w14:textId="77777777" w:rsidR="004F0214" w:rsidRPr="003E6BD3" w:rsidRDefault="004F0214" w:rsidP="005B538B">
            <w:pPr>
              <w:jc w:val="right"/>
              <w:rPr>
                <w:rFonts w:ascii="Times New Roman" w:hAnsi="Times New Roman"/>
                <w:b/>
              </w:rPr>
            </w:pPr>
            <w:r>
              <w:rPr>
                <w:rFonts w:ascii="Times New Roman" w:hAnsi="Times New Roman"/>
                <w:b/>
              </w:rPr>
              <w:t xml:space="preserve">$ </w:t>
            </w:r>
            <w:r w:rsidR="001C5270">
              <w:rPr>
                <w:rFonts w:ascii="Times New Roman" w:hAnsi="Times New Roman"/>
                <w:b/>
              </w:rPr>
              <w:t>1,702,800</w:t>
            </w:r>
          </w:p>
        </w:tc>
        <w:tc>
          <w:tcPr>
            <w:tcW w:w="1710" w:type="dxa"/>
          </w:tcPr>
          <w:p w14:paraId="0608F9D4" w14:textId="77777777" w:rsidR="004F0214" w:rsidRPr="003E6BD3" w:rsidRDefault="004F0214" w:rsidP="007359ED">
            <w:pPr>
              <w:jc w:val="right"/>
              <w:rPr>
                <w:rFonts w:ascii="Times New Roman" w:hAnsi="Times New Roman"/>
                <w:b/>
              </w:rPr>
            </w:pPr>
            <w:r>
              <w:rPr>
                <w:rFonts w:ascii="Times New Roman" w:hAnsi="Times New Roman"/>
                <w:b/>
              </w:rPr>
              <w:t>$ 1,</w:t>
            </w:r>
            <w:r w:rsidR="005B538B">
              <w:rPr>
                <w:rFonts w:ascii="Times New Roman" w:hAnsi="Times New Roman"/>
                <w:b/>
              </w:rPr>
              <w:t>639,</w:t>
            </w:r>
            <w:r w:rsidR="001C5270">
              <w:rPr>
                <w:rFonts w:ascii="Times New Roman" w:hAnsi="Times New Roman"/>
                <w:b/>
              </w:rPr>
              <w:t>4</w:t>
            </w:r>
            <w:r w:rsidR="007359ED">
              <w:rPr>
                <w:rFonts w:ascii="Times New Roman" w:hAnsi="Times New Roman"/>
                <w:b/>
              </w:rPr>
              <w:t>00</w:t>
            </w:r>
          </w:p>
        </w:tc>
        <w:tc>
          <w:tcPr>
            <w:tcW w:w="1368" w:type="dxa"/>
            <w:shd w:val="clear" w:color="auto" w:fill="auto"/>
          </w:tcPr>
          <w:p w14:paraId="0608F9D5" w14:textId="77777777" w:rsidR="004F0214" w:rsidRPr="003E6BD3" w:rsidRDefault="005B538B" w:rsidP="003E6BD3">
            <w:pPr>
              <w:jc w:val="right"/>
              <w:rPr>
                <w:rFonts w:ascii="Times New Roman" w:hAnsi="Times New Roman"/>
                <w:b/>
              </w:rPr>
            </w:pPr>
            <w:r>
              <w:rPr>
                <w:rFonts w:ascii="Times New Roman" w:hAnsi="Times New Roman"/>
                <w:b/>
              </w:rPr>
              <w:t>-4</w:t>
            </w:r>
            <w:r w:rsidR="004F0214" w:rsidRPr="003E6BD3">
              <w:rPr>
                <w:rFonts w:ascii="Times New Roman" w:hAnsi="Times New Roman"/>
                <w:b/>
              </w:rPr>
              <w:t>%</w:t>
            </w:r>
          </w:p>
        </w:tc>
      </w:tr>
    </w:tbl>
    <w:p w14:paraId="0608F9D7" w14:textId="77777777" w:rsidR="003E6BD3" w:rsidRDefault="003E6BD3" w:rsidP="00843651">
      <w:pPr>
        <w:rPr>
          <w:rFonts w:ascii="Times New Roman" w:eastAsia="Calibri" w:hAnsi="Times New Roman"/>
        </w:rPr>
      </w:pPr>
    </w:p>
    <w:p w14:paraId="0608F9D8" w14:textId="77777777" w:rsidR="00D91F8E" w:rsidRPr="00153EA6" w:rsidRDefault="00775224" w:rsidP="00843651">
      <w:pPr>
        <w:rPr>
          <w:rFonts w:ascii="Times New Roman" w:eastAsia="Calibri" w:hAnsi="Times New Roman"/>
        </w:rPr>
      </w:pPr>
      <w:r>
        <w:rPr>
          <w:rFonts w:ascii="Times New Roman" w:hAnsi="Times New Roman"/>
        </w:rPr>
        <w:t>The company</w:t>
      </w:r>
      <w:r w:rsidR="00BE7F97">
        <w:rPr>
          <w:rFonts w:ascii="Times New Roman" w:hAnsi="Times New Roman"/>
        </w:rPr>
        <w:t xml:space="preserve"> is proposing a negligible</w:t>
      </w:r>
      <w:r w:rsidR="00C9605B">
        <w:rPr>
          <w:rFonts w:ascii="Times New Roman" w:hAnsi="Times New Roman"/>
        </w:rPr>
        <w:t xml:space="preserve"> increase in its</w:t>
      </w:r>
      <w:r w:rsidR="00D91F8E">
        <w:rPr>
          <w:rFonts w:ascii="Times New Roman" w:hAnsi="Times New Roman"/>
        </w:rPr>
        <w:t xml:space="preserve"> 201</w:t>
      </w:r>
      <w:r w:rsidR="0090302B">
        <w:rPr>
          <w:rFonts w:ascii="Times New Roman" w:hAnsi="Times New Roman"/>
        </w:rPr>
        <w:t>4</w:t>
      </w:r>
      <w:r w:rsidR="00D91F8E">
        <w:rPr>
          <w:rFonts w:ascii="Times New Roman" w:hAnsi="Times New Roman"/>
        </w:rPr>
        <w:t xml:space="preserve"> therm</w:t>
      </w:r>
      <w:r w:rsidR="0090302B">
        <w:rPr>
          <w:rFonts w:ascii="Times New Roman" w:hAnsi="Times New Roman"/>
        </w:rPr>
        <w:t xml:space="preserve"> savings goal relative to 2013</w:t>
      </w:r>
      <w:r w:rsidR="00904430">
        <w:rPr>
          <w:rFonts w:ascii="Times New Roman" w:hAnsi="Times New Roman"/>
        </w:rPr>
        <w:t>.</w:t>
      </w:r>
      <w:r w:rsidR="00AE0666">
        <w:rPr>
          <w:rFonts w:ascii="Times New Roman" w:eastAsia="Calibri" w:hAnsi="Times New Roman"/>
        </w:rPr>
        <w:t xml:space="preserve"> </w:t>
      </w:r>
      <w:r w:rsidR="0090302B">
        <w:rPr>
          <w:rFonts w:ascii="Times New Roman" w:hAnsi="Times New Roman"/>
        </w:rPr>
        <w:t>In 2014</w:t>
      </w:r>
      <w:r w:rsidR="006C4518">
        <w:rPr>
          <w:rFonts w:ascii="Times New Roman" w:hAnsi="Times New Roman"/>
        </w:rPr>
        <w:t xml:space="preserve">, the company expects to acquire </w:t>
      </w:r>
      <w:r w:rsidR="007359ED">
        <w:rPr>
          <w:rFonts w:ascii="Times New Roman" w:hAnsi="Times New Roman"/>
        </w:rPr>
        <w:t xml:space="preserve">at least </w:t>
      </w:r>
      <w:r w:rsidR="006C4518">
        <w:rPr>
          <w:rFonts w:ascii="Times New Roman" w:hAnsi="Times New Roman"/>
        </w:rPr>
        <w:t>220,</w:t>
      </w:r>
      <w:r w:rsidR="0090302B">
        <w:rPr>
          <w:rFonts w:ascii="Times New Roman" w:hAnsi="Times New Roman"/>
        </w:rPr>
        <w:t>868</w:t>
      </w:r>
      <w:r w:rsidR="00721488">
        <w:rPr>
          <w:rFonts w:ascii="Times New Roman" w:hAnsi="Times New Roman"/>
        </w:rPr>
        <w:t xml:space="preserve"> </w:t>
      </w:r>
      <w:r w:rsidR="006C4518">
        <w:rPr>
          <w:rFonts w:ascii="Times New Roman" w:hAnsi="Times New Roman"/>
        </w:rPr>
        <w:t>therm</w:t>
      </w:r>
      <w:r w:rsidR="00721488">
        <w:rPr>
          <w:rFonts w:ascii="Times New Roman" w:hAnsi="Times New Roman"/>
        </w:rPr>
        <w:t>s</w:t>
      </w:r>
      <w:r w:rsidR="006C4518">
        <w:rPr>
          <w:rFonts w:ascii="Times New Roman" w:hAnsi="Times New Roman"/>
        </w:rPr>
        <w:t xml:space="preserve"> </w:t>
      </w:r>
      <w:r w:rsidR="007359ED">
        <w:rPr>
          <w:rFonts w:ascii="Times New Roman" w:hAnsi="Times New Roman"/>
        </w:rPr>
        <w:t>from its residential and commercial programs</w:t>
      </w:r>
      <w:r w:rsidR="00721488">
        <w:rPr>
          <w:rFonts w:ascii="Times New Roman" w:hAnsi="Times New Roman"/>
        </w:rPr>
        <w:t xml:space="preserve"> administered by ETO</w:t>
      </w:r>
      <w:r w:rsidR="0090302B">
        <w:rPr>
          <w:rFonts w:ascii="Times New Roman" w:hAnsi="Times New Roman"/>
        </w:rPr>
        <w:t>, a 0.2 percent increase over its 2013</w:t>
      </w:r>
      <w:r w:rsidR="00D91F8E">
        <w:rPr>
          <w:rFonts w:ascii="Times New Roman" w:hAnsi="Times New Roman"/>
        </w:rPr>
        <w:t xml:space="preserve"> savings goal of 2</w:t>
      </w:r>
      <w:r w:rsidR="0090302B">
        <w:rPr>
          <w:rFonts w:ascii="Times New Roman" w:hAnsi="Times New Roman"/>
        </w:rPr>
        <w:t>20,421</w:t>
      </w:r>
      <w:r w:rsidR="00D91F8E">
        <w:rPr>
          <w:rFonts w:ascii="Times New Roman" w:hAnsi="Times New Roman"/>
        </w:rPr>
        <w:t xml:space="preserve"> therms. </w:t>
      </w:r>
      <w:r w:rsidR="00721488">
        <w:rPr>
          <w:rFonts w:ascii="Times New Roman" w:hAnsi="Times New Roman"/>
        </w:rPr>
        <w:t>The expected 2014 Utility Cost test and Total Resource Cost test ratios are above 1.0.</w:t>
      </w:r>
    </w:p>
    <w:p w14:paraId="0608F9D9" w14:textId="77777777" w:rsidR="0077674A" w:rsidRPr="007E18A2" w:rsidRDefault="0077674A" w:rsidP="00843651">
      <w:pPr>
        <w:rPr>
          <w:rFonts w:ascii="Times New Roman" w:hAnsi="Times New Roman"/>
        </w:rPr>
      </w:pPr>
    </w:p>
    <w:p w14:paraId="44549476" w14:textId="3FC91084" w:rsidR="007E18A2" w:rsidRPr="007E18A2" w:rsidRDefault="007E18A2" w:rsidP="000711DE">
      <w:pPr>
        <w:spacing w:line="264" w:lineRule="auto"/>
        <w:ind w:right="720"/>
        <w:rPr>
          <w:rFonts w:ascii="Times New Roman" w:hAnsi="Times New Roman"/>
          <w:b/>
        </w:rPr>
      </w:pPr>
      <w:r w:rsidRPr="007E18A2">
        <w:rPr>
          <w:rFonts w:ascii="Times New Roman" w:hAnsi="Times New Roman"/>
          <w:b/>
        </w:rPr>
        <w:t>Table 2. Comparison of Savings from 2013 and 2014.</w:t>
      </w:r>
    </w:p>
    <w:p w14:paraId="35EC4660" w14:textId="77777777" w:rsidR="007E18A2" w:rsidRPr="007E18A2" w:rsidRDefault="007E18A2" w:rsidP="00843651">
      <w:pPr>
        <w:rPr>
          <w:rFonts w:ascii="Times New Roman" w:hAnsi="Times New Roman"/>
        </w:rPr>
      </w:pPr>
    </w:p>
    <w:tbl>
      <w:tblPr>
        <w:tblW w:w="7866" w:type="dxa"/>
        <w:tblInd w:w="173"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620"/>
        <w:gridCol w:w="1710"/>
        <w:gridCol w:w="1368"/>
      </w:tblGrid>
      <w:tr w:rsidR="00386B94" w:rsidRPr="003E6BD3" w14:paraId="0608F9DF" w14:textId="77777777" w:rsidTr="000711DE">
        <w:trPr>
          <w:trHeight w:val="279"/>
        </w:trPr>
        <w:tc>
          <w:tcPr>
            <w:tcW w:w="3168" w:type="dxa"/>
            <w:tcBorders>
              <w:bottom w:val="single" w:sz="12" w:space="0" w:color="000000"/>
            </w:tcBorders>
            <w:shd w:val="clear" w:color="auto" w:fill="auto"/>
          </w:tcPr>
          <w:p w14:paraId="0608F9DA" w14:textId="77777777" w:rsidR="00904430" w:rsidRDefault="00904430" w:rsidP="00386B94">
            <w:pPr>
              <w:rPr>
                <w:rFonts w:ascii="Times New Roman" w:hAnsi="Times New Roman"/>
                <w:b/>
                <w:bCs/>
                <w:color w:val="000000" w:themeColor="text1"/>
              </w:rPr>
            </w:pPr>
          </w:p>
          <w:p w14:paraId="0608F9DB" w14:textId="77777777" w:rsidR="00386B94" w:rsidRPr="003E6BD3" w:rsidRDefault="00386B94" w:rsidP="00224FA1">
            <w:pPr>
              <w:rPr>
                <w:rFonts w:ascii="Times New Roman" w:hAnsi="Times New Roman"/>
                <w:b/>
                <w:bCs/>
                <w:color w:val="000080"/>
              </w:rPr>
            </w:pPr>
            <w:r w:rsidRPr="003E6BD3">
              <w:rPr>
                <w:rFonts w:ascii="Times New Roman" w:hAnsi="Times New Roman"/>
                <w:b/>
                <w:bCs/>
                <w:color w:val="000000" w:themeColor="text1"/>
              </w:rPr>
              <w:t>Program</w:t>
            </w:r>
          </w:p>
        </w:tc>
        <w:tc>
          <w:tcPr>
            <w:tcW w:w="1620" w:type="dxa"/>
            <w:tcBorders>
              <w:bottom w:val="single" w:sz="12" w:space="0" w:color="000000"/>
            </w:tcBorders>
          </w:tcPr>
          <w:p w14:paraId="0608F9DC" w14:textId="77777777" w:rsidR="00386B94" w:rsidRPr="003E6BD3" w:rsidRDefault="00242E25" w:rsidP="00386B94">
            <w:pPr>
              <w:jc w:val="right"/>
              <w:rPr>
                <w:rFonts w:ascii="Times New Roman" w:hAnsi="Times New Roman"/>
                <w:b/>
                <w:bCs/>
                <w:color w:val="000000" w:themeColor="text1"/>
              </w:rPr>
            </w:pPr>
            <w:r>
              <w:rPr>
                <w:rFonts w:ascii="Times New Roman" w:hAnsi="Times New Roman"/>
                <w:b/>
                <w:bCs/>
                <w:color w:val="000000" w:themeColor="text1"/>
              </w:rPr>
              <w:t>2013</w:t>
            </w:r>
            <w:r w:rsidR="00386B94">
              <w:rPr>
                <w:rFonts w:ascii="Times New Roman" w:hAnsi="Times New Roman"/>
                <w:b/>
                <w:bCs/>
                <w:color w:val="000000" w:themeColor="text1"/>
              </w:rPr>
              <w:t xml:space="preserve"> Savings (therms)</w:t>
            </w:r>
          </w:p>
        </w:tc>
        <w:tc>
          <w:tcPr>
            <w:tcW w:w="1710" w:type="dxa"/>
            <w:tcBorders>
              <w:bottom w:val="single" w:sz="12" w:space="0" w:color="000000"/>
            </w:tcBorders>
          </w:tcPr>
          <w:p w14:paraId="0608F9DD" w14:textId="77777777" w:rsidR="00386B94" w:rsidRPr="003E6BD3" w:rsidRDefault="00242E25" w:rsidP="00386B94">
            <w:pPr>
              <w:jc w:val="right"/>
              <w:rPr>
                <w:rFonts w:ascii="Times New Roman" w:hAnsi="Times New Roman"/>
                <w:b/>
                <w:bCs/>
                <w:color w:val="000000" w:themeColor="text1"/>
              </w:rPr>
            </w:pPr>
            <w:r>
              <w:rPr>
                <w:rFonts w:ascii="Times New Roman" w:hAnsi="Times New Roman"/>
                <w:b/>
                <w:bCs/>
                <w:color w:val="000000" w:themeColor="text1"/>
              </w:rPr>
              <w:t>2014</w:t>
            </w:r>
            <w:r w:rsidR="00386B94">
              <w:rPr>
                <w:rFonts w:ascii="Times New Roman" w:hAnsi="Times New Roman"/>
                <w:b/>
                <w:bCs/>
                <w:color w:val="000000" w:themeColor="text1"/>
              </w:rPr>
              <w:t xml:space="preserve"> Savings (therms)</w:t>
            </w:r>
            <w:r w:rsidR="00386B94" w:rsidRPr="003E6BD3">
              <w:rPr>
                <w:rFonts w:ascii="Times New Roman" w:hAnsi="Times New Roman"/>
                <w:b/>
                <w:bCs/>
                <w:color w:val="000000" w:themeColor="text1"/>
              </w:rPr>
              <w:t xml:space="preserve"> </w:t>
            </w:r>
          </w:p>
        </w:tc>
        <w:tc>
          <w:tcPr>
            <w:tcW w:w="1368" w:type="dxa"/>
            <w:tcBorders>
              <w:bottom w:val="single" w:sz="12" w:space="0" w:color="000000"/>
            </w:tcBorders>
            <w:shd w:val="clear" w:color="auto" w:fill="auto"/>
          </w:tcPr>
          <w:p w14:paraId="0608F9DE" w14:textId="77777777" w:rsidR="00386B94" w:rsidRPr="003E6BD3" w:rsidRDefault="00386B94" w:rsidP="00242E25">
            <w:pPr>
              <w:jc w:val="right"/>
              <w:rPr>
                <w:rFonts w:ascii="Times New Roman" w:hAnsi="Times New Roman"/>
                <w:b/>
                <w:bCs/>
                <w:color w:val="000000" w:themeColor="text1"/>
              </w:rPr>
            </w:pPr>
            <w:r w:rsidRPr="003E6BD3">
              <w:rPr>
                <w:rFonts w:ascii="Times New Roman" w:hAnsi="Times New Roman"/>
                <w:b/>
                <w:bCs/>
                <w:color w:val="000000" w:themeColor="text1"/>
              </w:rPr>
              <w:t>201</w:t>
            </w:r>
            <w:r w:rsidR="00242E25">
              <w:rPr>
                <w:rFonts w:ascii="Times New Roman" w:hAnsi="Times New Roman"/>
                <w:b/>
                <w:bCs/>
                <w:color w:val="000000" w:themeColor="text1"/>
              </w:rPr>
              <w:t>3-2014</w:t>
            </w:r>
            <w:r w:rsidRPr="003E6BD3">
              <w:rPr>
                <w:rFonts w:ascii="Times New Roman" w:hAnsi="Times New Roman"/>
                <w:b/>
                <w:bCs/>
                <w:color w:val="000000" w:themeColor="text1"/>
              </w:rPr>
              <w:t xml:space="preserve"> Change</w:t>
            </w:r>
          </w:p>
        </w:tc>
      </w:tr>
      <w:tr w:rsidR="00386B94" w:rsidRPr="003E6BD3" w14:paraId="0608F9E4" w14:textId="77777777" w:rsidTr="000711DE">
        <w:trPr>
          <w:trHeight w:val="291"/>
        </w:trPr>
        <w:tc>
          <w:tcPr>
            <w:tcW w:w="3168" w:type="dxa"/>
            <w:shd w:val="clear" w:color="auto" w:fill="auto"/>
          </w:tcPr>
          <w:p w14:paraId="0608F9E0" w14:textId="77777777" w:rsidR="00386B94" w:rsidRPr="003E6BD3" w:rsidRDefault="00386B94" w:rsidP="00386B94">
            <w:pPr>
              <w:rPr>
                <w:rFonts w:ascii="Times New Roman" w:hAnsi="Times New Roman"/>
              </w:rPr>
            </w:pPr>
            <w:r w:rsidRPr="003E6BD3">
              <w:rPr>
                <w:rFonts w:ascii="Times New Roman" w:hAnsi="Times New Roman"/>
              </w:rPr>
              <w:t xml:space="preserve">Residential </w:t>
            </w:r>
            <w:r>
              <w:rPr>
                <w:rFonts w:ascii="Times New Roman" w:hAnsi="Times New Roman"/>
              </w:rPr>
              <w:t>Retrofit</w:t>
            </w:r>
          </w:p>
        </w:tc>
        <w:tc>
          <w:tcPr>
            <w:tcW w:w="1620" w:type="dxa"/>
          </w:tcPr>
          <w:p w14:paraId="0608F9E1" w14:textId="77777777" w:rsidR="00386B94" w:rsidRPr="003E6BD3" w:rsidRDefault="00242E25" w:rsidP="00386B94">
            <w:pPr>
              <w:jc w:val="right"/>
              <w:rPr>
                <w:rFonts w:ascii="Times New Roman" w:hAnsi="Times New Roman"/>
                <w:highlight w:val="yellow"/>
              </w:rPr>
            </w:pPr>
            <w:r>
              <w:rPr>
                <w:rFonts w:ascii="Times New Roman" w:hAnsi="Times New Roman"/>
              </w:rPr>
              <w:t>56,400</w:t>
            </w:r>
            <w:r w:rsidR="00386B94">
              <w:rPr>
                <w:rFonts w:ascii="Times New Roman" w:hAnsi="Times New Roman"/>
              </w:rPr>
              <w:t xml:space="preserve">        </w:t>
            </w:r>
          </w:p>
        </w:tc>
        <w:tc>
          <w:tcPr>
            <w:tcW w:w="1710" w:type="dxa"/>
          </w:tcPr>
          <w:p w14:paraId="0608F9E2" w14:textId="77777777" w:rsidR="00386B94" w:rsidRPr="003E6BD3" w:rsidRDefault="00E371D0" w:rsidP="007359ED">
            <w:pPr>
              <w:jc w:val="right"/>
              <w:rPr>
                <w:rFonts w:ascii="Times New Roman" w:hAnsi="Times New Roman"/>
              </w:rPr>
            </w:pPr>
            <w:r>
              <w:rPr>
                <w:rFonts w:ascii="Times New Roman" w:hAnsi="Times New Roman"/>
              </w:rPr>
              <w:t>48,</w:t>
            </w:r>
            <w:r w:rsidR="001C5270">
              <w:rPr>
                <w:rFonts w:ascii="Times New Roman" w:hAnsi="Times New Roman"/>
              </w:rPr>
              <w:t>607</w:t>
            </w:r>
          </w:p>
        </w:tc>
        <w:tc>
          <w:tcPr>
            <w:tcW w:w="1368" w:type="dxa"/>
            <w:shd w:val="clear" w:color="auto" w:fill="auto"/>
          </w:tcPr>
          <w:p w14:paraId="0608F9E3" w14:textId="77777777" w:rsidR="00386B94" w:rsidRPr="00E371D0" w:rsidRDefault="00E371D0" w:rsidP="00386B94">
            <w:pPr>
              <w:jc w:val="right"/>
              <w:rPr>
                <w:rFonts w:ascii="Times New Roman" w:hAnsi="Times New Roman"/>
                <w:b/>
              </w:rPr>
            </w:pPr>
            <w:r w:rsidRPr="00E371D0">
              <w:rPr>
                <w:rFonts w:ascii="Times New Roman" w:hAnsi="Times New Roman"/>
                <w:b/>
              </w:rPr>
              <w:t>-14%</w:t>
            </w:r>
          </w:p>
        </w:tc>
      </w:tr>
      <w:tr w:rsidR="00386B94" w:rsidRPr="003E6BD3" w14:paraId="0608F9E9" w14:textId="77777777" w:rsidTr="000711DE">
        <w:trPr>
          <w:trHeight w:val="304"/>
        </w:trPr>
        <w:tc>
          <w:tcPr>
            <w:tcW w:w="3168" w:type="dxa"/>
            <w:shd w:val="clear" w:color="auto" w:fill="auto"/>
          </w:tcPr>
          <w:p w14:paraId="0608F9E5" w14:textId="77777777" w:rsidR="00386B94" w:rsidRPr="003E6BD3" w:rsidRDefault="00386B94" w:rsidP="00386B94">
            <w:pPr>
              <w:rPr>
                <w:rFonts w:ascii="Times New Roman" w:hAnsi="Times New Roman"/>
              </w:rPr>
            </w:pPr>
            <w:r>
              <w:rPr>
                <w:rFonts w:ascii="Times New Roman" w:hAnsi="Times New Roman"/>
              </w:rPr>
              <w:t>Residential New Homes</w:t>
            </w:r>
          </w:p>
        </w:tc>
        <w:tc>
          <w:tcPr>
            <w:tcW w:w="1620" w:type="dxa"/>
          </w:tcPr>
          <w:p w14:paraId="0608F9E6" w14:textId="77777777" w:rsidR="00386B94" w:rsidRPr="003E6BD3" w:rsidRDefault="00242E25" w:rsidP="00386B94">
            <w:pPr>
              <w:jc w:val="right"/>
              <w:rPr>
                <w:rFonts w:ascii="Times New Roman" w:hAnsi="Times New Roman"/>
              </w:rPr>
            </w:pPr>
            <w:r>
              <w:rPr>
                <w:rFonts w:ascii="Times New Roman" w:hAnsi="Times New Roman"/>
              </w:rPr>
              <w:t>36,500</w:t>
            </w:r>
          </w:p>
        </w:tc>
        <w:tc>
          <w:tcPr>
            <w:tcW w:w="1710" w:type="dxa"/>
          </w:tcPr>
          <w:p w14:paraId="0608F9E7" w14:textId="77777777" w:rsidR="00386B94" w:rsidRPr="003E6BD3" w:rsidRDefault="00E371D0" w:rsidP="007359ED">
            <w:pPr>
              <w:jc w:val="right"/>
              <w:rPr>
                <w:rFonts w:ascii="Times New Roman" w:hAnsi="Times New Roman"/>
              </w:rPr>
            </w:pPr>
            <w:r>
              <w:rPr>
                <w:rFonts w:ascii="Times New Roman" w:hAnsi="Times New Roman"/>
              </w:rPr>
              <w:t>44,</w:t>
            </w:r>
            <w:r w:rsidR="001C5270">
              <w:rPr>
                <w:rFonts w:ascii="Times New Roman" w:hAnsi="Times New Roman"/>
              </w:rPr>
              <w:t>761</w:t>
            </w:r>
          </w:p>
        </w:tc>
        <w:tc>
          <w:tcPr>
            <w:tcW w:w="1368" w:type="dxa"/>
            <w:shd w:val="clear" w:color="auto" w:fill="auto"/>
          </w:tcPr>
          <w:p w14:paraId="0608F9E8" w14:textId="77777777" w:rsidR="00386B94" w:rsidRPr="00E371D0" w:rsidRDefault="00E371D0" w:rsidP="00386B94">
            <w:pPr>
              <w:jc w:val="right"/>
              <w:rPr>
                <w:rFonts w:ascii="Times New Roman" w:hAnsi="Times New Roman"/>
                <w:b/>
              </w:rPr>
            </w:pPr>
            <w:r w:rsidRPr="00E371D0">
              <w:rPr>
                <w:rFonts w:ascii="Times New Roman" w:hAnsi="Times New Roman"/>
                <w:b/>
              </w:rPr>
              <w:t>23%</w:t>
            </w:r>
          </w:p>
        </w:tc>
      </w:tr>
      <w:tr w:rsidR="00386B94" w:rsidRPr="003E6BD3" w14:paraId="0608F9EE" w14:textId="77777777" w:rsidTr="000711DE">
        <w:trPr>
          <w:trHeight w:val="291"/>
        </w:trPr>
        <w:tc>
          <w:tcPr>
            <w:tcW w:w="3168" w:type="dxa"/>
            <w:shd w:val="clear" w:color="auto" w:fill="auto"/>
          </w:tcPr>
          <w:p w14:paraId="0608F9EA" w14:textId="77777777" w:rsidR="00386B94" w:rsidRPr="003E6BD3" w:rsidRDefault="00386B94" w:rsidP="00386B94">
            <w:pPr>
              <w:rPr>
                <w:rFonts w:ascii="Times New Roman" w:hAnsi="Times New Roman"/>
              </w:rPr>
            </w:pPr>
            <w:r>
              <w:rPr>
                <w:rFonts w:ascii="Times New Roman" w:hAnsi="Times New Roman"/>
              </w:rPr>
              <w:t>Commercial Retrofit</w:t>
            </w:r>
          </w:p>
        </w:tc>
        <w:tc>
          <w:tcPr>
            <w:tcW w:w="1620" w:type="dxa"/>
          </w:tcPr>
          <w:p w14:paraId="0608F9EB" w14:textId="77777777" w:rsidR="00386B94" w:rsidRPr="003E6BD3" w:rsidRDefault="00386B94" w:rsidP="00242E25">
            <w:pPr>
              <w:jc w:val="right"/>
              <w:rPr>
                <w:rFonts w:ascii="Times New Roman" w:hAnsi="Times New Roman"/>
              </w:rPr>
            </w:pPr>
            <w:r>
              <w:rPr>
                <w:rFonts w:ascii="Times New Roman" w:hAnsi="Times New Roman"/>
              </w:rPr>
              <w:t>12</w:t>
            </w:r>
            <w:r w:rsidR="00242E25">
              <w:rPr>
                <w:rFonts w:ascii="Times New Roman" w:hAnsi="Times New Roman"/>
              </w:rPr>
              <w:t>7,500</w:t>
            </w:r>
          </w:p>
        </w:tc>
        <w:tc>
          <w:tcPr>
            <w:tcW w:w="1710" w:type="dxa"/>
          </w:tcPr>
          <w:p w14:paraId="0608F9EC" w14:textId="77777777" w:rsidR="00386B94" w:rsidRPr="003E6BD3" w:rsidRDefault="00E371D0" w:rsidP="00386B94">
            <w:pPr>
              <w:jc w:val="right"/>
              <w:rPr>
                <w:rFonts w:ascii="Times New Roman" w:hAnsi="Times New Roman"/>
              </w:rPr>
            </w:pPr>
            <w:r>
              <w:rPr>
                <w:rFonts w:ascii="Times New Roman" w:hAnsi="Times New Roman"/>
              </w:rPr>
              <w:t>127,500</w:t>
            </w:r>
          </w:p>
        </w:tc>
        <w:tc>
          <w:tcPr>
            <w:tcW w:w="1368" w:type="dxa"/>
            <w:shd w:val="clear" w:color="auto" w:fill="auto"/>
          </w:tcPr>
          <w:p w14:paraId="0608F9ED" w14:textId="77777777" w:rsidR="00B709C7" w:rsidRPr="00E371D0" w:rsidRDefault="00E371D0" w:rsidP="00B709C7">
            <w:pPr>
              <w:jc w:val="right"/>
              <w:rPr>
                <w:rFonts w:ascii="Times New Roman" w:hAnsi="Times New Roman"/>
                <w:b/>
              </w:rPr>
            </w:pPr>
            <w:r w:rsidRPr="00E371D0">
              <w:rPr>
                <w:rFonts w:ascii="Times New Roman" w:hAnsi="Times New Roman"/>
                <w:b/>
              </w:rPr>
              <w:t>0%</w:t>
            </w:r>
          </w:p>
        </w:tc>
      </w:tr>
      <w:tr w:rsidR="00B709C7" w:rsidRPr="003E6BD3" w14:paraId="0608F9F3" w14:textId="77777777" w:rsidTr="000711DE">
        <w:trPr>
          <w:trHeight w:val="291"/>
        </w:trPr>
        <w:tc>
          <w:tcPr>
            <w:tcW w:w="3168" w:type="dxa"/>
            <w:shd w:val="clear" w:color="auto" w:fill="auto"/>
          </w:tcPr>
          <w:p w14:paraId="0608F9EF" w14:textId="77777777" w:rsidR="00B709C7" w:rsidRDefault="00B709C7" w:rsidP="00386B94">
            <w:pPr>
              <w:rPr>
                <w:rFonts w:ascii="Times New Roman" w:hAnsi="Times New Roman"/>
              </w:rPr>
            </w:pPr>
            <w:r>
              <w:rPr>
                <w:rFonts w:ascii="Times New Roman" w:hAnsi="Times New Roman"/>
              </w:rPr>
              <w:t>WALIEE</w:t>
            </w:r>
          </w:p>
        </w:tc>
        <w:tc>
          <w:tcPr>
            <w:tcW w:w="1620" w:type="dxa"/>
          </w:tcPr>
          <w:p w14:paraId="0608F9F0" w14:textId="77777777" w:rsidR="00B709C7" w:rsidRDefault="00B709C7" w:rsidP="00242E25">
            <w:pPr>
              <w:jc w:val="right"/>
              <w:rPr>
                <w:rFonts w:ascii="Times New Roman" w:hAnsi="Times New Roman"/>
              </w:rPr>
            </w:pPr>
            <w:r>
              <w:rPr>
                <w:rFonts w:ascii="Times New Roman" w:hAnsi="Times New Roman"/>
              </w:rPr>
              <w:t>3,165</w:t>
            </w:r>
          </w:p>
        </w:tc>
        <w:tc>
          <w:tcPr>
            <w:tcW w:w="1710" w:type="dxa"/>
          </w:tcPr>
          <w:p w14:paraId="0608F9F1" w14:textId="77777777" w:rsidR="00B709C7" w:rsidRDefault="00B709C7" w:rsidP="00386B94">
            <w:pPr>
              <w:jc w:val="right"/>
              <w:rPr>
                <w:rFonts w:ascii="Times New Roman" w:hAnsi="Times New Roman"/>
              </w:rPr>
            </w:pPr>
            <w:r>
              <w:rPr>
                <w:rFonts w:ascii="Times New Roman" w:hAnsi="Times New Roman"/>
              </w:rPr>
              <w:t>4,220</w:t>
            </w:r>
          </w:p>
        </w:tc>
        <w:tc>
          <w:tcPr>
            <w:tcW w:w="1368" w:type="dxa"/>
            <w:shd w:val="clear" w:color="auto" w:fill="auto"/>
          </w:tcPr>
          <w:p w14:paraId="0608F9F2" w14:textId="77777777" w:rsidR="00B709C7" w:rsidRPr="00E371D0" w:rsidRDefault="00B709C7" w:rsidP="00B709C7">
            <w:pPr>
              <w:jc w:val="right"/>
              <w:rPr>
                <w:rFonts w:ascii="Times New Roman" w:hAnsi="Times New Roman"/>
                <w:b/>
              </w:rPr>
            </w:pPr>
            <w:r>
              <w:rPr>
                <w:rFonts w:ascii="Times New Roman" w:hAnsi="Times New Roman"/>
                <w:b/>
              </w:rPr>
              <w:t>33%</w:t>
            </w:r>
          </w:p>
        </w:tc>
      </w:tr>
      <w:tr w:rsidR="00386B94" w:rsidRPr="003E6BD3" w14:paraId="0608F9F8" w14:textId="77777777" w:rsidTr="000711DE">
        <w:trPr>
          <w:trHeight w:val="291"/>
        </w:trPr>
        <w:tc>
          <w:tcPr>
            <w:tcW w:w="3168" w:type="dxa"/>
            <w:shd w:val="clear" w:color="auto" w:fill="auto"/>
          </w:tcPr>
          <w:p w14:paraId="0608F9F4" w14:textId="77777777" w:rsidR="00386B94" w:rsidRPr="003E6BD3" w:rsidRDefault="00386B94" w:rsidP="00386B94">
            <w:pPr>
              <w:rPr>
                <w:rFonts w:ascii="Times New Roman" w:hAnsi="Times New Roman"/>
                <w:b/>
              </w:rPr>
            </w:pPr>
            <w:r w:rsidRPr="003E6BD3">
              <w:rPr>
                <w:rFonts w:ascii="Times New Roman" w:hAnsi="Times New Roman"/>
                <w:b/>
              </w:rPr>
              <w:t>Total</w:t>
            </w:r>
          </w:p>
        </w:tc>
        <w:tc>
          <w:tcPr>
            <w:tcW w:w="1620" w:type="dxa"/>
          </w:tcPr>
          <w:p w14:paraId="0608F9F5" w14:textId="77777777" w:rsidR="00386B94" w:rsidRPr="003E6BD3" w:rsidRDefault="00986533" w:rsidP="00242E25">
            <w:pPr>
              <w:jc w:val="right"/>
              <w:rPr>
                <w:rFonts w:ascii="Times New Roman" w:hAnsi="Times New Roman"/>
                <w:b/>
              </w:rPr>
            </w:pPr>
            <w:r>
              <w:rPr>
                <w:rFonts w:ascii="Times New Roman" w:hAnsi="Times New Roman"/>
                <w:b/>
              </w:rPr>
              <w:t>2</w:t>
            </w:r>
            <w:r w:rsidR="00B709C7">
              <w:rPr>
                <w:rFonts w:ascii="Times New Roman" w:hAnsi="Times New Roman"/>
                <w:b/>
              </w:rPr>
              <w:t>23,565</w:t>
            </w:r>
          </w:p>
        </w:tc>
        <w:tc>
          <w:tcPr>
            <w:tcW w:w="1710" w:type="dxa"/>
          </w:tcPr>
          <w:p w14:paraId="0608F9F6" w14:textId="77777777" w:rsidR="00386B94" w:rsidRPr="003E6BD3" w:rsidRDefault="00B709C7" w:rsidP="00386B94">
            <w:pPr>
              <w:jc w:val="right"/>
              <w:rPr>
                <w:rFonts w:ascii="Times New Roman" w:hAnsi="Times New Roman"/>
                <w:b/>
              </w:rPr>
            </w:pPr>
            <w:r>
              <w:rPr>
                <w:rFonts w:ascii="Times New Roman" w:hAnsi="Times New Roman"/>
                <w:b/>
              </w:rPr>
              <w:t>225,088</w:t>
            </w:r>
          </w:p>
        </w:tc>
        <w:tc>
          <w:tcPr>
            <w:tcW w:w="1368" w:type="dxa"/>
            <w:shd w:val="clear" w:color="auto" w:fill="auto"/>
          </w:tcPr>
          <w:p w14:paraId="0608F9F7" w14:textId="77777777" w:rsidR="00386B94" w:rsidRPr="003E6BD3" w:rsidRDefault="00B709C7" w:rsidP="00386B94">
            <w:pPr>
              <w:jc w:val="right"/>
              <w:rPr>
                <w:rFonts w:ascii="Times New Roman" w:hAnsi="Times New Roman"/>
                <w:b/>
              </w:rPr>
            </w:pPr>
            <w:r>
              <w:rPr>
                <w:rFonts w:ascii="Times New Roman" w:hAnsi="Times New Roman"/>
                <w:b/>
              </w:rPr>
              <w:t>0.7</w:t>
            </w:r>
            <w:r w:rsidR="00386B94" w:rsidRPr="003E6BD3">
              <w:rPr>
                <w:rFonts w:ascii="Times New Roman" w:hAnsi="Times New Roman"/>
                <w:b/>
              </w:rPr>
              <w:t>%</w:t>
            </w:r>
          </w:p>
        </w:tc>
      </w:tr>
    </w:tbl>
    <w:p w14:paraId="0608F9F9" w14:textId="77777777" w:rsidR="00386B94" w:rsidRDefault="00386B94" w:rsidP="00843651">
      <w:pPr>
        <w:rPr>
          <w:rFonts w:ascii="Times New Roman" w:hAnsi="Times New Roman"/>
        </w:rPr>
      </w:pPr>
    </w:p>
    <w:p w14:paraId="0608F9FA" w14:textId="159AD878" w:rsidR="006F0EB5" w:rsidRDefault="00354B83" w:rsidP="00843651">
      <w:pPr>
        <w:rPr>
          <w:rFonts w:ascii="Times New Roman" w:eastAsia="Calibri" w:hAnsi="Times New Roman"/>
        </w:rPr>
      </w:pPr>
      <w:r>
        <w:rPr>
          <w:rFonts w:ascii="Times New Roman" w:eastAsia="Calibri" w:hAnsi="Times New Roman"/>
        </w:rPr>
        <w:t>As shown in the tables above, the company is increasing its savings and budget estimates for the WALIEE program. The company</w:t>
      </w:r>
      <w:r>
        <w:rPr>
          <w:rStyle w:val="CommentReference"/>
        </w:rPr>
        <w:t xml:space="preserve"> </w:t>
      </w:r>
      <w:r>
        <w:rPr>
          <w:rFonts w:ascii="Times New Roman" w:eastAsia="Calibri" w:hAnsi="Times New Roman"/>
        </w:rPr>
        <w:t xml:space="preserve">is planning to serve at least 20 homes, a 25 percent increase from 16 homes served in 2013. In an effort to boost participation in the program, this past year the company began marketing WALIEE to its Washington State customers through </w:t>
      </w:r>
      <w:r w:rsidR="00164C3F">
        <w:rPr>
          <w:rFonts w:ascii="Times New Roman" w:eastAsia="Calibri" w:hAnsi="Times New Roman"/>
        </w:rPr>
        <w:t>an article</w:t>
      </w:r>
      <w:r>
        <w:rPr>
          <w:rFonts w:ascii="Times New Roman" w:eastAsia="Calibri" w:hAnsi="Times New Roman"/>
        </w:rPr>
        <w:t xml:space="preserve"> in the </w:t>
      </w:r>
      <w:r w:rsidR="00164C3F">
        <w:rPr>
          <w:rFonts w:ascii="Times New Roman" w:eastAsia="Calibri" w:hAnsi="Times New Roman"/>
        </w:rPr>
        <w:t xml:space="preserve">company’s </w:t>
      </w:r>
      <w:r>
        <w:rPr>
          <w:rFonts w:ascii="Times New Roman" w:eastAsia="Calibri" w:hAnsi="Times New Roman"/>
        </w:rPr>
        <w:t>newsletter</w:t>
      </w:r>
      <w:r w:rsidR="00164C3F">
        <w:rPr>
          <w:rFonts w:ascii="Times New Roman" w:eastAsia="Calibri" w:hAnsi="Times New Roman"/>
        </w:rPr>
        <w:t xml:space="preserve"> that is contained in its monthly bill</w:t>
      </w:r>
      <w:r>
        <w:rPr>
          <w:rFonts w:ascii="Times New Roman" w:eastAsia="Calibri" w:hAnsi="Times New Roman"/>
        </w:rPr>
        <w:t xml:space="preserve">. The company has yet to experience any impact from the effort and is developing a new strategy for 2014. The company is committed to pursuing successful ways to increase the program with its partner.        </w:t>
      </w:r>
      <w:r w:rsidR="00EC21A2">
        <w:rPr>
          <w:rFonts w:ascii="Times New Roman" w:eastAsia="Calibri" w:hAnsi="Times New Roman"/>
        </w:rPr>
        <w:t xml:space="preserve"> </w:t>
      </w:r>
      <w:r w:rsidR="00833FD6">
        <w:rPr>
          <w:rFonts w:ascii="Times New Roman" w:eastAsia="Calibri" w:hAnsi="Times New Roman"/>
        </w:rPr>
        <w:t xml:space="preserve">  </w:t>
      </w:r>
      <w:r>
        <w:rPr>
          <w:rFonts w:ascii="Times New Roman" w:eastAsia="Calibri" w:hAnsi="Times New Roman"/>
        </w:rPr>
        <w:t xml:space="preserve"> </w:t>
      </w:r>
      <w:r w:rsidR="00833FD6">
        <w:rPr>
          <w:rFonts w:ascii="Times New Roman" w:eastAsia="Calibri" w:hAnsi="Times New Roman"/>
        </w:rPr>
        <w:t xml:space="preserve">    </w:t>
      </w:r>
    </w:p>
    <w:p w14:paraId="0608F9FB" w14:textId="77777777" w:rsidR="00E2146D" w:rsidRDefault="00E2146D" w:rsidP="00843651">
      <w:pPr>
        <w:rPr>
          <w:rFonts w:ascii="Times New Roman" w:eastAsia="Calibri" w:hAnsi="Times New Roman"/>
        </w:rPr>
      </w:pPr>
    </w:p>
    <w:p w14:paraId="0608F9FC" w14:textId="77777777" w:rsidR="002B6256" w:rsidRDefault="00F961AF" w:rsidP="00D40E36">
      <w:pPr>
        <w:rPr>
          <w:rFonts w:ascii="Times New Roman" w:eastAsia="Calibri" w:hAnsi="Times New Roman"/>
        </w:rPr>
      </w:pPr>
      <w:r>
        <w:rPr>
          <w:rFonts w:ascii="Times New Roman" w:eastAsia="Calibri" w:hAnsi="Times New Roman"/>
        </w:rPr>
        <w:t>NW Natural</w:t>
      </w:r>
      <w:r w:rsidR="00A2645F">
        <w:rPr>
          <w:rFonts w:ascii="Times New Roman" w:eastAsia="Calibri" w:hAnsi="Times New Roman"/>
        </w:rPr>
        <w:t xml:space="preserve"> is also revising </w:t>
      </w:r>
      <w:r w:rsidR="004860E2">
        <w:rPr>
          <w:rFonts w:ascii="Times New Roman" w:eastAsia="Calibri" w:hAnsi="Times New Roman"/>
        </w:rPr>
        <w:t>three</w:t>
      </w:r>
      <w:r>
        <w:rPr>
          <w:rFonts w:ascii="Times New Roman" w:eastAsia="Calibri" w:hAnsi="Times New Roman"/>
        </w:rPr>
        <w:t xml:space="preserve"> o</w:t>
      </w:r>
      <w:r w:rsidR="00A2645F">
        <w:rPr>
          <w:rFonts w:ascii="Times New Roman" w:eastAsia="Calibri" w:hAnsi="Times New Roman"/>
        </w:rPr>
        <w:t xml:space="preserve">f its existing </w:t>
      </w:r>
      <w:r w:rsidR="002B6256">
        <w:rPr>
          <w:rFonts w:ascii="Times New Roman" w:eastAsia="Calibri" w:hAnsi="Times New Roman"/>
        </w:rPr>
        <w:t xml:space="preserve">commercial </w:t>
      </w:r>
      <w:r w:rsidR="00A2645F">
        <w:rPr>
          <w:rFonts w:ascii="Times New Roman" w:eastAsia="Calibri" w:hAnsi="Times New Roman"/>
        </w:rPr>
        <w:t xml:space="preserve">incentive offerings. </w:t>
      </w:r>
      <w:r w:rsidR="002B6256">
        <w:rPr>
          <w:rFonts w:ascii="Times New Roman" w:eastAsia="Calibri" w:hAnsi="Times New Roman"/>
        </w:rPr>
        <w:t>The company is proposing to cancel one incentive, roof</w:t>
      </w:r>
      <w:r w:rsidR="0073295A">
        <w:rPr>
          <w:rFonts w:ascii="Times New Roman" w:eastAsia="Calibri" w:hAnsi="Times New Roman"/>
        </w:rPr>
        <w:t>-</w:t>
      </w:r>
      <w:r w:rsidR="002B6256">
        <w:rPr>
          <w:rFonts w:ascii="Times New Roman" w:eastAsia="Calibri" w:hAnsi="Times New Roman"/>
        </w:rPr>
        <w:t xml:space="preserve">top unit (RTU) tune-ups, and </w:t>
      </w:r>
      <w:r w:rsidR="003024E1">
        <w:rPr>
          <w:rFonts w:ascii="Times New Roman" w:eastAsia="Calibri" w:hAnsi="Times New Roman"/>
        </w:rPr>
        <w:t>modify</w:t>
      </w:r>
      <w:r w:rsidR="002B6256">
        <w:rPr>
          <w:rFonts w:ascii="Times New Roman" w:eastAsia="Calibri" w:hAnsi="Times New Roman"/>
        </w:rPr>
        <w:t xml:space="preserve"> the incentive for two others, </w:t>
      </w:r>
      <w:r w:rsidR="007359ED">
        <w:rPr>
          <w:rFonts w:ascii="Times New Roman" w:eastAsia="Calibri" w:hAnsi="Times New Roman"/>
        </w:rPr>
        <w:t>EnergySTAR-</w:t>
      </w:r>
      <w:r w:rsidR="002B6256">
        <w:rPr>
          <w:rFonts w:ascii="Times New Roman" w:eastAsia="Calibri" w:hAnsi="Times New Roman"/>
        </w:rPr>
        <w:t>gas</w:t>
      </w:r>
      <w:r w:rsidR="007359ED">
        <w:rPr>
          <w:rFonts w:ascii="Times New Roman" w:eastAsia="Calibri" w:hAnsi="Times New Roman"/>
        </w:rPr>
        <w:t>-</w:t>
      </w:r>
      <w:r w:rsidR="002B6256">
        <w:rPr>
          <w:rFonts w:ascii="Times New Roman" w:eastAsia="Calibri" w:hAnsi="Times New Roman"/>
        </w:rPr>
        <w:t>certified fryers and custom projects.</w:t>
      </w:r>
    </w:p>
    <w:p w14:paraId="0608F9FD" w14:textId="77777777" w:rsidR="002B6256" w:rsidRDefault="002B6256" w:rsidP="00D40E36">
      <w:pPr>
        <w:rPr>
          <w:rFonts w:ascii="Times New Roman" w:eastAsia="Calibri" w:hAnsi="Times New Roman"/>
        </w:rPr>
      </w:pPr>
    </w:p>
    <w:p w14:paraId="0608F9FE" w14:textId="77777777" w:rsidR="00DE2708" w:rsidRDefault="00FD4359" w:rsidP="00D40E36">
      <w:pPr>
        <w:rPr>
          <w:rFonts w:ascii="Times New Roman" w:eastAsia="Calibri" w:hAnsi="Times New Roman"/>
        </w:rPr>
      </w:pPr>
      <w:r>
        <w:rPr>
          <w:rFonts w:ascii="Times New Roman" w:eastAsia="Calibri" w:hAnsi="Times New Roman"/>
        </w:rPr>
        <w:t>The company is discontinuing the existing commercial incentive</w:t>
      </w:r>
      <w:r w:rsidR="0073295A">
        <w:rPr>
          <w:rFonts w:ascii="Times New Roman" w:eastAsia="Calibri" w:hAnsi="Times New Roman"/>
        </w:rPr>
        <w:t xml:space="preserve"> for RTU tune-ups because it is </w:t>
      </w:r>
      <w:r w:rsidR="00D44773">
        <w:rPr>
          <w:rFonts w:ascii="Times New Roman" w:eastAsia="Calibri" w:hAnsi="Times New Roman"/>
        </w:rPr>
        <w:t xml:space="preserve">not </w:t>
      </w:r>
      <w:r w:rsidR="001F02A6">
        <w:rPr>
          <w:rFonts w:ascii="Times New Roman" w:eastAsia="Calibri" w:hAnsi="Times New Roman"/>
        </w:rPr>
        <w:t xml:space="preserve">cost </w:t>
      </w:r>
      <w:r w:rsidR="003024E1">
        <w:rPr>
          <w:rFonts w:ascii="Times New Roman" w:eastAsia="Calibri" w:hAnsi="Times New Roman"/>
        </w:rPr>
        <w:t>effective. A billing analysis performed by ETO of installed projects in 2010-2011 indicated that mult</w:t>
      </w:r>
      <w:r w:rsidR="005474A2">
        <w:rPr>
          <w:rFonts w:ascii="Times New Roman" w:eastAsia="Calibri" w:hAnsi="Times New Roman"/>
        </w:rPr>
        <w:t xml:space="preserve">iple units had negative savings and, on aggregate, </w:t>
      </w:r>
      <w:r w:rsidR="00467C9F">
        <w:rPr>
          <w:rFonts w:ascii="Times New Roman" w:eastAsia="Calibri" w:hAnsi="Times New Roman"/>
        </w:rPr>
        <w:t xml:space="preserve">the company reported </w:t>
      </w:r>
      <w:r w:rsidR="003024E1">
        <w:rPr>
          <w:rFonts w:ascii="Times New Roman" w:eastAsia="Calibri" w:hAnsi="Times New Roman"/>
        </w:rPr>
        <w:t xml:space="preserve">negative </w:t>
      </w:r>
      <w:r w:rsidR="005474A2">
        <w:rPr>
          <w:rFonts w:ascii="Times New Roman" w:eastAsia="Calibri" w:hAnsi="Times New Roman"/>
        </w:rPr>
        <w:t>savings in 2011</w:t>
      </w:r>
      <w:r w:rsidR="003024E1">
        <w:rPr>
          <w:rFonts w:ascii="Times New Roman" w:eastAsia="Calibri" w:hAnsi="Times New Roman"/>
        </w:rPr>
        <w:t xml:space="preserve">. </w:t>
      </w:r>
      <w:r w:rsidR="0039604F">
        <w:rPr>
          <w:rFonts w:ascii="Times New Roman" w:eastAsia="Calibri" w:hAnsi="Times New Roman"/>
        </w:rPr>
        <w:t>The Total Resource Costs (TRC) test ratio and Utility Cost Test (UCT) ratio is 0.0</w:t>
      </w:r>
      <w:r w:rsidR="003024E1">
        <w:rPr>
          <w:rFonts w:ascii="Times New Roman" w:eastAsia="Calibri" w:hAnsi="Times New Roman"/>
        </w:rPr>
        <w:t xml:space="preserve">. </w:t>
      </w:r>
      <w:r w:rsidR="001F3CA0">
        <w:rPr>
          <w:rFonts w:ascii="Times New Roman" w:eastAsia="Calibri" w:hAnsi="Times New Roman"/>
        </w:rPr>
        <w:t xml:space="preserve">ETO and the company are </w:t>
      </w:r>
      <w:r w:rsidR="00D44773">
        <w:rPr>
          <w:rFonts w:ascii="Times New Roman" w:eastAsia="Calibri" w:hAnsi="Times New Roman"/>
        </w:rPr>
        <w:t xml:space="preserve">looking into </w:t>
      </w:r>
      <w:r w:rsidR="001F3CA0">
        <w:rPr>
          <w:rFonts w:ascii="Times New Roman" w:eastAsia="Calibri" w:hAnsi="Times New Roman"/>
        </w:rPr>
        <w:t>developing a more effective technical and programmatic approach to implement in the future.</w:t>
      </w:r>
    </w:p>
    <w:p w14:paraId="0608F9FF" w14:textId="77777777" w:rsidR="002B6256" w:rsidRDefault="00FD4359" w:rsidP="00D40E36">
      <w:pPr>
        <w:rPr>
          <w:rFonts w:ascii="Times New Roman" w:eastAsia="Calibri" w:hAnsi="Times New Roman"/>
        </w:rPr>
      </w:pPr>
      <w:r>
        <w:rPr>
          <w:rFonts w:ascii="Times New Roman" w:eastAsia="Calibri" w:hAnsi="Times New Roman"/>
        </w:rPr>
        <w:t xml:space="preserve"> </w:t>
      </w:r>
    </w:p>
    <w:p w14:paraId="0608FA00" w14:textId="77777777" w:rsidR="00B31E65" w:rsidRDefault="00DE2708" w:rsidP="00D40E36">
      <w:pPr>
        <w:rPr>
          <w:rFonts w:ascii="Times New Roman" w:eastAsia="Calibri" w:hAnsi="Times New Roman"/>
        </w:rPr>
      </w:pPr>
      <w:r>
        <w:rPr>
          <w:rFonts w:ascii="Times New Roman" w:eastAsia="Calibri" w:hAnsi="Times New Roman"/>
        </w:rPr>
        <w:t xml:space="preserve">The company is increasing its </w:t>
      </w:r>
      <w:r w:rsidR="008A0E6C">
        <w:rPr>
          <w:rFonts w:ascii="Times New Roman" w:eastAsia="Calibri" w:hAnsi="Times New Roman"/>
        </w:rPr>
        <w:t xml:space="preserve">commercial </w:t>
      </w:r>
      <w:r>
        <w:rPr>
          <w:rFonts w:ascii="Times New Roman" w:eastAsia="Calibri" w:hAnsi="Times New Roman"/>
        </w:rPr>
        <w:t xml:space="preserve">custom project incentive from </w:t>
      </w:r>
      <w:r w:rsidR="00467C9F">
        <w:rPr>
          <w:rFonts w:ascii="Times New Roman" w:eastAsia="Calibri" w:hAnsi="Times New Roman"/>
        </w:rPr>
        <w:t>$1.00 per therm saved to $1.50. T</w:t>
      </w:r>
      <w:r>
        <w:rPr>
          <w:rFonts w:ascii="Times New Roman" w:eastAsia="Calibri" w:hAnsi="Times New Roman"/>
        </w:rPr>
        <w:t>he company believes that a higher incentive is necessary to move the market in light of lower avoided costs for natural ga</w:t>
      </w:r>
      <w:r w:rsidR="00C96BD3">
        <w:rPr>
          <w:rFonts w:ascii="Times New Roman" w:eastAsia="Calibri" w:hAnsi="Times New Roman"/>
        </w:rPr>
        <w:t xml:space="preserve">s efficiency </w:t>
      </w:r>
      <w:r w:rsidR="00467C9F">
        <w:rPr>
          <w:rFonts w:ascii="Times New Roman" w:eastAsia="Calibri" w:hAnsi="Times New Roman"/>
        </w:rPr>
        <w:t>projects</w:t>
      </w:r>
      <w:r>
        <w:rPr>
          <w:rFonts w:ascii="Times New Roman" w:eastAsia="Calibri" w:hAnsi="Times New Roman"/>
        </w:rPr>
        <w:t>.</w:t>
      </w:r>
      <w:r w:rsidR="00D44773">
        <w:rPr>
          <w:rFonts w:ascii="Times New Roman" w:eastAsia="Calibri" w:hAnsi="Times New Roman"/>
        </w:rPr>
        <w:t xml:space="preserve"> On average the incentive for custom projects cover</w:t>
      </w:r>
      <w:r w:rsidR="006F0B39">
        <w:rPr>
          <w:rFonts w:ascii="Times New Roman" w:eastAsia="Calibri" w:hAnsi="Times New Roman"/>
        </w:rPr>
        <w:t>s</w:t>
      </w:r>
      <w:r w:rsidR="00D44773">
        <w:rPr>
          <w:rFonts w:ascii="Times New Roman" w:eastAsia="Calibri" w:hAnsi="Times New Roman"/>
        </w:rPr>
        <w:t xml:space="preserve"> only 11 percent of project costs, and there is room to improve the customer’s return on investment. </w:t>
      </w:r>
      <w:r w:rsidR="001F3CA0">
        <w:rPr>
          <w:rFonts w:ascii="Times New Roman" w:eastAsia="Calibri" w:hAnsi="Times New Roman"/>
        </w:rPr>
        <w:t>The company</w:t>
      </w:r>
      <w:r>
        <w:rPr>
          <w:rFonts w:ascii="Times New Roman" w:eastAsia="Calibri" w:hAnsi="Times New Roman"/>
        </w:rPr>
        <w:t xml:space="preserve"> will maintain an incentive cap not to exceed 50</w:t>
      </w:r>
      <w:r w:rsidR="006F0B39">
        <w:rPr>
          <w:rFonts w:ascii="Times New Roman" w:eastAsia="Calibri" w:hAnsi="Times New Roman"/>
        </w:rPr>
        <w:t xml:space="preserve"> percent </w:t>
      </w:r>
      <w:r>
        <w:rPr>
          <w:rFonts w:ascii="Times New Roman" w:eastAsia="Calibri" w:hAnsi="Times New Roman"/>
        </w:rPr>
        <w:t>of the installation costs.</w:t>
      </w:r>
      <w:r w:rsidR="00467C9F">
        <w:rPr>
          <w:rFonts w:ascii="Times New Roman" w:eastAsia="Calibri" w:hAnsi="Times New Roman"/>
        </w:rPr>
        <w:t xml:space="preserve"> </w:t>
      </w:r>
    </w:p>
    <w:p w14:paraId="0608FA01" w14:textId="77777777" w:rsidR="00B31E65" w:rsidRDefault="00B31E65" w:rsidP="00D40E36">
      <w:pPr>
        <w:rPr>
          <w:rFonts w:ascii="Times New Roman" w:eastAsia="Calibri" w:hAnsi="Times New Roman"/>
        </w:rPr>
      </w:pPr>
    </w:p>
    <w:p w14:paraId="0608FA02" w14:textId="77777777" w:rsidR="00237022" w:rsidRDefault="00B31E65" w:rsidP="00D40E36">
      <w:pPr>
        <w:rPr>
          <w:rFonts w:ascii="Times New Roman" w:eastAsia="Calibri" w:hAnsi="Times New Roman"/>
        </w:rPr>
      </w:pPr>
      <w:r>
        <w:rPr>
          <w:rFonts w:ascii="Times New Roman" w:eastAsia="Calibri" w:hAnsi="Times New Roman"/>
        </w:rPr>
        <w:t xml:space="preserve">The company is revising its incentive for </w:t>
      </w:r>
      <w:r w:rsidR="007359ED">
        <w:rPr>
          <w:rFonts w:ascii="Times New Roman" w:eastAsia="Calibri" w:hAnsi="Times New Roman"/>
        </w:rPr>
        <w:t>EnergySTAR-gas-</w:t>
      </w:r>
      <w:r>
        <w:rPr>
          <w:rFonts w:ascii="Times New Roman" w:eastAsia="Calibri" w:hAnsi="Times New Roman"/>
        </w:rPr>
        <w:t xml:space="preserve">certified </w:t>
      </w:r>
      <w:r w:rsidR="001D4C70">
        <w:rPr>
          <w:rFonts w:ascii="Times New Roman" w:eastAsia="Calibri" w:hAnsi="Times New Roman"/>
        </w:rPr>
        <w:t>fryers from $1000 per fr</w:t>
      </w:r>
      <w:r w:rsidR="00AA5470">
        <w:rPr>
          <w:rFonts w:ascii="Times New Roman" w:eastAsia="Calibri" w:hAnsi="Times New Roman"/>
        </w:rPr>
        <w:t xml:space="preserve">yer to $800 per vat. </w:t>
      </w:r>
      <w:r w:rsidR="00235CAC">
        <w:rPr>
          <w:rFonts w:ascii="Times New Roman" w:eastAsia="Calibri" w:hAnsi="Times New Roman"/>
        </w:rPr>
        <w:t>In recent years</w:t>
      </w:r>
      <w:r w:rsidR="006F0B39">
        <w:rPr>
          <w:rFonts w:ascii="Times New Roman" w:eastAsia="Calibri" w:hAnsi="Times New Roman"/>
        </w:rPr>
        <w:t>,</w:t>
      </w:r>
      <w:r w:rsidR="00235CAC">
        <w:rPr>
          <w:rFonts w:ascii="Times New Roman" w:eastAsia="Calibri" w:hAnsi="Times New Roman"/>
        </w:rPr>
        <w:t xml:space="preserve"> more multi-vat fryers have come onto the market and the company </w:t>
      </w:r>
      <w:r w:rsidR="00AA5470">
        <w:rPr>
          <w:rFonts w:ascii="Times New Roman" w:eastAsia="Calibri" w:hAnsi="Times New Roman"/>
        </w:rPr>
        <w:t xml:space="preserve">can </w:t>
      </w:r>
      <w:r w:rsidR="00235CAC">
        <w:rPr>
          <w:rFonts w:ascii="Times New Roman" w:eastAsia="Calibri" w:hAnsi="Times New Roman"/>
        </w:rPr>
        <w:t xml:space="preserve">capture the true savings by </w:t>
      </w:r>
      <w:r w:rsidR="00A9230C">
        <w:rPr>
          <w:rFonts w:ascii="Times New Roman" w:eastAsia="Calibri" w:hAnsi="Times New Roman"/>
        </w:rPr>
        <w:t>using a per vat incentive.</w:t>
      </w:r>
      <w:r w:rsidR="00AA5470">
        <w:rPr>
          <w:rFonts w:ascii="Times New Roman" w:eastAsia="Calibri" w:hAnsi="Times New Roman"/>
        </w:rPr>
        <w:t xml:space="preserve"> The company will also </w:t>
      </w:r>
      <w:r w:rsidR="005425CB">
        <w:rPr>
          <w:rFonts w:ascii="Times New Roman" w:eastAsia="Calibri" w:hAnsi="Times New Roman"/>
        </w:rPr>
        <w:t>have greater</w:t>
      </w:r>
      <w:r w:rsidR="00AA5470">
        <w:rPr>
          <w:rFonts w:ascii="Times New Roman" w:eastAsia="Calibri" w:hAnsi="Times New Roman"/>
        </w:rPr>
        <w:t xml:space="preserve"> </w:t>
      </w:r>
      <w:r w:rsidR="00931788">
        <w:rPr>
          <w:rFonts w:ascii="Times New Roman" w:eastAsia="Calibri" w:hAnsi="Times New Roman"/>
        </w:rPr>
        <w:t>precision to meet customer needs</w:t>
      </w:r>
      <w:r w:rsidR="0023790B">
        <w:rPr>
          <w:rFonts w:ascii="Times New Roman" w:eastAsia="Calibri" w:hAnsi="Times New Roman"/>
        </w:rPr>
        <w:t xml:space="preserve">, </w:t>
      </w:r>
      <w:r w:rsidR="003024E1">
        <w:rPr>
          <w:rFonts w:ascii="Times New Roman" w:eastAsia="Calibri" w:hAnsi="Times New Roman"/>
        </w:rPr>
        <w:t>providing smaller</w:t>
      </w:r>
      <w:r w:rsidR="00AA5470">
        <w:rPr>
          <w:rFonts w:ascii="Times New Roman" w:eastAsia="Calibri" w:hAnsi="Times New Roman"/>
        </w:rPr>
        <w:t xml:space="preserve"> incentives on less expensive fryers and larger incentives for expensive multi-vat fryers.</w:t>
      </w:r>
    </w:p>
    <w:p w14:paraId="0608FA03" w14:textId="77777777" w:rsidR="00CB6256" w:rsidRPr="00CB6256" w:rsidRDefault="00CB6256" w:rsidP="00CB6256">
      <w:pPr>
        <w:spacing w:after="200" w:line="276" w:lineRule="auto"/>
        <w:contextualSpacing/>
        <w:rPr>
          <w:rFonts w:ascii="Times New Roman" w:eastAsia="Calibri" w:hAnsi="Times New Roman"/>
        </w:rPr>
      </w:pPr>
    </w:p>
    <w:p w14:paraId="0608FA04" w14:textId="77777777" w:rsidR="00354B83" w:rsidRPr="00CB6256" w:rsidRDefault="00CB6256" w:rsidP="00354B83">
      <w:pPr>
        <w:spacing w:after="200"/>
        <w:contextualSpacing/>
        <w:rPr>
          <w:rFonts w:ascii="Times New Roman" w:eastAsia="Calibri" w:hAnsi="Times New Roman"/>
        </w:rPr>
      </w:pPr>
      <w:r w:rsidRPr="00CB6256">
        <w:rPr>
          <w:rFonts w:ascii="Times New Roman" w:hAnsi="Times New Roman"/>
        </w:rPr>
        <w:t xml:space="preserve">The slight increase in </w:t>
      </w:r>
      <w:r w:rsidR="00354B83">
        <w:rPr>
          <w:rFonts w:ascii="Times New Roman" w:hAnsi="Times New Roman"/>
        </w:rPr>
        <w:t>estimated savings</w:t>
      </w:r>
      <w:r w:rsidRPr="00CB6256">
        <w:rPr>
          <w:rFonts w:ascii="Times New Roman" w:hAnsi="Times New Roman"/>
        </w:rPr>
        <w:t xml:space="preserve"> coupled with a decrease in expected expenditures </w:t>
      </w:r>
      <w:r w:rsidR="00BF2893" w:rsidRPr="00CB6256">
        <w:rPr>
          <w:rFonts w:ascii="Times New Roman" w:hAnsi="Times New Roman"/>
        </w:rPr>
        <w:t>improve</w:t>
      </w:r>
      <w:r w:rsidR="00BF2893">
        <w:rPr>
          <w:rFonts w:ascii="Times New Roman" w:hAnsi="Times New Roman"/>
        </w:rPr>
        <w:t>s the</w:t>
      </w:r>
      <w:r w:rsidR="00BF2893" w:rsidRPr="00CB6256">
        <w:rPr>
          <w:rFonts w:ascii="Times New Roman" w:hAnsi="Times New Roman"/>
        </w:rPr>
        <w:t xml:space="preserve"> </w:t>
      </w:r>
      <w:r w:rsidRPr="00CB6256">
        <w:rPr>
          <w:rFonts w:ascii="Times New Roman" w:hAnsi="Times New Roman"/>
        </w:rPr>
        <w:t xml:space="preserve">cost-effectiveness of the company’s portfolio. </w:t>
      </w:r>
      <w:r w:rsidR="003024E1" w:rsidRPr="00CB6256">
        <w:rPr>
          <w:rFonts w:ascii="Times New Roman" w:hAnsi="Times New Roman"/>
        </w:rPr>
        <w:t>Low gas prices have continued to hamper the conservation programs of natural gas utilities, however</w:t>
      </w:r>
      <w:r w:rsidR="003024E1">
        <w:rPr>
          <w:rFonts w:ascii="Times New Roman" w:hAnsi="Times New Roman"/>
        </w:rPr>
        <w:t>,</w:t>
      </w:r>
      <w:r w:rsidR="003024E1" w:rsidRPr="00CB6256">
        <w:rPr>
          <w:rFonts w:ascii="Times New Roman" w:hAnsi="Times New Roman"/>
        </w:rPr>
        <w:t xml:space="preserve"> the company and ETO have successfully kept the portfolio cost-effective by adaptively managing its program. </w:t>
      </w:r>
      <w:r w:rsidRPr="00CB6256">
        <w:rPr>
          <w:rFonts w:ascii="Times New Roman" w:hAnsi="Times New Roman"/>
        </w:rPr>
        <w:t xml:space="preserve">Staff believes that savings and expenditure estimates are fairly presented in NW Natural’s 2014 Energy Efficiency Plan, and that the programmatic revisions have been designed appropriately and are accurately captured in this plan. </w:t>
      </w:r>
      <w:r w:rsidR="00354B83" w:rsidRPr="00CB6256">
        <w:rPr>
          <w:rFonts w:ascii="Times New Roman" w:hAnsi="Times New Roman"/>
        </w:rPr>
        <w:t>Therefore, staff recommends accept</w:t>
      </w:r>
      <w:r w:rsidR="00354B83">
        <w:rPr>
          <w:rFonts w:ascii="Times New Roman" w:hAnsi="Times New Roman"/>
        </w:rPr>
        <w:t>ing</w:t>
      </w:r>
      <w:r w:rsidR="00354B83" w:rsidRPr="00CB6256">
        <w:rPr>
          <w:rFonts w:ascii="Times New Roman" w:hAnsi="Times New Roman"/>
        </w:rPr>
        <w:t xml:space="preserve"> this Energy Efficiency Plan.</w:t>
      </w:r>
    </w:p>
    <w:p w14:paraId="0608FA05" w14:textId="77777777" w:rsidR="00354B83" w:rsidRDefault="00354B83" w:rsidP="00354B83">
      <w:pPr>
        <w:spacing w:after="200"/>
        <w:contextualSpacing/>
        <w:rPr>
          <w:i/>
        </w:rPr>
      </w:pPr>
    </w:p>
    <w:p w14:paraId="0608FA06" w14:textId="77777777" w:rsidR="001972FB" w:rsidRPr="000B045B" w:rsidRDefault="001972FB" w:rsidP="000B045B">
      <w:pPr>
        <w:rPr>
          <w:rFonts w:ascii="Times New Roman" w:hAnsi="Times New Roman"/>
          <w:b/>
          <w:i/>
        </w:rPr>
      </w:pPr>
      <w:r w:rsidRPr="000B045B">
        <w:rPr>
          <w:rFonts w:ascii="Times New Roman" w:hAnsi="Times New Roman"/>
          <w:b/>
          <w:i/>
        </w:rPr>
        <w:t>Progress in 2013</w:t>
      </w:r>
    </w:p>
    <w:p w14:paraId="0608FA07" w14:textId="77777777" w:rsidR="001972FB" w:rsidRDefault="001972FB" w:rsidP="001972FB">
      <w:pPr>
        <w:pStyle w:val="Heading1"/>
        <w:spacing w:before="0" w:after="0"/>
        <w:rPr>
          <w:b w:val="0"/>
        </w:rPr>
      </w:pPr>
    </w:p>
    <w:p w14:paraId="0608FA08" w14:textId="037771F4" w:rsidR="00354B83" w:rsidRPr="003B29FC" w:rsidRDefault="00354B83" w:rsidP="00354B83">
      <w:pPr>
        <w:pStyle w:val="Heading1"/>
        <w:spacing w:before="0" w:after="0"/>
        <w:rPr>
          <w:b w:val="0"/>
        </w:rPr>
      </w:pPr>
      <w:r>
        <w:rPr>
          <w:b w:val="0"/>
        </w:rPr>
        <w:t xml:space="preserve">On </w:t>
      </w:r>
      <w:r w:rsidR="00C80050">
        <w:rPr>
          <w:b w:val="0"/>
        </w:rPr>
        <w:t xml:space="preserve">Nov. </w:t>
      </w:r>
      <w:r>
        <w:rPr>
          <w:b w:val="0"/>
        </w:rPr>
        <w:t xml:space="preserve">27, 2013, NW Natural filed its 2013 third quarterly report on its energy efficiency program in </w:t>
      </w:r>
      <w:r w:rsidRPr="00E639CF">
        <w:rPr>
          <w:b w:val="0"/>
        </w:rPr>
        <w:t>Docket UG-132191</w:t>
      </w:r>
      <w:r>
        <w:rPr>
          <w:b w:val="0"/>
        </w:rPr>
        <w:t xml:space="preserve">. Through September, the company saved 89,661 therms at a cost of $722,780. The company has achieved roughly 40 percent of its 220,421 therm savings goal for 2013, and has spent around 45 percent of its budget </w:t>
      </w:r>
      <w:r w:rsidRPr="004303FB">
        <w:rPr>
          <w:b w:val="0"/>
        </w:rPr>
        <w:t>of $1</w:t>
      </w:r>
      <w:r>
        <w:rPr>
          <w:b w:val="0"/>
        </w:rPr>
        <w:t xml:space="preserve">.6 million. </w:t>
      </w:r>
      <w:r w:rsidRPr="004303FB">
        <w:rPr>
          <w:b w:val="0"/>
        </w:rPr>
        <w:t>NW Natural</w:t>
      </w:r>
      <w:r>
        <w:rPr>
          <w:b w:val="0"/>
        </w:rPr>
        <w:t xml:space="preserve"> has historically achieved a large proportion of its program goals in the fourth quarter and expects to do so again this year. Although the company is behind the therm savings goal through the third quarter relative to 2012, this is due to a poor-performing first quarter when new trade allies were starting. The second and third quarters of 2013 outperformed the respective quarters from 2012, </w:t>
      </w:r>
      <w:r>
        <w:rPr>
          <w:b w:val="0"/>
        </w:rPr>
        <w:lastRenderedPageBreak/>
        <w:t>by 13 percent and 43 percent. Commission staff believes that the company is on track to meet its 2013 goals.</w:t>
      </w:r>
    </w:p>
    <w:p w14:paraId="0608FA09" w14:textId="77777777" w:rsidR="00237022" w:rsidRPr="001972FB" w:rsidRDefault="00237022" w:rsidP="00D40E36">
      <w:pPr>
        <w:contextualSpacing/>
        <w:rPr>
          <w:rFonts w:ascii="Times New Roman" w:eastAsia="Calibri" w:hAnsi="Times New Roman"/>
        </w:rPr>
      </w:pPr>
    </w:p>
    <w:p w14:paraId="42C6C236" w14:textId="77777777" w:rsidR="002872C8" w:rsidRDefault="002872C8" w:rsidP="00D40E36">
      <w:pPr>
        <w:contextualSpacing/>
        <w:rPr>
          <w:rFonts w:ascii="Times New Roman" w:eastAsia="Calibri" w:hAnsi="Times New Roman"/>
          <w:i/>
        </w:rPr>
      </w:pPr>
    </w:p>
    <w:p w14:paraId="0608FA0A" w14:textId="77777777" w:rsidR="00CB6256" w:rsidRDefault="00CB6256" w:rsidP="00D40E36">
      <w:pPr>
        <w:contextualSpacing/>
        <w:rPr>
          <w:rFonts w:ascii="Times New Roman" w:eastAsia="Calibri" w:hAnsi="Times New Roman"/>
          <w:i/>
        </w:rPr>
      </w:pPr>
      <w:r w:rsidRPr="00CB6256">
        <w:rPr>
          <w:rFonts w:ascii="Times New Roman" w:eastAsia="Calibri" w:hAnsi="Times New Roman"/>
          <w:i/>
        </w:rPr>
        <w:t>Natural Gas Policy Statement</w:t>
      </w:r>
    </w:p>
    <w:p w14:paraId="0608FA0B" w14:textId="77777777" w:rsidR="00CB6256" w:rsidRPr="00CB6256" w:rsidRDefault="00CB6256" w:rsidP="00D40E36">
      <w:pPr>
        <w:contextualSpacing/>
        <w:rPr>
          <w:rFonts w:ascii="Times New Roman" w:eastAsia="Calibri" w:hAnsi="Times New Roman"/>
          <w:i/>
        </w:rPr>
      </w:pPr>
    </w:p>
    <w:p w14:paraId="0608FA0C" w14:textId="291B1735" w:rsidR="00354B83" w:rsidRPr="00CA4629" w:rsidRDefault="00354B83" w:rsidP="00354B83">
      <w:pPr>
        <w:contextualSpacing/>
        <w:rPr>
          <w:rFonts w:ascii="Times New Roman" w:eastAsia="Calibri" w:hAnsi="Times New Roman"/>
        </w:rPr>
      </w:pPr>
      <w:r w:rsidRPr="00CB6256">
        <w:rPr>
          <w:rFonts w:ascii="Times New Roman" w:eastAsia="Calibri" w:hAnsi="Times New Roman"/>
        </w:rPr>
        <w:t>The 2014 EE plan does not include t</w:t>
      </w:r>
      <w:r>
        <w:rPr>
          <w:rFonts w:ascii="Times New Roman" w:eastAsia="Calibri" w:hAnsi="Times New Roman"/>
        </w:rPr>
        <w:t>he recommendations made by the c</w:t>
      </w:r>
      <w:r w:rsidRPr="00CB6256">
        <w:rPr>
          <w:rFonts w:ascii="Times New Roman" w:eastAsia="Calibri" w:hAnsi="Times New Roman"/>
        </w:rPr>
        <w:t xml:space="preserve">ommission’s Natural Gas Policy Statement (Policy Statement) issued on </w:t>
      </w:r>
      <w:r w:rsidR="00C80050" w:rsidRPr="00CB6256">
        <w:rPr>
          <w:rFonts w:ascii="Times New Roman" w:eastAsia="Calibri" w:hAnsi="Times New Roman"/>
        </w:rPr>
        <w:t>Oct</w:t>
      </w:r>
      <w:r w:rsidR="00C80050">
        <w:rPr>
          <w:rFonts w:ascii="Times New Roman" w:eastAsia="Calibri" w:hAnsi="Times New Roman"/>
        </w:rPr>
        <w:t>.</w:t>
      </w:r>
      <w:r w:rsidR="00C80050" w:rsidRPr="00CB6256">
        <w:rPr>
          <w:rFonts w:ascii="Times New Roman" w:eastAsia="Calibri" w:hAnsi="Times New Roman"/>
        </w:rPr>
        <w:t xml:space="preserve"> </w:t>
      </w:r>
      <w:r w:rsidRPr="00CB6256">
        <w:rPr>
          <w:rFonts w:ascii="Times New Roman" w:eastAsia="Calibri" w:hAnsi="Times New Roman"/>
        </w:rPr>
        <w:t>9, 2013</w:t>
      </w:r>
      <w:r>
        <w:rPr>
          <w:rFonts w:ascii="Times New Roman" w:eastAsia="Calibri" w:hAnsi="Times New Roman"/>
        </w:rPr>
        <w:t>.</w:t>
      </w:r>
      <w:r w:rsidRPr="00CB6256">
        <w:rPr>
          <w:rStyle w:val="FootnoteReference"/>
          <w:rFonts w:ascii="Times New Roman" w:eastAsia="Calibri" w:hAnsi="Times New Roman"/>
        </w:rPr>
        <w:footnoteReference w:id="4"/>
      </w:r>
      <w:r w:rsidRPr="00CB6256">
        <w:rPr>
          <w:rFonts w:ascii="Times New Roman" w:eastAsia="Calibri" w:hAnsi="Times New Roman"/>
        </w:rPr>
        <w:t xml:space="preserve"> The company did not have </w:t>
      </w:r>
      <w:r>
        <w:rPr>
          <w:rFonts w:ascii="Times New Roman" w:eastAsia="Calibri" w:hAnsi="Times New Roman"/>
        </w:rPr>
        <w:t>sufficient time to</w:t>
      </w:r>
      <w:r w:rsidRPr="00CB6256">
        <w:rPr>
          <w:rFonts w:ascii="Times New Roman" w:eastAsia="Calibri" w:hAnsi="Times New Roman"/>
        </w:rPr>
        <w:t xml:space="preserve"> discuss the policy statement with the EEAG and revise its goals by the </w:t>
      </w:r>
      <w:r w:rsidR="00C80050" w:rsidRPr="00CB6256">
        <w:rPr>
          <w:rFonts w:ascii="Times New Roman" w:eastAsia="Calibri" w:hAnsi="Times New Roman"/>
        </w:rPr>
        <w:t>Dec</w:t>
      </w:r>
      <w:r w:rsidR="0081761C">
        <w:rPr>
          <w:rFonts w:ascii="Times New Roman" w:eastAsia="Calibri" w:hAnsi="Times New Roman"/>
        </w:rPr>
        <w:t>ember</w:t>
      </w:r>
      <w:r w:rsidR="0081761C" w:rsidRPr="00CB6256">
        <w:rPr>
          <w:rFonts w:ascii="Times New Roman" w:eastAsia="Calibri" w:hAnsi="Times New Roman"/>
        </w:rPr>
        <w:t xml:space="preserve"> </w:t>
      </w:r>
      <w:r w:rsidRPr="00CB6256">
        <w:rPr>
          <w:rFonts w:ascii="Times New Roman" w:eastAsia="Calibri" w:hAnsi="Times New Roman"/>
        </w:rPr>
        <w:t>1 filing deadline. Staff expects the company will convene its EEAG during the first quarter of 2014 to begin implementation discussions.</w:t>
      </w:r>
      <w:r>
        <w:rPr>
          <w:rFonts w:ascii="Times New Roman" w:eastAsia="Calibri" w:hAnsi="Times New Roman"/>
        </w:rPr>
        <w:t xml:space="preserve"> </w:t>
      </w:r>
      <w:r w:rsidRPr="00CB6256">
        <w:rPr>
          <w:rFonts w:ascii="Times New Roman" w:eastAsia="Calibri" w:hAnsi="Times New Roman"/>
        </w:rPr>
        <w:t xml:space="preserve">Staff also expects that the company will </w:t>
      </w:r>
      <w:r>
        <w:rPr>
          <w:rFonts w:ascii="Times New Roman" w:eastAsia="Calibri" w:hAnsi="Times New Roman"/>
        </w:rPr>
        <w:t>address the Policy Statement recommendations in the</w:t>
      </w:r>
      <w:r w:rsidRPr="00CB6256">
        <w:rPr>
          <w:rFonts w:ascii="Times New Roman" w:eastAsia="Calibri" w:hAnsi="Times New Roman"/>
        </w:rPr>
        <w:t xml:space="preserve"> 2015 </w:t>
      </w:r>
      <w:r>
        <w:rPr>
          <w:rFonts w:ascii="Times New Roman" w:eastAsia="Calibri" w:hAnsi="Times New Roman"/>
        </w:rPr>
        <w:t>EE</w:t>
      </w:r>
      <w:r w:rsidRPr="00CB6256">
        <w:rPr>
          <w:rFonts w:ascii="Times New Roman" w:eastAsia="Calibri" w:hAnsi="Times New Roman"/>
        </w:rPr>
        <w:t xml:space="preserve"> Plan.    </w:t>
      </w:r>
    </w:p>
    <w:p w14:paraId="0608FA0D" w14:textId="77777777" w:rsidR="00843651" w:rsidRPr="00CB6256" w:rsidRDefault="00843651" w:rsidP="00843651">
      <w:pPr>
        <w:pStyle w:val="Heading1"/>
        <w:contextualSpacing/>
      </w:pPr>
      <w:r w:rsidRPr="00CB6256">
        <w:t>Conclusion</w:t>
      </w:r>
    </w:p>
    <w:p w14:paraId="0608FA0E" w14:textId="77777777" w:rsidR="00852045" w:rsidRPr="00CB6256" w:rsidRDefault="00852045" w:rsidP="00852045">
      <w:pPr>
        <w:contextualSpacing/>
        <w:rPr>
          <w:rFonts w:ascii="Times New Roman" w:hAnsi="Times New Roman"/>
          <w:color w:val="1F497D"/>
        </w:rPr>
      </w:pPr>
      <w:r w:rsidRPr="00CB6256">
        <w:rPr>
          <w:rFonts w:ascii="Times New Roman" w:hAnsi="Times New Roman"/>
        </w:rPr>
        <w:t xml:space="preserve">Take no action, thereby allowing the proposed tariff revision to go into effect by operation of law, and acknowledging receipt of Northwest Natural Gas Company’s </w:t>
      </w:r>
      <w:r w:rsidR="009025B0" w:rsidRPr="00CB6256">
        <w:rPr>
          <w:rFonts w:ascii="Times New Roman" w:hAnsi="Times New Roman"/>
        </w:rPr>
        <w:t>2014</w:t>
      </w:r>
      <w:r w:rsidRPr="00CB6256">
        <w:rPr>
          <w:rFonts w:ascii="Times New Roman" w:hAnsi="Times New Roman"/>
        </w:rPr>
        <w:t xml:space="preserve"> Energy Efficiency Plan </w:t>
      </w:r>
      <w:r w:rsidR="009025B0" w:rsidRPr="00CB6256">
        <w:rPr>
          <w:rFonts w:ascii="Times New Roman" w:hAnsi="Times New Roman"/>
        </w:rPr>
        <w:t>in Docket UE-132147</w:t>
      </w:r>
      <w:r w:rsidRPr="00CB6256">
        <w:rPr>
          <w:rFonts w:ascii="Times New Roman" w:hAnsi="Times New Roman"/>
        </w:rPr>
        <w:t xml:space="preserve">. </w:t>
      </w:r>
    </w:p>
    <w:p w14:paraId="0608FA0F" w14:textId="77777777" w:rsidR="00843651" w:rsidRPr="00CB6256" w:rsidRDefault="00843651" w:rsidP="00843651">
      <w:pPr>
        <w:contextualSpacing/>
        <w:rPr>
          <w:rFonts w:ascii="Times New Roman" w:hAnsi="Times New Roman"/>
        </w:rPr>
      </w:pPr>
    </w:p>
    <w:sectPr w:rsidR="00843651" w:rsidRPr="00CB6256" w:rsidSect="00856AC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8FA13" w14:textId="77777777" w:rsidR="00164C3F" w:rsidRDefault="00164C3F" w:rsidP="000E03CA">
      <w:r>
        <w:separator/>
      </w:r>
    </w:p>
  </w:endnote>
  <w:endnote w:type="continuationSeparator" w:id="0">
    <w:p w14:paraId="0608FA14" w14:textId="77777777" w:rsidR="00164C3F" w:rsidRDefault="00164C3F" w:rsidP="000E03CA">
      <w:r>
        <w:continuationSeparator/>
      </w:r>
    </w:p>
  </w:endnote>
  <w:endnote w:type="continuationNotice" w:id="1">
    <w:p w14:paraId="0608FA15" w14:textId="77777777" w:rsidR="00164C3F" w:rsidRDefault="00164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8FA10" w14:textId="77777777" w:rsidR="00164C3F" w:rsidRDefault="00164C3F" w:rsidP="000E03CA">
      <w:r>
        <w:separator/>
      </w:r>
    </w:p>
  </w:footnote>
  <w:footnote w:type="continuationSeparator" w:id="0">
    <w:p w14:paraId="0608FA11" w14:textId="77777777" w:rsidR="00164C3F" w:rsidRDefault="00164C3F" w:rsidP="000E03CA">
      <w:r>
        <w:continuationSeparator/>
      </w:r>
    </w:p>
  </w:footnote>
  <w:footnote w:type="continuationNotice" w:id="1">
    <w:p w14:paraId="0608FA12" w14:textId="77777777" w:rsidR="00164C3F" w:rsidRDefault="00164C3F"/>
  </w:footnote>
  <w:footnote w:id="2">
    <w:p w14:paraId="0608FA1B" w14:textId="0F56128A" w:rsidR="00164C3F" w:rsidRDefault="00164C3F" w:rsidP="00CE73FC">
      <w:pPr>
        <w:pStyle w:val="FootnoteText"/>
      </w:pPr>
      <w:r>
        <w:rPr>
          <w:rStyle w:val="FootnoteReference"/>
        </w:rPr>
        <w:footnoteRef/>
      </w:r>
      <w:r>
        <w:t xml:space="preserve"> NW Natural uses a range of savings targets and budgets. For ease of analysis, </w:t>
      </w:r>
      <w:r w:rsidR="0081761C">
        <w:t xml:space="preserve">staff </w:t>
      </w:r>
      <w:r>
        <w:t>uses the minimum savings and the maximum spending.</w:t>
      </w:r>
    </w:p>
  </w:footnote>
  <w:footnote w:id="3">
    <w:p w14:paraId="0608FA1C" w14:textId="77777777" w:rsidR="00164C3F" w:rsidRDefault="00164C3F" w:rsidP="003E6BD3">
      <w:pPr>
        <w:pStyle w:val="FootnoteText"/>
      </w:pPr>
      <w:r>
        <w:rPr>
          <w:rStyle w:val="FootnoteReference"/>
        </w:rPr>
        <w:footnoteRef/>
      </w:r>
      <w:r>
        <w:t xml:space="preserve"> Docket UG-121886, “2013 Energy Efficiency Plan,” November 29, 2012.</w:t>
      </w:r>
    </w:p>
  </w:footnote>
  <w:footnote w:id="4">
    <w:p w14:paraId="0608FA1D" w14:textId="77777777" w:rsidR="00164C3F" w:rsidRDefault="00164C3F" w:rsidP="00354B83">
      <w:pPr>
        <w:pStyle w:val="FootnoteText"/>
      </w:pPr>
      <w:r>
        <w:rPr>
          <w:rStyle w:val="FootnoteReference"/>
        </w:rPr>
        <w:footnoteRef/>
      </w:r>
      <w:r>
        <w:t xml:space="preserve"> Docket UG-121207, “</w:t>
      </w:r>
      <w:r w:rsidRPr="0070169F">
        <w:t>Policy Statement on the Evaluation of the Cost-Effectiveness of Natural Gas Conservation Programs</w:t>
      </w:r>
      <w:r>
        <w:t xml:space="preserve">,” October 9,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8FA16" w14:textId="77777777" w:rsidR="00164C3F" w:rsidRPr="000711DE" w:rsidRDefault="00164C3F">
    <w:pPr>
      <w:pStyle w:val="Header"/>
      <w:rPr>
        <w:rFonts w:ascii="Times New Roman" w:hAnsi="Times New Roman"/>
        <w:sz w:val="20"/>
        <w:szCs w:val="20"/>
      </w:rPr>
    </w:pPr>
    <w:r w:rsidRPr="000711DE">
      <w:rPr>
        <w:rFonts w:ascii="Times New Roman" w:hAnsi="Times New Roman"/>
        <w:sz w:val="20"/>
        <w:szCs w:val="20"/>
      </w:rPr>
      <w:t>DOCKET UG-132147</w:t>
    </w:r>
  </w:p>
  <w:p w14:paraId="0608FA17" w14:textId="77777777" w:rsidR="00164C3F" w:rsidRPr="000711DE" w:rsidRDefault="00164C3F">
    <w:pPr>
      <w:pStyle w:val="Header"/>
      <w:rPr>
        <w:rFonts w:ascii="Times New Roman" w:hAnsi="Times New Roman"/>
        <w:sz w:val="20"/>
        <w:szCs w:val="20"/>
      </w:rPr>
    </w:pPr>
    <w:r w:rsidRPr="000711DE">
      <w:rPr>
        <w:rFonts w:ascii="Times New Roman" w:hAnsi="Times New Roman"/>
        <w:sz w:val="20"/>
        <w:szCs w:val="20"/>
      </w:rPr>
      <w:t>December 18, 2013</w:t>
    </w:r>
  </w:p>
  <w:p w14:paraId="0608FA18" w14:textId="77777777" w:rsidR="00164C3F" w:rsidRPr="000711DE" w:rsidRDefault="00164C3F">
    <w:pPr>
      <w:pStyle w:val="Header"/>
      <w:rPr>
        <w:rFonts w:ascii="Times New Roman" w:hAnsi="Times New Roman"/>
        <w:sz w:val="20"/>
        <w:szCs w:val="20"/>
      </w:rPr>
    </w:pPr>
    <w:r w:rsidRPr="000711DE">
      <w:rPr>
        <w:rFonts w:ascii="Times New Roman" w:hAnsi="Times New Roman"/>
        <w:sz w:val="20"/>
        <w:szCs w:val="20"/>
      </w:rPr>
      <w:t xml:space="preserve">Page </w:t>
    </w:r>
    <w:r w:rsidRPr="000711DE">
      <w:rPr>
        <w:rFonts w:ascii="Times New Roman" w:hAnsi="Times New Roman"/>
        <w:sz w:val="20"/>
        <w:szCs w:val="20"/>
      </w:rPr>
      <w:fldChar w:fldCharType="begin"/>
    </w:r>
    <w:r w:rsidRPr="000711DE">
      <w:rPr>
        <w:rFonts w:ascii="Times New Roman" w:hAnsi="Times New Roman"/>
        <w:sz w:val="20"/>
        <w:szCs w:val="20"/>
      </w:rPr>
      <w:instrText xml:space="preserve"> PAGE   \* MERGEFORMAT </w:instrText>
    </w:r>
    <w:r w:rsidRPr="000711DE">
      <w:rPr>
        <w:rFonts w:ascii="Times New Roman" w:hAnsi="Times New Roman"/>
        <w:sz w:val="20"/>
        <w:szCs w:val="20"/>
      </w:rPr>
      <w:fldChar w:fldCharType="separate"/>
    </w:r>
    <w:r w:rsidR="00BD5E12">
      <w:rPr>
        <w:rFonts w:ascii="Times New Roman" w:hAnsi="Times New Roman"/>
        <w:noProof/>
        <w:sz w:val="20"/>
        <w:szCs w:val="20"/>
      </w:rPr>
      <w:t>4</w:t>
    </w:r>
    <w:r w:rsidRPr="000711DE">
      <w:rPr>
        <w:rFonts w:ascii="Times New Roman" w:hAnsi="Times New Roman"/>
        <w:noProof/>
        <w:sz w:val="20"/>
        <w:szCs w:val="20"/>
      </w:rPr>
      <w:fldChar w:fldCharType="end"/>
    </w:r>
  </w:p>
  <w:p w14:paraId="0608FA19" w14:textId="77777777" w:rsidR="00164C3F" w:rsidRDefault="00164C3F">
    <w:pPr>
      <w:pStyle w:val="Header"/>
      <w:rPr>
        <w:rFonts w:ascii="Times New Roman" w:hAnsi="Times New Roman"/>
        <w:sz w:val="20"/>
        <w:szCs w:val="20"/>
      </w:rPr>
    </w:pPr>
  </w:p>
  <w:p w14:paraId="0608FA1A" w14:textId="77777777" w:rsidR="00164C3F" w:rsidRPr="00856AC8" w:rsidRDefault="00164C3F">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B715A"/>
    <w:multiLevelType w:val="hybridMultilevel"/>
    <w:tmpl w:val="D4847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CA"/>
    <w:rsid w:val="00024D69"/>
    <w:rsid w:val="00031596"/>
    <w:rsid w:val="00055548"/>
    <w:rsid w:val="000711DE"/>
    <w:rsid w:val="0008228A"/>
    <w:rsid w:val="00090CBD"/>
    <w:rsid w:val="000911D5"/>
    <w:rsid w:val="00095C2C"/>
    <w:rsid w:val="000A2A1B"/>
    <w:rsid w:val="000A70A9"/>
    <w:rsid w:val="000B045B"/>
    <w:rsid w:val="000D59A5"/>
    <w:rsid w:val="000D7EC8"/>
    <w:rsid w:val="000E03CA"/>
    <w:rsid w:val="000E746B"/>
    <w:rsid w:val="00121588"/>
    <w:rsid w:val="00127AC8"/>
    <w:rsid w:val="001307B1"/>
    <w:rsid w:val="00131B07"/>
    <w:rsid w:val="00135EAB"/>
    <w:rsid w:val="0015380C"/>
    <w:rsid w:val="00153EA6"/>
    <w:rsid w:val="0015574E"/>
    <w:rsid w:val="00164C3F"/>
    <w:rsid w:val="00174298"/>
    <w:rsid w:val="00183499"/>
    <w:rsid w:val="00190CA5"/>
    <w:rsid w:val="001911DC"/>
    <w:rsid w:val="001972FB"/>
    <w:rsid w:val="001C269A"/>
    <w:rsid w:val="001C5270"/>
    <w:rsid w:val="001C77C6"/>
    <w:rsid w:val="001D4C70"/>
    <w:rsid w:val="001F02A6"/>
    <w:rsid w:val="001F3CA0"/>
    <w:rsid w:val="002036F1"/>
    <w:rsid w:val="00205760"/>
    <w:rsid w:val="00206811"/>
    <w:rsid w:val="00213EE5"/>
    <w:rsid w:val="00222DD6"/>
    <w:rsid w:val="002235A4"/>
    <w:rsid w:val="00224FA1"/>
    <w:rsid w:val="00235CAC"/>
    <w:rsid w:val="00237022"/>
    <w:rsid w:val="0023790B"/>
    <w:rsid w:val="00242E25"/>
    <w:rsid w:val="00253523"/>
    <w:rsid w:val="0027493C"/>
    <w:rsid w:val="00286580"/>
    <w:rsid w:val="002872C8"/>
    <w:rsid w:val="002A63DC"/>
    <w:rsid w:val="002A7021"/>
    <w:rsid w:val="002B6256"/>
    <w:rsid w:val="002D1AB5"/>
    <w:rsid w:val="002D2DE8"/>
    <w:rsid w:val="002D4E22"/>
    <w:rsid w:val="002E3E4D"/>
    <w:rsid w:val="002F4A44"/>
    <w:rsid w:val="002F522E"/>
    <w:rsid w:val="003024E1"/>
    <w:rsid w:val="00303952"/>
    <w:rsid w:val="003145A0"/>
    <w:rsid w:val="00315EB6"/>
    <w:rsid w:val="00320691"/>
    <w:rsid w:val="00321B43"/>
    <w:rsid w:val="003367A2"/>
    <w:rsid w:val="00337558"/>
    <w:rsid w:val="00341109"/>
    <w:rsid w:val="0034209B"/>
    <w:rsid w:val="00344CC6"/>
    <w:rsid w:val="00354B83"/>
    <w:rsid w:val="00361BE0"/>
    <w:rsid w:val="00361C02"/>
    <w:rsid w:val="00380BB0"/>
    <w:rsid w:val="00384633"/>
    <w:rsid w:val="00386209"/>
    <w:rsid w:val="00386B94"/>
    <w:rsid w:val="0039604F"/>
    <w:rsid w:val="00397C47"/>
    <w:rsid w:val="003A447A"/>
    <w:rsid w:val="003B29FC"/>
    <w:rsid w:val="003C4B5B"/>
    <w:rsid w:val="003D59E4"/>
    <w:rsid w:val="003E6BD3"/>
    <w:rsid w:val="003F2FDB"/>
    <w:rsid w:val="003F63B8"/>
    <w:rsid w:val="003F7583"/>
    <w:rsid w:val="00402353"/>
    <w:rsid w:val="00414F4E"/>
    <w:rsid w:val="00425399"/>
    <w:rsid w:val="00427769"/>
    <w:rsid w:val="004303FB"/>
    <w:rsid w:val="0043464E"/>
    <w:rsid w:val="00443C4A"/>
    <w:rsid w:val="004534BD"/>
    <w:rsid w:val="00467C9F"/>
    <w:rsid w:val="004860E2"/>
    <w:rsid w:val="004905B9"/>
    <w:rsid w:val="004931CD"/>
    <w:rsid w:val="004972CF"/>
    <w:rsid w:val="004B664E"/>
    <w:rsid w:val="004D072C"/>
    <w:rsid w:val="004E6B58"/>
    <w:rsid w:val="004F0214"/>
    <w:rsid w:val="00505DF2"/>
    <w:rsid w:val="005425CB"/>
    <w:rsid w:val="005474A2"/>
    <w:rsid w:val="00550B49"/>
    <w:rsid w:val="00573364"/>
    <w:rsid w:val="00573694"/>
    <w:rsid w:val="00585D36"/>
    <w:rsid w:val="00586852"/>
    <w:rsid w:val="005927AD"/>
    <w:rsid w:val="005B538B"/>
    <w:rsid w:val="005C75A4"/>
    <w:rsid w:val="005E1796"/>
    <w:rsid w:val="005F38DB"/>
    <w:rsid w:val="00600924"/>
    <w:rsid w:val="006119FE"/>
    <w:rsid w:val="00612326"/>
    <w:rsid w:val="00645BE0"/>
    <w:rsid w:val="00653237"/>
    <w:rsid w:val="006638B2"/>
    <w:rsid w:val="0066628F"/>
    <w:rsid w:val="00690455"/>
    <w:rsid w:val="006B0D33"/>
    <w:rsid w:val="006B17CF"/>
    <w:rsid w:val="006C0294"/>
    <w:rsid w:val="006C19A6"/>
    <w:rsid w:val="006C2A64"/>
    <w:rsid w:val="006C4518"/>
    <w:rsid w:val="006D1282"/>
    <w:rsid w:val="006D4F07"/>
    <w:rsid w:val="006F0B39"/>
    <w:rsid w:val="006F0EB5"/>
    <w:rsid w:val="0070169F"/>
    <w:rsid w:val="00707663"/>
    <w:rsid w:val="00713B36"/>
    <w:rsid w:val="00721488"/>
    <w:rsid w:val="0073295A"/>
    <w:rsid w:val="007359ED"/>
    <w:rsid w:val="00743538"/>
    <w:rsid w:val="0076430E"/>
    <w:rsid w:val="00766124"/>
    <w:rsid w:val="00766CE4"/>
    <w:rsid w:val="0077214D"/>
    <w:rsid w:val="00775224"/>
    <w:rsid w:val="0077674A"/>
    <w:rsid w:val="007A025C"/>
    <w:rsid w:val="007A4958"/>
    <w:rsid w:val="007B0CE2"/>
    <w:rsid w:val="007B5A4E"/>
    <w:rsid w:val="007C7C2F"/>
    <w:rsid w:val="007E18A2"/>
    <w:rsid w:val="007E5229"/>
    <w:rsid w:val="007E7D82"/>
    <w:rsid w:val="007F6C29"/>
    <w:rsid w:val="007F765D"/>
    <w:rsid w:val="00810D39"/>
    <w:rsid w:val="00811F53"/>
    <w:rsid w:val="0081761C"/>
    <w:rsid w:val="00833FD6"/>
    <w:rsid w:val="00837DCA"/>
    <w:rsid w:val="00843651"/>
    <w:rsid w:val="00852045"/>
    <w:rsid w:val="00856AC8"/>
    <w:rsid w:val="00856AD3"/>
    <w:rsid w:val="008740F3"/>
    <w:rsid w:val="008A0E6C"/>
    <w:rsid w:val="008A264B"/>
    <w:rsid w:val="008A61EC"/>
    <w:rsid w:val="008B2B7E"/>
    <w:rsid w:val="008E0C58"/>
    <w:rsid w:val="008E2DE8"/>
    <w:rsid w:val="008F1C93"/>
    <w:rsid w:val="009025B0"/>
    <w:rsid w:val="0090302B"/>
    <w:rsid w:val="00904430"/>
    <w:rsid w:val="00915A42"/>
    <w:rsid w:val="0092049C"/>
    <w:rsid w:val="00931788"/>
    <w:rsid w:val="009377DD"/>
    <w:rsid w:val="00944C1D"/>
    <w:rsid w:val="00952F4A"/>
    <w:rsid w:val="0095329E"/>
    <w:rsid w:val="00957947"/>
    <w:rsid w:val="0096146B"/>
    <w:rsid w:val="00961558"/>
    <w:rsid w:val="00962A70"/>
    <w:rsid w:val="00962CA0"/>
    <w:rsid w:val="00967D16"/>
    <w:rsid w:val="00980C07"/>
    <w:rsid w:val="00986533"/>
    <w:rsid w:val="00986ABF"/>
    <w:rsid w:val="009A5BE7"/>
    <w:rsid w:val="009A5C57"/>
    <w:rsid w:val="009A6D5E"/>
    <w:rsid w:val="009B29F7"/>
    <w:rsid w:val="009B5F3F"/>
    <w:rsid w:val="009B6E06"/>
    <w:rsid w:val="009D44E7"/>
    <w:rsid w:val="009D724D"/>
    <w:rsid w:val="009E63EA"/>
    <w:rsid w:val="00A056EF"/>
    <w:rsid w:val="00A22E04"/>
    <w:rsid w:val="00A2645F"/>
    <w:rsid w:val="00A2656C"/>
    <w:rsid w:val="00A5471D"/>
    <w:rsid w:val="00A568C4"/>
    <w:rsid w:val="00A63258"/>
    <w:rsid w:val="00A63328"/>
    <w:rsid w:val="00A64CDB"/>
    <w:rsid w:val="00A66D93"/>
    <w:rsid w:val="00A84D62"/>
    <w:rsid w:val="00A85CCD"/>
    <w:rsid w:val="00A9230C"/>
    <w:rsid w:val="00AA5470"/>
    <w:rsid w:val="00AA6974"/>
    <w:rsid w:val="00AC26E0"/>
    <w:rsid w:val="00AD216F"/>
    <w:rsid w:val="00AE0666"/>
    <w:rsid w:val="00AE2144"/>
    <w:rsid w:val="00B275D2"/>
    <w:rsid w:val="00B31E65"/>
    <w:rsid w:val="00B32FCC"/>
    <w:rsid w:val="00B3604D"/>
    <w:rsid w:val="00B46546"/>
    <w:rsid w:val="00B5115B"/>
    <w:rsid w:val="00B709C7"/>
    <w:rsid w:val="00B830A2"/>
    <w:rsid w:val="00B90D39"/>
    <w:rsid w:val="00BA6FC1"/>
    <w:rsid w:val="00BB3ABD"/>
    <w:rsid w:val="00BC0824"/>
    <w:rsid w:val="00BC11DC"/>
    <w:rsid w:val="00BC3E28"/>
    <w:rsid w:val="00BD3181"/>
    <w:rsid w:val="00BD3EA2"/>
    <w:rsid w:val="00BD5E12"/>
    <w:rsid w:val="00BE08DC"/>
    <w:rsid w:val="00BE7F97"/>
    <w:rsid w:val="00BF2893"/>
    <w:rsid w:val="00C02A77"/>
    <w:rsid w:val="00C15EFF"/>
    <w:rsid w:val="00C34408"/>
    <w:rsid w:val="00C35217"/>
    <w:rsid w:val="00C36EB2"/>
    <w:rsid w:val="00C641C6"/>
    <w:rsid w:val="00C80050"/>
    <w:rsid w:val="00C9605B"/>
    <w:rsid w:val="00C96BD3"/>
    <w:rsid w:val="00CA4629"/>
    <w:rsid w:val="00CA7938"/>
    <w:rsid w:val="00CB03AE"/>
    <w:rsid w:val="00CB0A8E"/>
    <w:rsid w:val="00CB3FBA"/>
    <w:rsid w:val="00CB6256"/>
    <w:rsid w:val="00CB7DF6"/>
    <w:rsid w:val="00CC0869"/>
    <w:rsid w:val="00CD62CB"/>
    <w:rsid w:val="00CE3C01"/>
    <w:rsid w:val="00CE44A4"/>
    <w:rsid w:val="00CE73FC"/>
    <w:rsid w:val="00CF7862"/>
    <w:rsid w:val="00D107A0"/>
    <w:rsid w:val="00D10D5A"/>
    <w:rsid w:val="00D140B1"/>
    <w:rsid w:val="00D27307"/>
    <w:rsid w:val="00D36D36"/>
    <w:rsid w:val="00D40E36"/>
    <w:rsid w:val="00D439BF"/>
    <w:rsid w:val="00D44773"/>
    <w:rsid w:val="00D72661"/>
    <w:rsid w:val="00D74E52"/>
    <w:rsid w:val="00D75155"/>
    <w:rsid w:val="00D76BBF"/>
    <w:rsid w:val="00D82641"/>
    <w:rsid w:val="00D8496C"/>
    <w:rsid w:val="00D84F78"/>
    <w:rsid w:val="00D91F8E"/>
    <w:rsid w:val="00D94401"/>
    <w:rsid w:val="00DA322A"/>
    <w:rsid w:val="00DC04C9"/>
    <w:rsid w:val="00DC5524"/>
    <w:rsid w:val="00DD6A8A"/>
    <w:rsid w:val="00DE2708"/>
    <w:rsid w:val="00DF0B2B"/>
    <w:rsid w:val="00E00D06"/>
    <w:rsid w:val="00E13BD1"/>
    <w:rsid w:val="00E1436A"/>
    <w:rsid w:val="00E2146D"/>
    <w:rsid w:val="00E22217"/>
    <w:rsid w:val="00E2265A"/>
    <w:rsid w:val="00E23EC2"/>
    <w:rsid w:val="00E3094F"/>
    <w:rsid w:val="00E371D0"/>
    <w:rsid w:val="00E37279"/>
    <w:rsid w:val="00E45F7C"/>
    <w:rsid w:val="00E639CF"/>
    <w:rsid w:val="00E73F28"/>
    <w:rsid w:val="00E91340"/>
    <w:rsid w:val="00E921CD"/>
    <w:rsid w:val="00E941AE"/>
    <w:rsid w:val="00E943B3"/>
    <w:rsid w:val="00EA0E40"/>
    <w:rsid w:val="00EA778F"/>
    <w:rsid w:val="00EC19DC"/>
    <w:rsid w:val="00EC21A2"/>
    <w:rsid w:val="00EC7823"/>
    <w:rsid w:val="00ED0E1D"/>
    <w:rsid w:val="00F0631D"/>
    <w:rsid w:val="00F0651A"/>
    <w:rsid w:val="00F30CE9"/>
    <w:rsid w:val="00F311DB"/>
    <w:rsid w:val="00F32FD2"/>
    <w:rsid w:val="00F44817"/>
    <w:rsid w:val="00F453D2"/>
    <w:rsid w:val="00F50725"/>
    <w:rsid w:val="00F560A0"/>
    <w:rsid w:val="00F61160"/>
    <w:rsid w:val="00F62B73"/>
    <w:rsid w:val="00F65F5D"/>
    <w:rsid w:val="00F71965"/>
    <w:rsid w:val="00F7250D"/>
    <w:rsid w:val="00F72E98"/>
    <w:rsid w:val="00F73CD7"/>
    <w:rsid w:val="00F7409B"/>
    <w:rsid w:val="00F75559"/>
    <w:rsid w:val="00F820CE"/>
    <w:rsid w:val="00F9063E"/>
    <w:rsid w:val="00F961AF"/>
    <w:rsid w:val="00FB256C"/>
    <w:rsid w:val="00FC1653"/>
    <w:rsid w:val="00FC64FD"/>
    <w:rsid w:val="00FC683F"/>
    <w:rsid w:val="00FD4359"/>
    <w:rsid w:val="00FD72C6"/>
    <w:rsid w:val="00FE1FB8"/>
    <w:rsid w:val="00FE6AD2"/>
    <w:rsid w:val="00FE71EB"/>
    <w:rsid w:val="00FF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0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843651"/>
    <w:pPr>
      <w:spacing w:before="240" w:after="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03CA"/>
    <w:rPr>
      <w:rFonts w:ascii="Times New Roman" w:hAnsi="Times New Roman"/>
      <w:sz w:val="20"/>
      <w:szCs w:val="20"/>
    </w:rPr>
  </w:style>
  <w:style w:type="character" w:customStyle="1" w:styleId="FootnoteTextChar">
    <w:name w:val="Footnote Text Char"/>
    <w:basedOn w:val="DefaultParagraphFont"/>
    <w:link w:val="FootnoteText"/>
    <w:uiPriority w:val="99"/>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uiPriority w:val="99"/>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 w:type="character" w:customStyle="1" w:styleId="Heading1Char">
    <w:name w:val="Heading 1 Char"/>
    <w:basedOn w:val="DefaultParagraphFont"/>
    <w:link w:val="Heading1"/>
    <w:rsid w:val="00843651"/>
    <w:rPr>
      <w:rFonts w:ascii="Times New Roman" w:eastAsia="Times New Roman" w:hAnsi="Times New Roman" w:cs="Times New Roman"/>
      <w:b/>
      <w:sz w:val="24"/>
      <w:szCs w:val="24"/>
    </w:rPr>
  </w:style>
  <w:style w:type="paragraph" w:styleId="NoSpacing">
    <w:name w:val="No Spacing"/>
    <w:uiPriority w:val="1"/>
    <w:qFormat/>
    <w:rsid w:val="00843651"/>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843651"/>
    <w:pPr>
      <w:spacing w:before="240" w:after="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03CA"/>
    <w:rPr>
      <w:rFonts w:ascii="Times New Roman" w:hAnsi="Times New Roman"/>
      <w:sz w:val="20"/>
      <w:szCs w:val="20"/>
    </w:rPr>
  </w:style>
  <w:style w:type="character" w:customStyle="1" w:styleId="FootnoteTextChar">
    <w:name w:val="Footnote Text Char"/>
    <w:basedOn w:val="DefaultParagraphFont"/>
    <w:link w:val="FootnoteText"/>
    <w:uiPriority w:val="99"/>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uiPriority w:val="99"/>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 w:type="character" w:customStyle="1" w:styleId="Heading1Char">
    <w:name w:val="Heading 1 Char"/>
    <w:basedOn w:val="DefaultParagraphFont"/>
    <w:link w:val="Heading1"/>
    <w:rsid w:val="00843651"/>
    <w:rPr>
      <w:rFonts w:ascii="Times New Roman" w:eastAsia="Times New Roman" w:hAnsi="Times New Roman" w:cs="Times New Roman"/>
      <w:b/>
      <w:sz w:val="24"/>
      <w:szCs w:val="24"/>
    </w:rPr>
  </w:style>
  <w:style w:type="paragraph" w:styleId="NoSpacing">
    <w:name w:val="No Spacing"/>
    <w:uiPriority w:val="1"/>
    <w:qFormat/>
    <w:rsid w:val="00843651"/>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6470">
      <w:bodyDiv w:val="1"/>
      <w:marLeft w:val="0"/>
      <w:marRight w:val="0"/>
      <w:marTop w:val="0"/>
      <w:marBottom w:val="0"/>
      <w:divBdr>
        <w:top w:val="none" w:sz="0" w:space="0" w:color="auto"/>
        <w:left w:val="none" w:sz="0" w:space="0" w:color="auto"/>
        <w:bottom w:val="none" w:sz="0" w:space="0" w:color="auto"/>
        <w:right w:val="none" w:sz="0" w:space="0" w:color="auto"/>
      </w:divBdr>
    </w:div>
    <w:div w:id="591083234">
      <w:bodyDiv w:val="1"/>
      <w:marLeft w:val="0"/>
      <w:marRight w:val="0"/>
      <w:marTop w:val="0"/>
      <w:marBottom w:val="0"/>
      <w:divBdr>
        <w:top w:val="none" w:sz="0" w:space="0" w:color="auto"/>
        <w:left w:val="none" w:sz="0" w:space="0" w:color="auto"/>
        <w:bottom w:val="none" w:sz="0" w:space="0" w:color="auto"/>
        <w:right w:val="none" w:sz="0" w:space="0" w:color="auto"/>
      </w:divBdr>
    </w:div>
    <w:div w:id="1520660478">
      <w:bodyDiv w:val="1"/>
      <w:marLeft w:val="0"/>
      <w:marRight w:val="0"/>
      <w:marTop w:val="0"/>
      <w:marBottom w:val="0"/>
      <w:divBdr>
        <w:top w:val="none" w:sz="0" w:space="0" w:color="auto"/>
        <w:left w:val="none" w:sz="0" w:space="0" w:color="auto"/>
        <w:bottom w:val="none" w:sz="0" w:space="0" w:color="auto"/>
        <w:right w:val="none" w:sz="0" w:space="0" w:color="auto"/>
      </w:divBdr>
    </w:div>
    <w:div w:id="15452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2013-11-22T08:00:00+00:00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132147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3E99D8C937D94184BF01039F76BA1D" ma:contentTypeVersion="135" ma:contentTypeDescription="" ma:contentTypeScope="" ma:versionID="37941655220938da36ce5d5bb674b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AE94C-0DC5-451C-AFF1-DD9890B44262}"/>
</file>

<file path=customXml/itemProps2.xml><?xml version="1.0" encoding="utf-8"?>
<ds:datastoreItem xmlns:ds="http://schemas.openxmlformats.org/officeDocument/2006/customXml" ds:itemID="{8F3C71BF-BFA8-409F-986B-DB8274228C48}"/>
</file>

<file path=customXml/itemProps3.xml><?xml version="1.0" encoding="utf-8"?>
<ds:datastoreItem xmlns:ds="http://schemas.openxmlformats.org/officeDocument/2006/customXml" ds:itemID="{835851B4-8732-4529-AD17-CF86DFED6196}"/>
</file>

<file path=customXml/itemProps4.xml><?xml version="1.0" encoding="utf-8"?>
<ds:datastoreItem xmlns:ds="http://schemas.openxmlformats.org/officeDocument/2006/customXml" ds:itemID="{32E62C32-C70C-4D8B-A6A1-2D075C184A5B}"/>
</file>

<file path=customXml/itemProps5.xml><?xml version="1.0" encoding="utf-8"?>
<ds:datastoreItem xmlns:ds="http://schemas.openxmlformats.org/officeDocument/2006/customXml" ds:itemID="{4097E7B4-6B39-43EB-97B6-2A7404F7D500}"/>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UG-132147 NW Natural Energy Efficiency Plan</vt:lpstr>
    </vt:vector>
  </TitlesOfParts>
  <Company>Washington Utilities and Transportation Commission</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UG-132147 NW Natural Energy Efficiency Plan</dc:title>
  <dc:creator>White, Kendra (UTC)</dc:creator>
  <cp:lastModifiedBy>Lisa Wyse</cp:lastModifiedBy>
  <cp:revision>2</cp:revision>
  <dcterms:created xsi:type="dcterms:W3CDTF">2013-12-12T22:21:00Z</dcterms:created>
  <dcterms:modified xsi:type="dcterms:W3CDTF">2013-12-12T22:21:00Z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0x0101006E56B4D1795A2E4DB2F0B01679ED314A00CD3E99D8C937D94184BF01039F76BA1D</vt:lpwstr>
  </property>
  <property fmtid="{D5CDD505-2E9C-101B-9397-08002B2CF9AE}" pid="3" name="_docset_NoMedatataSyncRequired">
    <vt:lpwstr>False</vt:lpwstr>
  </property>
</Properties>
</file>