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174" w:rsidRPr="00720A5D" w:rsidRDefault="00D34174" w:rsidP="00242BDC">
      <w:pPr>
        <w:pStyle w:val="BodyText"/>
        <w:spacing w:before="1800" w:after="0"/>
        <w:jc w:val="center"/>
        <w:rPr>
          <w:b/>
          <w:sz w:val="24"/>
          <w:szCs w:val="24"/>
        </w:rPr>
      </w:pPr>
      <w:bookmarkStart w:id="0" w:name="_GoBack"/>
      <w:bookmarkEnd w:id="0"/>
      <w:r w:rsidRPr="00720A5D">
        <w:rPr>
          <w:b/>
          <w:sz w:val="24"/>
          <w:szCs w:val="24"/>
        </w:rPr>
        <w:t>BEFORE THE</w:t>
      </w:r>
    </w:p>
    <w:p w:rsidR="00D34174" w:rsidRPr="00720A5D" w:rsidRDefault="00D34174" w:rsidP="00C50417">
      <w:pPr>
        <w:pStyle w:val="BodyText"/>
        <w:spacing w:after="480"/>
        <w:jc w:val="center"/>
        <w:rPr>
          <w:b/>
          <w:sz w:val="24"/>
          <w:szCs w:val="24"/>
        </w:rPr>
      </w:pPr>
      <w:r w:rsidRPr="00720A5D">
        <w:rPr>
          <w:b/>
          <w:sz w:val="24"/>
          <w:szCs w:val="24"/>
        </w:rPr>
        <w:t>WASHINGTON UTILITIES AND TRANSPORTATION COMMISSION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D34174" w:rsidRPr="00720A5D" w:rsidTr="008924E1">
        <w:tc>
          <w:tcPr>
            <w:tcW w:w="4788" w:type="dxa"/>
            <w:tcBorders>
              <w:top w:val="nil"/>
              <w:left w:val="nil"/>
            </w:tcBorders>
          </w:tcPr>
          <w:p w:rsidR="00D34174" w:rsidRPr="00720A5D" w:rsidRDefault="00D34174" w:rsidP="00C50417">
            <w:pPr>
              <w:pStyle w:val="BodyText"/>
              <w:rPr>
                <w:sz w:val="24"/>
                <w:szCs w:val="24"/>
              </w:rPr>
            </w:pPr>
            <w:r w:rsidRPr="00720A5D">
              <w:rPr>
                <w:sz w:val="24"/>
                <w:szCs w:val="24"/>
              </w:rPr>
              <w:t>In the Matter of the Application of</w:t>
            </w:r>
          </w:p>
          <w:p w:rsidR="00D34174" w:rsidRPr="00720A5D" w:rsidRDefault="00D34174" w:rsidP="00C50417">
            <w:pPr>
              <w:pStyle w:val="BodyText"/>
              <w:rPr>
                <w:sz w:val="24"/>
                <w:szCs w:val="24"/>
              </w:rPr>
            </w:pPr>
            <w:r w:rsidRPr="00720A5D">
              <w:rPr>
                <w:sz w:val="24"/>
                <w:szCs w:val="24"/>
              </w:rPr>
              <w:t>PUGET SOUND ENERGY, INC.</w:t>
            </w:r>
          </w:p>
          <w:p w:rsidR="00D34174" w:rsidRPr="00720A5D" w:rsidRDefault="00D34174" w:rsidP="009679ED">
            <w:pPr>
              <w:pStyle w:val="BodyText"/>
              <w:rPr>
                <w:sz w:val="24"/>
                <w:szCs w:val="24"/>
              </w:rPr>
            </w:pPr>
            <w:r w:rsidRPr="00720A5D">
              <w:rPr>
                <w:sz w:val="24"/>
                <w:szCs w:val="24"/>
              </w:rPr>
              <w:t>For an Order Authorizing the Sale of Interests in the Development Assets Required for the Construction and Operation of Phase II of the Lower Snake River Wind Facility</w:t>
            </w:r>
          </w:p>
        </w:tc>
        <w:tc>
          <w:tcPr>
            <w:tcW w:w="4788" w:type="dxa"/>
            <w:tcBorders>
              <w:top w:val="nil"/>
              <w:bottom w:val="nil"/>
              <w:right w:val="nil"/>
            </w:tcBorders>
          </w:tcPr>
          <w:p w:rsidR="00D34174" w:rsidRPr="00720A5D" w:rsidRDefault="00D34174" w:rsidP="008924E1">
            <w:pPr>
              <w:pStyle w:val="BodyText"/>
              <w:ind w:left="432"/>
              <w:rPr>
                <w:sz w:val="24"/>
                <w:szCs w:val="24"/>
              </w:rPr>
            </w:pPr>
            <w:r w:rsidRPr="00720A5D">
              <w:rPr>
                <w:sz w:val="24"/>
                <w:szCs w:val="24"/>
              </w:rPr>
              <w:br/>
              <w:t>Docket No. UE-13______</w:t>
            </w:r>
          </w:p>
          <w:p w:rsidR="00D34174" w:rsidRPr="00720A5D" w:rsidRDefault="00D34174" w:rsidP="008924E1">
            <w:pPr>
              <w:pStyle w:val="BodyText"/>
              <w:ind w:left="432"/>
              <w:rPr>
                <w:b/>
                <w:sz w:val="24"/>
                <w:szCs w:val="24"/>
              </w:rPr>
            </w:pPr>
            <w:r w:rsidRPr="00720A5D">
              <w:rPr>
                <w:b/>
                <w:sz w:val="24"/>
                <w:szCs w:val="24"/>
              </w:rPr>
              <w:t>APPLICATION</w:t>
            </w:r>
          </w:p>
        </w:tc>
      </w:tr>
    </w:tbl>
    <w:p w:rsidR="00D34174" w:rsidRPr="00720A5D" w:rsidRDefault="00D34174" w:rsidP="005A63B8">
      <w:pPr>
        <w:spacing w:before="240" w:after="120" w:line="480" w:lineRule="auto"/>
        <w:ind w:firstLine="720"/>
      </w:pPr>
      <w:r w:rsidRPr="00720A5D">
        <w:fldChar w:fldCharType="begin"/>
      </w:r>
      <w:r w:rsidRPr="00720A5D">
        <w:instrText xml:space="preserve"> AUTONUM  </w:instrText>
      </w:r>
      <w:r w:rsidRPr="00720A5D">
        <w:fldChar w:fldCharType="end"/>
      </w:r>
      <w:r w:rsidRPr="00720A5D">
        <w:tab/>
        <w:t>Puget Sound Energy, Inc. (</w:t>
      </w:r>
      <w:r w:rsidR="00A63346" w:rsidRPr="00720A5D">
        <w:t>“</w:t>
      </w:r>
      <w:r w:rsidRPr="00720A5D">
        <w:t>PSE</w:t>
      </w:r>
      <w:r w:rsidR="00A63346" w:rsidRPr="00720A5D">
        <w:t>”</w:t>
      </w:r>
      <w:r w:rsidRPr="00720A5D">
        <w:t xml:space="preserve">) has entered into an Asset Purchase and Sale Agreement to sell its interests in the development assets required for the construction and operation of Phase II of the Lower Snake River Wind Facility (the </w:t>
      </w:r>
      <w:r w:rsidR="00A63346" w:rsidRPr="00720A5D">
        <w:t>“</w:t>
      </w:r>
      <w:r w:rsidRPr="00720A5D">
        <w:t>Project</w:t>
      </w:r>
      <w:r w:rsidR="00A63346" w:rsidRPr="00720A5D">
        <w:t>”</w:t>
      </w:r>
      <w:r w:rsidRPr="00720A5D">
        <w:t>).</w:t>
      </w:r>
      <w:r w:rsidRPr="00720A5D">
        <w:rPr>
          <w:rStyle w:val="FootnoteReference"/>
        </w:rPr>
        <w:footnoteReference w:id="1"/>
      </w:r>
      <w:r w:rsidRPr="00720A5D">
        <w:t xml:space="preserve">  The purchaser of the interests in the development assets required for the construction and operation of the Project is Portland General Electric Company (</w:t>
      </w:r>
      <w:r w:rsidR="00A63346" w:rsidRPr="00720A5D">
        <w:t>“</w:t>
      </w:r>
      <w:r w:rsidRPr="00720A5D">
        <w:t>Portland General</w:t>
      </w:r>
      <w:r w:rsidR="00A63346" w:rsidRPr="00720A5D">
        <w:t>”</w:t>
      </w:r>
      <w:r w:rsidRPr="00720A5D">
        <w:t xml:space="preserve">), an Oregon corporation.  The proposed sale is pursuant to the Asset Purchase and Sale Agreement executed by and between PSE and Portland General on June 3, 2013 (the </w:t>
      </w:r>
      <w:r w:rsidR="00A63346" w:rsidRPr="00720A5D">
        <w:t>“</w:t>
      </w:r>
      <w:r w:rsidRPr="00720A5D">
        <w:t>Asset Purchase and Sale Agreement</w:t>
      </w:r>
      <w:r w:rsidR="00A63346" w:rsidRPr="00720A5D">
        <w:t>”</w:t>
      </w:r>
      <w:r w:rsidRPr="00720A5D">
        <w:t>).  The parties anticipate closing the transaction no later than August 1, 2013; therefore, PSE respectfully requests the Commission issue an order authorizing the transfer of the Purchased Assets and the BPA Transferred Transmission Credits to Portland General on or before July 29, 2013.</w:t>
      </w:r>
    </w:p>
    <w:p w:rsidR="00D34174" w:rsidRPr="00720A5D" w:rsidRDefault="00D34174" w:rsidP="00664AAB">
      <w:pPr>
        <w:keepNext/>
        <w:keepLines/>
        <w:spacing w:before="120" w:after="120" w:line="480" w:lineRule="auto"/>
        <w:ind w:firstLine="720"/>
      </w:pPr>
      <w:r w:rsidRPr="00720A5D">
        <w:lastRenderedPageBreak/>
        <w:fldChar w:fldCharType="begin"/>
      </w:r>
      <w:r w:rsidRPr="00720A5D">
        <w:instrText xml:space="preserve"> AUTONUM  </w:instrText>
      </w:r>
      <w:r w:rsidRPr="00720A5D">
        <w:fldChar w:fldCharType="end"/>
      </w:r>
      <w:r w:rsidRPr="00720A5D">
        <w:tab/>
        <w:t>In this Application, PSE respectfully request that the Commission issue an order</w:t>
      </w:r>
    </w:p>
    <w:p w:rsidR="00D34174" w:rsidRPr="00720A5D" w:rsidRDefault="00D34174" w:rsidP="00B7589C">
      <w:pPr>
        <w:spacing w:after="280"/>
        <w:ind w:left="2160" w:right="720" w:hanging="720"/>
      </w:pPr>
      <w:r w:rsidRPr="00720A5D">
        <w:t>(i)</w:t>
      </w:r>
      <w:r w:rsidRPr="00720A5D">
        <w:tab/>
      </w:r>
      <w:proofErr w:type="gramStart"/>
      <w:r w:rsidRPr="00720A5D">
        <w:t>finding</w:t>
      </w:r>
      <w:proofErr w:type="gramEnd"/>
      <w:r w:rsidRPr="00720A5D">
        <w:t xml:space="preserve"> that the Purchased Assets are not necessary or useful pursuant to RCW 80.12.020 and WAC 480-143-180, or in the alternative approving the transfer of the Purchased Assets pursuant to WAC 480-143-120;</w:t>
      </w:r>
    </w:p>
    <w:p w:rsidR="00D34174" w:rsidRPr="00720A5D" w:rsidRDefault="00D34174" w:rsidP="005E5EF4">
      <w:pPr>
        <w:spacing w:after="280"/>
        <w:ind w:left="2160" w:right="720" w:hanging="720"/>
      </w:pPr>
      <w:r w:rsidRPr="00720A5D">
        <w:t>(ii)</w:t>
      </w:r>
      <w:r w:rsidRPr="00720A5D">
        <w:tab/>
      </w:r>
      <w:proofErr w:type="gramStart"/>
      <w:r w:rsidRPr="00720A5D">
        <w:t>approving</w:t>
      </w:r>
      <w:proofErr w:type="gramEnd"/>
      <w:r w:rsidRPr="00720A5D">
        <w:t xml:space="preserve"> the transfer of the BPA Transferred Transmission Credits pursuant to WAC 480-143-120; and</w:t>
      </w:r>
    </w:p>
    <w:p w:rsidR="00D34174" w:rsidRPr="00720A5D" w:rsidRDefault="00D34174" w:rsidP="00515C85">
      <w:pPr>
        <w:spacing w:after="280"/>
        <w:ind w:left="2160" w:right="720" w:hanging="720"/>
      </w:pPr>
      <w:r w:rsidRPr="00720A5D">
        <w:t>(iii)</w:t>
      </w:r>
      <w:r w:rsidRPr="00720A5D">
        <w:tab/>
      </w:r>
      <w:proofErr w:type="gramStart"/>
      <w:r w:rsidRPr="00720A5D">
        <w:t>approving</w:t>
      </w:r>
      <w:proofErr w:type="gramEnd"/>
      <w:r w:rsidRPr="00720A5D">
        <w:t xml:space="preserve"> the accounting and ratemaking treatment proposed by PSE in this Application.</w:t>
      </w:r>
    </w:p>
    <w:p w:rsidR="00D34174" w:rsidRPr="00720A5D" w:rsidRDefault="00D34174" w:rsidP="00242BDC">
      <w:pPr>
        <w:pStyle w:val="BodyText"/>
        <w:keepNext/>
        <w:keepLines/>
        <w:spacing w:before="280" w:after="280"/>
        <w:jc w:val="center"/>
        <w:rPr>
          <w:b/>
          <w:bCs/>
          <w:sz w:val="24"/>
          <w:szCs w:val="24"/>
        </w:rPr>
      </w:pPr>
      <w:r w:rsidRPr="00720A5D">
        <w:rPr>
          <w:b/>
          <w:bCs/>
          <w:sz w:val="24"/>
          <w:szCs w:val="24"/>
        </w:rPr>
        <w:t>II.</w:t>
      </w:r>
      <w:r w:rsidRPr="00720A5D">
        <w:rPr>
          <w:b/>
          <w:bCs/>
          <w:sz w:val="24"/>
          <w:szCs w:val="24"/>
        </w:rPr>
        <w:tab/>
        <w:t>THE TRANSACTION</w:t>
      </w:r>
    </w:p>
    <w:p w:rsidR="00D34174" w:rsidRPr="00720A5D" w:rsidRDefault="00D34174" w:rsidP="00A136E7">
      <w:pPr>
        <w:pStyle w:val="BodyText"/>
        <w:keepNext/>
        <w:keepLines/>
        <w:spacing w:after="280"/>
        <w:rPr>
          <w:b/>
          <w:bCs/>
          <w:sz w:val="24"/>
          <w:szCs w:val="24"/>
        </w:rPr>
      </w:pPr>
      <w:r w:rsidRPr="00720A5D">
        <w:rPr>
          <w:b/>
          <w:bCs/>
          <w:sz w:val="24"/>
          <w:szCs w:val="24"/>
        </w:rPr>
        <w:t>A.</w:t>
      </w:r>
      <w:r w:rsidRPr="00720A5D">
        <w:rPr>
          <w:b/>
          <w:bCs/>
          <w:sz w:val="24"/>
          <w:szCs w:val="24"/>
        </w:rPr>
        <w:tab/>
        <w:t>The Parties</w:t>
      </w:r>
    </w:p>
    <w:p w:rsidR="00D34174" w:rsidRPr="00720A5D" w:rsidRDefault="00D34174" w:rsidP="00A136E7">
      <w:pPr>
        <w:pStyle w:val="BodyText"/>
        <w:keepNext/>
        <w:keepLines/>
        <w:spacing w:after="280"/>
        <w:ind w:left="720"/>
        <w:rPr>
          <w:b/>
          <w:sz w:val="24"/>
          <w:szCs w:val="24"/>
        </w:rPr>
      </w:pPr>
      <w:r w:rsidRPr="00720A5D">
        <w:rPr>
          <w:b/>
          <w:bCs/>
          <w:sz w:val="24"/>
          <w:szCs w:val="24"/>
        </w:rPr>
        <w:t>1.</w:t>
      </w:r>
      <w:r w:rsidRPr="00720A5D">
        <w:rPr>
          <w:b/>
          <w:bCs/>
          <w:sz w:val="24"/>
          <w:szCs w:val="24"/>
        </w:rPr>
        <w:tab/>
        <w:t>The Applicant:  PSE</w:t>
      </w:r>
    </w:p>
    <w:p w:rsidR="00D34174" w:rsidRPr="00720A5D" w:rsidRDefault="00D34174" w:rsidP="00242BDC">
      <w:pPr>
        <w:spacing w:before="120" w:after="120" w:line="480" w:lineRule="auto"/>
        <w:ind w:firstLine="720"/>
      </w:pPr>
      <w:r w:rsidRPr="00720A5D">
        <w:fldChar w:fldCharType="begin"/>
      </w:r>
      <w:r w:rsidRPr="00720A5D">
        <w:instrText xml:space="preserve"> AUTONUM  </w:instrText>
      </w:r>
      <w:r w:rsidRPr="00720A5D">
        <w:fldChar w:fldCharType="end"/>
      </w:r>
      <w:r w:rsidRPr="00720A5D">
        <w:tab/>
        <w:t>PSE is an investor-owned electric and gas utility serving over 1,000,000 electric customers and 765,000 natural gas customers primarily in Western Washington.  The full and correct name and business address for PSE are as follows:</w:t>
      </w:r>
    </w:p>
    <w:p w:rsidR="00D34174" w:rsidRPr="00720A5D" w:rsidRDefault="00D34174" w:rsidP="00A136E7">
      <w:pPr>
        <w:pStyle w:val="BodyText"/>
        <w:spacing w:after="0"/>
        <w:ind w:left="2160"/>
        <w:rPr>
          <w:sz w:val="24"/>
          <w:szCs w:val="24"/>
        </w:rPr>
      </w:pPr>
      <w:r w:rsidRPr="00720A5D">
        <w:rPr>
          <w:sz w:val="24"/>
          <w:szCs w:val="24"/>
        </w:rPr>
        <w:t>Puget Sound Energy, Inc.</w:t>
      </w:r>
    </w:p>
    <w:p w:rsidR="00D34174" w:rsidRPr="00720A5D" w:rsidRDefault="00D34174" w:rsidP="00A136E7">
      <w:pPr>
        <w:pStyle w:val="BodyText"/>
        <w:spacing w:after="0"/>
        <w:ind w:left="2160"/>
        <w:rPr>
          <w:sz w:val="24"/>
          <w:szCs w:val="24"/>
        </w:rPr>
      </w:pPr>
      <w:r w:rsidRPr="00720A5D">
        <w:rPr>
          <w:sz w:val="24"/>
          <w:szCs w:val="24"/>
        </w:rPr>
        <w:t>The PSE Building</w:t>
      </w:r>
    </w:p>
    <w:p w:rsidR="00D34174" w:rsidRPr="00720A5D" w:rsidRDefault="00D34174" w:rsidP="00A136E7">
      <w:pPr>
        <w:pStyle w:val="BodyText"/>
        <w:spacing w:after="0"/>
        <w:ind w:left="2160"/>
        <w:rPr>
          <w:sz w:val="24"/>
          <w:szCs w:val="24"/>
        </w:rPr>
      </w:pPr>
      <w:r w:rsidRPr="00720A5D">
        <w:rPr>
          <w:sz w:val="24"/>
          <w:szCs w:val="24"/>
        </w:rPr>
        <w:t>10885 N.E. Fourth Street</w:t>
      </w:r>
    </w:p>
    <w:p w:rsidR="00D34174" w:rsidRPr="00720A5D" w:rsidRDefault="00D34174" w:rsidP="00A136E7">
      <w:pPr>
        <w:pStyle w:val="BodyText"/>
        <w:spacing w:after="280"/>
        <w:ind w:left="2160"/>
        <w:rPr>
          <w:sz w:val="24"/>
          <w:szCs w:val="24"/>
        </w:rPr>
      </w:pPr>
      <w:r w:rsidRPr="00720A5D">
        <w:rPr>
          <w:sz w:val="24"/>
          <w:szCs w:val="24"/>
        </w:rPr>
        <w:t>Bellevue, WA 98004-5579</w:t>
      </w:r>
    </w:p>
    <w:p w:rsidR="00D34174" w:rsidRPr="00720A5D" w:rsidRDefault="00D34174" w:rsidP="00242BDC">
      <w:pPr>
        <w:spacing w:before="120" w:after="120" w:line="480" w:lineRule="auto"/>
      </w:pPr>
      <w:r w:rsidRPr="00720A5D">
        <w:t xml:space="preserve">PSE requests that all notices, correspondence and pleadings </w:t>
      </w:r>
      <w:proofErr w:type="gramStart"/>
      <w:r w:rsidRPr="00720A5D">
        <w:t>be sent</w:t>
      </w:r>
      <w:proofErr w:type="gramEnd"/>
      <w:r w:rsidRPr="00720A5D">
        <w:t xml:space="preserve"> to:</w:t>
      </w:r>
    </w:p>
    <w:p w:rsidR="00D34174" w:rsidRPr="00720A5D" w:rsidRDefault="00D34174" w:rsidP="00B7589C">
      <w:pPr>
        <w:keepNext/>
        <w:keepLines/>
        <w:ind w:left="2160"/>
      </w:pPr>
      <w:r w:rsidRPr="00720A5D">
        <w:t>Katherine J. Barnard</w:t>
      </w:r>
    </w:p>
    <w:p w:rsidR="00D34174" w:rsidRPr="00720A5D" w:rsidRDefault="00D34174" w:rsidP="00B7589C">
      <w:pPr>
        <w:keepNext/>
        <w:keepLines/>
        <w:ind w:left="2160"/>
      </w:pPr>
      <w:r w:rsidRPr="00720A5D">
        <w:t>Director, Revenue Requirements and Regulatory Compliance</w:t>
      </w:r>
    </w:p>
    <w:p w:rsidR="00D34174" w:rsidRPr="00720A5D" w:rsidRDefault="00D34174" w:rsidP="00B7589C">
      <w:pPr>
        <w:keepNext/>
        <w:keepLines/>
        <w:ind w:left="2160"/>
      </w:pPr>
      <w:r w:rsidRPr="00720A5D">
        <w:t>Puget Sound Energy, Inc.</w:t>
      </w:r>
    </w:p>
    <w:p w:rsidR="00D34174" w:rsidRPr="00720A5D" w:rsidRDefault="00D34174" w:rsidP="00B7589C">
      <w:pPr>
        <w:keepNext/>
        <w:keepLines/>
        <w:ind w:left="2160"/>
      </w:pPr>
      <w:r w:rsidRPr="00720A5D">
        <w:t>The PSE Building</w:t>
      </w:r>
    </w:p>
    <w:p w:rsidR="00D34174" w:rsidRPr="00720A5D" w:rsidRDefault="00D34174" w:rsidP="00B7589C">
      <w:pPr>
        <w:keepNext/>
        <w:keepLines/>
        <w:ind w:left="2160"/>
      </w:pPr>
      <w:r w:rsidRPr="00720A5D">
        <w:t>10885 N.E. Fourth Street, Suite 800</w:t>
      </w:r>
    </w:p>
    <w:p w:rsidR="00D34174" w:rsidRPr="00720A5D" w:rsidRDefault="00D34174" w:rsidP="00B7589C">
      <w:pPr>
        <w:keepNext/>
        <w:keepLines/>
        <w:ind w:left="2160"/>
      </w:pPr>
      <w:r w:rsidRPr="00720A5D">
        <w:t>Bellevue, WA 98004-5579</w:t>
      </w:r>
    </w:p>
    <w:p w:rsidR="00D34174" w:rsidRPr="00720A5D" w:rsidRDefault="00D34174" w:rsidP="00B7589C">
      <w:pPr>
        <w:keepNext/>
        <w:keepLines/>
        <w:tabs>
          <w:tab w:val="left" w:pos="3240"/>
        </w:tabs>
        <w:ind w:left="2160"/>
      </w:pPr>
      <w:r w:rsidRPr="00720A5D">
        <w:t>Phone:</w:t>
      </w:r>
      <w:r w:rsidRPr="00720A5D">
        <w:tab/>
        <w:t>(425) 462-3716</w:t>
      </w:r>
    </w:p>
    <w:p w:rsidR="00D34174" w:rsidRPr="00720A5D" w:rsidRDefault="00D34174" w:rsidP="00B7589C">
      <w:pPr>
        <w:keepNext/>
        <w:keepLines/>
        <w:tabs>
          <w:tab w:val="left" w:pos="3240"/>
        </w:tabs>
        <w:ind w:left="2160"/>
      </w:pPr>
      <w:r w:rsidRPr="00720A5D">
        <w:t>Facsimile:</w:t>
      </w:r>
      <w:r w:rsidRPr="00720A5D">
        <w:tab/>
        <w:t>(425) 462-3414</w:t>
      </w:r>
    </w:p>
    <w:p w:rsidR="00D34174" w:rsidRPr="00720A5D" w:rsidRDefault="00D34174" w:rsidP="00B7589C">
      <w:pPr>
        <w:tabs>
          <w:tab w:val="left" w:pos="3240"/>
        </w:tabs>
        <w:spacing w:after="240"/>
        <w:ind w:left="2160"/>
      </w:pPr>
      <w:r w:rsidRPr="00720A5D">
        <w:t>Email:</w:t>
      </w:r>
      <w:r w:rsidRPr="00720A5D">
        <w:tab/>
      </w:r>
      <w:hyperlink r:id="rId8" w:history="1">
        <w:r w:rsidRPr="00720A5D">
          <w:rPr>
            <w:color w:val="0000FF"/>
            <w:u w:val="single"/>
          </w:rPr>
          <w:t>katherine.barnard@pse.com</w:t>
        </w:r>
      </w:hyperlink>
    </w:p>
    <w:p w:rsidR="00D34174" w:rsidRPr="00720A5D" w:rsidRDefault="00D34174" w:rsidP="00B7589C">
      <w:pPr>
        <w:keepNext/>
        <w:keepLines/>
        <w:spacing w:after="240"/>
        <w:ind w:left="2160"/>
      </w:pPr>
      <w:r w:rsidRPr="00720A5D">
        <w:lastRenderedPageBreak/>
        <w:t>With a copy to:</w:t>
      </w:r>
    </w:p>
    <w:p w:rsidR="00D34174" w:rsidRPr="00720A5D" w:rsidRDefault="00D34174" w:rsidP="00B7589C">
      <w:pPr>
        <w:keepNext/>
        <w:keepLines/>
        <w:ind w:left="2160"/>
      </w:pPr>
      <w:r w:rsidRPr="00720A5D">
        <w:t>Jason Kuzma</w:t>
      </w:r>
    </w:p>
    <w:p w:rsidR="00D34174" w:rsidRPr="00720A5D" w:rsidRDefault="00D34174" w:rsidP="00B7589C">
      <w:pPr>
        <w:keepNext/>
        <w:keepLines/>
        <w:ind w:left="2160"/>
      </w:pPr>
      <w:r w:rsidRPr="00720A5D">
        <w:t>Donna Barnett</w:t>
      </w:r>
    </w:p>
    <w:p w:rsidR="00D34174" w:rsidRPr="00720A5D" w:rsidRDefault="00D34174" w:rsidP="00B7589C">
      <w:pPr>
        <w:keepNext/>
        <w:keepLines/>
        <w:ind w:left="2160"/>
      </w:pPr>
      <w:r w:rsidRPr="00720A5D">
        <w:t>Perkins Coie LLP</w:t>
      </w:r>
    </w:p>
    <w:p w:rsidR="00D34174" w:rsidRPr="00720A5D" w:rsidRDefault="00D34174" w:rsidP="00B7589C">
      <w:pPr>
        <w:keepNext/>
        <w:keepLines/>
        <w:ind w:left="2160"/>
      </w:pPr>
      <w:r w:rsidRPr="00720A5D">
        <w:t>The PSE Building</w:t>
      </w:r>
    </w:p>
    <w:p w:rsidR="00D34174" w:rsidRPr="00720A5D" w:rsidRDefault="00D34174" w:rsidP="00B7589C">
      <w:pPr>
        <w:keepNext/>
        <w:keepLines/>
        <w:ind w:left="2160"/>
      </w:pPr>
      <w:r w:rsidRPr="00720A5D">
        <w:t>10885 N.E. Fourth Street, Suite 700</w:t>
      </w:r>
    </w:p>
    <w:p w:rsidR="00D34174" w:rsidRPr="00720A5D" w:rsidRDefault="00D34174" w:rsidP="00B7589C">
      <w:pPr>
        <w:keepNext/>
        <w:keepLines/>
        <w:ind w:left="2160"/>
      </w:pPr>
      <w:r w:rsidRPr="00720A5D">
        <w:t>Bellevue, WA  98004-5579</w:t>
      </w:r>
    </w:p>
    <w:p w:rsidR="00D34174" w:rsidRPr="00720A5D" w:rsidRDefault="00D34174" w:rsidP="00B7589C">
      <w:pPr>
        <w:keepNext/>
        <w:keepLines/>
        <w:tabs>
          <w:tab w:val="left" w:pos="3240"/>
        </w:tabs>
        <w:ind w:left="2160"/>
      </w:pPr>
      <w:r w:rsidRPr="00720A5D">
        <w:t>Phone:</w:t>
      </w:r>
      <w:r w:rsidRPr="00720A5D">
        <w:tab/>
        <w:t>(425) 635-1400</w:t>
      </w:r>
    </w:p>
    <w:p w:rsidR="00D34174" w:rsidRPr="00720A5D" w:rsidRDefault="00D34174" w:rsidP="00B7589C">
      <w:pPr>
        <w:keepNext/>
        <w:keepLines/>
        <w:tabs>
          <w:tab w:val="left" w:pos="3240"/>
        </w:tabs>
        <w:ind w:left="2160"/>
      </w:pPr>
      <w:r w:rsidRPr="00720A5D">
        <w:t>Facsimile:</w:t>
      </w:r>
      <w:r w:rsidRPr="00720A5D">
        <w:tab/>
        <w:t>(425) 635-2400</w:t>
      </w:r>
    </w:p>
    <w:p w:rsidR="00D34174" w:rsidRPr="00720A5D" w:rsidRDefault="00D34174" w:rsidP="00B7589C">
      <w:pPr>
        <w:keepNext/>
        <w:keepLines/>
        <w:tabs>
          <w:tab w:val="left" w:pos="3240"/>
        </w:tabs>
        <w:ind w:left="2160"/>
      </w:pPr>
      <w:r w:rsidRPr="00720A5D">
        <w:t>Email:</w:t>
      </w:r>
      <w:r w:rsidRPr="00720A5D">
        <w:tab/>
      </w:r>
      <w:hyperlink r:id="rId9" w:history="1">
        <w:r w:rsidRPr="00720A5D">
          <w:rPr>
            <w:color w:val="0000FF"/>
            <w:u w:val="single"/>
          </w:rPr>
          <w:t>jkuzma@perkinscoie.com</w:t>
        </w:r>
      </w:hyperlink>
    </w:p>
    <w:p w:rsidR="00D34174" w:rsidRPr="00720A5D" w:rsidRDefault="00D34174" w:rsidP="00B7589C">
      <w:pPr>
        <w:tabs>
          <w:tab w:val="left" w:pos="3240"/>
        </w:tabs>
        <w:spacing w:after="240"/>
        <w:ind w:left="2160"/>
      </w:pPr>
      <w:r w:rsidRPr="00720A5D">
        <w:tab/>
      </w:r>
      <w:hyperlink r:id="rId10" w:history="1">
        <w:r w:rsidRPr="00720A5D">
          <w:rPr>
            <w:color w:val="0000FF"/>
            <w:u w:val="single"/>
          </w:rPr>
          <w:t>dbarnett@perkinscoie.com</w:t>
        </w:r>
      </w:hyperlink>
    </w:p>
    <w:p w:rsidR="00D34174" w:rsidRPr="00720A5D" w:rsidRDefault="00D34174" w:rsidP="00692862">
      <w:pPr>
        <w:pStyle w:val="BodyText"/>
        <w:keepNext/>
        <w:keepLines/>
        <w:spacing w:after="280"/>
        <w:ind w:left="720"/>
        <w:rPr>
          <w:b/>
          <w:sz w:val="24"/>
          <w:szCs w:val="24"/>
        </w:rPr>
      </w:pPr>
      <w:r w:rsidRPr="00720A5D">
        <w:rPr>
          <w:b/>
          <w:bCs/>
          <w:sz w:val="24"/>
          <w:szCs w:val="24"/>
        </w:rPr>
        <w:t>2.</w:t>
      </w:r>
      <w:r w:rsidRPr="00720A5D">
        <w:rPr>
          <w:b/>
          <w:bCs/>
          <w:sz w:val="24"/>
          <w:szCs w:val="24"/>
        </w:rPr>
        <w:tab/>
        <w:t>The Purchaser:  Portland General</w:t>
      </w:r>
    </w:p>
    <w:p w:rsidR="00D34174" w:rsidRPr="00720A5D" w:rsidRDefault="00D34174" w:rsidP="00242BDC">
      <w:pPr>
        <w:spacing w:before="120" w:after="120" w:line="480" w:lineRule="auto"/>
        <w:ind w:firstLine="720"/>
      </w:pPr>
      <w:r w:rsidRPr="00720A5D">
        <w:fldChar w:fldCharType="begin"/>
      </w:r>
      <w:r w:rsidRPr="00720A5D">
        <w:instrText xml:space="preserve"> AUTONUM  </w:instrText>
      </w:r>
      <w:r w:rsidRPr="00720A5D">
        <w:fldChar w:fldCharType="end"/>
      </w:r>
      <w:r w:rsidRPr="00720A5D">
        <w:tab/>
        <w:t>Portland General is an investor-owned utility engaged in the generation, purchase, transmission, distribution, and retail sale of electricity in the state of Oregon.  The full and correct name and business address for Portland General are as follows:</w:t>
      </w:r>
    </w:p>
    <w:p w:rsidR="00D34174" w:rsidRPr="00720A5D" w:rsidRDefault="00D34174" w:rsidP="00242BDC">
      <w:pPr>
        <w:pStyle w:val="BodyText"/>
        <w:spacing w:after="0"/>
        <w:ind w:left="2160"/>
        <w:rPr>
          <w:sz w:val="24"/>
          <w:szCs w:val="24"/>
        </w:rPr>
      </w:pPr>
      <w:r w:rsidRPr="00720A5D">
        <w:rPr>
          <w:sz w:val="24"/>
          <w:szCs w:val="24"/>
        </w:rPr>
        <w:t>Portland General Electric Company</w:t>
      </w:r>
    </w:p>
    <w:p w:rsidR="00D34174" w:rsidRPr="00720A5D" w:rsidRDefault="00D34174" w:rsidP="00242BDC">
      <w:pPr>
        <w:pStyle w:val="BodyText"/>
        <w:spacing w:after="0"/>
        <w:ind w:left="2160"/>
        <w:rPr>
          <w:sz w:val="24"/>
          <w:szCs w:val="24"/>
        </w:rPr>
      </w:pPr>
      <w:r w:rsidRPr="00720A5D">
        <w:rPr>
          <w:sz w:val="24"/>
          <w:szCs w:val="24"/>
        </w:rPr>
        <w:t>121 S.W. Salmon Street</w:t>
      </w:r>
    </w:p>
    <w:p w:rsidR="00D34174" w:rsidRPr="00720A5D" w:rsidRDefault="00D34174" w:rsidP="00242BDC">
      <w:pPr>
        <w:pStyle w:val="BodyText"/>
        <w:spacing w:after="280"/>
        <w:ind w:left="2160"/>
        <w:rPr>
          <w:sz w:val="24"/>
          <w:szCs w:val="24"/>
        </w:rPr>
      </w:pPr>
      <w:r w:rsidRPr="00720A5D">
        <w:rPr>
          <w:sz w:val="24"/>
          <w:szCs w:val="24"/>
        </w:rPr>
        <w:t>Portland, Oregon 97204</w:t>
      </w:r>
    </w:p>
    <w:p w:rsidR="00D34174" w:rsidRPr="00720A5D" w:rsidRDefault="00D34174" w:rsidP="00692862">
      <w:pPr>
        <w:pStyle w:val="BodyText"/>
        <w:keepNext/>
        <w:keepLines/>
        <w:spacing w:after="280"/>
        <w:rPr>
          <w:b/>
          <w:bCs/>
          <w:sz w:val="24"/>
          <w:szCs w:val="24"/>
        </w:rPr>
      </w:pPr>
      <w:r w:rsidRPr="00720A5D">
        <w:rPr>
          <w:b/>
          <w:bCs/>
          <w:sz w:val="24"/>
          <w:szCs w:val="24"/>
        </w:rPr>
        <w:t>B.</w:t>
      </w:r>
      <w:r w:rsidRPr="00720A5D">
        <w:rPr>
          <w:b/>
          <w:bCs/>
          <w:sz w:val="24"/>
          <w:szCs w:val="24"/>
        </w:rPr>
        <w:tab/>
        <w:t>The Project</w:t>
      </w:r>
    </w:p>
    <w:p w:rsidR="00D34174" w:rsidRPr="00720A5D" w:rsidRDefault="00D34174" w:rsidP="00242BDC">
      <w:pPr>
        <w:spacing w:before="120" w:after="120" w:line="480" w:lineRule="auto"/>
        <w:ind w:firstLine="720"/>
      </w:pPr>
      <w:r w:rsidRPr="00720A5D">
        <w:fldChar w:fldCharType="begin"/>
      </w:r>
      <w:r w:rsidRPr="00720A5D">
        <w:instrText xml:space="preserve"> AUTONUM  </w:instrText>
      </w:r>
      <w:r w:rsidRPr="00720A5D">
        <w:fldChar w:fldCharType="end"/>
      </w:r>
      <w:r w:rsidRPr="00720A5D">
        <w:tab/>
        <w:t>The Project is a fully permitted, shovel-ready utility-scale wind project located in Columbia County, Washington in the immediate vicinity of over 700 MW of operational wind projects separately owned by PSE and PacifiCorp.  Once constructed, the Project will have a nameplate capacity of 266.8 megawatts (MW) and an annual average capacity of 101 average megawatts (</w:t>
      </w:r>
      <w:proofErr w:type="spellStart"/>
      <w:r w:rsidRPr="00720A5D">
        <w:t>aMW</w:t>
      </w:r>
      <w:proofErr w:type="spellEnd"/>
      <w:r w:rsidRPr="00720A5D">
        <w:t xml:space="preserve">).  It </w:t>
      </w:r>
      <w:proofErr w:type="gramStart"/>
      <w:r w:rsidRPr="00720A5D">
        <w:t>is anticipated</w:t>
      </w:r>
      <w:proofErr w:type="gramEnd"/>
      <w:r w:rsidRPr="00720A5D">
        <w:t xml:space="preserve"> that the Project will consist of the following components:</w:t>
      </w:r>
    </w:p>
    <w:p w:rsidR="00D34174" w:rsidRPr="00720A5D" w:rsidRDefault="00D34174" w:rsidP="00242BDC">
      <w:pPr>
        <w:pStyle w:val="ListParagraph"/>
        <w:numPr>
          <w:ilvl w:val="0"/>
          <w:numId w:val="4"/>
        </w:numPr>
        <w:spacing w:after="280"/>
        <w:ind w:left="2160" w:right="720" w:hanging="720"/>
        <w:contextualSpacing w:val="0"/>
      </w:pPr>
      <w:r w:rsidRPr="00720A5D">
        <w:t>116 Siemens SWT-2.3-108 turbines erected on 80 meter towers;</w:t>
      </w:r>
    </w:p>
    <w:p w:rsidR="00D34174" w:rsidRPr="00720A5D" w:rsidRDefault="00D34174" w:rsidP="00242BDC">
      <w:pPr>
        <w:pStyle w:val="ListParagraph"/>
        <w:numPr>
          <w:ilvl w:val="0"/>
          <w:numId w:val="4"/>
        </w:numPr>
        <w:spacing w:after="280"/>
        <w:ind w:left="2160" w:right="720" w:hanging="720"/>
        <w:contextualSpacing w:val="0"/>
      </w:pPr>
      <w:r w:rsidRPr="00720A5D">
        <w:t>approximately 280 miles of 34.5 kilovolt (kV) conductor to deliver the output of the turbines to one 34.5/230 kV substations for the Project;</w:t>
      </w:r>
    </w:p>
    <w:p w:rsidR="00D34174" w:rsidRPr="00720A5D" w:rsidRDefault="00D34174" w:rsidP="00242BDC">
      <w:pPr>
        <w:pStyle w:val="ListParagraph"/>
        <w:numPr>
          <w:ilvl w:val="0"/>
          <w:numId w:val="4"/>
        </w:numPr>
        <w:spacing w:after="280"/>
        <w:ind w:left="2160" w:right="720" w:hanging="720"/>
        <w:contextualSpacing w:val="0"/>
      </w:pPr>
      <w:r w:rsidRPr="00720A5D">
        <w:t xml:space="preserve">approximately 18 miles of 230 kV overhead line to connect </w:t>
      </w:r>
      <w:r w:rsidR="000B07F8" w:rsidRPr="00720A5D">
        <w:t xml:space="preserve">the </w:t>
      </w:r>
      <w:r w:rsidRPr="00720A5D">
        <w:t xml:space="preserve">Project substation to the Project`s point of interconnection at the </w:t>
      </w:r>
      <w:r w:rsidRPr="00720A5D">
        <w:lastRenderedPageBreak/>
        <w:t>Central Ferry substation, which includes an existing and operational 1250 megavolt amperes (</w:t>
      </w:r>
      <w:proofErr w:type="spellStart"/>
      <w:r w:rsidRPr="00720A5D">
        <w:t>MVA</w:t>
      </w:r>
      <w:proofErr w:type="spellEnd"/>
      <w:r w:rsidRPr="00720A5D">
        <w:t>) 230/500 kV transformer;</w:t>
      </w:r>
    </w:p>
    <w:p w:rsidR="00D34174" w:rsidRPr="00720A5D" w:rsidRDefault="00D34174" w:rsidP="00242BDC">
      <w:pPr>
        <w:pStyle w:val="ListParagraph"/>
        <w:numPr>
          <w:ilvl w:val="0"/>
          <w:numId w:val="4"/>
        </w:numPr>
        <w:spacing w:after="280"/>
        <w:ind w:left="2160" w:right="720" w:hanging="720"/>
        <w:contextualSpacing w:val="0"/>
      </w:pPr>
      <w:r w:rsidRPr="00720A5D">
        <w:t>approximately 28 miles of new roads; and</w:t>
      </w:r>
    </w:p>
    <w:p w:rsidR="00D34174" w:rsidRPr="00720A5D" w:rsidRDefault="00D34174" w:rsidP="00242BDC">
      <w:pPr>
        <w:pStyle w:val="ListParagraph"/>
        <w:numPr>
          <w:ilvl w:val="0"/>
          <w:numId w:val="4"/>
        </w:numPr>
        <w:spacing w:after="280"/>
        <w:ind w:left="2160" w:right="720" w:hanging="720"/>
        <w:contextualSpacing w:val="0"/>
      </w:pPr>
      <w:r w:rsidRPr="00720A5D">
        <w:t>other ancillary facilities including, for example, turbine foundations and other civil works, a supervisory control and data acquisition (</w:t>
      </w:r>
      <w:proofErr w:type="spellStart"/>
      <w:r w:rsidRPr="00720A5D">
        <w:t>SCADA</w:t>
      </w:r>
      <w:proofErr w:type="spellEnd"/>
      <w:r w:rsidRPr="00720A5D">
        <w:t>) system and operations and maintenance facilities, communication facilities, permanent meteorological towers, and spare parts.</w:t>
      </w:r>
    </w:p>
    <w:p w:rsidR="00D34174" w:rsidRPr="00720A5D" w:rsidRDefault="00D34174" w:rsidP="00242BDC">
      <w:pPr>
        <w:spacing w:before="120" w:after="120" w:line="480" w:lineRule="auto"/>
        <w:ind w:firstLine="720"/>
      </w:pPr>
      <w:r w:rsidRPr="00720A5D">
        <w:fldChar w:fldCharType="begin"/>
      </w:r>
      <w:r w:rsidRPr="00720A5D">
        <w:instrText xml:space="preserve"> AUTONUM  </w:instrText>
      </w:r>
      <w:r w:rsidRPr="00720A5D">
        <w:fldChar w:fldCharType="end"/>
      </w:r>
      <w:r w:rsidRPr="00720A5D">
        <w:tab/>
        <w:t>PSE has entered into a large-generator interconnection agreement (</w:t>
      </w:r>
      <w:proofErr w:type="spellStart"/>
      <w:r w:rsidRPr="00720A5D">
        <w:t>LGIA</w:t>
      </w:r>
      <w:proofErr w:type="spellEnd"/>
      <w:r w:rsidRPr="00720A5D">
        <w:t>) with the Bonneville Power Administration (</w:t>
      </w:r>
      <w:r w:rsidR="00A63346" w:rsidRPr="00720A5D">
        <w:t>“</w:t>
      </w:r>
      <w:r w:rsidRPr="00720A5D">
        <w:t>BPA</w:t>
      </w:r>
      <w:r w:rsidR="00A63346" w:rsidRPr="00720A5D">
        <w:t>”</w:t>
      </w:r>
      <w:r w:rsidRPr="00720A5D">
        <w:t xml:space="preserve">) for the Project.  As part of the proposed transaction, PSE also intends to assign to </w:t>
      </w:r>
      <w:proofErr w:type="gramStart"/>
      <w:r w:rsidRPr="00720A5D">
        <w:t>PGE precedent transmission service agreements</w:t>
      </w:r>
      <w:proofErr w:type="gramEnd"/>
      <w:r w:rsidRPr="00720A5D">
        <w:t xml:space="preserve"> (</w:t>
      </w:r>
      <w:r w:rsidR="00A63346" w:rsidRPr="00720A5D">
        <w:t>“</w:t>
      </w:r>
      <w:proofErr w:type="spellStart"/>
      <w:r w:rsidRPr="00720A5D">
        <w:t>PTSAs</w:t>
      </w:r>
      <w:proofErr w:type="spellEnd"/>
      <w:r w:rsidR="00A63346" w:rsidRPr="00720A5D">
        <w:t>”</w:t>
      </w:r>
      <w:r w:rsidRPr="00720A5D">
        <w:t xml:space="preserve">) that PSE has entered into with BPA.  The </w:t>
      </w:r>
      <w:proofErr w:type="spellStart"/>
      <w:r w:rsidRPr="00720A5D">
        <w:t>PTSAs</w:t>
      </w:r>
      <w:proofErr w:type="spellEnd"/>
      <w:r w:rsidRPr="00720A5D">
        <w:t xml:space="preserve"> are for sufficient electrical capacity and tenure </w:t>
      </w:r>
      <w:proofErr w:type="gramStart"/>
      <w:r w:rsidRPr="00720A5D">
        <w:t>to fully deliver</w:t>
      </w:r>
      <w:proofErr w:type="gramEnd"/>
      <w:r w:rsidRPr="00720A5D">
        <w:t>—on a firm basis—the output of the Project from the point of interconnection to PGE</w:t>
      </w:r>
      <w:r w:rsidR="00A63346" w:rsidRPr="00720A5D">
        <w:t>’</w:t>
      </w:r>
      <w:r w:rsidRPr="00720A5D">
        <w:t>s system.</w:t>
      </w:r>
    </w:p>
    <w:p w:rsidR="00D34174" w:rsidRPr="00720A5D" w:rsidRDefault="00D34174" w:rsidP="00242BDC">
      <w:pPr>
        <w:pStyle w:val="BodyText"/>
        <w:keepNext/>
        <w:keepLines/>
        <w:spacing w:after="280"/>
        <w:ind w:left="720"/>
        <w:rPr>
          <w:b/>
          <w:bCs/>
          <w:sz w:val="24"/>
          <w:szCs w:val="24"/>
        </w:rPr>
      </w:pPr>
      <w:r w:rsidRPr="00720A5D">
        <w:rPr>
          <w:b/>
          <w:bCs/>
          <w:sz w:val="24"/>
          <w:szCs w:val="24"/>
        </w:rPr>
        <w:t>1.</w:t>
      </w:r>
      <w:r w:rsidRPr="00720A5D">
        <w:rPr>
          <w:b/>
          <w:bCs/>
          <w:sz w:val="24"/>
          <w:szCs w:val="24"/>
        </w:rPr>
        <w:tab/>
        <w:t>The Purchased Assets</w:t>
      </w:r>
    </w:p>
    <w:p w:rsidR="00D34174" w:rsidRPr="00720A5D" w:rsidRDefault="00D34174" w:rsidP="00242BDC">
      <w:pPr>
        <w:spacing w:before="120" w:after="120" w:line="480" w:lineRule="auto"/>
        <w:ind w:firstLine="720"/>
      </w:pPr>
      <w:r w:rsidRPr="00720A5D">
        <w:fldChar w:fldCharType="begin"/>
      </w:r>
      <w:r w:rsidRPr="00720A5D">
        <w:instrText xml:space="preserve"> AUTONUM  </w:instrText>
      </w:r>
      <w:r w:rsidRPr="00720A5D">
        <w:fldChar w:fldCharType="end"/>
      </w:r>
      <w:r w:rsidRPr="00720A5D">
        <w:tab/>
        <w:t>Subject to and upon the terms and conditions of the Asset Purchase Agreement, PSE has agreed to sell, assign, transfer, convey, and deliver to Portland General the following Purchased Assets:</w:t>
      </w:r>
    </w:p>
    <w:p w:rsidR="00D34174" w:rsidRPr="00720A5D" w:rsidRDefault="00D34174" w:rsidP="00242BDC">
      <w:pPr>
        <w:spacing w:after="280"/>
        <w:ind w:left="2160" w:right="720" w:hanging="720"/>
      </w:pPr>
      <w:r w:rsidRPr="00720A5D">
        <w:t>(i)</w:t>
      </w:r>
      <w:r w:rsidRPr="00720A5D">
        <w:tab/>
        <w:t>all of Seller</w:t>
      </w:r>
      <w:r w:rsidR="00A63346" w:rsidRPr="00720A5D">
        <w:t>’</w:t>
      </w:r>
      <w:r w:rsidRPr="00720A5D">
        <w:t>s right, title and interests in and to the Real Property, all as more particularly listed and described in Part II of Schedule 6.10.1 to the Asset Purchase and Sale Agreement;</w:t>
      </w:r>
    </w:p>
    <w:p w:rsidR="00D34174" w:rsidRPr="00720A5D" w:rsidRDefault="00D34174" w:rsidP="00242BDC">
      <w:pPr>
        <w:spacing w:after="280"/>
        <w:ind w:left="2160" w:right="720" w:hanging="720"/>
      </w:pPr>
      <w:r w:rsidRPr="00720A5D">
        <w:t>(ii)</w:t>
      </w:r>
      <w:r w:rsidRPr="00720A5D">
        <w:tab/>
        <w:t>all of PSE</w:t>
      </w:r>
      <w:r w:rsidR="00A63346" w:rsidRPr="00720A5D">
        <w:t>’</w:t>
      </w:r>
      <w:r w:rsidRPr="00720A5D">
        <w:t>s right, title and interests in and to the Assumed Contracts, all as more particularly listed and described in Parts I, II and III of Schedule 6.10.1 to the Asset Purchase and Sale Agreement;</w:t>
      </w:r>
    </w:p>
    <w:p w:rsidR="00D34174" w:rsidRPr="00720A5D" w:rsidRDefault="00D34174" w:rsidP="00242BDC">
      <w:pPr>
        <w:spacing w:after="280"/>
        <w:ind w:left="2160" w:right="720" w:hanging="720"/>
      </w:pPr>
      <w:proofErr w:type="gramStart"/>
      <w:r w:rsidRPr="00720A5D">
        <w:t>(iii)</w:t>
      </w:r>
      <w:r w:rsidRPr="00720A5D">
        <w:tab/>
        <w:t xml:space="preserve">the Conditional Use Permits, as partially assigned pursuant to the Assignment of Interest in CUP Agreement, for the development of not less than 266.8 MW of installed nameplate capacity and associated Project and transmission, and all other Permits for </w:t>
      </w:r>
      <w:r w:rsidRPr="00720A5D">
        <w:lastRenderedPageBreak/>
        <w:t>development of the Project held by PSE at Closing, including those listed or described in Part I of Schedule 6.11 to the Asset Purchase and Sale Agreement;</w:t>
      </w:r>
      <w:proofErr w:type="gramEnd"/>
    </w:p>
    <w:p w:rsidR="00D34174" w:rsidRPr="00720A5D" w:rsidRDefault="00D34174" w:rsidP="00242BDC">
      <w:pPr>
        <w:spacing w:after="280"/>
        <w:ind w:left="2160" w:right="720" w:hanging="720"/>
      </w:pPr>
      <w:r w:rsidRPr="00720A5D">
        <w:t>(iv)</w:t>
      </w:r>
      <w:r w:rsidRPr="00720A5D">
        <w:tab/>
      </w:r>
      <w:proofErr w:type="gramStart"/>
      <w:r w:rsidRPr="00720A5D">
        <w:t>all</w:t>
      </w:r>
      <w:proofErr w:type="gramEnd"/>
      <w:r w:rsidRPr="00720A5D">
        <w:t xml:space="preserve"> applications for Permits listed or </w:t>
      </w:r>
      <w:r w:rsidRPr="00720A5D">
        <w:rPr>
          <w:lang w:bidi="he-IL"/>
        </w:rPr>
        <w:t>described in Part II of Schedule ‎6.11</w:t>
      </w:r>
      <w:r w:rsidRPr="00720A5D">
        <w:t xml:space="preserve"> of the Asset Purchase and Sale Agreement;</w:t>
      </w:r>
    </w:p>
    <w:p w:rsidR="00D34174" w:rsidRPr="00720A5D" w:rsidRDefault="00D34174" w:rsidP="0025337F">
      <w:pPr>
        <w:spacing w:after="280"/>
        <w:ind w:left="2160" w:right="720" w:hanging="720"/>
      </w:pPr>
      <w:proofErr w:type="gramStart"/>
      <w:r w:rsidRPr="00720A5D">
        <w:t>(v)</w:t>
      </w:r>
      <w:r w:rsidRPr="00720A5D">
        <w:tab/>
        <w:t>at least 267 MW of firm transmission rights, and related rights to interim conditional firm transmission service, to be exclusively owned by and in the name of Portland General for transmission of the electrical output generated by the Project via the BPA transmission system from the Point of Interconnection to the Point of Delivery, which Transmission Rights shall be transferred through a combination of partial and full assignments of the PSE Precedent Agreements, as further specified in Schedule 4.2.14 of the Asset Purchase and Sale Agreement;</w:t>
      </w:r>
      <w:proofErr w:type="gramEnd"/>
    </w:p>
    <w:p w:rsidR="00D34174" w:rsidRPr="00720A5D" w:rsidRDefault="00D34174" w:rsidP="0025337F">
      <w:pPr>
        <w:spacing w:after="280"/>
        <w:ind w:left="2160" w:right="720" w:hanging="720"/>
      </w:pPr>
      <w:proofErr w:type="gramStart"/>
      <w:r w:rsidRPr="00720A5D">
        <w:t>(vi)</w:t>
      </w:r>
      <w:r w:rsidRPr="00720A5D">
        <w:tab/>
        <w:t>true and complete copies of all books, records, files, drawings, plans, specifications, consents, the Wind Data and any and all other wind analyses, solely for the Project and in the possession or under the control of Seller, including any of the foregoing that have not been finalized but are still in process, and other printed or written materials, in each case relating solely to the Project;</w:t>
      </w:r>
      <w:proofErr w:type="gramEnd"/>
    </w:p>
    <w:p w:rsidR="00D34174" w:rsidRPr="00720A5D" w:rsidRDefault="00D34174" w:rsidP="0025337F">
      <w:pPr>
        <w:spacing w:after="280"/>
        <w:ind w:left="2160" w:right="720" w:hanging="720"/>
      </w:pPr>
      <w:r w:rsidRPr="00720A5D">
        <w:t>(vii)</w:t>
      </w:r>
      <w:r w:rsidRPr="00720A5D">
        <w:tab/>
        <w:t>the permanent and temporary meteorological towers and wind monitoring instrumentation located on the Real Property and set forth on Schedule 1.2 of the Asset Purchase and Sale Agreement; and</w:t>
      </w:r>
    </w:p>
    <w:p w:rsidR="00D34174" w:rsidRPr="00720A5D" w:rsidRDefault="00D34174" w:rsidP="0025337F">
      <w:pPr>
        <w:spacing w:after="280"/>
        <w:ind w:left="2160" w:right="720" w:hanging="720"/>
      </w:pPr>
      <w:r w:rsidRPr="00720A5D">
        <w:t>(viii)</w:t>
      </w:r>
      <w:r w:rsidRPr="00720A5D">
        <w:tab/>
      </w:r>
      <w:proofErr w:type="gramStart"/>
      <w:r w:rsidRPr="00720A5D">
        <w:t>all</w:t>
      </w:r>
      <w:proofErr w:type="gramEnd"/>
      <w:r w:rsidRPr="00720A5D">
        <w:t xml:space="preserve"> warranties, guarantees, licenses and indemnification rights with respect to any of the Purchased Assets.</w:t>
      </w:r>
    </w:p>
    <w:p w:rsidR="00D34174" w:rsidRPr="00720A5D" w:rsidRDefault="00D34174" w:rsidP="00242BDC">
      <w:pPr>
        <w:pStyle w:val="BodyText"/>
        <w:keepNext/>
        <w:keepLines/>
        <w:spacing w:after="280"/>
        <w:ind w:left="720"/>
        <w:rPr>
          <w:b/>
          <w:bCs/>
          <w:sz w:val="24"/>
          <w:szCs w:val="24"/>
        </w:rPr>
      </w:pPr>
      <w:r w:rsidRPr="00720A5D">
        <w:rPr>
          <w:b/>
          <w:bCs/>
          <w:sz w:val="24"/>
          <w:szCs w:val="24"/>
        </w:rPr>
        <w:t>2.</w:t>
      </w:r>
      <w:r w:rsidRPr="00720A5D">
        <w:rPr>
          <w:b/>
          <w:bCs/>
          <w:sz w:val="24"/>
          <w:szCs w:val="24"/>
        </w:rPr>
        <w:tab/>
        <w:t>The BPA Transferred Transmission Credits</w:t>
      </w:r>
    </w:p>
    <w:p w:rsidR="00D34174" w:rsidRPr="00720A5D" w:rsidRDefault="00D34174" w:rsidP="005971EC">
      <w:pPr>
        <w:spacing w:before="120" w:after="120" w:line="480" w:lineRule="auto"/>
        <w:ind w:firstLine="720"/>
      </w:pPr>
      <w:r w:rsidRPr="00720A5D">
        <w:fldChar w:fldCharType="begin"/>
      </w:r>
      <w:r w:rsidRPr="00720A5D">
        <w:instrText xml:space="preserve"> AUTONUM  </w:instrText>
      </w:r>
      <w:r w:rsidRPr="00720A5D">
        <w:fldChar w:fldCharType="end"/>
      </w:r>
      <w:r w:rsidRPr="00720A5D">
        <w:tab/>
        <w:t xml:space="preserve">PSE has agreed to assign certain BPA Transferred Transmission Credits in an amount equal to $20,500,000 to Portland General.  As part of </w:t>
      </w:r>
      <w:proofErr w:type="spellStart"/>
      <w:r w:rsidRPr="00720A5D">
        <w:t>LSR</w:t>
      </w:r>
      <w:proofErr w:type="spellEnd"/>
      <w:r w:rsidRPr="00720A5D">
        <w:t> Phase </w:t>
      </w:r>
      <w:proofErr w:type="gramStart"/>
      <w:r w:rsidRPr="00720A5D">
        <w:t>I</w:t>
      </w:r>
      <w:proofErr w:type="gramEnd"/>
      <w:r w:rsidRPr="00720A5D">
        <w:t xml:space="preserve">, PSE made prepayments of $102.2 million to BPA to construct the Central Ferry Substation and certain transmission Network Upgrades to interconnect the output of the various phases of the Lower Snake River Wind Project, including </w:t>
      </w:r>
      <w:proofErr w:type="spellStart"/>
      <w:r w:rsidRPr="00720A5D">
        <w:t>LSR</w:t>
      </w:r>
      <w:proofErr w:type="spellEnd"/>
      <w:r w:rsidRPr="00720A5D">
        <w:t> Phase I and the Project.  PSE</w:t>
      </w:r>
      <w:r w:rsidR="00A63346" w:rsidRPr="00720A5D">
        <w:t>’</w:t>
      </w:r>
      <w:r w:rsidRPr="00720A5D">
        <w:t xml:space="preserve">s total prepayment of $102.2 million to BPA consisted of a $2.5 million prepayment for Interconnection Facilities and </w:t>
      </w:r>
      <w:r w:rsidRPr="00720A5D">
        <w:lastRenderedPageBreak/>
        <w:t>a $99.7 million prepayment for Network Upgrades.  BPA will continue to</w:t>
      </w:r>
      <w:r w:rsidR="00FE1D72" w:rsidRPr="00720A5D">
        <w:t xml:space="preserve"> </w:t>
      </w:r>
      <w:r w:rsidRPr="00720A5D">
        <w:t xml:space="preserve">refund to PSE the prepayment related to the Network Upgrade facilities, </w:t>
      </w:r>
      <w:proofErr w:type="gramStart"/>
      <w:r w:rsidRPr="00720A5D">
        <w:t>plus</w:t>
      </w:r>
      <w:proofErr w:type="gramEnd"/>
      <w:r w:rsidRPr="00720A5D">
        <w:t xml:space="preserve"> interest, through transmission credits to PSE</w:t>
      </w:r>
      <w:r w:rsidR="00A63346" w:rsidRPr="00720A5D">
        <w:t>’</w:t>
      </w:r>
      <w:r w:rsidRPr="00720A5D">
        <w:t>s point-to-point transmission tariff expenses in the future</w:t>
      </w:r>
      <w:r w:rsidR="00FE1D72" w:rsidRPr="00720A5D">
        <w:t>, but BPA’s refund obligation will be reduced by the $20.5 million of transmission credits transferred to Portland General.</w:t>
      </w:r>
    </w:p>
    <w:p w:rsidR="00D34174" w:rsidRPr="00720A5D" w:rsidRDefault="00D34174" w:rsidP="00242BDC">
      <w:pPr>
        <w:pStyle w:val="BodyText"/>
        <w:keepNext/>
        <w:keepLines/>
        <w:spacing w:after="280"/>
        <w:rPr>
          <w:b/>
          <w:bCs/>
          <w:sz w:val="24"/>
          <w:szCs w:val="24"/>
        </w:rPr>
      </w:pPr>
      <w:r w:rsidRPr="00720A5D">
        <w:rPr>
          <w:b/>
          <w:bCs/>
          <w:sz w:val="24"/>
          <w:szCs w:val="24"/>
        </w:rPr>
        <w:t>C.</w:t>
      </w:r>
      <w:r w:rsidRPr="00720A5D">
        <w:rPr>
          <w:b/>
          <w:bCs/>
          <w:sz w:val="24"/>
          <w:szCs w:val="24"/>
        </w:rPr>
        <w:tab/>
        <w:t>Payments to PSE</w:t>
      </w:r>
    </w:p>
    <w:p w:rsidR="00D34174" w:rsidRPr="00720A5D" w:rsidRDefault="00D34174" w:rsidP="00242BDC">
      <w:pPr>
        <w:spacing w:before="120" w:after="120" w:line="480" w:lineRule="auto"/>
        <w:ind w:firstLine="720"/>
      </w:pPr>
      <w:r w:rsidRPr="00720A5D">
        <w:fldChar w:fldCharType="begin"/>
      </w:r>
      <w:r w:rsidRPr="00720A5D">
        <w:instrText xml:space="preserve"> AUTONUM  </w:instrText>
      </w:r>
      <w:r w:rsidRPr="00720A5D">
        <w:fldChar w:fldCharType="end"/>
      </w:r>
      <w:r w:rsidRPr="00720A5D">
        <w:tab/>
      </w:r>
      <w:proofErr w:type="gramStart"/>
      <w:r w:rsidRPr="00720A5D">
        <w:t>At the Closing, Portland General will pay a Closing Payment to PSE in an amount equal to $16,008,000, as such amount may be adjusted to reflect any prepayments or payments made in arrears by PSE under any of the Assumed Contracts and any payments made by PSE in respect of property taxes relating to the Real Property, in any case on a pro-rata basis up to and including the Closing Date.</w:t>
      </w:r>
      <w:proofErr w:type="gramEnd"/>
      <w:r w:rsidRPr="00720A5D">
        <w:t xml:space="preserve">  In addition to this Closing Payment, Portland General </w:t>
      </w:r>
      <w:proofErr w:type="gramStart"/>
      <w:r w:rsidRPr="00720A5D">
        <w:t>will, after Closing and within two Business Days after BPA</w:t>
      </w:r>
      <w:r w:rsidR="00A63346" w:rsidRPr="00720A5D">
        <w:t>’</w:t>
      </w:r>
      <w:r w:rsidRPr="00720A5D">
        <w:t>s notice to Portland General that BPA has completed its processing of PSE</w:t>
      </w:r>
      <w:r w:rsidR="00A63346" w:rsidRPr="00720A5D">
        <w:t>’</w:t>
      </w:r>
      <w:r w:rsidRPr="00720A5D">
        <w:t>s assignment to Portland General of the BPA Transferred Transmission Credits, pay</w:t>
      </w:r>
      <w:proofErr w:type="gramEnd"/>
      <w:r w:rsidRPr="00720A5D">
        <w:t xml:space="preserve"> PSE an amount equal to $20,500,000 in consideration of such assignment.</w:t>
      </w:r>
    </w:p>
    <w:p w:rsidR="00D34174" w:rsidRPr="00720A5D" w:rsidRDefault="00D34174" w:rsidP="00242BDC">
      <w:pPr>
        <w:pStyle w:val="BodyText"/>
        <w:keepNext/>
        <w:keepLines/>
        <w:spacing w:after="280"/>
        <w:rPr>
          <w:b/>
          <w:bCs/>
          <w:sz w:val="24"/>
          <w:szCs w:val="24"/>
        </w:rPr>
      </w:pPr>
      <w:r w:rsidRPr="00720A5D">
        <w:rPr>
          <w:b/>
          <w:bCs/>
          <w:sz w:val="24"/>
          <w:szCs w:val="24"/>
        </w:rPr>
        <w:t>D.</w:t>
      </w:r>
      <w:r w:rsidRPr="00720A5D">
        <w:rPr>
          <w:b/>
          <w:bCs/>
          <w:sz w:val="24"/>
          <w:szCs w:val="24"/>
        </w:rPr>
        <w:tab/>
        <w:t>Closing Date</w:t>
      </w:r>
    </w:p>
    <w:p w:rsidR="00D34174" w:rsidRPr="00720A5D" w:rsidRDefault="00D34174" w:rsidP="00242BDC">
      <w:pPr>
        <w:spacing w:before="120" w:after="120" w:line="480" w:lineRule="auto"/>
        <w:ind w:firstLine="720"/>
      </w:pPr>
      <w:r w:rsidRPr="00720A5D">
        <w:fldChar w:fldCharType="begin"/>
      </w:r>
      <w:r w:rsidRPr="00720A5D">
        <w:instrText xml:space="preserve"> AUTONUM  </w:instrText>
      </w:r>
      <w:r w:rsidRPr="00720A5D">
        <w:fldChar w:fldCharType="end"/>
      </w:r>
      <w:r w:rsidRPr="00720A5D">
        <w:tab/>
      </w:r>
      <w:proofErr w:type="gramStart"/>
      <w:r w:rsidRPr="00720A5D">
        <w:t>The closing date is at 10:00 a.m. local time on August 1, 2013 or on such other date to be agreed in writing by PSE and Portland General, which shall be no later than two business days after satisfaction (or waiver as provided herein) of the conditions set forth in Article 4 of the Asset Purchase Agreement, or at such other time or date as PSE and Portland General mutually agree upon in writing.</w:t>
      </w:r>
      <w:proofErr w:type="gramEnd"/>
    </w:p>
    <w:p w:rsidR="00D34174" w:rsidRPr="00720A5D" w:rsidRDefault="00D34174" w:rsidP="00242BDC">
      <w:pPr>
        <w:pStyle w:val="BodyText"/>
        <w:keepNext/>
        <w:keepLines/>
        <w:spacing w:before="280" w:after="280"/>
        <w:jc w:val="center"/>
        <w:rPr>
          <w:b/>
          <w:bCs/>
          <w:sz w:val="24"/>
          <w:szCs w:val="24"/>
        </w:rPr>
      </w:pPr>
      <w:r w:rsidRPr="00720A5D">
        <w:rPr>
          <w:b/>
          <w:bCs/>
          <w:sz w:val="24"/>
          <w:szCs w:val="24"/>
        </w:rPr>
        <w:lastRenderedPageBreak/>
        <w:t>III.</w:t>
      </w:r>
      <w:r w:rsidRPr="00720A5D">
        <w:rPr>
          <w:b/>
          <w:bCs/>
          <w:sz w:val="24"/>
          <w:szCs w:val="24"/>
        </w:rPr>
        <w:tab/>
      </w:r>
      <w:r w:rsidRPr="00720A5D">
        <w:rPr>
          <w:b/>
          <w:sz w:val="24"/>
          <w:szCs w:val="24"/>
        </w:rPr>
        <w:t>JURISDICTION AND AUTHORITY REGARDING SALE</w:t>
      </w:r>
    </w:p>
    <w:p w:rsidR="00D34174" w:rsidRPr="00720A5D" w:rsidRDefault="00D34174" w:rsidP="00CF2E36">
      <w:pPr>
        <w:keepNext/>
        <w:keepLines/>
        <w:spacing w:after="280"/>
        <w:rPr>
          <w:b/>
          <w:bCs/>
        </w:rPr>
      </w:pPr>
      <w:r w:rsidRPr="00720A5D">
        <w:rPr>
          <w:b/>
          <w:bCs/>
        </w:rPr>
        <w:t>A.</w:t>
      </w:r>
      <w:r w:rsidRPr="00720A5D">
        <w:rPr>
          <w:b/>
          <w:bCs/>
        </w:rPr>
        <w:tab/>
        <w:t>Applicable Statutes and Regulations</w:t>
      </w:r>
    </w:p>
    <w:p w:rsidR="00D34174" w:rsidRPr="00720A5D" w:rsidRDefault="00D34174" w:rsidP="00CF2E36">
      <w:pPr>
        <w:spacing w:before="120" w:after="120" w:line="480" w:lineRule="auto"/>
        <w:ind w:firstLine="720"/>
      </w:pPr>
      <w:r w:rsidRPr="00720A5D">
        <w:fldChar w:fldCharType="begin"/>
      </w:r>
      <w:r w:rsidRPr="00720A5D">
        <w:instrText xml:space="preserve"> AUTONUM  </w:instrText>
      </w:r>
      <w:r w:rsidRPr="00720A5D">
        <w:fldChar w:fldCharType="end"/>
      </w:r>
      <w:r w:rsidRPr="00720A5D">
        <w:tab/>
        <w:t>Under RCW 80.12.020 and WAC 480-143-120, a public service company must secure Commission approval prior to completing the sale of a property necessary or useful in the performance of its duties to the public.  WAC 480-143-120 requires that applications include details of the sale as well as the company</w:t>
      </w:r>
      <w:r w:rsidR="00A63346" w:rsidRPr="00720A5D">
        <w:t>’</w:t>
      </w:r>
      <w:r w:rsidRPr="00720A5D">
        <w:t>s current financial statements and copies of all transfer instruments.  Pursuant to WAC 480-143-170, the Commission shall approve the application for the sale of necessary and useful property if the transaction is in the public interest.</w:t>
      </w:r>
    </w:p>
    <w:p w:rsidR="00D34174" w:rsidRPr="00720A5D" w:rsidRDefault="00D34174" w:rsidP="00CF2E36">
      <w:pPr>
        <w:spacing w:before="120" w:after="120" w:line="480" w:lineRule="auto"/>
        <w:ind w:firstLine="720"/>
      </w:pPr>
      <w:r w:rsidRPr="00720A5D">
        <w:fldChar w:fldCharType="begin"/>
      </w:r>
      <w:r w:rsidRPr="00720A5D">
        <w:instrText xml:space="preserve"> AUTONUM  </w:instrText>
      </w:r>
      <w:r w:rsidRPr="00720A5D">
        <w:fldChar w:fldCharType="end"/>
      </w:r>
      <w:r w:rsidRPr="00720A5D">
        <w:tab/>
        <w:t>WAC 480-143-180 allows a public service company to dispose of certain property that is not necessary or useful, after filing an application with the Commission and obtaining a commission determination that the property is no longer necessary or useful.  WAC 480-143-180 defines property necessary or useful for a public service company to perform its public duties as follows:</w:t>
      </w:r>
    </w:p>
    <w:p w:rsidR="00D34174" w:rsidRPr="00720A5D" w:rsidRDefault="00D34174" w:rsidP="00CF2E36">
      <w:pPr>
        <w:spacing w:after="280"/>
        <w:ind w:left="1440" w:right="720"/>
      </w:pPr>
      <w:r w:rsidRPr="00720A5D">
        <w:t>Necessary or useful includes all property except items that:</w:t>
      </w:r>
    </w:p>
    <w:p w:rsidR="00D34174" w:rsidRPr="00720A5D" w:rsidRDefault="00D34174" w:rsidP="00CF2E36">
      <w:pPr>
        <w:spacing w:after="280"/>
        <w:ind w:left="1440" w:right="720"/>
      </w:pPr>
      <w:r w:rsidRPr="00720A5D">
        <w:t xml:space="preserve">(1)  Are </w:t>
      </w:r>
      <w:proofErr w:type="gramStart"/>
      <w:r w:rsidRPr="00720A5D">
        <w:t>substituted</w:t>
      </w:r>
      <w:proofErr w:type="gramEnd"/>
      <w:r w:rsidRPr="00720A5D">
        <w:t xml:space="preserve"> with or replaced by items of equal or greater value or usefulness;</w:t>
      </w:r>
    </w:p>
    <w:p w:rsidR="00D34174" w:rsidRPr="00720A5D" w:rsidRDefault="00D34174" w:rsidP="00CF2E36">
      <w:pPr>
        <w:spacing w:after="280"/>
        <w:ind w:left="1440" w:right="720"/>
      </w:pPr>
      <w:r w:rsidRPr="00720A5D">
        <w:t xml:space="preserve">(2)  </w:t>
      </w:r>
      <w:proofErr w:type="gramStart"/>
      <w:r w:rsidRPr="00720A5D">
        <w:t>Are</w:t>
      </w:r>
      <w:proofErr w:type="gramEnd"/>
      <w:r w:rsidRPr="00720A5D">
        <w:t xml:space="preserve"> surplus and unneeded assets for which full value is received;</w:t>
      </w:r>
    </w:p>
    <w:p w:rsidR="00D34174" w:rsidRPr="00720A5D" w:rsidRDefault="00D34174" w:rsidP="00CF2E36">
      <w:pPr>
        <w:spacing w:after="280"/>
        <w:ind w:left="1440" w:right="720"/>
      </w:pPr>
      <w:r w:rsidRPr="00720A5D">
        <w:t>(3)  Are obsolete; or</w:t>
      </w:r>
    </w:p>
    <w:p w:rsidR="00D34174" w:rsidRPr="00720A5D" w:rsidRDefault="00D34174" w:rsidP="00CF2E36">
      <w:pPr>
        <w:spacing w:after="280"/>
        <w:ind w:left="1440" w:right="720"/>
      </w:pPr>
      <w:proofErr w:type="gramStart"/>
      <w:r w:rsidRPr="00720A5D">
        <w:t>(4)  Are excluded</w:t>
      </w:r>
      <w:proofErr w:type="gramEnd"/>
      <w:r w:rsidRPr="00720A5D">
        <w:t xml:space="preserve"> from the public service company</w:t>
      </w:r>
      <w:r w:rsidR="00A63346" w:rsidRPr="00720A5D">
        <w:t>’</w:t>
      </w:r>
      <w:r w:rsidRPr="00720A5D">
        <w:t>s rate base by commission order, or otherwise.</w:t>
      </w:r>
    </w:p>
    <w:p w:rsidR="00D34174" w:rsidRPr="00720A5D" w:rsidRDefault="00D34174" w:rsidP="00CF2E36">
      <w:pPr>
        <w:spacing w:after="280"/>
        <w:ind w:left="1440" w:right="720"/>
      </w:pPr>
      <w:proofErr w:type="gramStart"/>
      <w:r w:rsidRPr="00720A5D">
        <w:t>The public service company must file an application for commission determination that the property is not necessary or useful, prior to disposing of such property, if the property to be disposed of has a market value that exceeds the greater of .1% of the public service company</w:t>
      </w:r>
      <w:r w:rsidR="00A63346" w:rsidRPr="00720A5D">
        <w:t>’</w:t>
      </w:r>
      <w:r w:rsidRPr="00720A5D">
        <w:t>s rate base (for the applicable utility service) last established by commission order, or $20,000.</w:t>
      </w:r>
      <w:proofErr w:type="gramEnd"/>
    </w:p>
    <w:p w:rsidR="00D34174" w:rsidRPr="00720A5D" w:rsidRDefault="00D34174" w:rsidP="00CF2E36">
      <w:pPr>
        <w:spacing w:before="120" w:after="120" w:line="480" w:lineRule="auto"/>
      </w:pPr>
      <w:proofErr w:type="gramStart"/>
      <w:r w:rsidRPr="00720A5D">
        <w:lastRenderedPageBreak/>
        <w:t>WAC 480-143-180.</w:t>
      </w:r>
      <w:proofErr w:type="gramEnd"/>
    </w:p>
    <w:p w:rsidR="00D34174" w:rsidRPr="00720A5D" w:rsidRDefault="00D34174" w:rsidP="00DC563A">
      <w:pPr>
        <w:pStyle w:val="BodyText"/>
        <w:keepNext/>
        <w:keepLines/>
        <w:spacing w:after="280"/>
        <w:ind w:left="720" w:hanging="720"/>
        <w:rPr>
          <w:b/>
          <w:bCs/>
          <w:sz w:val="24"/>
          <w:szCs w:val="24"/>
        </w:rPr>
      </w:pPr>
      <w:r w:rsidRPr="00720A5D">
        <w:rPr>
          <w:b/>
          <w:bCs/>
          <w:sz w:val="24"/>
          <w:szCs w:val="24"/>
        </w:rPr>
        <w:t>B.</w:t>
      </w:r>
      <w:r w:rsidRPr="00720A5D">
        <w:rPr>
          <w:b/>
          <w:bCs/>
          <w:sz w:val="24"/>
          <w:szCs w:val="24"/>
        </w:rPr>
        <w:tab/>
        <w:t xml:space="preserve">The Commission Should </w:t>
      </w:r>
      <w:proofErr w:type="gramStart"/>
      <w:r w:rsidRPr="00720A5D">
        <w:rPr>
          <w:b/>
          <w:bCs/>
          <w:sz w:val="24"/>
          <w:szCs w:val="24"/>
        </w:rPr>
        <w:t>Find</w:t>
      </w:r>
      <w:proofErr w:type="gramEnd"/>
      <w:r w:rsidRPr="00720A5D">
        <w:rPr>
          <w:b/>
          <w:bCs/>
          <w:sz w:val="24"/>
          <w:szCs w:val="24"/>
        </w:rPr>
        <w:t xml:space="preserve"> that </w:t>
      </w:r>
      <w:r w:rsidRPr="00720A5D">
        <w:rPr>
          <w:b/>
          <w:sz w:val="24"/>
          <w:szCs w:val="24"/>
        </w:rPr>
        <w:t>the Purchased Assets are Not Necessary or Useful Pursuant to RCW 80.12.020 and WAC 480-143-180</w:t>
      </w:r>
    </w:p>
    <w:p w:rsidR="00D34174" w:rsidRPr="00720A5D" w:rsidRDefault="00D34174" w:rsidP="00A51B1F">
      <w:pPr>
        <w:spacing w:before="120" w:after="120" w:line="480" w:lineRule="auto"/>
        <w:ind w:firstLine="720"/>
      </w:pPr>
      <w:r w:rsidRPr="00720A5D">
        <w:fldChar w:fldCharType="begin"/>
      </w:r>
      <w:r w:rsidRPr="00720A5D">
        <w:instrText xml:space="preserve"> AUTONUM  </w:instrText>
      </w:r>
      <w:r w:rsidRPr="00720A5D">
        <w:fldChar w:fldCharType="end"/>
      </w:r>
      <w:r w:rsidRPr="00720A5D">
        <w:tab/>
        <w:t xml:space="preserve">The Purchased Assets are not necessary or useful on two grounds.  First, the Purchased Assets are </w:t>
      </w:r>
      <w:r w:rsidRPr="00720A5D">
        <w:rPr>
          <w:bCs/>
        </w:rPr>
        <w:t>not necessary or useful</w:t>
      </w:r>
      <w:r w:rsidRPr="00720A5D">
        <w:t xml:space="preserve"> under WAC 480-143-180(2) because they are surplus assets for which PSE will receive full value.  Second, the Purchased Assets are </w:t>
      </w:r>
      <w:r w:rsidRPr="00720A5D">
        <w:rPr>
          <w:bCs/>
        </w:rPr>
        <w:t>not necessary or useful</w:t>
      </w:r>
      <w:r w:rsidRPr="00720A5D">
        <w:t xml:space="preserve"> under WAC 480-143-180(4) because the Purchased Assets have never been included in PSE</w:t>
      </w:r>
      <w:r w:rsidR="00A63346" w:rsidRPr="00720A5D">
        <w:t>’</w:t>
      </w:r>
      <w:r w:rsidRPr="00720A5D">
        <w:t xml:space="preserve">s rate base.  </w:t>
      </w:r>
      <w:r w:rsidR="00766BC6" w:rsidRPr="00720A5D">
        <w:t xml:space="preserve">Moreover, PSE has acquired eligible renewable resources and renewable energy credits to meet the renewable portfolio standards through 2022.  PSE owns the development rights for additional phases of the Lower Snake River Wind Facility, and this application addresses some of the surplus development rights and transmission credits.  </w:t>
      </w:r>
      <w:r w:rsidRPr="00720A5D">
        <w:t>The Purchased Assets are not necessary or useful in the performance of PSE</w:t>
      </w:r>
      <w:r w:rsidR="00A63346" w:rsidRPr="00720A5D">
        <w:t>’</w:t>
      </w:r>
      <w:r w:rsidRPr="00720A5D">
        <w:t xml:space="preserve">s service to its customers, and, therefore, the Purchased Assets </w:t>
      </w:r>
      <w:proofErr w:type="gramStart"/>
      <w:r w:rsidRPr="00720A5D">
        <w:t>should be sold</w:t>
      </w:r>
      <w:proofErr w:type="gramEnd"/>
      <w:r w:rsidRPr="00720A5D">
        <w:t>.</w:t>
      </w:r>
      <w:r w:rsidR="00766BC6" w:rsidRPr="00720A5D">
        <w:t xml:space="preserve">  </w:t>
      </w:r>
    </w:p>
    <w:p w:rsidR="00D34174" w:rsidRPr="00720A5D" w:rsidRDefault="00D34174" w:rsidP="00DF22C9">
      <w:pPr>
        <w:spacing w:before="120" w:after="120" w:line="480" w:lineRule="auto"/>
        <w:ind w:firstLine="720"/>
      </w:pPr>
      <w:r w:rsidRPr="00720A5D">
        <w:fldChar w:fldCharType="begin"/>
      </w:r>
      <w:r w:rsidRPr="00720A5D">
        <w:instrText xml:space="preserve"> AUTONUM  </w:instrText>
      </w:r>
      <w:r w:rsidRPr="00720A5D">
        <w:fldChar w:fldCharType="end"/>
      </w:r>
      <w:r w:rsidRPr="00720A5D">
        <w:tab/>
        <w:t xml:space="preserve">PSE is filing a request for a determination by the Commission that the Purchased Assets are not necessary or useful.  </w:t>
      </w:r>
      <w:proofErr w:type="gramStart"/>
      <w:r w:rsidRPr="00720A5D">
        <w:t>As described above, PSE will receive a Closing Payment as consideration for the Purchased Assets in an amount equal to $16,008,000, as such amount may be adjusted to reflect any prepayments or payments made in arrears by PSE under any of the Assumed Contracts and any payments made by PSE in respect of property taxes relating to the Real Property, in any case on a pro-rata basis up to and including the Closing Date.</w:t>
      </w:r>
      <w:proofErr w:type="gramEnd"/>
      <w:r w:rsidRPr="00720A5D">
        <w:t xml:space="preserve">  This amount will likely exceed </w:t>
      </w:r>
      <w:r w:rsidR="00A63346" w:rsidRPr="00720A5D">
        <w:t>“</w:t>
      </w:r>
      <w:r w:rsidRPr="00720A5D">
        <w:t>the greater of 0.1% of the public service company</w:t>
      </w:r>
      <w:r w:rsidR="00A63346" w:rsidRPr="00720A5D">
        <w:t>’</w:t>
      </w:r>
      <w:r w:rsidRPr="00720A5D">
        <w:t>s rate base (for the applicable utility service) last established by commission order, or $20,000.</w:t>
      </w:r>
      <w:r w:rsidR="00A63346" w:rsidRPr="00720A5D">
        <w:t>”</w:t>
      </w:r>
      <w:r w:rsidRPr="00720A5D">
        <w:t xml:space="preserve">  </w:t>
      </w:r>
      <w:proofErr w:type="gramStart"/>
      <w:r w:rsidRPr="00720A5D">
        <w:t>WAC 480-143-180.</w:t>
      </w:r>
      <w:proofErr w:type="gramEnd"/>
      <w:r w:rsidRPr="00720A5D">
        <w:t xml:space="preserve">  PSE</w:t>
      </w:r>
      <w:r w:rsidR="00A63346" w:rsidRPr="00720A5D">
        <w:t>’</w:t>
      </w:r>
      <w:r w:rsidRPr="00720A5D">
        <w:t>s rate base for electric and gas are as set forth below:</w:t>
      </w:r>
    </w:p>
    <w:tbl>
      <w:tblPr>
        <w:tblW w:w="0" w:type="auto"/>
        <w:tblLook w:val="00A0" w:firstRow="1" w:lastRow="0" w:firstColumn="1" w:lastColumn="0" w:noHBand="0" w:noVBand="0"/>
      </w:tblPr>
      <w:tblGrid>
        <w:gridCol w:w="1230"/>
        <w:gridCol w:w="1915"/>
        <w:gridCol w:w="1915"/>
        <w:gridCol w:w="2297"/>
        <w:gridCol w:w="1916"/>
      </w:tblGrid>
      <w:tr w:rsidR="00D34174" w:rsidRPr="00720A5D" w:rsidTr="008924E1">
        <w:tc>
          <w:tcPr>
            <w:tcW w:w="1230" w:type="dxa"/>
            <w:tcBorders>
              <w:bottom w:val="single" w:sz="4" w:space="0" w:color="auto"/>
            </w:tcBorders>
          </w:tcPr>
          <w:p w:rsidR="00D34174" w:rsidRPr="00720A5D" w:rsidRDefault="00D34174" w:rsidP="00327F05">
            <w:pPr>
              <w:keepNext/>
              <w:keepLines/>
              <w:spacing w:before="40" w:after="40"/>
              <w:rPr>
                <w:b/>
              </w:rPr>
            </w:pPr>
            <w:r w:rsidRPr="00720A5D">
              <w:rPr>
                <w:b/>
              </w:rPr>
              <w:lastRenderedPageBreak/>
              <w:t>Plant</w:t>
            </w:r>
          </w:p>
        </w:tc>
        <w:tc>
          <w:tcPr>
            <w:tcW w:w="1915" w:type="dxa"/>
            <w:tcBorders>
              <w:bottom w:val="single" w:sz="4" w:space="0" w:color="auto"/>
            </w:tcBorders>
          </w:tcPr>
          <w:p w:rsidR="00D34174" w:rsidRPr="00720A5D" w:rsidRDefault="00D34174" w:rsidP="00327F05">
            <w:pPr>
              <w:keepNext/>
              <w:keepLines/>
              <w:spacing w:before="40" w:after="40"/>
              <w:jc w:val="center"/>
              <w:rPr>
                <w:b/>
              </w:rPr>
            </w:pPr>
            <w:r w:rsidRPr="00720A5D">
              <w:rPr>
                <w:b/>
              </w:rPr>
              <w:t>Rate Base</w:t>
            </w:r>
          </w:p>
        </w:tc>
        <w:tc>
          <w:tcPr>
            <w:tcW w:w="1915" w:type="dxa"/>
            <w:tcBorders>
              <w:bottom w:val="single" w:sz="4" w:space="0" w:color="auto"/>
            </w:tcBorders>
          </w:tcPr>
          <w:p w:rsidR="00D34174" w:rsidRPr="00720A5D" w:rsidRDefault="00D34174" w:rsidP="00327F05">
            <w:pPr>
              <w:keepNext/>
              <w:keepLines/>
              <w:spacing w:before="40" w:after="40"/>
              <w:jc w:val="center"/>
              <w:rPr>
                <w:b/>
              </w:rPr>
            </w:pPr>
            <w:r w:rsidRPr="00720A5D">
              <w:rPr>
                <w:b/>
              </w:rPr>
              <w:t>1/10% Auth.</w:t>
            </w:r>
          </w:p>
        </w:tc>
        <w:tc>
          <w:tcPr>
            <w:tcW w:w="2297" w:type="dxa"/>
            <w:tcBorders>
              <w:bottom w:val="single" w:sz="4" w:space="0" w:color="auto"/>
            </w:tcBorders>
          </w:tcPr>
          <w:p w:rsidR="00D34174" w:rsidRPr="00720A5D" w:rsidRDefault="00D34174" w:rsidP="00327F05">
            <w:pPr>
              <w:keepNext/>
              <w:keepLines/>
              <w:spacing w:before="40" w:after="40"/>
              <w:jc w:val="center"/>
              <w:rPr>
                <w:b/>
              </w:rPr>
            </w:pPr>
            <w:r w:rsidRPr="00720A5D">
              <w:rPr>
                <w:b/>
              </w:rPr>
              <w:t xml:space="preserve">1/100% </w:t>
            </w:r>
            <w:proofErr w:type="spellStart"/>
            <w:r w:rsidRPr="00720A5D">
              <w:rPr>
                <w:b/>
              </w:rPr>
              <w:t>FMV</w:t>
            </w:r>
            <w:proofErr w:type="spellEnd"/>
            <w:r w:rsidRPr="00720A5D">
              <w:rPr>
                <w:b/>
              </w:rPr>
              <w:t xml:space="preserve"> Filing</w:t>
            </w:r>
          </w:p>
        </w:tc>
        <w:tc>
          <w:tcPr>
            <w:tcW w:w="1916" w:type="dxa"/>
            <w:tcBorders>
              <w:bottom w:val="single" w:sz="4" w:space="0" w:color="auto"/>
            </w:tcBorders>
          </w:tcPr>
          <w:p w:rsidR="00D34174" w:rsidRPr="00720A5D" w:rsidRDefault="00D34174" w:rsidP="00327F05">
            <w:pPr>
              <w:keepNext/>
              <w:keepLines/>
              <w:spacing w:before="40" w:after="40"/>
              <w:jc w:val="center"/>
              <w:rPr>
                <w:b/>
              </w:rPr>
            </w:pPr>
            <w:r w:rsidRPr="00720A5D">
              <w:rPr>
                <w:b/>
              </w:rPr>
              <w:t>Docket No.</w:t>
            </w:r>
          </w:p>
        </w:tc>
      </w:tr>
      <w:tr w:rsidR="00D34174" w:rsidRPr="00720A5D" w:rsidTr="008924E1">
        <w:tc>
          <w:tcPr>
            <w:tcW w:w="1230" w:type="dxa"/>
            <w:tcBorders>
              <w:top w:val="single" w:sz="4" w:space="0" w:color="auto"/>
            </w:tcBorders>
          </w:tcPr>
          <w:p w:rsidR="00D34174" w:rsidRPr="00720A5D" w:rsidRDefault="00D34174" w:rsidP="00327F05">
            <w:pPr>
              <w:keepNext/>
              <w:keepLines/>
              <w:spacing w:before="40" w:after="40"/>
            </w:pPr>
            <w:r w:rsidRPr="00720A5D">
              <w:t>Electric</w:t>
            </w:r>
          </w:p>
        </w:tc>
        <w:tc>
          <w:tcPr>
            <w:tcW w:w="1915" w:type="dxa"/>
            <w:tcBorders>
              <w:top w:val="single" w:sz="4" w:space="0" w:color="auto"/>
            </w:tcBorders>
          </w:tcPr>
          <w:p w:rsidR="00D34174" w:rsidRPr="00720A5D" w:rsidRDefault="00D34174" w:rsidP="00327F05">
            <w:pPr>
              <w:keepNext/>
              <w:keepLines/>
              <w:spacing w:before="40" w:after="40"/>
              <w:jc w:val="center"/>
            </w:pPr>
            <w:r w:rsidRPr="00720A5D">
              <w:t>$4,853,248,427</w:t>
            </w:r>
          </w:p>
        </w:tc>
        <w:tc>
          <w:tcPr>
            <w:tcW w:w="1915" w:type="dxa"/>
            <w:tcBorders>
              <w:top w:val="single" w:sz="4" w:space="0" w:color="auto"/>
            </w:tcBorders>
          </w:tcPr>
          <w:p w:rsidR="00D34174" w:rsidRPr="00720A5D" w:rsidRDefault="00D34174" w:rsidP="00327F05">
            <w:pPr>
              <w:keepNext/>
              <w:keepLines/>
              <w:spacing w:before="40" w:after="40"/>
              <w:jc w:val="center"/>
            </w:pPr>
            <w:r w:rsidRPr="00720A5D">
              <w:t>&gt; $4,853,248</w:t>
            </w:r>
          </w:p>
        </w:tc>
        <w:tc>
          <w:tcPr>
            <w:tcW w:w="2297" w:type="dxa"/>
            <w:tcBorders>
              <w:top w:val="single" w:sz="4" w:space="0" w:color="auto"/>
            </w:tcBorders>
          </w:tcPr>
          <w:p w:rsidR="00D34174" w:rsidRPr="00720A5D" w:rsidRDefault="00D34174" w:rsidP="00327F05">
            <w:pPr>
              <w:keepNext/>
              <w:keepLines/>
              <w:spacing w:before="40" w:after="40"/>
              <w:jc w:val="center"/>
            </w:pPr>
            <w:r w:rsidRPr="00720A5D">
              <w:t>&lt; &gt; $485,329</w:t>
            </w:r>
          </w:p>
        </w:tc>
        <w:tc>
          <w:tcPr>
            <w:tcW w:w="1916" w:type="dxa"/>
            <w:tcBorders>
              <w:top w:val="single" w:sz="4" w:space="0" w:color="auto"/>
            </w:tcBorders>
          </w:tcPr>
          <w:p w:rsidR="00D34174" w:rsidRPr="00720A5D" w:rsidRDefault="00D34174" w:rsidP="00327F05">
            <w:pPr>
              <w:keepNext/>
              <w:keepLines/>
              <w:spacing w:before="40" w:after="40"/>
              <w:jc w:val="center"/>
            </w:pPr>
            <w:r w:rsidRPr="00720A5D">
              <w:t>UE-111048</w:t>
            </w:r>
          </w:p>
        </w:tc>
      </w:tr>
      <w:tr w:rsidR="00D34174" w:rsidRPr="00720A5D" w:rsidTr="008924E1">
        <w:tc>
          <w:tcPr>
            <w:tcW w:w="1230" w:type="dxa"/>
          </w:tcPr>
          <w:p w:rsidR="00D34174" w:rsidRPr="00720A5D" w:rsidRDefault="00D34174" w:rsidP="00327F05">
            <w:pPr>
              <w:keepNext/>
              <w:keepLines/>
              <w:spacing w:before="40" w:after="40"/>
            </w:pPr>
            <w:r w:rsidRPr="00720A5D">
              <w:t>Gas</w:t>
            </w:r>
          </w:p>
        </w:tc>
        <w:tc>
          <w:tcPr>
            <w:tcW w:w="1915" w:type="dxa"/>
          </w:tcPr>
          <w:p w:rsidR="00D34174" w:rsidRPr="00720A5D" w:rsidRDefault="00D34174" w:rsidP="00327F05">
            <w:pPr>
              <w:keepNext/>
              <w:keepLines/>
              <w:spacing w:before="40" w:after="40"/>
              <w:jc w:val="center"/>
            </w:pPr>
            <w:r w:rsidRPr="00720A5D">
              <w:t>$1,633,228,479</w:t>
            </w:r>
          </w:p>
        </w:tc>
        <w:tc>
          <w:tcPr>
            <w:tcW w:w="1915" w:type="dxa"/>
          </w:tcPr>
          <w:p w:rsidR="00D34174" w:rsidRPr="00720A5D" w:rsidRDefault="00D34174" w:rsidP="00327F05">
            <w:pPr>
              <w:keepNext/>
              <w:keepLines/>
              <w:spacing w:before="40" w:after="40"/>
              <w:jc w:val="center"/>
            </w:pPr>
            <w:r w:rsidRPr="00720A5D">
              <w:t>&gt; $1,633,228</w:t>
            </w:r>
          </w:p>
        </w:tc>
        <w:tc>
          <w:tcPr>
            <w:tcW w:w="2297" w:type="dxa"/>
          </w:tcPr>
          <w:p w:rsidR="00D34174" w:rsidRPr="00720A5D" w:rsidRDefault="00D34174" w:rsidP="00327F05">
            <w:pPr>
              <w:keepNext/>
              <w:keepLines/>
              <w:spacing w:before="40" w:after="40"/>
              <w:jc w:val="center"/>
            </w:pPr>
            <w:r w:rsidRPr="00720A5D">
              <w:t>&lt; &gt; $164,323</w:t>
            </w:r>
          </w:p>
        </w:tc>
        <w:tc>
          <w:tcPr>
            <w:tcW w:w="1916" w:type="dxa"/>
          </w:tcPr>
          <w:p w:rsidR="00D34174" w:rsidRPr="00720A5D" w:rsidRDefault="00D34174" w:rsidP="00327F05">
            <w:pPr>
              <w:keepNext/>
              <w:keepLines/>
              <w:spacing w:before="40" w:after="40"/>
              <w:jc w:val="center"/>
            </w:pPr>
            <w:r w:rsidRPr="00720A5D">
              <w:t>UG-111049</w:t>
            </w:r>
          </w:p>
        </w:tc>
      </w:tr>
      <w:tr w:rsidR="00D34174" w:rsidRPr="00720A5D" w:rsidTr="008924E1">
        <w:tc>
          <w:tcPr>
            <w:tcW w:w="1230" w:type="dxa"/>
          </w:tcPr>
          <w:p w:rsidR="00D34174" w:rsidRPr="00720A5D" w:rsidRDefault="00D34174" w:rsidP="008924E1">
            <w:pPr>
              <w:spacing w:before="40" w:after="40"/>
            </w:pPr>
            <w:r w:rsidRPr="00720A5D">
              <w:t>Common</w:t>
            </w:r>
          </w:p>
        </w:tc>
        <w:tc>
          <w:tcPr>
            <w:tcW w:w="1915" w:type="dxa"/>
          </w:tcPr>
          <w:p w:rsidR="00D34174" w:rsidRPr="00720A5D" w:rsidRDefault="00D34174" w:rsidP="008924E1">
            <w:pPr>
              <w:spacing w:before="40" w:after="40"/>
              <w:jc w:val="center"/>
            </w:pPr>
            <w:r w:rsidRPr="00720A5D">
              <w:t>$6,486,476,906</w:t>
            </w:r>
          </w:p>
        </w:tc>
        <w:tc>
          <w:tcPr>
            <w:tcW w:w="1915" w:type="dxa"/>
          </w:tcPr>
          <w:p w:rsidR="00D34174" w:rsidRPr="00720A5D" w:rsidRDefault="00D34174" w:rsidP="008924E1">
            <w:pPr>
              <w:spacing w:before="40" w:after="40"/>
              <w:jc w:val="center"/>
            </w:pPr>
            <w:r w:rsidRPr="00720A5D">
              <w:t>&gt; $6,486,477</w:t>
            </w:r>
          </w:p>
        </w:tc>
        <w:tc>
          <w:tcPr>
            <w:tcW w:w="2297" w:type="dxa"/>
          </w:tcPr>
          <w:p w:rsidR="00D34174" w:rsidRPr="00720A5D" w:rsidRDefault="00D34174" w:rsidP="008924E1">
            <w:pPr>
              <w:spacing w:before="40" w:after="40"/>
              <w:jc w:val="center"/>
            </w:pPr>
            <w:r w:rsidRPr="00720A5D">
              <w:t>&lt; &gt; $648,648</w:t>
            </w:r>
          </w:p>
        </w:tc>
        <w:tc>
          <w:tcPr>
            <w:tcW w:w="1916" w:type="dxa"/>
          </w:tcPr>
          <w:p w:rsidR="00D34174" w:rsidRPr="00720A5D" w:rsidRDefault="00D34174" w:rsidP="008924E1">
            <w:pPr>
              <w:spacing w:before="40" w:after="40"/>
              <w:jc w:val="center"/>
            </w:pPr>
            <w:r w:rsidRPr="00720A5D">
              <w:t>UE-111048/</w:t>
            </w:r>
            <w:r w:rsidRPr="00720A5D">
              <w:br/>
              <w:t>UG-111049</w:t>
            </w:r>
          </w:p>
        </w:tc>
      </w:tr>
    </w:tbl>
    <w:p w:rsidR="00D34174" w:rsidRPr="00720A5D" w:rsidRDefault="00D34174" w:rsidP="00327F05">
      <w:pPr>
        <w:spacing w:before="360" w:after="120" w:line="480" w:lineRule="auto"/>
        <w:ind w:firstLine="720"/>
      </w:pPr>
      <w:r w:rsidRPr="00720A5D">
        <w:fldChar w:fldCharType="begin"/>
      </w:r>
      <w:r w:rsidRPr="00720A5D">
        <w:instrText xml:space="preserve"> AUTONUM  </w:instrText>
      </w:r>
      <w:r w:rsidRPr="00720A5D">
        <w:fldChar w:fldCharType="end"/>
      </w:r>
      <w:r w:rsidRPr="00720A5D">
        <w:tab/>
        <w:t>In the alternative, if the Commission finds that the Purchased Assets are necessary and useful, PSE requests that the Commission approve the sale of the Purchased Assets pursuant to RCW 80.12.020 and WAC 480-143-120.  For the reasons discussed above, the sale of the Purchased Assets is consistent with the public interest.</w:t>
      </w:r>
    </w:p>
    <w:p w:rsidR="00D34174" w:rsidRPr="00720A5D" w:rsidRDefault="00D34174" w:rsidP="006F7AB1">
      <w:pPr>
        <w:pStyle w:val="BodyText"/>
        <w:keepNext/>
        <w:keepLines/>
        <w:spacing w:before="360" w:after="280"/>
        <w:ind w:left="720" w:hanging="720"/>
        <w:rPr>
          <w:b/>
          <w:sz w:val="24"/>
          <w:szCs w:val="24"/>
        </w:rPr>
      </w:pPr>
      <w:r w:rsidRPr="00720A5D">
        <w:rPr>
          <w:b/>
          <w:sz w:val="24"/>
          <w:szCs w:val="24"/>
        </w:rPr>
        <w:t>C.</w:t>
      </w:r>
      <w:r w:rsidRPr="00720A5D">
        <w:rPr>
          <w:b/>
          <w:sz w:val="24"/>
          <w:szCs w:val="24"/>
        </w:rPr>
        <w:tab/>
        <w:t xml:space="preserve">The Commission Should </w:t>
      </w:r>
      <w:proofErr w:type="gramStart"/>
      <w:r w:rsidRPr="00720A5D">
        <w:rPr>
          <w:b/>
          <w:sz w:val="24"/>
          <w:szCs w:val="24"/>
        </w:rPr>
        <w:t>Find</w:t>
      </w:r>
      <w:proofErr w:type="gramEnd"/>
      <w:r w:rsidRPr="00720A5D">
        <w:rPr>
          <w:b/>
          <w:sz w:val="24"/>
          <w:szCs w:val="24"/>
        </w:rPr>
        <w:t xml:space="preserve"> that the Assignment of BPA Transferred Transmission Credits from PSE to Portland General is Consistent with the Public Interest</w:t>
      </w:r>
    </w:p>
    <w:p w:rsidR="00D34174" w:rsidRPr="00720A5D" w:rsidRDefault="00D34174" w:rsidP="000E0282">
      <w:pPr>
        <w:spacing w:before="120" w:after="120" w:line="480" w:lineRule="auto"/>
        <w:ind w:firstLine="720"/>
      </w:pPr>
      <w:r w:rsidRPr="00720A5D">
        <w:fldChar w:fldCharType="begin"/>
      </w:r>
      <w:r w:rsidRPr="00720A5D">
        <w:instrText xml:space="preserve"> AUTONUM  </w:instrText>
      </w:r>
      <w:r w:rsidRPr="00720A5D">
        <w:fldChar w:fldCharType="end"/>
      </w:r>
      <w:r w:rsidRPr="00720A5D">
        <w:tab/>
        <w:t>The assignment of the BPA Transferred Transmission Credits is in the public interest because it will benefit PSE</w:t>
      </w:r>
      <w:r w:rsidR="00A63346" w:rsidRPr="00720A5D">
        <w:t>’</w:t>
      </w:r>
      <w:r w:rsidRPr="00720A5D">
        <w:t xml:space="preserve">s customers by reducing the regulatory asset account established for the prepayments made to BPA associated with the Network Upgrades for the Lower Snake River Wind Project.  On May 20, 2010, PSE filed a petition with the Commission in Docket UE-100882 that sought an Accounting Order under WAC 480-07-370(b)(i) to authorize deferred accounting treatment related to the costs associated with the transmission network upgrades to meet transmission capacity needs of the region and serve the Lower Snake River Wind Project.  </w:t>
      </w:r>
      <w:proofErr w:type="gramStart"/>
      <w:r w:rsidRPr="00720A5D">
        <w:t>Specifically, PSE requested that the Commission approve the following proposed accounting treatment:  (1) the establishment of a regulatory asset account for the prepayments made to BPA associated with the Network Upgrades for the amount of $99.7 million, and (2) the monthly booking of carrying charges on the deferred costs at PSE</w:t>
      </w:r>
      <w:r w:rsidR="00A63346" w:rsidRPr="00720A5D">
        <w:t>’</w:t>
      </w:r>
      <w:r w:rsidRPr="00720A5D">
        <w:t>s approved net of tax rate of return until amortization begins.</w:t>
      </w:r>
      <w:proofErr w:type="gramEnd"/>
      <w:r w:rsidRPr="00720A5D">
        <w:t xml:space="preserve">  On May 31, 2012, the Commission issued a final order in Docket UE-100882 approving PSE</w:t>
      </w:r>
      <w:r w:rsidR="00A63346" w:rsidRPr="00720A5D">
        <w:t>’</w:t>
      </w:r>
      <w:r w:rsidRPr="00720A5D">
        <w:t>s request for an Accounting Order.</w:t>
      </w:r>
    </w:p>
    <w:p w:rsidR="00D34174" w:rsidRPr="00720A5D" w:rsidRDefault="00D34174" w:rsidP="00327F05">
      <w:pPr>
        <w:spacing w:before="360" w:after="120" w:line="480" w:lineRule="auto"/>
        <w:ind w:firstLine="720"/>
      </w:pPr>
      <w:r w:rsidRPr="00720A5D">
        <w:lastRenderedPageBreak/>
        <w:fldChar w:fldCharType="begin"/>
      </w:r>
      <w:r w:rsidRPr="00720A5D">
        <w:instrText xml:space="preserve"> AUTONUM  </w:instrText>
      </w:r>
      <w:r w:rsidRPr="00720A5D">
        <w:fldChar w:fldCharType="end"/>
      </w:r>
      <w:r w:rsidRPr="00720A5D">
        <w:tab/>
        <w:t>PSE requests that the Commission approve the assignment of BPA Transferred Transmission Credits from PSE to Portland General pursuant to RCW 80.12.020 and WAC 480-143-120.  PSE will receive $20,500,000 from Portland General, which will benefit customers by reducing the Network Upgrade credits currently listed as a regulatory asset, as discussed in more detail below.  In essence, the $20,500,000 will expedite the payment of Network Upgrade credits to PSE</w:t>
      </w:r>
      <w:r w:rsidR="00A63346" w:rsidRPr="00720A5D">
        <w:t>’</w:t>
      </w:r>
      <w:r w:rsidRPr="00720A5D">
        <w:t>s customers. For the reasons discussed herein, the assignment of BPA Transferred Transmission Credits is consistent with the public interest.</w:t>
      </w:r>
    </w:p>
    <w:p w:rsidR="00D34174" w:rsidRPr="00720A5D" w:rsidRDefault="00D34174" w:rsidP="004814E1">
      <w:pPr>
        <w:pStyle w:val="BodyText"/>
        <w:keepNext/>
        <w:keepLines/>
        <w:spacing w:before="280" w:after="280"/>
        <w:jc w:val="center"/>
        <w:rPr>
          <w:b/>
          <w:bCs/>
          <w:sz w:val="24"/>
          <w:szCs w:val="24"/>
        </w:rPr>
      </w:pPr>
      <w:r w:rsidRPr="00720A5D">
        <w:rPr>
          <w:b/>
          <w:bCs/>
          <w:sz w:val="24"/>
          <w:szCs w:val="24"/>
        </w:rPr>
        <w:t>IV.</w:t>
      </w:r>
      <w:r w:rsidRPr="00720A5D">
        <w:rPr>
          <w:b/>
          <w:bCs/>
          <w:sz w:val="24"/>
          <w:szCs w:val="24"/>
        </w:rPr>
        <w:tab/>
        <w:t>ACCOUNTING AND RATEMAKING TREATMENT</w:t>
      </w:r>
    </w:p>
    <w:p w:rsidR="00D34174" w:rsidRPr="00720A5D" w:rsidRDefault="00D34174" w:rsidP="00AA3B36">
      <w:pPr>
        <w:pStyle w:val="BodyText"/>
        <w:keepNext/>
        <w:keepLines/>
        <w:spacing w:after="280"/>
        <w:ind w:left="720" w:hanging="720"/>
        <w:rPr>
          <w:b/>
          <w:bCs/>
          <w:sz w:val="24"/>
          <w:szCs w:val="24"/>
        </w:rPr>
      </w:pPr>
      <w:r w:rsidRPr="00720A5D">
        <w:rPr>
          <w:b/>
          <w:bCs/>
          <w:sz w:val="24"/>
          <w:szCs w:val="24"/>
        </w:rPr>
        <w:t>A.</w:t>
      </w:r>
      <w:r w:rsidRPr="00720A5D">
        <w:rPr>
          <w:b/>
          <w:bCs/>
          <w:sz w:val="24"/>
          <w:szCs w:val="24"/>
        </w:rPr>
        <w:tab/>
        <w:t xml:space="preserve">Purchased Assets </w:t>
      </w:r>
    </w:p>
    <w:p w:rsidR="00D34174" w:rsidRPr="00720A5D" w:rsidRDefault="00D34174" w:rsidP="004814E1">
      <w:pPr>
        <w:spacing w:before="120" w:after="120" w:line="480" w:lineRule="auto"/>
        <w:ind w:firstLine="720"/>
      </w:pPr>
      <w:r w:rsidRPr="00720A5D">
        <w:fldChar w:fldCharType="begin"/>
      </w:r>
      <w:r w:rsidRPr="00720A5D">
        <w:instrText xml:space="preserve"> AUTONUM  </w:instrText>
      </w:r>
      <w:r w:rsidRPr="00720A5D">
        <w:fldChar w:fldCharType="end"/>
      </w:r>
      <w:r w:rsidRPr="00720A5D">
        <w:tab/>
      </w:r>
      <w:proofErr w:type="gramStart"/>
      <w:r w:rsidRPr="00720A5D">
        <w:t>As described above, PSE will receive a Closing Payment as consideration for the Purchased Assets in an amount equal to $16,008,000, as such amount may be adjusted to reflect any prepayments or payments made in arrears by PSE under any of the Assumed Contracts and any payments made by PSE in respect of property taxes relating to the Real Property, in any case on a pro-rata basis up to and including the Closing Date.</w:t>
      </w:r>
      <w:proofErr w:type="gramEnd"/>
      <w:r w:rsidRPr="00720A5D">
        <w:t xml:space="preserve">  PSE</w:t>
      </w:r>
      <w:r w:rsidR="00A63346" w:rsidRPr="00720A5D">
        <w:t>’</w:t>
      </w:r>
      <w:r w:rsidRPr="00720A5D">
        <w:t>s net book value for the Purchased Assets is approximately $15,933,493</w:t>
      </w:r>
      <w:r w:rsidR="00D453FC" w:rsidRPr="00720A5D">
        <w:t>, and projects total transactional costs of approximately $175,000 with this transaction</w:t>
      </w:r>
      <w:r w:rsidRPr="00720A5D">
        <w:t xml:space="preserve">.  </w:t>
      </w:r>
      <w:r w:rsidR="00D453FC" w:rsidRPr="00720A5D">
        <w:t xml:space="preserve">Therefore, </w:t>
      </w:r>
      <w:r w:rsidRPr="00720A5D">
        <w:t>PSE projects that the sale of Purchased Assets will result in a</w:t>
      </w:r>
      <w:r w:rsidR="00D453FC" w:rsidRPr="00720A5D">
        <w:t xml:space="preserve"> net, </w:t>
      </w:r>
      <w:r w:rsidRPr="00720A5D">
        <w:t xml:space="preserve">after-tax </w:t>
      </w:r>
      <w:r w:rsidR="00D453FC" w:rsidRPr="00720A5D">
        <w:t>loss</w:t>
      </w:r>
      <w:r w:rsidRPr="00720A5D">
        <w:t xml:space="preserve"> of about $</w:t>
      </w:r>
      <w:r w:rsidR="00D453FC" w:rsidRPr="00720A5D">
        <w:t>100</w:t>
      </w:r>
      <w:r w:rsidRPr="00720A5D">
        <w:t>,</w:t>
      </w:r>
      <w:r w:rsidR="00D453FC" w:rsidRPr="00720A5D">
        <w:t>000</w:t>
      </w:r>
      <w:r w:rsidRPr="00720A5D">
        <w:t xml:space="preserve">, although actual figures </w:t>
      </w:r>
      <w:proofErr w:type="gramStart"/>
      <w:r w:rsidRPr="00720A5D">
        <w:t>will not be known</w:t>
      </w:r>
      <w:proofErr w:type="gramEnd"/>
      <w:r w:rsidRPr="00720A5D">
        <w:t xml:space="preserve"> until the transaction closes.  PSE proposes to allocate the after-tax loss</w:t>
      </w:r>
      <w:r w:rsidR="00D453FC" w:rsidRPr="00720A5D">
        <w:t xml:space="preserve"> </w:t>
      </w:r>
      <w:r w:rsidRPr="00720A5D">
        <w:t>to shareholders.</w:t>
      </w:r>
    </w:p>
    <w:p w:rsidR="00D34174" w:rsidRPr="00720A5D" w:rsidRDefault="00D34174" w:rsidP="00AA3B36">
      <w:pPr>
        <w:pStyle w:val="BodyText"/>
        <w:keepNext/>
        <w:keepLines/>
        <w:spacing w:after="280"/>
        <w:ind w:left="720" w:hanging="720"/>
        <w:rPr>
          <w:b/>
          <w:bCs/>
          <w:sz w:val="24"/>
          <w:szCs w:val="24"/>
        </w:rPr>
      </w:pPr>
      <w:r w:rsidRPr="00720A5D">
        <w:rPr>
          <w:b/>
          <w:bCs/>
          <w:sz w:val="24"/>
          <w:szCs w:val="24"/>
        </w:rPr>
        <w:t>B.</w:t>
      </w:r>
      <w:r w:rsidRPr="00720A5D">
        <w:rPr>
          <w:b/>
          <w:bCs/>
          <w:sz w:val="24"/>
          <w:szCs w:val="24"/>
        </w:rPr>
        <w:tab/>
      </w:r>
      <w:r w:rsidRPr="00720A5D">
        <w:rPr>
          <w:b/>
          <w:sz w:val="24"/>
          <w:szCs w:val="24"/>
        </w:rPr>
        <w:t>BPA Transferred Transmission Credits</w:t>
      </w:r>
    </w:p>
    <w:p w:rsidR="00D34174" w:rsidRPr="00720A5D" w:rsidRDefault="00D34174" w:rsidP="00F27FC5">
      <w:pPr>
        <w:spacing w:before="120" w:after="120" w:line="480" w:lineRule="auto"/>
        <w:ind w:firstLine="720"/>
      </w:pPr>
      <w:r w:rsidRPr="00720A5D">
        <w:fldChar w:fldCharType="begin"/>
      </w:r>
      <w:r w:rsidRPr="00720A5D">
        <w:instrText xml:space="preserve"> AUTONUM  </w:instrText>
      </w:r>
      <w:r w:rsidRPr="00720A5D">
        <w:fldChar w:fldCharType="end"/>
      </w:r>
      <w:r w:rsidRPr="00720A5D">
        <w:tab/>
        <w:t xml:space="preserve">As described above, Portland General </w:t>
      </w:r>
      <w:proofErr w:type="gramStart"/>
      <w:r w:rsidRPr="00720A5D">
        <w:t>will, after Closing and within two business days after BPA</w:t>
      </w:r>
      <w:r w:rsidR="00A63346" w:rsidRPr="00720A5D">
        <w:t>’</w:t>
      </w:r>
      <w:r w:rsidRPr="00720A5D">
        <w:t>s notice to Portland General that BPA has completed its processing of PSE</w:t>
      </w:r>
      <w:r w:rsidR="00A63346" w:rsidRPr="00720A5D">
        <w:t>’</w:t>
      </w:r>
      <w:r w:rsidRPr="00720A5D">
        <w:t>s assignment to Portland General of the BPA Transferred Transmission Credits, pay</w:t>
      </w:r>
      <w:proofErr w:type="gramEnd"/>
      <w:r w:rsidRPr="00720A5D">
        <w:t xml:space="preserve"> PSE an amount equal to $20,500,000 in consideration of such assignment.  PSE proposes to record this </w:t>
      </w:r>
      <w:r w:rsidRPr="00720A5D">
        <w:lastRenderedPageBreak/>
        <w:t>$20,500,000 payment as a regulatory liability and accrue interest on such regulatory liability at PSE</w:t>
      </w:r>
      <w:r w:rsidR="00A63346" w:rsidRPr="00720A5D">
        <w:t>’</w:t>
      </w:r>
      <w:r w:rsidRPr="00720A5D">
        <w:t xml:space="preserve">s authorized net of tax rate of return grossed up for federal income tax from the date of receipt through the date rates change in the pending power cost only rate case in Docket UE-130617 (the </w:t>
      </w:r>
      <w:r w:rsidR="00A63346" w:rsidRPr="00720A5D">
        <w:t>“</w:t>
      </w:r>
      <w:r w:rsidRPr="00720A5D">
        <w:t xml:space="preserve">2013 </w:t>
      </w:r>
      <w:proofErr w:type="spellStart"/>
      <w:r w:rsidRPr="00720A5D">
        <w:t>PCORC</w:t>
      </w:r>
      <w:proofErr w:type="spellEnd"/>
      <w:r w:rsidR="00A63346" w:rsidRPr="00720A5D">
        <w:t>”</w:t>
      </w:r>
      <w:r w:rsidRPr="00720A5D">
        <w:t>).  PSE proposes to amend its filing in the 2013 </w:t>
      </w:r>
      <w:proofErr w:type="spellStart"/>
      <w:r w:rsidRPr="00720A5D">
        <w:t>PCORC</w:t>
      </w:r>
      <w:proofErr w:type="spellEnd"/>
      <w:r w:rsidRPr="00720A5D">
        <w:t xml:space="preserve"> to incorporate (i) the $20,500,000 reduction to the Network Upgrade credits currently listed as a regulatory asset on Exhibit D and (ii) the interest payable on the regulatory liability established through the date rates change in the pending power cost only rate case in the 2013 </w:t>
      </w:r>
      <w:proofErr w:type="spellStart"/>
      <w:r w:rsidRPr="00720A5D">
        <w:t>PCORC</w:t>
      </w:r>
      <w:proofErr w:type="spellEnd"/>
      <w:r w:rsidRPr="00720A5D">
        <w:t>.</w:t>
      </w:r>
    </w:p>
    <w:p w:rsidR="00D34174" w:rsidRPr="00720A5D" w:rsidRDefault="00D34174" w:rsidP="004814E1">
      <w:pPr>
        <w:pStyle w:val="BodyText"/>
        <w:keepNext/>
        <w:keepLines/>
        <w:spacing w:before="280" w:after="280"/>
        <w:jc w:val="center"/>
        <w:rPr>
          <w:b/>
          <w:sz w:val="24"/>
          <w:szCs w:val="24"/>
        </w:rPr>
      </w:pPr>
      <w:r w:rsidRPr="00720A5D">
        <w:rPr>
          <w:b/>
          <w:sz w:val="24"/>
          <w:szCs w:val="24"/>
        </w:rPr>
        <w:t>V.</w:t>
      </w:r>
      <w:r w:rsidRPr="00720A5D">
        <w:rPr>
          <w:b/>
          <w:sz w:val="24"/>
          <w:szCs w:val="24"/>
        </w:rPr>
        <w:tab/>
        <w:t>TIMING</w:t>
      </w:r>
    </w:p>
    <w:p w:rsidR="00D34174" w:rsidRPr="00720A5D" w:rsidRDefault="00D34174" w:rsidP="00684CE5">
      <w:pPr>
        <w:spacing w:before="120" w:after="120" w:line="480" w:lineRule="auto"/>
        <w:ind w:firstLine="720"/>
      </w:pPr>
      <w:r w:rsidRPr="00720A5D">
        <w:fldChar w:fldCharType="begin"/>
      </w:r>
      <w:r w:rsidRPr="00720A5D">
        <w:instrText xml:space="preserve"> AUTONUM  </w:instrText>
      </w:r>
      <w:r w:rsidRPr="00720A5D">
        <w:fldChar w:fldCharType="end"/>
      </w:r>
      <w:r w:rsidRPr="00720A5D">
        <w:tab/>
      </w:r>
      <w:proofErr w:type="gramStart"/>
      <w:r w:rsidRPr="00720A5D">
        <w:t>As stated above, the Closing Date is at 10:00 a.m. local time on August 1, 2013 or on such other date to be agreed in writing by PSE and Portland General, which shall be no later than two business days after satisfaction (or waiver as provided herein) of the conditions set forth in Article 4 of the Asset Purchase Agreement, or at such other time or date as PSE and Portland General mutually agree upon in writing.</w:t>
      </w:r>
      <w:proofErr w:type="gramEnd"/>
      <w:r w:rsidRPr="00720A5D">
        <w:t xml:space="preserve">  Accordingly, PSE respectfully requests that the Commission issue its Order as expeditiously as possible and prior to August 1, 2013.</w:t>
      </w:r>
    </w:p>
    <w:p w:rsidR="00D34174" w:rsidRPr="00720A5D" w:rsidRDefault="00D34174" w:rsidP="00684CE5">
      <w:pPr>
        <w:pStyle w:val="BodyText"/>
        <w:keepNext/>
        <w:keepLines/>
        <w:spacing w:before="280" w:after="280"/>
        <w:jc w:val="center"/>
        <w:rPr>
          <w:b/>
          <w:sz w:val="24"/>
          <w:szCs w:val="24"/>
        </w:rPr>
      </w:pPr>
      <w:r w:rsidRPr="00720A5D">
        <w:rPr>
          <w:b/>
          <w:bCs/>
          <w:sz w:val="24"/>
          <w:szCs w:val="24"/>
        </w:rPr>
        <w:t>VI.</w:t>
      </w:r>
      <w:r w:rsidRPr="00720A5D">
        <w:rPr>
          <w:b/>
          <w:bCs/>
          <w:sz w:val="24"/>
          <w:szCs w:val="24"/>
        </w:rPr>
        <w:tab/>
        <w:t>EXHIBITS</w:t>
      </w:r>
    </w:p>
    <w:p w:rsidR="00D34174" w:rsidRPr="00720A5D" w:rsidRDefault="00D34174" w:rsidP="00684CE5">
      <w:pPr>
        <w:pStyle w:val="BodyText"/>
        <w:spacing w:before="120" w:after="120" w:line="480" w:lineRule="auto"/>
        <w:ind w:left="720"/>
        <w:rPr>
          <w:sz w:val="24"/>
          <w:szCs w:val="24"/>
        </w:rPr>
      </w:pPr>
      <w:r w:rsidRPr="00720A5D">
        <w:rPr>
          <w:sz w:val="24"/>
          <w:szCs w:val="24"/>
        </w:rPr>
        <w:fldChar w:fldCharType="begin"/>
      </w:r>
      <w:r w:rsidRPr="00720A5D">
        <w:rPr>
          <w:sz w:val="24"/>
          <w:szCs w:val="24"/>
        </w:rPr>
        <w:instrText xml:space="preserve"> AUTONUM  </w:instrText>
      </w:r>
      <w:r w:rsidRPr="00720A5D">
        <w:rPr>
          <w:sz w:val="24"/>
          <w:szCs w:val="24"/>
        </w:rPr>
        <w:fldChar w:fldCharType="end"/>
      </w:r>
      <w:r w:rsidRPr="00720A5D">
        <w:rPr>
          <w:sz w:val="24"/>
          <w:szCs w:val="24"/>
        </w:rPr>
        <w:tab/>
        <w:t>The exhibits that accompany this Application are:</w:t>
      </w:r>
    </w:p>
    <w:p w:rsidR="00D34174" w:rsidRPr="00720A5D" w:rsidRDefault="00D34174" w:rsidP="00684CE5">
      <w:pPr>
        <w:spacing w:after="280"/>
        <w:ind w:left="2160" w:right="720" w:hanging="720"/>
      </w:pPr>
      <w:r w:rsidRPr="00720A5D">
        <w:t>(</w:t>
      </w:r>
      <w:proofErr w:type="gramStart"/>
      <w:r w:rsidRPr="00720A5D">
        <w:t>a</w:t>
      </w:r>
      <w:proofErr w:type="gramEnd"/>
      <w:r w:rsidRPr="00720A5D">
        <w:t>)</w:t>
      </w:r>
      <w:r w:rsidRPr="00720A5D">
        <w:tab/>
        <w:t>Exhibit A − PSE</w:t>
      </w:r>
      <w:r w:rsidR="00A63346" w:rsidRPr="00720A5D">
        <w:t>’</w:t>
      </w:r>
      <w:r w:rsidRPr="00720A5D">
        <w:t>s Financial Statements from the Year-Ended December 31, 2012, and the Quarter-Ended March 31, 2013;</w:t>
      </w:r>
      <w:r w:rsidR="00AA51B9" w:rsidRPr="00720A5D">
        <w:t xml:space="preserve"> and</w:t>
      </w:r>
    </w:p>
    <w:p w:rsidR="00D34174" w:rsidRPr="00720A5D" w:rsidRDefault="00D34174" w:rsidP="00684CE5">
      <w:pPr>
        <w:spacing w:after="280"/>
        <w:ind w:left="2160" w:right="720" w:hanging="720"/>
      </w:pPr>
      <w:r w:rsidRPr="00720A5D">
        <w:t>(b)</w:t>
      </w:r>
      <w:r w:rsidRPr="00720A5D">
        <w:tab/>
        <w:t>Exhibit B − Copies of all contracts related to the sale of the Purchased Assets and the assignment of the BPA Transferred Transmission Credits</w:t>
      </w:r>
      <w:r w:rsidR="00AA51B9" w:rsidRPr="00720A5D">
        <w:t>.</w:t>
      </w:r>
    </w:p>
    <w:p w:rsidR="00D34174" w:rsidRPr="00720A5D" w:rsidRDefault="00D34174" w:rsidP="00BB472F">
      <w:pPr>
        <w:pStyle w:val="BodyText"/>
        <w:keepNext/>
        <w:keepLines/>
        <w:spacing w:before="280" w:after="280"/>
        <w:jc w:val="center"/>
        <w:rPr>
          <w:b/>
          <w:sz w:val="24"/>
          <w:szCs w:val="24"/>
        </w:rPr>
      </w:pPr>
      <w:r w:rsidRPr="00720A5D">
        <w:rPr>
          <w:b/>
          <w:bCs/>
          <w:sz w:val="24"/>
          <w:szCs w:val="24"/>
        </w:rPr>
        <w:t>VII.</w:t>
      </w:r>
      <w:r w:rsidRPr="00720A5D">
        <w:rPr>
          <w:b/>
          <w:bCs/>
          <w:sz w:val="24"/>
          <w:szCs w:val="24"/>
        </w:rPr>
        <w:tab/>
        <w:t>REQUEST</w:t>
      </w:r>
    </w:p>
    <w:p w:rsidR="00D34174" w:rsidRPr="00720A5D" w:rsidRDefault="00D34174" w:rsidP="00BB472F">
      <w:pPr>
        <w:pStyle w:val="BodyText"/>
        <w:spacing w:before="120" w:after="120" w:line="480" w:lineRule="auto"/>
        <w:ind w:left="720"/>
        <w:rPr>
          <w:sz w:val="24"/>
          <w:szCs w:val="24"/>
        </w:rPr>
      </w:pPr>
      <w:r w:rsidRPr="00720A5D">
        <w:rPr>
          <w:sz w:val="24"/>
          <w:szCs w:val="24"/>
        </w:rPr>
        <w:fldChar w:fldCharType="begin"/>
      </w:r>
      <w:r w:rsidRPr="00720A5D">
        <w:rPr>
          <w:sz w:val="24"/>
          <w:szCs w:val="24"/>
        </w:rPr>
        <w:instrText xml:space="preserve"> AUTONUM  </w:instrText>
      </w:r>
      <w:r w:rsidRPr="00720A5D">
        <w:rPr>
          <w:sz w:val="24"/>
          <w:szCs w:val="24"/>
        </w:rPr>
        <w:fldChar w:fldCharType="end"/>
      </w:r>
      <w:r w:rsidRPr="00720A5D">
        <w:rPr>
          <w:sz w:val="24"/>
          <w:szCs w:val="24"/>
        </w:rPr>
        <w:tab/>
        <w:t>For the reasons stated above, PSE requests a Commission order:</w:t>
      </w:r>
    </w:p>
    <w:p w:rsidR="00D34174" w:rsidRPr="00720A5D" w:rsidRDefault="00D34174" w:rsidP="00BB472F">
      <w:pPr>
        <w:spacing w:after="280"/>
        <w:ind w:left="2160" w:right="720" w:hanging="720"/>
      </w:pPr>
      <w:r w:rsidRPr="00720A5D">
        <w:lastRenderedPageBreak/>
        <w:t>(i)</w:t>
      </w:r>
      <w:r w:rsidRPr="00720A5D">
        <w:tab/>
      </w:r>
      <w:proofErr w:type="gramStart"/>
      <w:r w:rsidRPr="00720A5D">
        <w:t>finding</w:t>
      </w:r>
      <w:proofErr w:type="gramEnd"/>
      <w:r w:rsidRPr="00720A5D">
        <w:t xml:space="preserve"> that the Purchased Assets are not necessary or useful pursuant to RCW 80.12.020 and WAC 480-143-180, or, in the alternative, authorizing the sale of the Purchased Assets pursuant to RCW 80.12.020 and WAC 480-143-120;</w:t>
      </w:r>
    </w:p>
    <w:p w:rsidR="00D34174" w:rsidRPr="00720A5D" w:rsidRDefault="00D34174" w:rsidP="00BB472F">
      <w:pPr>
        <w:spacing w:after="280"/>
        <w:ind w:left="2160" w:right="720" w:hanging="720"/>
      </w:pPr>
      <w:r w:rsidRPr="00720A5D">
        <w:t>(ii)</w:t>
      </w:r>
      <w:r w:rsidRPr="00720A5D">
        <w:tab/>
      </w:r>
      <w:proofErr w:type="gramStart"/>
      <w:r w:rsidRPr="00720A5D">
        <w:t>finding</w:t>
      </w:r>
      <w:proofErr w:type="gramEnd"/>
      <w:r w:rsidRPr="00720A5D">
        <w:t xml:space="preserve"> that the assignment of BPA Transferred Transmission Credits from PSE to Portland General is consistent with the public interest pursuant to WAC 480-143-120 and WAC 480-143-170;</w:t>
      </w:r>
    </w:p>
    <w:p w:rsidR="00D34174" w:rsidRPr="00720A5D" w:rsidRDefault="00D34174" w:rsidP="00BB472F">
      <w:pPr>
        <w:spacing w:after="280"/>
        <w:ind w:left="2160" w:right="720" w:hanging="720"/>
      </w:pPr>
      <w:r w:rsidRPr="00720A5D">
        <w:t>(iii)</w:t>
      </w:r>
      <w:r w:rsidRPr="00720A5D">
        <w:tab/>
      </w:r>
      <w:proofErr w:type="gramStart"/>
      <w:r w:rsidRPr="00720A5D">
        <w:t>approving</w:t>
      </w:r>
      <w:proofErr w:type="gramEnd"/>
      <w:r w:rsidRPr="00720A5D">
        <w:t xml:space="preserve"> the accounting and ratemaking treatment proposed by PSE in this Application; and</w:t>
      </w:r>
    </w:p>
    <w:p w:rsidR="00D34174" w:rsidRPr="00720A5D" w:rsidRDefault="00D34174" w:rsidP="00BB472F">
      <w:pPr>
        <w:spacing w:after="280"/>
        <w:ind w:left="2160" w:right="720" w:hanging="720"/>
      </w:pPr>
      <w:r w:rsidRPr="00720A5D">
        <w:t>(iv)</w:t>
      </w:r>
      <w:r w:rsidRPr="00720A5D">
        <w:tab/>
      </w:r>
      <w:proofErr w:type="gramStart"/>
      <w:r w:rsidRPr="00720A5D">
        <w:t>granting</w:t>
      </w:r>
      <w:proofErr w:type="gramEnd"/>
      <w:r w:rsidRPr="00720A5D">
        <w:t xml:space="preserve"> such other relief as the Commission deems necessary and proper.</w:t>
      </w:r>
    </w:p>
    <w:p w:rsidR="00D34174" w:rsidRPr="00720A5D" w:rsidRDefault="00D34174" w:rsidP="002A105E">
      <w:pPr>
        <w:pStyle w:val="BodyText"/>
        <w:spacing w:before="120" w:after="120" w:line="480" w:lineRule="auto"/>
        <w:ind w:left="720"/>
        <w:rPr>
          <w:sz w:val="24"/>
          <w:szCs w:val="24"/>
        </w:rPr>
      </w:pPr>
      <w:r w:rsidRPr="00720A5D">
        <w:rPr>
          <w:sz w:val="24"/>
          <w:szCs w:val="24"/>
        </w:rPr>
        <w:t>Dated:  June </w:t>
      </w:r>
      <w:r w:rsidR="00D36C60" w:rsidRPr="00720A5D">
        <w:rPr>
          <w:sz w:val="24"/>
          <w:szCs w:val="24"/>
        </w:rPr>
        <w:t>27</w:t>
      </w:r>
      <w:r w:rsidRPr="00720A5D">
        <w:rPr>
          <w:sz w:val="24"/>
          <w:szCs w:val="24"/>
        </w:rPr>
        <w:t>, 2013</w:t>
      </w:r>
    </w:p>
    <w:p w:rsidR="00D34174" w:rsidRPr="00720A5D" w:rsidRDefault="00D34174" w:rsidP="002A105E">
      <w:pPr>
        <w:pStyle w:val="BodyText"/>
        <w:spacing w:before="120" w:after="120" w:line="480" w:lineRule="auto"/>
        <w:ind w:left="4320"/>
        <w:rPr>
          <w:sz w:val="24"/>
          <w:szCs w:val="24"/>
        </w:rPr>
      </w:pPr>
      <w:r w:rsidRPr="00720A5D">
        <w:rPr>
          <w:sz w:val="24"/>
          <w:szCs w:val="24"/>
        </w:rPr>
        <w:t>Respectfully submitted,</w:t>
      </w:r>
    </w:p>
    <w:p w:rsidR="00D34174" w:rsidRPr="00720A5D" w:rsidRDefault="00D34174" w:rsidP="002A105E">
      <w:pPr>
        <w:pStyle w:val="BodyText"/>
        <w:spacing w:before="120" w:after="360" w:line="480" w:lineRule="auto"/>
        <w:ind w:left="4320"/>
        <w:rPr>
          <w:b/>
          <w:sz w:val="24"/>
          <w:szCs w:val="24"/>
        </w:rPr>
      </w:pPr>
      <w:r w:rsidRPr="00720A5D">
        <w:rPr>
          <w:b/>
          <w:sz w:val="24"/>
          <w:szCs w:val="24"/>
        </w:rPr>
        <w:t>PERKINS COIE LLP</w:t>
      </w:r>
    </w:p>
    <w:p w:rsidR="00D34174" w:rsidRPr="00720A5D" w:rsidRDefault="00D34174" w:rsidP="002A105E">
      <w:pPr>
        <w:pStyle w:val="BodyText"/>
        <w:tabs>
          <w:tab w:val="left" w:pos="4680"/>
          <w:tab w:val="right" w:pos="7920"/>
        </w:tabs>
        <w:spacing w:after="0"/>
        <w:ind w:left="4320"/>
        <w:rPr>
          <w:rFonts w:eastAsia="HiddenHorzOCR"/>
          <w:sz w:val="24"/>
          <w:szCs w:val="24"/>
          <w:u w:val="single"/>
        </w:rPr>
      </w:pPr>
      <w:r w:rsidRPr="00720A5D">
        <w:rPr>
          <w:sz w:val="24"/>
          <w:szCs w:val="24"/>
        </w:rPr>
        <w:t>By</w:t>
      </w:r>
      <w:r w:rsidRPr="00720A5D">
        <w:rPr>
          <w:sz w:val="24"/>
          <w:szCs w:val="24"/>
        </w:rPr>
        <w:tab/>
      </w:r>
      <w:r w:rsidR="00805925" w:rsidRPr="00805925">
        <w:rPr>
          <w:i/>
          <w:sz w:val="24"/>
          <w:szCs w:val="24"/>
          <w:u w:val="single"/>
        </w:rPr>
        <w:t xml:space="preserve">  /s/ Jason Kuzma</w:t>
      </w:r>
      <w:r w:rsidRPr="00720A5D">
        <w:rPr>
          <w:rFonts w:eastAsia="HiddenHorzOCR"/>
          <w:sz w:val="24"/>
          <w:szCs w:val="24"/>
          <w:u w:val="single"/>
        </w:rPr>
        <w:tab/>
      </w:r>
    </w:p>
    <w:p w:rsidR="00D34174" w:rsidRPr="00720A5D" w:rsidRDefault="00D34174" w:rsidP="002A105E">
      <w:pPr>
        <w:pStyle w:val="BodyText"/>
        <w:tabs>
          <w:tab w:val="left" w:pos="4680"/>
          <w:tab w:val="right" w:pos="7920"/>
        </w:tabs>
        <w:spacing w:after="0"/>
        <w:ind w:left="4680"/>
        <w:rPr>
          <w:rFonts w:eastAsia="HiddenHorzOCR"/>
          <w:sz w:val="24"/>
          <w:szCs w:val="24"/>
        </w:rPr>
      </w:pPr>
      <w:r w:rsidRPr="00720A5D">
        <w:rPr>
          <w:sz w:val="24"/>
          <w:szCs w:val="24"/>
        </w:rPr>
        <w:t>Jason Kuzma</w:t>
      </w:r>
    </w:p>
    <w:p w:rsidR="00D34174" w:rsidRPr="00720A5D" w:rsidRDefault="00D34174" w:rsidP="002A105E">
      <w:pPr>
        <w:pStyle w:val="BodyText"/>
        <w:tabs>
          <w:tab w:val="left" w:pos="4680"/>
          <w:tab w:val="right" w:pos="7920"/>
        </w:tabs>
        <w:spacing w:after="0"/>
        <w:ind w:left="4680"/>
        <w:rPr>
          <w:rFonts w:eastAsia="HiddenHorzOCR"/>
          <w:sz w:val="24"/>
          <w:szCs w:val="24"/>
        </w:rPr>
      </w:pPr>
      <w:r w:rsidRPr="00720A5D">
        <w:rPr>
          <w:sz w:val="24"/>
          <w:szCs w:val="24"/>
        </w:rPr>
        <w:t>Donna Barnett</w:t>
      </w:r>
    </w:p>
    <w:p w:rsidR="00D34174" w:rsidRPr="00720A5D" w:rsidRDefault="00D34174" w:rsidP="002A105E">
      <w:pPr>
        <w:pStyle w:val="BodyText"/>
        <w:tabs>
          <w:tab w:val="left" w:pos="4680"/>
          <w:tab w:val="right" w:pos="7920"/>
        </w:tabs>
        <w:spacing w:after="0"/>
        <w:ind w:left="4680"/>
        <w:rPr>
          <w:rFonts w:eastAsia="HiddenHorzOCR"/>
          <w:sz w:val="24"/>
          <w:szCs w:val="24"/>
        </w:rPr>
      </w:pPr>
      <w:r w:rsidRPr="00720A5D">
        <w:rPr>
          <w:sz w:val="24"/>
          <w:szCs w:val="24"/>
        </w:rPr>
        <w:t>Perkins Coie LLP</w:t>
      </w:r>
    </w:p>
    <w:p w:rsidR="00D34174" w:rsidRPr="00720A5D" w:rsidRDefault="00D34174" w:rsidP="002A105E">
      <w:pPr>
        <w:pStyle w:val="BodyText"/>
        <w:tabs>
          <w:tab w:val="left" w:pos="4680"/>
          <w:tab w:val="right" w:pos="7920"/>
        </w:tabs>
        <w:spacing w:after="0"/>
        <w:ind w:left="4680"/>
        <w:rPr>
          <w:rFonts w:eastAsia="HiddenHorzOCR"/>
          <w:sz w:val="24"/>
          <w:szCs w:val="24"/>
        </w:rPr>
      </w:pPr>
      <w:r w:rsidRPr="00720A5D">
        <w:rPr>
          <w:sz w:val="24"/>
          <w:szCs w:val="24"/>
        </w:rPr>
        <w:t>The PSE Building</w:t>
      </w:r>
    </w:p>
    <w:p w:rsidR="00D34174" w:rsidRPr="00720A5D" w:rsidRDefault="00D34174" w:rsidP="002A105E">
      <w:pPr>
        <w:pStyle w:val="BodyText"/>
        <w:tabs>
          <w:tab w:val="left" w:pos="4680"/>
          <w:tab w:val="right" w:pos="7920"/>
        </w:tabs>
        <w:spacing w:after="0"/>
        <w:ind w:left="4680"/>
        <w:rPr>
          <w:rFonts w:eastAsia="HiddenHorzOCR"/>
          <w:sz w:val="24"/>
          <w:szCs w:val="24"/>
        </w:rPr>
      </w:pPr>
      <w:r w:rsidRPr="00720A5D">
        <w:rPr>
          <w:sz w:val="24"/>
          <w:szCs w:val="24"/>
        </w:rPr>
        <w:t>10885 N.E. Fourth Street, Suite 700</w:t>
      </w:r>
    </w:p>
    <w:p w:rsidR="00D34174" w:rsidRPr="00720A5D" w:rsidRDefault="00D34174" w:rsidP="002A105E">
      <w:pPr>
        <w:pStyle w:val="BodyText"/>
        <w:tabs>
          <w:tab w:val="left" w:pos="4680"/>
          <w:tab w:val="right" w:pos="7920"/>
        </w:tabs>
        <w:spacing w:after="0"/>
        <w:ind w:left="4680"/>
        <w:rPr>
          <w:rFonts w:eastAsia="HiddenHorzOCR"/>
          <w:sz w:val="24"/>
          <w:szCs w:val="24"/>
        </w:rPr>
      </w:pPr>
      <w:r w:rsidRPr="00720A5D">
        <w:rPr>
          <w:sz w:val="24"/>
          <w:szCs w:val="24"/>
        </w:rPr>
        <w:t>Bellevue, WA  98004-5579</w:t>
      </w:r>
    </w:p>
    <w:p w:rsidR="00D34174" w:rsidRPr="00720A5D" w:rsidRDefault="00D34174" w:rsidP="002A105E">
      <w:pPr>
        <w:pStyle w:val="BodyText"/>
        <w:tabs>
          <w:tab w:val="left" w:pos="5760"/>
        </w:tabs>
        <w:spacing w:after="0"/>
        <w:ind w:left="4680"/>
        <w:rPr>
          <w:rFonts w:eastAsia="HiddenHorzOCR"/>
          <w:sz w:val="24"/>
          <w:szCs w:val="24"/>
        </w:rPr>
      </w:pPr>
      <w:r w:rsidRPr="00720A5D">
        <w:rPr>
          <w:sz w:val="24"/>
          <w:szCs w:val="24"/>
        </w:rPr>
        <w:t>Phone:</w:t>
      </w:r>
      <w:r w:rsidRPr="00720A5D">
        <w:rPr>
          <w:sz w:val="24"/>
          <w:szCs w:val="24"/>
        </w:rPr>
        <w:tab/>
        <w:t>(425) 635-1400</w:t>
      </w:r>
    </w:p>
    <w:p w:rsidR="00D34174" w:rsidRPr="00720A5D" w:rsidRDefault="00D34174" w:rsidP="002A105E">
      <w:pPr>
        <w:pStyle w:val="BodyText"/>
        <w:tabs>
          <w:tab w:val="left" w:pos="5760"/>
        </w:tabs>
        <w:spacing w:after="0"/>
        <w:ind w:left="4680"/>
        <w:rPr>
          <w:rFonts w:eastAsia="HiddenHorzOCR"/>
          <w:sz w:val="24"/>
          <w:szCs w:val="24"/>
        </w:rPr>
      </w:pPr>
      <w:r w:rsidRPr="00720A5D">
        <w:rPr>
          <w:sz w:val="24"/>
          <w:szCs w:val="24"/>
        </w:rPr>
        <w:t>Facsimile:</w:t>
      </w:r>
      <w:r w:rsidRPr="00720A5D">
        <w:rPr>
          <w:sz w:val="24"/>
          <w:szCs w:val="24"/>
        </w:rPr>
        <w:tab/>
        <w:t>(425) 635-2400</w:t>
      </w:r>
    </w:p>
    <w:p w:rsidR="00D34174" w:rsidRPr="00720A5D" w:rsidRDefault="00D34174" w:rsidP="002A105E">
      <w:pPr>
        <w:pStyle w:val="BodyText"/>
        <w:tabs>
          <w:tab w:val="left" w:pos="5760"/>
        </w:tabs>
        <w:spacing w:after="0"/>
        <w:ind w:left="4680"/>
        <w:rPr>
          <w:rFonts w:eastAsia="HiddenHorzOCR"/>
          <w:sz w:val="24"/>
          <w:szCs w:val="24"/>
        </w:rPr>
      </w:pPr>
      <w:r w:rsidRPr="00720A5D">
        <w:rPr>
          <w:sz w:val="24"/>
          <w:szCs w:val="24"/>
        </w:rPr>
        <w:t>Email:</w:t>
      </w:r>
      <w:r w:rsidRPr="00720A5D">
        <w:rPr>
          <w:sz w:val="24"/>
          <w:szCs w:val="24"/>
        </w:rPr>
        <w:tab/>
      </w:r>
      <w:hyperlink r:id="rId11" w:history="1">
        <w:r w:rsidRPr="00720A5D">
          <w:rPr>
            <w:rStyle w:val="Hyperlink"/>
            <w:sz w:val="24"/>
            <w:szCs w:val="24"/>
          </w:rPr>
          <w:t>jkuzma@perkinscoie.com</w:t>
        </w:r>
      </w:hyperlink>
    </w:p>
    <w:p w:rsidR="00D34174" w:rsidRPr="00720A5D" w:rsidRDefault="00D34174" w:rsidP="002A105E">
      <w:pPr>
        <w:pStyle w:val="BodyText"/>
        <w:tabs>
          <w:tab w:val="left" w:pos="5760"/>
        </w:tabs>
        <w:spacing w:after="0"/>
        <w:ind w:left="4680"/>
        <w:rPr>
          <w:rFonts w:eastAsia="HiddenHorzOCR"/>
          <w:sz w:val="24"/>
          <w:szCs w:val="24"/>
        </w:rPr>
      </w:pPr>
      <w:r w:rsidRPr="00720A5D">
        <w:rPr>
          <w:sz w:val="24"/>
          <w:szCs w:val="24"/>
        </w:rPr>
        <w:tab/>
      </w:r>
      <w:hyperlink r:id="rId12" w:history="1">
        <w:r w:rsidRPr="00720A5D">
          <w:rPr>
            <w:rStyle w:val="Hyperlink"/>
            <w:sz w:val="24"/>
            <w:szCs w:val="24"/>
          </w:rPr>
          <w:t>dbarnett@perkinscoie.com</w:t>
        </w:r>
      </w:hyperlink>
    </w:p>
    <w:p w:rsidR="00D34174" w:rsidRPr="00720A5D" w:rsidRDefault="00D34174" w:rsidP="002A105E">
      <w:pPr>
        <w:pStyle w:val="BodyText"/>
        <w:tabs>
          <w:tab w:val="right" w:pos="7920"/>
        </w:tabs>
        <w:spacing w:after="0"/>
        <w:ind w:left="4320"/>
        <w:rPr>
          <w:sz w:val="24"/>
          <w:szCs w:val="24"/>
        </w:rPr>
      </w:pPr>
    </w:p>
    <w:p w:rsidR="00D34174" w:rsidRPr="00720A5D" w:rsidRDefault="00D34174" w:rsidP="002E474C">
      <w:pPr>
        <w:pStyle w:val="ListParagraph"/>
        <w:numPr>
          <w:ilvl w:val="0"/>
          <w:numId w:val="2"/>
        </w:numPr>
        <w:autoSpaceDE w:val="0"/>
        <w:autoSpaceDN w:val="0"/>
        <w:adjustRightInd w:val="0"/>
      </w:pPr>
      <w:r w:rsidRPr="00720A5D">
        <w:br w:type="page"/>
      </w:r>
    </w:p>
    <w:p w:rsidR="00D34174" w:rsidRPr="00720A5D" w:rsidRDefault="00D34174" w:rsidP="00793758">
      <w:pPr>
        <w:pStyle w:val="ListParagraph"/>
        <w:autoSpaceDE w:val="0"/>
        <w:autoSpaceDN w:val="0"/>
        <w:adjustRightInd w:val="0"/>
        <w:spacing w:after="480"/>
        <w:ind w:left="0"/>
        <w:jc w:val="center"/>
        <w:rPr>
          <w:b/>
        </w:rPr>
      </w:pPr>
      <w:r w:rsidRPr="00720A5D">
        <w:rPr>
          <w:b/>
        </w:rPr>
        <w:lastRenderedPageBreak/>
        <w:t>VERIFICATION</w:t>
      </w:r>
    </w:p>
    <w:p w:rsidR="00D34174" w:rsidRPr="00720A5D" w:rsidRDefault="00D34174" w:rsidP="00793758">
      <w:pPr>
        <w:pStyle w:val="BodyText"/>
        <w:spacing w:before="120" w:after="120" w:line="480" w:lineRule="auto"/>
        <w:ind w:firstLine="720"/>
        <w:rPr>
          <w:sz w:val="24"/>
          <w:szCs w:val="24"/>
        </w:rPr>
      </w:pPr>
      <w:r w:rsidRPr="00720A5D">
        <w:rPr>
          <w:sz w:val="24"/>
          <w:szCs w:val="24"/>
        </w:rPr>
        <w:t>The undersigned hereby certifies that the information set forth in the foregoing Application is true and correct to the best of the signer</w:t>
      </w:r>
      <w:r w:rsidR="00A63346" w:rsidRPr="00720A5D">
        <w:rPr>
          <w:sz w:val="24"/>
          <w:szCs w:val="24"/>
        </w:rPr>
        <w:t>’</w:t>
      </w:r>
      <w:r w:rsidRPr="00720A5D">
        <w:rPr>
          <w:sz w:val="24"/>
          <w:szCs w:val="24"/>
        </w:rPr>
        <w:t>s information and belief under penalty of perjury as set forth in RCW 9A.72.085.</w:t>
      </w:r>
    </w:p>
    <w:p w:rsidR="00D34174" w:rsidRPr="00720A5D" w:rsidRDefault="00D34174" w:rsidP="00793758">
      <w:pPr>
        <w:pStyle w:val="BodyText"/>
        <w:spacing w:before="120" w:after="120" w:line="480" w:lineRule="auto"/>
        <w:ind w:left="720"/>
        <w:rPr>
          <w:sz w:val="24"/>
          <w:szCs w:val="24"/>
        </w:rPr>
      </w:pPr>
      <w:r w:rsidRPr="00720A5D">
        <w:rPr>
          <w:sz w:val="24"/>
          <w:szCs w:val="24"/>
        </w:rPr>
        <w:t>Dated:  June </w:t>
      </w:r>
      <w:r w:rsidR="00D36C60" w:rsidRPr="00720A5D">
        <w:rPr>
          <w:sz w:val="24"/>
          <w:szCs w:val="24"/>
        </w:rPr>
        <w:t>27</w:t>
      </w:r>
      <w:r w:rsidRPr="00720A5D">
        <w:rPr>
          <w:sz w:val="24"/>
          <w:szCs w:val="24"/>
        </w:rPr>
        <w:t>, 2013</w:t>
      </w:r>
    </w:p>
    <w:p w:rsidR="00D34174" w:rsidRPr="00720A5D" w:rsidRDefault="00D34174" w:rsidP="00793758">
      <w:pPr>
        <w:pStyle w:val="BodyText"/>
        <w:tabs>
          <w:tab w:val="left" w:pos="4680"/>
          <w:tab w:val="right" w:pos="7920"/>
        </w:tabs>
        <w:spacing w:before="480" w:after="0"/>
        <w:ind w:left="4320"/>
        <w:rPr>
          <w:rFonts w:eastAsia="HiddenHorzOCR"/>
          <w:sz w:val="24"/>
          <w:szCs w:val="24"/>
          <w:u w:val="single"/>
        </w:rPr>
      </w:pPr>
      <w:r w:rsidRPr="00720A5D">
        <w:rPr>
          <w:sz w:val="24"/>
          <w:szCs w:val="24"/>
        </w:rPr>
        <w:t>By</w:t>
      </w:r>
      <w:r w:rsidRPr="00720A5D">
        <w:rPr>
          <w:sz w:val="24"/>
          <w:szCs w:val="24"/>
        </w:rPr>
        <w:tab/>
      </w:r>
      <w:r w:rsidR="00805925" w:rsidRPr="00805925">
        <w:rPr>
          <w:i/>
          <w:sz w:val="24"/>
          <w:szCs w:val="24"/>
          <w:u w:val="single"/>
        </w:rPr>
        <w:t xml:space="preserve">  /s/ </w:t>
      </w:r>
      <w:r w:rsidR="00805925">
        <w:rPr>
          <w:i/>
          <w:sz w:val="24"/>
          <w:szCs w:val="24"/>
          <w:u w:val="single"/>
        </w:rPr>
        <w:t>Roger Garratt</w:t>
      </w:r>
      <w:r w:rsidRPr="00720A5D">
        <w:rPr>
          <w:rFonts w:eastAsia="HiddenHorzOCR"/>
          <w:sz w:val="24"/>
          <w:szCs w:val="24"/>
          <w:u w:val="single"/>
        </w:rPr>
        <w:tab/>
      </w:r>
    </w:p>
    <w:p w:rsidR="00D34174" w:rsidRPr="00720A5D" w:rsidRDefault="00D36C60" w:rsidP="00793758">
      <w:pPr>
        <w:pStyle w:val="BodyText"/>
        <w:tabs>
          <w:tab w:val="left" w:pos="4680"/>
          <w:tab w:val="right" w:pos="7920"/>
        </w:tabs>
        <w:spacing w:after="0"/>
        <w:ind w:left="4680"/>
        <w:rPr>
          <w:rFonts w:eastAsia="HiddenHorzOCR"/>
          <w:sz w:val="24"/>
          <w:szCs w:val="24"/>
        </w:rPr>
      </w:pPr>
      <w:r w:rsidRPr="00720A5D">
        <w:rPr>
          <w:sz w:val="24"/>
          <w:szCs w:val="24"/>
        </w:rPr>
        <w:t>Roger Garratt</w:t>
      </w:r>
    </w:p>
    <w:sectPr w:rsidR="00D34174" w:rsidRPr="00720A5D" w:rsidSect="00793758">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74F" w:rsidRPr="002E20DC" w:rsidRDefault="0038474F" w:rsidP="00AE5A8A">
      <w:r w:rsidRPr="002E20DC">
        <w:separator/>
      </w:r>
    </w:p>
  </w:endnote>
  <w:endnote w:type="continuationSeparator" w:id="0">
    <w:p w:rsidR="0038474F" w:rsidRPr="002E20DC" w:rsidRDefault="0038474F" w:rsidP="00AE5A8A">
      <w:r w:rsidRPr="002E20D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174" w:rsidRDefault="00D34174" w:rsidP="00242BDC">
    <w:pPr>
      <w:pStyle w:val="Footer"/>
      <w:tabs>
        <w:tab w:val="clear" w:pos="4680"/>
      </w:tabs>
    </w:pPr>
  </w:p>
  <w:p w:rsidR="00D34174" w:rsidRDefault="00D34174" w:rsidP="00242BDC">
    <w:pPr>
      <w:pStyle w:val="Footer"/>
      <w:tabs>
        <w:tab w:val="clear" w:pos="4680"/>
      </w:tabs>
      <w:rPr>
        <w:noProof/>
      </w:rPr>
    </w:pPr>
    <w:r>
      <w:t>Application of</w:t>
    </w:r>
    <w:r>
      <w:tab/>
      <w:t xml:space="preserve">Page </w:t>
    </w:r>
    <w:r w:rsidR="006F7565">
      <w:fldChar w:fldCharType="begin"/>
    </w:r>
    <w:r w:rsidR="006F7565">
      <w:instrText xml:space="preserve"> PAGE   \* MERGEFORMAT </w:instrText>
    </w:r>
    <w:r w:rsidR="006F7565">
      <w:fldChar w:fldCharType="separate"/>
    </w:r>
    <w:r w:rsidR="00805925">
      <w:rPr>
        <w:noProof/>
      </w:rPr>
      <w:t>11</w:t>
    </w:r>
    <w:r w:rsidR="006F7565">
      <w:rPr>
        <w:noProof/>
      </w:rPr>
      <w:fldChar w:fldCharType="end"/>
    </w:r>
    <w:r>
      <w:rPr>
        <w:noProof/>
      </w:rPr>
      <w:br/>
      <w:t>Puget Sound Energy,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174" w:rsidRDefault="00D34174" w:rsidP="00242BDC">
    <w:pPr>
      <w:pStyle w:val="Footer"/>
      <w:tabs>
        <w:tab w:val="clear" w:pos="4680"/>
      </w:tabs>
    </w:pPr>
    <w:r>
      <w:t>Application of</w:t>
    </w:r>
    <w:r>
      <w:tab/>
      <w:t xml:space="preserve">Page </w:t>
    </w:r>
    <w:r w:rsidR="006F7565">
      <w:fldChar w:fldCharType="begin"/>
    </w:r>
    <w:r w:rsidR="006F7565">
      <w:instrText xml:space="preserve"> PAGE   \* MERGEFORMAT </w:instrText>
    </w:r>
    <w:r w:rsidR="006F7565">
      <w:fldChar w:fldCharType="separate"/>
    </w:r>
    <w:r w:rsidR="00805925">
      <w:rPr>
        <w:noProof/>
      </w:rPr>
      <w:t>1</w:t>
    </w:r>
    <w:r w:rsidR="006F7565">
      <w:rPr>
        <w:noProof/>
      </w:rPr>
      <w:fldChar w:fldCharType="end"/>
    </w:r>
    <w:r>
      <w:rPr>
        <w:noProof/>
      </w:rPr>
      <w:br/>
      <w:t>Puget Sound Energy,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74F" w:rsidRPr="002E20DC" w:rsidRDefault="0038474F" w:rsidP="00AE5A8A">
      <w:r w:rsidRPr="002E20DC">
        <w:separator/>
      </w:r>
    </w:p>
  </w:footnote>
  <w:footnote w:type="continuationSeparator" w:id="0">
    <w:p w:rsidR="0038474F" w:rsidRPr="002E20DC" w:rsidRDefault="0038474F" w:rsidP="00AE5A8A">
      <w:r w:rsidRPr="002E20DC">
        <w:continuationSeparator/>
      </w:r>
    </w:p>
  </w:footnote>
  <w:footnote w:id="1">
    <w:p w:rsidR="00D34174" w:rsidRDefault="00D34174" w:rsidP="00A63346">
      <w:pPr>
        <w:pStyle w:val="FootnoteText"/>
        <w:ind w:firstLine="360"/>
      </w:pPr>
      <w:r>
        <w:rPr>
          <w:rStyle w:val="FootnoteReference"/>
        </w:rPr>
        <w:footnoteRef/>
      </w:r>
      <w:r w:rsidR="008638F4">
        <w:tab/>
      </w:r>
      <w:r>
        <w:t xml:space="preserve">PSE developed Phase </w:t>
      </w:r>
      <w:proofErr w:type="gramStart"/>
      <w:r>
        <w:t>I</w:t>
      </w:r>
      <w:proofErr w:type="gramEnd"/>
      <w:r>
        <w:t xml:space="preserve"> of the Lower Snake River </w:t>
      </w:r>
      <w:r w:rsidR="008638F4">
        <w:t>Wind Facility (</w:t>
      </w:r>
      <w:r w:rsidR="00A63346">
        <w:t>“</w:t>
      </w:r>
      <w:proofErr w:type="spellStart"/>
      <w:r w:rsidR="008638F4">
        <w:t>LSR</w:t>
      </w:r>
      <w:proofErr w:type="spellEnd"/>
      <w:r w:rsidR="008638F4">
        <w:t xml:space="preserve"> Phase I</w:t>
      </w:r>
      <w:r w:rsidR="00A63346">
        <w:t>”</w:t>
      </w:r>
      <w:r w:rsidR="008638F4">
        <w:t>) and placed it into service on February 29, 2012.  In Docket UE-111048, the Commission found that PSE</w:t>
      </w:r>
      <w:r w:rsidR="00A63346">
        <w:t>’</w:t>
      </w:r>
      <w:r w:rsidR="008638F4">
        <w:t xml:space="preserve">s investments in </w:t>
      </w:r>
      <w:proofErr w:type="spellStart"/>
      <w:r w:rsidR="008638F4">
        <w:t>LSR</w:t>
      </w:r>
      <w:proofErr w:type="spellEnd"/>
      <w:r w:rsidR="008638F4">
        <w:t xml:space="preserve"> Phase </w:t>
      </w:r>
      <w:proofErr w:type="gramStart"/>
      <w:r w:rsidR="008638F4">
        <w:t>I</w:t>
      </w:r>
      <w:proofErr w:type="gramEnd"/>
      <w:r w:rsidR="008638F4">
        <w:t xml:space="preserve"> were prudent and the costs of </w:t>
      </w:r>
      <w:proofErr w:type="spellStart"/>
      <w:r w:rsidR="008638F4">
        <w:t>LSR</w:t>
      </w:r>
      <w:proofErr w:type="spellEnd"/>
      <w:r w:rsidR="008638F4">
        <w:t xml:space="preserve"> Phase I to be reasonable for recovery in rates.  </w:t>
      </w:r>
      <w:proofErr w:type="spellStart"/>
      <w:r w:rsidR="008638F4" w:rsidRPr="00A63346">
        <w:rPr>
          <w:i/>
        </w:rPr>
        <w:t>WUTC</w:t>
      </w:r>
      <w:proofErr w:type="spellEnd"/>
      <w:r w:rsidR="008638F4" w:rsidRPr="00A63346">
        <w:rPr>
          <w:i/>
        </w:rPr>
        <w:t xml:space="preserve"> v. Puget Sound Energy, Inc.</w:t>
      </w:r>
      <w:r w:rsidR="008638F4">
        <w:t xml:space="preserve">, </w:t>
      </w:r>
      <w:r w:rsidR="008638F4" w:rsidRPr="008638F4">
        <w:t>Dockets UE-111048 and UG-111049</w:t>
      </w:r>
      <w:r w:rsidR="008638F4">
        <w:t>, Order 08 at ¶ 515 (</w:t>
      </w:r>
      <w:r w:rsidR="008638F4" w:rsidRPr="008638F4">
        <w:t>May 7, 2012</w:t>
      </w:r>
      <w:r w:rsidR="00766BC6">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18075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EF7E3D5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8F8A01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2D2661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3BE659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B6E6B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5F2B8E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EAA58A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8544D6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6DE14DC"/>
    <w:lvl w:ilvl="0">
      <w:start w:val="1"/>
      <w:numFmt w:val="bullet"/>
      <w:lvlText w:val=""/>
      <w:lvlJc w:val="left"/>
      <w:pPr>
        <w:tabs>
          <w:tab w:val="num" w:pos="360"/>
        </w:tabs>
        <w:ind w:left="360" w:hanging="360"/>
      </w:pPr>
      <w:rPr>
        <w:rFonts w:ascii="Symbol" w:hAnsi="Symbol" w:hint="default"/>
      </w:rPr>
    </w:lvl>
  </w:abstractNum>
  <w:abstractNum w:abstractNumId="10">
    <w:nsid w:val="0B1849D3"/>
    <w:multiLevelType w:val="hybridMultilevel"/>
    <w:tmpl w:val="B1FA61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CCE74ED"/>
    <w:multiLevelType w:val="hybridMultilevel"/>
    <w:tmpl w:val="E474CBE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308C207F"/>
    <w:multiLevelType w:val="hybridMultilevel"/>
    <w:tmpl w:val="E474CBE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525D7717"/>
    <w:multiLevelType w:val="hybridMultilevel"/>
    <w:tmpl w:val="E474CBE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12"/>
  </w:num>
  <w:num w:numId="2">
    <w:abstractNumId w:val="13"/>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417"/>
    <w:rsid w:val="00004F02"/>
    <w:rsid w:val="00063720"/>
    <w:rsid w:val="00075CB3"/>
    <w:rsid w:val="000842D6"/>
    <w:rsid w:val="000B07F8"/>
    <w:rsid w:val="000D0393"/>
    <w:rsid w:val="000D67F0"/>
    <w:rsid w:val="000E0282"/>
    <w:rsid w:val="000E6085"/>
    <w:rsid w:val="000F0175"/>
    <w:rsid w:val="0012212B"/>
    <w:rsid w:val="0012237F"/>
    <w:rsid w:val="001243B3"/>
    <w:rsid w:val="001264B0"/>
    <w:rsid w:val="00147A0E"/>
    <w:rsid w:val="00175CBF"/>
    <w:rsid w:val="00183206"/>
    <w:rsid w:val="001E62EC"/>
    <w:rsid w:val="00242BDC"/>
    <w:rsid w:val="0025337F"/>
    <w:rsid w:val="00283A0A"/>
    <w:rsid w:val="0028695C"/>
    <w:rsid w:val="002A105E"/>
    <w:rsid w:val="002D0856"/>
    <w:rsid w:val="002D4589"/>
    <w:rsid w:val="002D75D2"/>
    <w:rsid w:val="002E20DC"/>
    <w:rsid w:val="002E474C"/>
    <w:rsid w:val="00327F05"/>
    <w:rsid w:val="003422A8"/>
    <w:rsid w:val="00355B96"/>
    <w:rsid w:val="00383F2B"/>
    <w:rsid w:val="0038474F"/>
    <w:rsid w:val="003B4DDD"/>
    <w:rsid w:val="003E2CB7"/>
    <w:rsid w:val="0041510C"/>
    <w:rsid w:val="0041527A"/>
    <w:rsid w:val="00425721"/>
    <w:rsid w:val="00434A59"/>
    <w:rsid w:val="00435A9F"/>
    <w:rsid w:val="004814E1"/>
    <w:rsid w:val="004A569C"/>
    <w:rsid w:val="004B4D51"/>
    <w:rsid w:val="004E547F"/>
    <w:rsid w:val="00514333"/>
    <w:rsid w:val="00515C85"/>
    <w:rsid w:val="005547EE"/>
    <w:rsid w:val="005971EC"/>
    <w:rsid w:val="005A63B8"/>
    <w:rsid w:val="005E5EF4"/>
    <w:rsid w:val="00664AAB"/>
    <w:rsid w:val="00680CA0"/>
    <w:rsid w:val="006830B0"/>
    <w:rsid w:val="00684CE5"/>
    <w:rsid w:val="00692862"/>
    <w:rsid w:val="006F7565"/>
    <w:rsid w:val="006F7AB1"/>
    <w:rsid w:val="00720A5D"/>
    <w:rsid w:val="00722760"/>
    <w:rsid w:val="0073108A"/>
    <w:rsid w:val="00763737"/>
    <w:rsid w:val="00766BC6"/>
    <w:rsid w:val="00780473"/>
    <w:rsid w:val="00793758"/>
    <w:rsid w:val="007A45CA"/>
    <w:rsid w:val="007E7EF6"/>
    <w:rsid w:val="00805925"/>
    <w:rsid w:val="008372F6"/>
    <w:rsid w:val="00853EF5"/>
    <w:rsid w:val="008638F4"/>
    <w:rsid w:val="0087535D"/>
    <w:rsid w:val="008924E1"/>
    <w:rsid w:val="00896BB0"/>
    <w:rsid w:val="008A1564"/>
    <w:rsid w:val="008C74DF"/>
    <w:rsid w:val="008E1598"/>
    <w:rsid w:val="009679ED"/>
    <w:rsid w:val="00A136E7"/>
    <w:rsid w:val="00A147FD"/>
    <w:rsid w:val="00A31DE2"/>
    <w:rsid w:val="00A51B1F"/>
    <w:rsid w:val="00A60C9C"/>
    <w:rsid w:val="00A63346"/>
    <w:rsid w:val="00A84D5A"/>
    <w:rsid w:val="00A8613D"/>
    <w:rsid w:val="00AA319B"/>
    <w:rsid w:val="00AA3B36"/>
    <w:rsid w:val="00AA51B9"/>
    <w:rsid w:val="00AD5ACC"/>
    <w:rsid w:val="00AD6B64"/>
    <w:rsid w:val="00AE5A8A"/>
    <w:rsid w:val="00AF0E0A"/>
    <w:rsid w:val="00AF5030"/>
    <w:rsid w:val="00AF655A"/>
    <w:rsid w:val="00B37519"/>
    <w:rsid w:val="00B7589C"/>
    <w:rsid w:val="00BB472F"/>
    <w:rsid w:val="00BB574B"/>
    <w:rsid w:val="00BC3C3E"/>
    <w:rsid w:val="00C35440"/>
    <w:rsid w:val="00C50417"/>
    <w:rsid w:val="00C53D6A"/>
    <w:rsid w:val="00C80D66"/>
    <w:rsid w:val="00CA1DBD"/>
    <w:rsid w:val="00CB2773"/>
    <w:rsid w:val="00CB3320"/>
    <w:rsid w:val="00CF2E36"/>
    <w:rsid w:val="00CF55A6"/>
    <w:rsid w:val="00CF63DF"/>
    <w:rsid w:val="00D34174"/>
    <w:rsid w:val="00D36C60"/>
    <w:rsid w:val="00D453FC"/>
    <w:rsid w:val="00D752EE"/>
    <w:rsid w:val="00DC563A"/>
    <w:rsid w:val="00DE70F2"/>
    <w:rsid w:val="00DE76B3"/>
    <w:rsid w:val="00DF1890"/>
    <w:rsid w:val="00DF22C9"/>
    <w:rsid w:val="00E07C48"/>
    <w:rsid w:val="00E334BF"/>
    <w:rsid w:val="00E734F6"/>
    <w:rsid w:val="00F02404"/>
    <w:rsid w:val="00F27FC5"/>
    <w:rsid w:val="00F7002E"/>
    <w:rsid w:val="00F7637F"/>
    <w:rsid w:val="00F829D1"/>
    <w:rsid w:val="00FA16C4"/>
    <w:rsid w:val="00FA5C41"/>
    <w:rsid w:val="00FB5042"/>
    <w:rsid w:val="00FB71B0"/>
    <w:rsid w:val="00FC40CD"/>
    <w:rsid w:val="00FD65F9"/>
    <w:rsid w:val="00FE1D72"/>
    <w:rsid w:val="00FE76D5"/>
    <w:rsid w:val="00FF3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574B"/>
    <w:rPr>
      <w:sz w:val="24"/>
      <w:szCs w:val="24"/>
    </w:rPr>
  </w:style>
  <w:style w:type="paragraph" w:styleId="Heading1">
    <w:name w:val="heading 1"/>
    <w:basedOn w:val="Normal"/>
    <w:next w:val="Normal"/>
    <w:link w:val="Heading1Char"/>
    <w:uiPriority w:val="99"/>
    <w:qFormat/>
    <w:rsid w:val="004B4D51"/>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AF5030"/>
    <w:pPr>
      <w:keepNext/>
      <w:keepLines/>
      <w:spacing w:before="200"/>
      <w:outlineLvl w:val="1"/>
    </w:pPr>
    <w:rPr>
      <w:rFonts w:eastAsia="Times New Roman"/>
      <w:b/>
      <w:bCs/>
      <w:color w:val="4F81BD"/>
      <w:sz w:val="26"/>
      <w:szCs w:val="26"/>
    </w:rPr>
  </w:style>
  <w:style w:type="paragraph" w:styleId="Heading3">
    <w:name w:val="heading 3"/>
    <w:basedOn w:val="Normal"/>
    <w:next w:val="Normal"/>
    <w:link w:val="Heading3Char"/>
    <w:uiPriority w:val="99"/>
    <w:qFormat/>
    <w:rsid w:val="00AF5030"/>
    <w:pPr>
      <w:keepNext/>
      <w:keepLines/>
      <w:spacing w:before="200"/>
      <w:outlineLvl w:val="2"/>
    </w:pPr>
    <w:rPr>
      <w:rFonts w:eastAsia="Times New Roman"/>
      <w:b/>
      <w:bCs/>
      <w:color w:val="4F81BD"/>
      <w:sz w:val="20"/>
      <w:szCs w:val="20"/>
    </w:rPr>
  </w:style>
  <w:style w:type="paragraph" w:styleId="Heading4">
    <w:name w:val="heading 4"/>
    <w:basedOn w:val="Normal"/>
    <w:next w:val="Normal"/>
    <w:link w:val="Heading4Char"/>
    <w:uiPriority w:val="99"/>
    <w:qFormat/>
    <w:rsid w:val="004B4D51"/>
    <w:pPr>
      <w:keepNext/>
      <w:keepLines/>
      <w:spacing w:before="200"/>
      <w:outlineLvl w:val="3"/>
    </w:pPr>
    <w:rPr>
      <w:rFonts w:ascii="Cambria" w:eastAsia="Times New Roman" w:hAnsi="Cambria"/>
      <w:b/>
      <w:bCs/>
      <w:i/>
      <w:iCs/>
      <w:color w:val="4F81BD"/>
      <w:sz w:val="20"/>
      <w:szCs w:val="20"/>
    </w:rPr>
  </w:style>
  <w:style w:type="paragraph" w:styleId="Heading5">
    <w:name w:val="heading 5"/>
    <w:basedOn w:val="Normal"/>
    <w:next w:val="Normal"/>
    <w:link w:val="Heading5Char"/>
    <w:uiPriority w:val="99"/>
    <w:qFormat/>
    <w:rsid w:val="004B4D51"/>
    <w:pPr>
      <w:keepNext/>
      <w:keepLines/>
      <w:spacing w:before="200"/>
      <w:outlineLvl w:val="4"/>
    </w:pPr>
    <w:rPr>
      <w:rFonts w:ascii="Cambria" w:eastAsia="Times New Roman" w:hAnsi="Cambria"/>
      <w:color w:val="243F60"/>
      <w:sz w:val="20"/>
      <w:szCs w:val="20"/>
    </w:rPr>
  </w:style>
  <w:style w:type="paragraph" w:styleId="Heading6">
    <w:name w:val="heading 6"/>
    <w:basedOn w:val="Normal"/>
    <w:next w:val="Normal"/>
    <w:link w:val="Heading6Char"/>
    <w:uiPriority w:val="99"/>
    <w:qFormat/>
    <w:rsid w:val="004B4D51"/>
    <w:pPr>
      <w:keepNext/>
      <w:keepLines/>
      <w:spacing w:before="200"/>
      <w:outlineLvl w:val="5"/>
    </w:pPr>
    <w:rPr>
      <w:rFonts w:ascii="Cambria" w:eastAsia="Times New Roman" w:hAnsi="Cambria"/>
      <w:i/>
      <w:iCs/>
      <w:color w:val="243F60"/>
      <w:sz w:val="20"/>
      <w:szCs w:val="20"/>
    </w:rPr>
  </w:style>
  <w:style w:type="paragraph" w:styleId="Heading7">
    <w:name w:val="heading 7"/>
    <w:basedOn w:val="Normal"/>
    <w:next w:val="Normal"/>
    <w:link w:val="Heading7Char"/>
    <w:uiPriority w:val="99"/>
    <w:qFormat/>
    <w:rsid w:val="004B4D51"/>
    <w:pPr>
      <w:keepNext/>
      <w:keepLines/>
      <w:spacing w:before="200"/>
      <w:outlineLvl w:val="6"/>
    </w:pPr>
    <w:rPr>
      <w:rFonts w:ascii="Cambria" w:eastAsia="Times New Roman" w:hAnsi="Cambria"/>
      <w:i/>
      <w:iCs/>
      <w:color w:val="404040"/>
      <w:sz w:val="20"/>
      <w:szCs w:val="20"/>
    </w:rPr>
  </w:style>
  <w:style w:type="paragraph" w:styleId="Heading8">
    <w:name w:val="heading 8"/>
    <w:basedOn w:val="Normal"/>
    <w:next w:val="Normal"/>
    <w:link w:val="Heading8Char"/>
    <w:uiPriority w:val="99"/>
    <w:qFormat/>
    <w:rsid w:val="004B4D51"/>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4B4D51"/>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4B4D51"/>
    <w:rPr>
      <w:rFonts w:ascii="Cambria" w:hAnsi="Cambria"/>
      <w:b/>
      <w:color w:val="365F91"/>
      <w:sz w:val="28"/>
    </w:rPr>
  </w:style>
  <w:style w:type="character" w:customStyle="1" w:styleId="Heading2Char">
    <w:name w:val="Heading 2 Char"/>
    <w:basedOn w:val="DefaultParagraphFont"/>
    <w:link w:val="Heading2"/>
    <w:uiPriority w:val="99"/>
    <w:semiHidden/>
    <w:locked/>
    <w:rsid w:val="0028695C"/>
    <w:rPr>
      <w:rFonts w:ascii="Times New Roman" w:hAnsi="Times New Roman"/>
      <w:b/>
      <w:color w:val="4F81BD"/>
      <w:sz w:val="26"/>
    </w:rPr>
  </w:style>
  <w:style w:type="character" w:customStyle="1" w:styleId="Heading3Char">
    <w:name w:val="Heading 3 Char"/>
    <w:basedOn w:val="DefaultParagraphFont"/>
    <w:link w:val="Heading3"/>
    <w:uiPriority w:val="99"/>
    <w:semiHidden/>
    <w:locked/>
    <w:rsid w:val="0028695C"/>
    <w:rPr>
      <w:rFonts w:ascii="Times New Roman" w:hAnsi="Times New Roman"/>
      <w:b/>
      <w:color w:val="4F81BD"/>
    </w:rPr>
  </w:style>
  <w:style w:type="character" w:customStyle="1" w:styleId="Heading4Char">
    <w:name w:val="Heading 4 Char"/>
    <w:basedOn w:val="DefaultParagraphFont"/>
    <w:link w:val="Heading4"/>
    <w:uiPriority w:val="99"/>
    <w:semiHidden/>
    <w:locked/>
    <w:rsid w:val="004B4D51"/>
    <w:rPr>
      <w:rFonts w:ascii="Cambria" w:hAnsi="Cambria"/>
      <w:b/>
      <w:i/>
      <w:color w:val="4F81BD"/>
    </w:rPr>
  </w:style>
  <w:style w:type="character" w:customStyle="1" w:styleId="Heading5Char">
    <w:name w:val="Heading 5 Char"/>
    <w:basedOn w:val="DefaultParagraphFont"/>
    <w:link w:val="Heading5"/>
    <w:uiPriority w:val="99"/>
    <w:semiHidden/>
    <w:locked/>
    <w:rsid w:val="004B4D51"/>
    <w:rPr>
      <w:rFonts w:ascii="Cambria" w:hAnsi="Cambria"/>
      <w:color w:val="243F60"/>
    </w:rPr>
  </w:style>
  <w:style w:type="character" w:customStyle="1" w:styleId="Heading6Char">
    <w:name w:val="Heading 6 Char"/>
    <w:basedOn w:val="DefaultParagraphFont"/>
    <w:link w:val="Heading6"/>
    <w:uiPriority w:val="99"/>
    <w:semiHidden/>
    <w:locked/>
    <w:rsid w:val="004B4D51"/>
    <w:rPr>
      <w:rFonts w:ascii="Cambria" w:hAnsi="Cambria"/>
      <w:i/>
      <w:color w:val="243F60"/>
    </w:rPr>
  </w:style>
  <w:style w:type="character" w:customStyle="1" w:styleId="Heading7Char">
    <w:name w:val="Heading 7 Char"/>
    <w:basedOn w:val="DefaultParagraphFont"/>
    <w:link w:val="Heading7"/>
    <w:uiPriority w:val="99"/>
    <w:semiHidden/>
    <w:locked/>
    <w:rsid w:val="004B4D51"/>
    <w:rPr>
      <w:rFonts w:ascii="Cambria" w:hAnsi="Cambria"/>
      <w:i/>
      <w:color w:val="404040"/>
    </w:rPr>
  </w:style>
  <w:style w:type="character" w:customStyle="1" w:styleId="Heading8Char">
    <w:name w:val="Heading 8 Char"/>
    <w:basedOn w:val="DefaultParagraphFont"/>
    <w:link w:val="Heading8"/>
    <w:uiPriority w:val="99"/>
    <w:semiHidden/>
    <w:locked/>
    <w:rsid w:val="004B4D51"/>
    <w:rPr>
      <w:rFonts w:ascii="Cambria" w:hAnsi="Cambria"/>
      <w:color w:val="404040"/>
      <w:sz w:val="20"/>
    </w:rPr>
  </w:style>
  <w:style w:type="character" w:customStyle="1" w:styleId="Heading9Char">
    <w:name w:val="Heading 9 Char"/>
    <w:basedOn w:val="DefaultParagraphFont"/>
    <w:link w:val="Heading9"/>
    <w:uiPriority w:val="99"/>
    <w:semiHidden/>
    <w:locked/>
    <w:rsid w:val="004B4D51"/>
    <w:rPr>
      <w:rFonts w:ascii="Cambria" w:hAnsi="Cambria"/>
      <w:i/>
      <w:color w:val="404040"/>
      <w:sz w:val="20"/>
    </w:rPr>
  </w:style>
  <w:style w:type="paragraph" w:styleId="BodyText">
    <w:name w:val="Body Text"/>
    <w:basedOn w:val="Normal"/>
    <w:link w:val="BodyTextChar"/>
    <w:uiPriority w:val="99"/>
    <w:rsid w:val="00AF5030"/>
    <w:pPr>
      <w:spacing w:after="240"/>
    </w:pPr>
    <w:rPr>
      <w:rFonts w:eastAsia="Times New Roman"/>
      <w:sz w:val="20"/>
      <w:szCs w:val="20"/>
    </w:rPr>
  </w:style>
  <w:style w:type="character" w:customStyle="1" w:styleId="BodyTextChar">
    <w:name w:val="Body Text Char"/>
    <w:basedOn w:val="DefaultParagraphFont"/>
    <w:link w:val="BodyText"/>
    <w:uiPriority w:val="99"/>
    <w:locked/>
    <w:rsid w:val="002D4589"/>
    <w:rPr>
      <w:rFonts w:eastAsia="Times New Roman"/>
    </w:rPr>
  </w:style>
  <w:style w:type="paragraph" w:customStyle="1" w:styleId="BodyTextContinued">
    <w:name w:val="Body Text Continued"/>
    <w:basedOn w:val="BodyText"/>
    <w:next w:val="BodyText"/>
    <w:uiPriority w:val="99"/>
    <w:rsid w:val="00AF5030"/>
  </w:style>
  <w:style w:type="paragraph" w:customStyle="1" w:styleId="BTIndent">
    <w:name w:val="BT Indent"/>
    <w:basedOn w:val="BodyText"/>
    <w:uiPriority w:val="99"/>
    <w:rsid w:val="00AF5030"/>
    <w:pPr>
      <w:ind w:left="720"/>
    </w:pPr>
  </w:style>
  <w:style w:type="paragraph" w:customStyle="1" w:styleId="Table">
    <w:name w:val="Table"/>
    <w:basedOn w:val="Normal"/>
    <w:uiPriority w:val="99"/>
    <w:rsid w:val="00AF5030"/>
    <w:pPr>
      <w:spacing w:before="60" w:after="60" w:line="240" w:lineRule="exact"/>
    </w:pPr>
    <w:rPr>
      <w:rFonts w:eastAsia="Times New Roman"/>
    </w:rPr>
  </w:style>
  <w:style w:type="paragraph" w:styleId="Quote">
    <w:name w:val="Quote"/>
    <w:basedOn w:val="Normal"/>
    <w:next w:val="BodyTextContinued"/>
    <w:link w:val="QuoteChar"/>
    <w:uiPriority w:val="99"/>
    <w:qFormat/>
    <w:rsid w:val="00AF5030"/>
    <w:pPr>
      <w:spacing w:after="240"/>
      <w:ind w:left="1440" w:right="1440"/>
    </w:pPr>
    <w:rPr>
      <w:sz w:val="20"/>
      <w:szCs w:val="20"/>
    </w:rPr>
  </w:style>
  <w:style w:type="character" w:customStyle="1" w:styleId="QuoteChar">
    <w:name w:val="Quote Char"/>
    <w:basedOn w:val="DefaultParagraphFont"/>
    <w:link w:val="Quote"/>
    <w:uiPriority w:val="99"/>
    <w:locked/>
    <w:rsid w:val="0028695C"/>
    <w:rPr>
      <w:sz w:val="20"/>
    </w:rPr>
  </w:style>
  <w:style w:type="paragraph" w:customStyle="1" w:styleId="ResH1">
    <w:name w:val="Res H1"/>
    <w:basedOn w:val="Heading2"/>
    <w:uiPriority w:val="99"/>
    <w:rsid w:val="00AF5030"/>
    <w:pPr>
      <w:tabs>
        <w:tab w:val="left" w:pos="720"/>
      </w:tabs>
      <w:spacing w:before="0" w:line="240" w:lineRule="atLeast"/>
      <w:ind w:left="720" w:right="720" w:hanging="720"/>
    </w:pPr>
    <w:rPr>
      <w:bCs w:val="0"/>
      <w:i/>
      <w:caps/>
      <w:color w:val="auto"/>
      <w:szCs w:val="20"/>
      <w:lang w:eastAsia="zh-CN"/>
    </w:rPr>
  </w:style>
  <w:style w:type="paragraph" w:customStyle="1" w:styleId="ResH2">
    <w:name w:val="Res H2"/>
    <w:basedOn w:val="Heading3"/>
    <w:uiPriority w:val="99"/>
    <w:rsid w:val="00AF5030"/>
    <w:pPr>
      <w:spacing w:before="0" w:line="240" w:lineRule="atLeast"/>
      <w:ind w:left="1440" w:right="720" w:hanging="720"/>
    </w:pPr>
    <w:rPr>
      <w:bCs w:val="0"/>
      <w:color w:val="auto"/>
      <w:u w:val="single"/>
      <w:lang w:eastAsia="zh-CN"/>
    </w:rPr>
  </w:style>
  <w:style w:type="paragraph" w:customStyle="1" w:styleId="Resolution">
    <w:name w:val="Resolution"/>
    <w:basedOn w:val="NormalIndent"/>
    <w:uiPriority w:val="99"/>
    <w:rsid w:val="00AF5030"/>
    <w:pPr>
      <w:spacing w:before="240" w:line="240" w:lineRule="atLeast"/>
      <w:ind w:right="720"/>
    </w:pPr>
    <w:rPr>
      <w:sz w:val="26"/>
      <w:szCs w:val="20"/>
    </w:rPr>
  </w:style>
  <w:style w:type="paragraph" w:styleId="NormalIndent">
    <w:name w:val="Normal Indent"/>
    <w:basedOn w:val="Normal"/>
    <w:uiPriority w:val="99"/>
    <w:rsid w:val="00AF5030"/>
    <w:pPr>
      <w:ind w:left="720"/>
    </w:pPr>
  </w:style>
  <w:style w:type="paragraph" w:styleId="Title">
    <w:name w:val="Title"/>
    <w:basedOn w:val="BodyText"/>
    <w:next w:val="BodyText"/>
    <w:link w:val="TitleChar"/>
    <w:uiPriority w:val="99"/>
    <w:qFormat/>
    <w:rsid w:val="00383F2B"/>
    <w:pPr>
      <w:jc w:val="center"/>
      <w:outlineLvl w:val="0"/>
    </w:pPr>
    <w:rPr>
      <w:b/>
      <w:bCs/>
      <w:szCs w:val="32"/>
    </w:rPr>
  </w:style>
  <w:style w:type="character" w:customStyle="1" w:styleId="TitleChar">
    <w:name w:val="Title Char"/>
    <w:basedOn w:val="DefaultParagraphFont"/>
    <w:link w:val="Title"/>
    <w:uiPriority w:val="99"/>
    <w:locked/>
    <w:rsid w:val="00383F2B"/>
    <w:rPr>
      <w:rFonts w:eastAsia="Times New Roman"/>
      <w:b/>
      <w:sz w:val="32"/>
    </w:rPr>
  </w:style>
  <w:style w:type="paragraph" w:styleId="Header">
    <w:name w:val="header"/>
    <w:basedOn w:val="Normal"/>
    <w:link w:val="HeaderChar"/>
    <w:uiPriority w:val="99"/>
    <w:rsid w:val="00AE5A8A"/>
    <w:pPr>
      <w:tabs>
        <w:tab w:val="center" w:pos="4680"/>
        <w:tab w:val="right" w:pos="9360"/>
      </w:tabs>
    </w:pPr>
  </w:style>
  <w:style w:type="character" w:customStyle="1" w:styleId="HeaderChar">
    <w:name w:val="Header Char"/>
    <w:basedOn w:val="DefaultParagraphFont"/>
    <w:link w:val="Header"/>
    <w:uiPriority w:val="99"/>
    <w:locked/>
    <w:rsid w:val="00BB574B"/>
    <w:rPr>
      <w:rFonts w:cs="Times New Roman"/>
    </w:rPr>
  </w:style>
  <w:style w:type="paragraph" w:styleId="Footer">
    <w:name w:val="footer"/>
    <w:basedOn w:val="Normal"/>
    <w:link w:val="FooterChar"/>
    <w:uiPriority w:val="99"/>
    <w:rsid w:val="00AE5A8A"/>
    <w:pPr>
      <w:tabs>
        <w:tab w:val="center" w:pos="4680"/>
        <w:tab w:val="right" w:pos="9360"/>
      </w:tabs>
    </w:pPr>
  </w:style>
  <w:style w:type="character" w:customStyle="1" w:styleId="FooterChar">
    <w:name w:val="Footer Char"/>
    <w:basedOn w:val="DefaultParagraphFont"/>
    <w:link w:val="Footer"/>
    <w:uiPriority w:val="99"/>
    <w:locked/>
    <w:rsid w:val="00BB574B"/>
    <w:rPr>
      <w:rFonts w:cs="Times New Roman"/>
    </w:rPr>
  </w:style>
  <w:style w:type="paragraph" w:styleId="BodyTextIndent">
    <w:name w:val="Body Text Indent"/>
    <w:basedOn w:val="BodyText"/>
    <w:link w:val="BodyTextIndentChar"/>
    <w:uiPriority w:val="99"/>
    <w:rsid w:val="00147A0E"/>
    <w:pPr>
      <w:ind w:left="720"/>
    </w:pPr>
  </w:style>
  <w:style w:type="character" w:customStyle="1" w:styleId="BodyTextIndentChar">
    <w:name w:val="Body Text Indent Char"/>
    <w:basedOn w:val="DefaultParagraphFont"/>
    <w:link w:val="BodyTextIndent"/>
    <w:uiPriority w:val="99"/>
    <w:locked/>
    <w:rsid w:val="00147A0E"/>
    <w:rPr>
      <w:rFonts w:eastAsia="Times New Roman"/>
    </w:rPr>
  </w:style>
  <w:style w:type="character" w:styleId="Emphasis">
    <w:name w:val="Emphasis"/>
    <w:basedOn w:val="DefaultParagraphFont"/>
    <w:uiPriority w:val="99"/>
    <w:qFormat/>
    <w:rsid w:val="004B4D51"/>
    <w:rPr>
      <w:rFonts w:cs="Times New Roman"/>
      <w:i/>
    </w:rPr>
  </w:style>
  <w:style w:type="character" w:styleId="IntenseEmphasis">
    <w:name w:val="Intense Emphasis"/>
    <w:basedOn w:val="DefaultParagraphFont"/>
    <w:uiPriority w:val="99"/>
    <w:qFormat/>
    <w:rsid w:val="004B4D51"/>
    <w:rPr>
      <w:b/>
      <w:i/>
      <w:color w:val="4F81BD"/>
    </w:rPr>
  </w:style>
  <w:style w:type="paragraph" w:styleId="IntenseQuote">
    <w:name w:val="Intense Quote"/>
    <w:basedOn w:val="Normal"/>
    <w:next w:val="Normal"/>
    <w:link w:val="IntenseQuoteChar"/>
    <w:uiPriority w:val="99"/>
    <w:qFormat/>
    <w:rsid w:val="004B4D51"/>
    <w:pPr>
      <w:pBdr>
        <w:bottom w:val="single" w:sz="4" w:space="4" w:color="4F81BD"/>
      </w:pBdr>
      <w:spacing w:before="200" w:after="280"/>
      <w:ind w:left="936" w:right="936"/>
    </w:pPr>
    <w:rPr>
      <w:b/>
      <w:bCs/>
      <w:i/>
      <w:iCs/>
      <w:color w:val="4F81BD"/>
      <w:sz w:val="20"/>
      <w:szCs w:val="20"/>
    </w:rPr>
  </w:style>
  <w:style w:type="character" w:customStyle="1" w:styleId="IntenseQuoteChar">
    <w:name w:val="Intense Quote Char"/>
    <w:basedOn w:val="DefaultParagraphFont"/>
    <w:link w:val="IntenseQuote"/>
    <w:uiPriority w:val="99"/>
    <w:semiHidden/>
    <w:locked/>
    <w:rsid w:val="004B4D51"/>
    <w:rPr>
      <w:b/>
      <w:i/>
      <w:color w:val="4F81BD"/>
    </w:rPr>
  </w:style>
  <w:style w:type="character" w:styleId="IntenseReference">
    <w:name w:val="Intense Reference"/>
    <w:basedOn w:val="DefaultParagraphFont"/>
    <w:uiPriority w:val="99"/>
    <w:qFormat/>
    <w:rsid w:val="004B4D51"/>
    <w:rPr>
      <w:b/>
      <w:smallCaps/>
      <w:color w:val="C0504D"/>
      <w:spacing w:val="5"/>
      <w:u w:val="single"/>
    </w:rPr>
  </w:style>
  <w:style w:type="character" w:styleId="Strong">
    <w:name w:val="Strong"/>
    <w:basedOn w:val="DefaultParagraphFont"/>
    <w:uiPriority w:val="99"/>
    <w:qFormat/>
    <w:rsid w:val="004B4D51"/>
    <w:rPr>
      <w:rFonts w:cs="Times New Roman"/>
      <w:b/>
    </w:rPr>
  </w:style>
  <w:style w:type="paragraph" w:styleId="Subtitle">
    <w:name w:val="Subtitle"/>
    <w:basedOn w:val="Normal"/>
    <w:next w:val="Normal"/>
    <w:link w:val="SubtitleChar"/>
    <w:uiPriority w:val="99"/>
    <w:qFormat/>
    <w:rsid w:val="004B4D51"/>
    <w:pPr>
      <w:numPr>
        <w:ilvl w:val="1"/>
      </w:numPr>
    </w:pPr>
    <w:rPr>
      <w:rFonts w:ascii="Cambria" w:eastAsia="Times New Roman" w:hAnsi="Cambria"/>
      <w:i/>
      <w:iCs/>
      <w:color w:val="4F81BD"/>
      <w:spacing w:val="15"/>
      <w:sz w:val="20"/>
      <w:szCs w:val="20"/>
    </w:rPr>
  </w:style>
  <w:style w:type="character" w:customStyle="1" w:styleId="SubtitleChar">
    <w:name w:val="Subtitle Char"/>
    <w:basedOn w:val="DefaultParagraphFont"/>
    <w:link w:val="Subtitle"/>
    <w:uiPriority w:val="99"/>
    <w:semiHidden/>
    <w:locked/>
    <w:rsid w:val="004B4D51"/>
    <w:rPr>
      <w:rFonts w:ascii="Cambria" w:hAnsi="Cambria"/>
      <w:i/>
      <w:color w:val="4F81BD"/>
      <w:spacing w:val="15"/>
    </w:rPr>
  </w:style>
  <w:style w:type="character" w:styleId="SubtleEmphasis">
    <w:name w:val="Subtle Emphasis"/>
    <w:basedOn w:val="DefaultParagraphFont"/>
    <w:uiPriority w:val="99"/>
    <w:qFormat/>
    <w:rsid w:val="004B4D51"/>
    <w:rPr>
      <w:i/>
      <w:color w:val="808080"/>
    </w:rPr>
  </w:style>
  <w:style w:type="character" w:styleId="SubtleReference">
    <w:name w:val="Subtle Reference"/>
    <w:basedOn w:val="DefaultParagraphFont"/>
    <w:uiPriority w:val="99"/>
    <w:qFormat/>
    <w:rsid w:val="004B4D51"/>
    <w:rPr>
      <w:smallCaps/>
      <w:color w:val="C0504D"/>
      <w:u w:val="single"/>
    </w:rPr>
  </w:style>
  <w:style w:type="paragraph" w:styleId="ListParagraph">
    <w:name w:val="List Paragraph"/>
    <w:basedOn w:val="Normal"/>
    <w:uiPriority w:val="99"/>
    <w:qFormat/>
    <w:rsid w:val="004B4D51"/>
    <w:pPr>
      <w:ind w:left="720"/>
      <w:contextualSpacing/>
    </w:pPr>
  </w:style>
  <w:style w:type="character" w:styleId="BookTitle">
    <w:name w:val="Book Title"/>
    <w:basedOn w:val="DefaultParagraphFont"/>
    <w:uiPriority w:val="99"/>
    <w:qFormat/>
    <w:rsid w:val="004B4D51"/>
    <w:rPr>
      <w:b/>
      <w:smallCaps/>
      <w:spacing w:val="5"/>
    </w:rPr>
  </w:style>
  <w:style w:type="paragraph" w:styleId="NoSpacing">
    <w:name w:val="No Spacing"/>
    <w:uiPriority w:val="99"/>
    <w:qFormat/>
    <w:rsid w:val="004B4D51"/>
    <w:rPr>
      <w:sz w:val="24"/>
      <w:szCs w:val="24"/>
    </w:rPr>
  </w:style>
  <w:style w:type="table" w:styleId="TableGrid">
    <w:name w:val="Table Grid"/>
    <w:basedOn w:val="TableNormal"/>
    <w:uiPriority w:val="99"/>
    <w:rsid w:val="00C504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C50417"/>
    <w:rPr>
      <w:rFonts w:cs="Times New Roman"/>
      <w:color w:val="0000FF"/>
      <w:u w:val="single"/>
    </w:rPr>
  </w:style>
  <w:style w:type="paragraph" w:styleId="BodyTextIndent2">
    <w:name w:val="Body Text Indent 2"/>
    <w:basedOn w:val="Normal"/>
    <w:link w:val="BodyTextIndent2Char"/>
    <w:uiPriority w:val="99"/>
    <w:semiHidden/>
    <w:rsid w:val="00242BDC"/>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242BDC"/>
    <w:rPr>
      <w:rFonts w:cs="Times New Roman"/>
    </w:rPr>
  </w:style>
  <w:style w:type="paragraph" w:styleId="FootnoteText">
    <w:name w:val="footnote text"/>
    <w:basedOn w:val="Normal"/>
    <w:link w:val="FootnoteTextChar"/>
    <w:uiPriority w:val="99"/>
    <w:semiHidden/>
    <w:rsid w:val="00242BDC"/>
    <w:rPr>
      <w:sz w:val="20"/>
      <w:szCs w:val="20"/>
    </w:rPr>
  </w:style>
  <w:style w:type="character" w:customStyle="1" w:styleId="FootnoteTextChar">
    <w:name w:val="Footnote Text Char"/>
    <w:basedOn w:val="DefaultParagraphFont"/>
    <w:link w:val="FootnoteText"/>
    <w:uiPriority w:val="99"/>
    <w:semiHidden/>
    <w:locked/>
    <w:rsid w:val="00242BDC"/>
    <w:rPr>
      <w:sz w:val="20"/>
    </w:rPr>
  </w:style>
  <w:style w:type="character" w:styleId="FootnoteReference">
    <w:name w:val="footnote reference"/>
    <w:basedOn w:val="DefaultParagraphFont"/>
    <w:uiPriority w:val="99"/>
    <w:semiHidden/>
    <w:rsid w:val="00242BDC"/>
    <w:rPr>
      <w:rFonts w:cs="Times New Roman"/>
      <w:vertAlign w:val="superscript"/>
    </w:rPr>
  </w:style>
  <w:style w:type="character" w:styleId="PlaceholderText">
    <w:name w:val="Placeholder Text"/>
    <w:basedOn w:val="DefaultParagraphFont"/>
    <w:uiPriority w:val="99"/>
    <w:semiHidden/>
    <w:rsid w:val="00AA3B36"/>
    <w:rPr>
      <w:color w:val="808080"/>
    </w:rPr>
  </w:style>
  <w:style w:type="paragraph" w:customStyle="1" w:styleId="righthalf">
    <w:name w:val="right half"/>
    <w:basedOn w:val="Normal"/>
    <w:uiPriority w:val="99"/>
    <w:rsid w:val="008924E1"/>
    <w:pPr>
      <w:keepLines/>
      <w:tabs>
        <w:tab w:val="left" w:pos="4860"/>
        <w:tab w:val="right" w:pos="9090"/>
      </w:tabs>
      <w:spacing w:before="480" w:line="240" w:lineRule="atLeast"/>
      <w:ind w:left="4320" w:right="187"/>
    </w:pPr>
    <w:rPr>
      <w:rFonts w:eastAsia="Times New Roman"/>
      <w:szCs w:val="20"/>
    </w:rPr>
  </w:style>
  <w:style w:type="paragraph" w:styleId="BalloonText">
    <w:name w:val="Balloon Text"/>
    <w:basedOn w:val="Normal"/>
    <w:link w:val="BalloonTextChar"/>
    <w:uiPriority w:val="99"/>
    <w:semiHidden/>
    <w:rsid w:val="000D67F0"/>
    <w:rPr>
      <w:rFonts w:ascii="Tahoma" w:hAnsi="Tahoma" w:cs="Tahoma"/>
      <w:sz w:val="16"/>
      <w:szCs w:val="16"/>
    </w:rPr>
  </w:style>
  <w:style w:type="character" w:customStyle="1" w:styleId="BalloonTextChar">
    <w:name w:val="Balloon Text Char"/>
    <w:basedOn w:val="DefaultParagraphFont"/>
    <w:link w:val="BalloonText"/>
    <w:uiPriority w:val="99"/>
    <w:semiHidden/>
    <w:rsid w:val="006B2770"/>
    <w:rPr>
      <w:sz w:val="0"/>
      <w:szCs w:val="0"/>
    </w:rPr>
  </w:style>
  <w:style w:type="character" w:styleId="CommentReference">
    <w:name w:val="annotation reference"/>
    <w:basedOn w:val="DefaultParagraphFont"/>
    <w:uiPriority w:val="99"/>
    <w:semiHidden/>
    <w:rsid w:val="00E07C48"/>
    <w:rPr>
      <w:rFonts w:cs="Times New Roman"/>
      <w:sz w:val="16"/>
      <w:szCs w:val="16"/>
    </w:rPr>
  </w:style>
  <w:style w:type="paragraph" w:styleId="CommentText">
    <w:name w:val="annotation text"/>
    <w:basedOn w:val="Normal"/>
    <w:link w:val="CommentTextChar"/>
    <w:uiPriority w:val="99"/>
    <w:semiHidden/>
    <w:rsid w:val="00E07C48"/>
    <w:rPr>
      <w:sz w:val="20"/>
      <w:szCs w:val="20"/>
    </w:rPr>
  </w:style>
  <w:style w:type="character" w:customStyle="1" w:styleId="CommentTextChar">
    <w:name w:val="Comment Text Char"/>
    <w:basedOn w:val="DefaultParagraphFont"/>
    <w:link w:val="CommentText"/>
    <w:uiPriority w:val="99"/>
    <w:semiHidden/>
    <w:rsid w:val="006B2770"/>
    <w:rPr>
      <w:sz w:val="20"/>
      <w:szCs w:val="20"/>
    </w:rPr>
  </w:style>
  <w:style w:type="paragraph" w:styleId="CommentSubject">
    <w:name w:val="annotation subject"/>
    <w:basedOn w:val="CommentText"/>
    <w:next w:val="CommentText"/>
    <w:link w:val="CommentSubjectChar"/>
    <w:uiPriority w:val="99"/>
    <w:semiHidden/>
    <w:rsid w:val="00E07C48"/>
    <w:rPr>
      <w:b/>
      <w:bCs/>
    </w:rPr>
  </w:style>
  <w:style w:type="character" w:customStyle="1" w:styleId="CommentSubjectChar">
    <w:name w:val="Comment Subject Char"/>
    <w:basedOn w:val="CommentTextChar"/>
    <w:link w:val="CommentSubject"/>
    <w:uiPriority w:val="99"/>
    <w:semiHidden/>
    <w:rsid w:val="006B277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574B"/>
    <w:rPr>
      <w:sz w:val="24"/>
      <w:szCs w:val="24"/>
    </w:rPr>
  </w:style>
  <w:style w:type="paragraph" w:styleId="Heading1">
    <w:name w:val="heading 1"/>
    <w:basedOn w:val="Normal"/>
    <w:next w:val="Normal"/>
    <w:link w:val="Heading1Char"/>
    <w:uiPriority w:val="99"/>
    <w:qFormat/>
    <w:rsid w:val="004B4D51"/>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AF5030"/>
    <w:pPr>
      <w:keepNext/>
      <w:keepLines/>
      <w:spacing w:before="200"/>
      <w:outlineLvl w:val="1"/>
    </w:pPr>
    <w:rPr>
      <w:rFonts w:eastAsia="Times New Roman"/>
      <w:b/>
      <w:bCs/>
      <w:color w:val="4F81BD"/>
      <w:sz w:val="26"/>
      <w:szCs w:val="26"/>
    </w:rPr>
  </w:style>
  <w:style w:type="paragraph" w:styleId="Heading3">
    <w:name w:val="heading 3"/>
    <w:basedOn w:val="Normal"/>
    <w:next w:val="Normal"/>
    <w:link w:val="Heading3Char"/>
    <w:uiPriority w:val="99"/>
    <w:qFormat/>
    <w:rsid w:val="00AF5030"/>
    <w:pPr>
      <w:keepNext/>
      <w:keepLines/>
      <w:spacing w:before="200"/>
      <w:outlineLvl w:val="2"/>
    </w:pPr>
    <w:rPr>
      <w:rFonts w:eastAsia="Times New Roman"/>
      <w:b/>
      <w:bCs/>
      <w:color w:val="4F81BD"/>
      <w:sz w:val="20"/>
      <w:szCs w:val="20"/>
    </w:rPr>
  </w:style>
  <w:style w:type="paragraph" w:styleId="Heading4">
    <w:name w:val="heading 4"/>
    <w:basedOn w:val="Normal"/>
    <w:next w:val="Normal"/>
    <w:link w:val="Heading4Char"/>
    <w:uiPriority w:val="99"/>
    <w:qFormat/>
    <w:rsid w:val="004B4D51"/>
    <w:pPr>
      <w:keepNext/>
      <w:keepLines/>
      <w:spacing w:before="200"/>
      <w:outlineLvl w:val="3"/>
    </w:pPr>
    <w:rPr>
      <w:rFonts w:ascii="Cambria" w:eastAsia="Times New Roman" w:hAnsi="Cambria"/>
      <w:b/>
      <w:bCs/>
      <w:i/>
      <w:iCs/>
      <w:color w:val="4F81BD"/>
      <w:sz w:val="20"/>
      <w:szCs w:val="20"/>
    </w:rPr>
  </w:style>
  <w:style w:type="paragraph" w:styleId="Heading5">
    <w:name w:val="heading 5"/>
    <w:basedOn w:val="Normal"/>
    <w:next w:val="Normal"/>
    <w:link w:val="Heading5Char"/>
    <w:uiPriority w:val="99"/>
    <w:qFormat/>
    <w:rsid w:val="004B4D51"/>
    <w:pPr>
      <w:keepNext/>
      <w:keepLines/>
      <w:spacing w:before="200"/>
      <w:outlineLvl w:val="4"/>
    </w:pPr>
    <w:rPr>
      <w:rFonts w:ascii="Cambria" w:eastAsia="Times New Roman" w:hAnsi="Cambria"/>
      <w:color w:val="243F60"/>
      <w:sz w:val="20"/>
      <w:szCs w:val="20"/>
    </w:rPr>
  </w:style>
  <w:style w:type="paragraph" w:styleId="Heading6">
    <w:name w:val="heading 6"/>
    <w:basedOn w:val="Normal"/>
    <w:next w:val="Normal"/>
    <w:link w:val="Heading6Char"/>
    <w:uiPriority w:val="99"/>
    <w:qFormat/>
    <w:rsid w:val="004B4D51"/>
    <w:pPr>
      <w:keepNext/>
      <w:keepLines/>
      <w:spacing w:before="200"/>
      <w:outlineLvl w:val="5"/>
    </w:pPr>
    <w:rPr>
      <w:rFonts w:ascii="Cambria" w:eastAsia="Times New Roman" w:hAnsi="Cambria"/>
      <w:i/>
      <w:iCs/>
      <w:color w:val="243F60"/>
      <w:sz w:val="20"/>
      <w:szCs w:val="20"/>
    </w:rPr>
  </w:style>
  <w:style w:type="paragraph" w:styleId="Heading7">
    <w:name w:val="heading 7"/>
    <w:basedOn w:val="Normal"/>
    <w:next w:val="Normal"/>
    <w:link w:val="Heading7Char"/>
    <w:uiPriority w:val="99"/>
    <w:qFormat/>
    <w:rsid w:val="004B4D51"/>
    <w:pPr>
      <w:keepNext/>
      <w:keepLines/>
      <w:spacing w:before="200"/>
      <w:outlineLvl w:val="6"/>
    </w:pPr>
    <w:rPr>
      <w:rFonts w:ascii="Cambria" w:eastAsia="Times New Roman" w:hAnsi="Cambria"/>
      <w:i/>
      <w:iCs/>
      <w:color w:val="404040"/>
      <w:sz w:val="20"/>
      <w:szCs w:val="20"/>
    </w:rPr>
  </w:style>
  <w:style w:type="paragraph" w:styleId="Heading8">
    <w:name w:val="heading 8"/>
    <w:basedOn w:val="Normal"/>
    <w:next w:val="Normal"/>
    <w:link w:val="Heading8Char"/>
    <w:uiPriority w:val="99"/>
    <w:qFormat/>
    <w:rsid w:val="004B4D51"/>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4B4D51"/>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4B4D51"/>
    <w:rPr>
      <w:rFonts w:ascii="Cambria" w:hAnsi="Cambria"/>
      <w:b/>
      <w:color w:val="365F91"/>
      <w:sz w:val="28"/>
    </w:rPr>
  </w:style>
  <w:style w:type="character" w:customStyle="1" w:styleId="Heading2Char">
    <w:name w:val="Heading 2 Char"/>
    <w:basedOn w:val="DefaultParagraphFont"/>
    <w:link w:val="Heading2"/>
    <w:uiPriority w:val="99"/>
    <w:semiHidden/>
    <w:locked/>
    <w:rsid w:val="0028695C"/>
    <w:rPr>
      <w:rFonts w:ascii="Times New Roman" w:hAnsi="Times New Roman"/>
      <w:b/>
      <w:color w:val="4F81BD"/>
      <w:sz w:val="26"/>
    </w:rPr>
  </w:style>
  <w:style w:type="character" w:customStyle="1" w:styleId="Heading3Char">
    <w:name w:val="Heading 3 Char"/>
    <w:basedOn w:val="DefaultParagraphFont"/>
    <w:link w:val="Heading3"/>
    <w:uiPriority w:val="99"/>
    <w:semiHidden/>
    <w:locked/>
    <w:rsid w:val="0028695C"/>
    <w:rPr>
      <w:rFonts w:ascii="Times New Roman" w:hAnsi="Times New Roman"/>
      <w:b/>
      <w:color w:val="4F81BD"/>
    </w:rPr>
  </w:style>
  <w:style w:type="character" w:customStyle="1" w:styleId="Heading4Char">
    <w:name w:val="Heading 4 Char"/>
    <w:basedOn w:val="DefaultParagraphFont"/>
    <w:link w:val="Heading4"/>
    <w:uiPriority w:val="99"/>
    <w:semiHidden/>
    <w:locked/>
    <w:rsid w:val="004B4D51"/>
    <w:rPr>
      <w:rFonts w:ascii="Cambria" w:hAnsi="Cambria"/>
      <w:b/>
      <w:i/>
      <w:color w:val="4F81BD"/>
    </w:rPr>
  </w:style>
  <w:style w:type="character" w:customStyle="1" w:styleId="Heading5Char">
    <w:name w:val="Heading 5 Char"/>
    <w:basedOn w:val="DefaultParagraphFont"/>
    <w:link w:val="Heading5"/>
    <w:uiPriority w:val="99"/>
    <w:semiHidden/>
    <w:locked/>
    <w:rsid w:val="004B4D51"/>
    <w:rPr>
      <w:rFonts w:ascii="Cambria" w:hAnsi="Cambria"/>
      <w:color w:val="243F60"/>
    </w:rPr>
  </w:style>
  <w:style w:type="character" w:customStyle="1" w:styleId="Heading6Char">
    <w:name w:val="Heading 6 Char"/>
    <w:basedOn w:val="DefaultParagraphFont"/>
    <w:link w:val="Heading6"/>
    <w:uiPriority w:val="99"/>
    <w:semiHidden/>
    <w:locked/>
    <w:rsid w:val="004B4D51"/>
    <w:rPr>
      <w:rFonts w:ascii="Cambria" w:hAnsi="Cambria"/>
      <w:i/>
      <w:color w:val="243F60"/>
    </w:rPr>
  </w:style>
  <w:style w:type="character" w:customStyle="1" w:styleId="Heading7Char">
    <w:name w:val="Heading 7 Char"/>
    <w:basedOn w:val="DefaultParagraphFont"/>
    <w:link w:val="Heading7"/>
    <w:uiPriority w:val="99"/>
    <w:semiHidden/>
    <w:locked/>
    <w:rsid w:val="004B4D51"/>
    <w:rPr>
      <w:rFonts w:ascii="Cambria" w:hAnsi="Cambria"/>
      <w:i/>
      <w:color w:val="404040"/>
    </w:rPr>
  </w:style>
  <w:style w:type="character" w:customStyle="1" w:styleId="Heading8Char">
    <w:name w:val="Heading 8 Char"/>
    <w:basedOn w:val="DefaultParagraphFont"/>
    <w:link w:val="Heading8"/>
    <w:uiPriority w:val="99"/>
    <w:semiHidden/>
    <w:locked/>
    <w:rsid w:val="004B4D51"/>
    <w:rPr>
      <w:rFonts w:ascii="Cambria" w:hAnsi="Cambria"/>
      <w:color w:val="404040"/>
      <w:sz w:val="20"/>
    </w:rPr>
  </w:style>
  <w:style w:type="character" w:customStyle="1" w:styleId="Heading9Char">
    <w:name w:val="Heading 9 Char"/>
    <w:basedOn w:val="DefaultParagraphFont"/>
    <w:link w:val="Heading9"/>
    <w:uiPriority w:val="99"/>
    <w:semiHidden/>
    <w:locked/>
    <w:rsid w:val="004B4D51"/>
    <w:rPr>
      <w:rFonts w:ascii="Cambria" w:hAnsi="Cambria"/>
      <w:i/>
      <w:color w:val="404040"/>
      <w:sz w:val="20"/>
    </w:rPr>
  </w:style>
  <w:style w:type="paragraph" w:styleId="BodyText">
    <w:name w:val="Body Text"/>
    <w:basedOn w:val="Normal"/>
    <w:link w:val="BodyTextChar"/>
    <w:uiPriority w:val="99"/>
    <w:rsid w:val="00AF5030"/>
    <w:pPr>
      <w:spacing w:after="240"/>
    </w:pPr>
    <w:rPr>
      <w:rFonts w:eastAsia="Times New Roman"/>
      <w:sz w:val="20"/>
      <w:szCs w:val="20"/>
    </w:rPr>
  </w:style>
  <w:style w:type="character" w:customStyle="1" w:styleId="BodyTextChar">
    <w:name w:val="Body Text Char"/>
    <w:basedOn w:val="DefaultParagraphFont"/>
    <w:link w:val="BodyText"/>
    <w:uiPriority w:val="99"/>
    <w:locked/>
    <w:rsid w:val="002D4589"/>
    <w:rPr>
      <w:rFonts w:eastAsia="Times New Roman"/>
    </w:rPr>
  </w:style>
  <w:style w:type="paragraph" w:customStyle="1" w:styleId="BodyTextContinued">
    <w:name w:val="Body Text Continued"/>
    <w:basedOn w:val="BodyText"/>
    <w:next w:val="BodyText"/>
    <w:uiPriority w:val="99"/>
    <w:rsid w:val="00AF5030"/>
  </w:style>
  <w:style w:type="paragraph" w:customStyle="1" w:styleId="BTIndent">
    <w:name w:val="BT Indent"/>
    <w:basedOn w:val="BodyText"/>
    <w:uiPriority w:val="99"/>
    <w:rsid w:val="00AF5030"/>
    <w:pPr>
      <w:ind w:left="720"/>
    </w:pPr>
  </w:style>
  <w:style w:type="paragraph" w:customStyle="1" w:styleId="Table">
    <w:name w:val="Table"/>
    <w:basedOn w:val="Normal"/>
    <w:uiPriority w:val="99"/>
    <w:rsid w:val="00AF5030"/>
    <w:pPr>
      <w:spacing w:before="60" w:after="60" w:line="240" w:lineRule="exact"/>
    </w:pPr>
    <w:rPr>
      <w:rFonts w:eastAsia="Times New Roman"/>
    </w:rPr>
  </w:style>
  <w:style w:type="paragraph" w:styleId="Quote">
    <w:name w:val="Quote"/>
    <w:basedOn w:val="Normal"/>
    <w:next w:val="BodyTextContinued"/>
    <w:link w:val="QuoteChar"/>
    <w:uiPriority w:val="99"/>
    <w:qFormat/>
    <w:rsid w:val="00AF5030"/>
    <w:pPr>
      <w:spacing w:after="240"/>
      <w:ind w:left="1440" w:right="1440"/>
    </w:pPr>
    <w:rPr>
      <w:sz w:val="20"/>
      <w:szCs w:val="20"/>
    </w:rPr>
  </w:style>
  <w:style w:type="character" w:customStyle="1" w:styleId="QuoteChar">
    <w:name w:val="Quote Char"/>
    <w:basedOn w:val="DefaultParagraphFont"/>
    <w:link w:val="Quote"/>
    <w:uiPriority w:val="99"/>
    <w:locked/>
    <w:rsid w:val="0028695C"/>
    <w:rPr>
      <w:sz w:val="20"/>
    </w:rPr>
  </w:style>
  <w:style w:type="paragraph" w:customStyle="1" w:styleId="ResH1">
    <w:name w:val="Res H1"/>
    <w:basedOn w:val="Heading2"/>
    <w:uiPriority w:val="99"/>
    <w:rsid w:val="00AF5030"/>
    <w:pPr>
      <w:tabs>
        <w:tab w:val="left" w:pos="720"/>
      </w:tabs>
      <w:spacing w:before="0" w:line="240" w:lineRule="atLeast"/>
      <w:ind w:left="720" w:right="720" w:hanging="720"/>
    </w:pPr>
    <w:rPr>
      <w:bCs w:val="0"/>
      <w:i/>
      <w:caps/>
      <w:color w:val="auto"/>
      <w:szCs w:val="20"/>
      <w:lang w:eastAsia="zh-CN"/>
    </w:rPr>
  </w:style>
  <w:style w:type="paragraph" w:customStyle="1" w:styleId="ResH2">
    <w:name w:val="Res H2"/>
    <w:basedOn w:val="Heading3"/>
    <w:uiPriority w:val="99"/>
    <w:rsid w:val="00AF5030"/>
    <w:pPr>
      <w:spacing w:before="0" w:line="240" w:lineRule="atLeast"/>
      <w:ind w:left="1440" w:right="720" w:hanging="720"/>
    </w:pPr>
    <w:rPr>
      <w:bCs w:val="0"/>
      <w:color w:val="auto"/>
      <w:u w:val="single"/>
      <w:lang w:eastAsia="zh-CN"/>
    </w:rPr>
  </w:style>
  <w:style w:type="paragraph" w:customStyle="1" w:styleId="Resolution">
    <w:name w:val="Resolution"/>
    <w:basedOn w:val="NormalIndent"/>
    <w:uiPriority w:val="99"/>
    <w:rsid w:val="00AF5030"/>
    <w:pPr>
      <w:spacing w:before="240" w:line="240" w:lineRule="atLeast"/>
      <w:ind w:right="720"/>
    </w:pPr>
    <w:rPr>
      <w:sz w:val="26"/>
      <w:szCs w:val="20"/>
    </w:rPr>
  </w:style>
  <w:style w:type="paragraph" w:styleId="NormalIndent">
    <w:name w:val="Normal Indent"/>
    <w:basedOn w:val="Normal"/>
    <w:uiPriority w:val="99"/>
    <w:rsid w:val="00AF5030"/>
    <w:pPr>
      <w:ind w:left="720"/>
    </w:pPr>
  </w:style>
  <w:style w:type="paragraph" w:styleId="Title">
    <w:name w:val="Title"/>
    <w:basedOn w:val="BodyText"/>
    <w:next w:val="BodyText"/>
    <w:link w:val="TitleChar"/>
    <w:uiPriority w:val="99"/>
    <w:qFormat/>
    <w:rsid w:val="00383F2B"/>
    <w:pPr>
      <w:jc w:val="center"/>
      <w:outlineLvl w:val="0"/>
    </w:pPr>
    <w:rPr>
      <w:b/>
      <w:bCs/>
      <w:szCs w:val="32"/>
    </w:rPr>
  </w:style>
  <w:style w:type="character" w:customStyle="1" w:styleId="TitleChar">
    <w:name w:val="Title Char"/>
    <w:basedOn w:val="DefaultParagraphFont"/>
    <w:link w:val="Title"/>
    <w:uiPriority w:val="99"/>
    <w:locked/>
    <w:rsid w:val="00383F2B"/>
    <w:rPr>
      <w:rFonts w:eastAsia="Times New Roman"/>
      <w:b/>
      <w:sz w:val="32"/>
    </w:rPr>
  </w:style>
  <w:style w:type="paragraph" w:styleId="Header">
    <w:name w:val="header"/>
    <w:basedOn w:val="Normal"/>
    <w:link w:val="HeaderChar"/>
    <w:uiPriority w:val="99"/>
    <w:rsid w:val="00AE5A8A"/>
    <w:pPr>
      <w:tabs>
        <w:tab w:val="center" w:pos="4680"/>
        <w:tab w:val="right" w:pos="9360"/>
      </w:tabs>
    </w:pPr>
  </w:style>
  <w:style w:type="character" w:customStyle="1" w:styleId="HeaderChar">
    <w:name w:val="Header Char"/>
    <w:basedOn w:val="DefaultParagraphFont"/>
    <w:link w:val="Header"/>
    <w:uiPriority w:val="99"/>
    <w:locked/>
    <w:rsid w:val="00BB574B"/>
    <w:rPr>
      <w:rFonts w:cs="Times New Roman"/>
    </w:rPr>
  </w:style>
  <w:style w:type="paragraph" w:styleId="Footer">
    <w:name w:val="footer"/>
    <w:basedOn w:val="Normal"/>
    <w:link w:val="FooterChar"/>
    <w:uiPriority w:val="99"/>
    <w:rsid w:val="00AE5A8A"/>
    <w:pPr>
      <w:tabs>
        <w:tab w:val="center" w:pos="4680"/>
        <w:tab w:val="right" w:pos="9360"/>
      </w:tabs>
    </w:pPr>
  </w:style>
  <w:style w:type="character" w:customStyle="1" w:styleId="FooterChar">
    <w:name w:val="Footer Char"/>
    <w:basedOn w:val="DefaultParagraphFont"/>
    <w:link w:val="Footer"/>
    <w:uiPriority w:val="99"/>
    <w:locked/>
    <w:rsid w:val="00BB574B"/>
    <w:rPr>
      <w:rFonts w:cs="Times New Roman"/>
    </w:rPr>
  </w:style>
  <w:style w:type="paragraph" w:styleId="BodyTextIndent">
    <w:name w:val="Body Text Indent"/>
    <w:basedOn w:val="BodyText"/>
    <w:link w:val="BodyTextIndentChar"/>
    <w:uiPriority w:val="99"/>
    <w:rsid w:val="00147A0E"/>
    <w:pPr>
      <w:ind w:left="720"/>
    </w:pPr>
  </w:style>
  <w:style w:type="character" w:customStyle="1" w:styleId="BodyTextIndentChar">
    <w:name w:val="Body Text Indent Char"/>
    <w:basedOn w:val="DefaultParagraphFont"/>
    <w:link w:val="BodyTextIndent"/>
    <w:uiPriority w:val="99"/>
    <w:locked/>
    <w:rsid w:val="00147A0E"/>
    <w:rPr>
      <w:rFonts w:eastAsia="Times New Roman"/>
    </w:rPr>
  </w:style>
  <w:style w:type="character" w:styleId="Emphasis">
    <w:name w:val="Emphasis"/>
    <w:basedOn w:val="DefaultParagraphFont"/>
    <w:uiPriority w:val="99"/>
    <w:qFormat/>
    <w:rsid w:val="004B4D51"/>
    <w:rPr>
      <w:rFonts w:cs="Times New Roman"/>
      <w:i/>
    </w:rPr>
  </w:style>
  <w:style w:type="character" w:styleId="IntenseEmphasis">
    <w:name w:val="Intense Emphasis"/>
    <w:basedOn w:val="DefaultParagraphFont"/>
    <w:uiPriority w:val="99"/>
    <w:qFormat/>
    <w:rsid w:val="004B4D51"/>
    <w:rPr>
      <w:b/>
      <w:i/>
      <w:color w:val="4F81BD"/>
    </w:rPr>
  </w:style>
  <w:style w:type="paragraph" w:styleId="IntenseQuote">
    <w:name w:val="Intense Quote"/>
    <w:basedOn w:val="Normal"/>
    <w:next w:val="Normal"/>
    <w:link w:val="IntenseQuoteChar"/>
    <w:uiPriority w:val="99"/>
    <w:qFormat/>
    <w:rsid w:val="004B4D51"/>
    <w:pPr>
      <w:pBdr>
        <w:bottom w:val="single" w:sz="4" w:space="4" w:color="4F81BD"/>
      </w:pBdr>
      <w:spacing w:before="200" w:after="280"/>
      <w:ind w:left="936" w:right="936"/>
    </w:pPr>
    <w:rPr>
      <w:b/>
      <w:bCs/>
      <w:i/>
      <w:iCs/>
      <w:color w:val="4F81BD"/>
      <w:sz w:val="20"/>
      <w:szCs w:val="20"/>
    </w:rPr>
  </w:style>
  <w:style w:type="character" w:customStyle="1" w:styleId="IntenseQuoteChar">
    <w:name w:val="Intense Quote Char"/>
    <w:basedOn w:val="DefaultParagraphFont"/>
    <w:link w:val="IntenseQuote"/>
    <w:uiPriority w:val="99"/>
    <w:semiHidden/>
    <w:locked/>
    <w:rsid w:val="004B4D51"/>
    <w:rPr>
      <w:b/>
      <w:i/>
      <w:color w:val="4F81BD"/>
    </w:rPr>
  </w:style>
  <w:style w:type="character" w:styleId="IntenseReference">
    <w:name w:val="Intense Reference"/>
    <w:basedOn w:val="DefaultParagraphFont"/>
    <w:uiPriority w:val="99"/>
    <w:qFormat/>
    <w:rsid w:val="004B4D51"/>
    <w:rPr>
      <w:b/>
      <w:smallCaps/>
      <w:color w:val="C0504D"/>
      <w:spacing w:val="5"/>
      <w:u w:val="single"/>
    </w:rPr>
  </w:style>
  <w:style w:type="character" w:styleId="Strong">
    <w:name w:val="Strong"/>
    <w:basedOn w:val="DefaultParagraphFont"/>
    <w:uiPriority w:val="99"/>
    <w:qFormat/>
    <w:rsid w:val="004B4D51"/>
    <w:rPr>
      <w:rFonts w:cs="Times New Roman"/>
      <w:b/>
    </w:rPr>
  </w:style>
  <w:style w:type="paragraph" w:styleId="Subtitle">
    <w:name w:val="Subtitle"/>
    <w:basedOn w:val="Normal"/>
    <w:next w:val="Normal"/>
    <w:link w:val="SubtitleChar"/>
    <w:uiPriority w:val="99"/>
    <w:qFormat/>
    <w:rsid w:val="004B4D51"/>
    <w:pPr>
      <w:numPr>
        <w:ilvl w:val="1"/>
      </w:numPr>
    </w:pPr>
    <w:rPr>
      <w:rFonts w:ascii="Cambria" w:eastAsia="Times New Roman" w:hAnsi="Cambria"/>
      <w:i/>
      <w:iCs/>
      <w:color w:val="4F81BD"/>
      <w:spacing w:val="15"/>
      <w:sz w:val="20"/>
      <w:szCs w:val="20"/>
    </w:rPr>
  </w:style>
  <w:style w:type="character" w:customStyle="1" w:styleId="SubtitleChar">
    <w:name w:val="Subtitle Char"/>
    <w:basedOn w:val="DefaultParagraphFont"/>
    <w:link w:val="Subtitle"/>
    <w:uiPriority w:val="99"/>
    <w:semiHidden/>
    <w:locked/>
    <w:rsid w:val="004B4D51"/>
    <w:rPr>
      <w:rFonts w:ascii="Cambria" w:hAnsi="Cambria"/>
      <w:i/>
      <w:color w:val="4F81BD"/>
      <w:spacing w:val="15"/>
    </w:rPr>
  </w:style>
  <w:style w:type="character" w:styleId="SubtleEmphasis">
    <w:name w:val="Subtle Emphasis"/>
    <w:basedOn w:val="DefaultParagraphFont"/>
    <w:uiPriority w:val="99"/>
    <w:qFormat/>
    <w:rsid w:val="004B4D51"/>
    <w:rPr>
      <w:i/>
      <w:color w:val="808080"/>
    </w:rPr>
  </w:style>
  <w:style w:type="character" w:styleId="SubtleReference">
    <w:name w:val="Subtle Reference"/>
    <w:basedOn w:val="DefaultParagraphFont"/>
    <w:uiPriority w:val="99"/>
    <w:qFormat/>
    <w:rsid w:val="004B4D51"/>
    <w:rPr>
      <w:smallCaps/>
      <w:color w:val="C0504D"/>
      <w:u w:val="single"/>
    </w:rPr>
  </w:style>
  <w:style w:type="paragraph" w:styleId="ListParagraph">
    <w:name w:val="List Paragraph"/>
    <w:basedOn w:val="Normal"/>
    <w:uiPriority w:val="99"/>
    <w:qFormat/>
    <w:rsid w:val="004B4D51"/>
    <w:pPr>
      <w:ind w:left="720"/>
      <w:contextualSpacing/>
    </w:pPr>
  </w:style>
  <w:style w:type="character" w:styleId="BookTitle">
    <w:name w:val="Book Title"/>
    <w:basedOn w:val="DefaultParagraphFont"/>
    <w:uiPriority w:val="99"/>
    <w:qFormat/>
    <w:rsid w:val="004B4D51"/>
    <w:rPr>
      <w:b/>
      <w:smallCaps/>
      <w:spacing w:val="5"/>
    </w:rPr>
  </w:style>
  <w:style w:type="paragraph" w:styleId="NoSpacing">
    <w:name w:val="No Spacing"/>
    <w:uiPriority w:val="99"/>
    <w:qFormat/>
    <w:rsid w:val="004B4D51"/>
    <w:rPr>
      <w:sz w:val="24"/>
      <w:szCs w:val="24"/>
    </w:rPr>
  </w:style>
  <w:style w:type="table" w:styleId="TableGrid">
    <w:name w:val="Table Grid"/>
    <w:basedOn w:val="TableNormal"/>
    <w:uiPriority w:val="99"/>
    <w:rsid w:val="00C504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C50417"/>
    <w:rPr>
      <w:rFonts w:cs="Times New Roman"/>
      <w:color w:val="0000FF"/>
      <w:u w:val="single"/>
    </w:rPr>
  </w:style>
  <w:style w:type="paragraph" w:styleId="BodyTextIndent2">
    <w:name w:val="Body Text Indent 2"/>
    <w:basedOn w:val="Normal"/>
    <w:link w:val="BodyTextIndent2Char"/>
    <w:uiPriority w:val="99"/>
    <w:semiHidden/>
    <w:rsid w:val="00242BDC"/>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242BDC"/>
    <w:rPr>
      <w:rFonts w:cs="Times New Roman"/>
    </w:rPr>
  </w:style>
  <w:style w:type="paragraph" w:styleId="FootnoteText">
    <w:name w:val="footnote text"/>
    <w:basedOn w:val="Normal"/>
    <w:link w:val="FootnoteTextChar"/>
    <w:uiPriority w:val="99"/>
    <w:semiHidden/>
    <w:rsid w:val="00242BDC"/>
    <w:rPr>
      <w:sz w:val="20"/>
      <w:szCs w:val="20"/>
    </w:rPr>
  </w:style>
  <w:style w:type="character" w:customStyle="1" w:styleId="FootnoteTextChar">
    <w:name w:val="Footnote Text Char"/>
    <w:basedOn w:val="DefaultParagraphFont"/>
    <w:link w:val="FootnoteText"/>
    <w:uiPriority w:val="99"/>
    <w:semiHidden/>
    <w:locked/>
    <w:rsid w:val="00242BDC"/>
    <w:rPr>
      <w:sz w:val="20"/>
    </w:rPr>
  </w:style>
  <w:style w:type="character" w:styleId="FootnoteReference">
    <w:name w:val="footnote reference"/>
    <w:basedOn w:val="DefaultParagraphFont"/>
    <w:uiPriority w:val="99"/>
    <w:semiHidden/>
    <w:rsid w:val="00242BDC"/>
    <w:rPr>
      <w:rFonts w:cs="Times New Roman"/>
      <w:vertAlign w:val="superscript"/>
    </w:rPr>
  </w:style>
  <w:style w:type="character" w:styleId="PlaceholderText">
    <w:name w:val="Placeholder Text"/>
    <w:basedOn w:val="DefaultParagraphFont"/>
    <w:uiPriority w:val="99"/>
    <w:semiHidden/>
    <w:rsid w:val="00AA3B36"/>
    <w:rPr>
      <w:color w:val="808080"/>
    </w:rPr>
  </w:style>
  <w:style w:type="paragraph" w:customStyle="1" w:styleId="righthalf">
    <w:name w:val="right half"/>
    <w:basedOn w:val="Normal"/>
    <w:uiPriority w:val="99"/>
    <w:rsid w:val="008924E1"/>
    <w:pPr>
      <w:keepLines/>
      <w:tabs>
        <w:tab w:val="left" w:pos="4860"/>
        <w:tab w:val="right" w:pos="9090"/>
      </w:tabs>
      <w:spacing w:before="480" w:line="240" w:lineRule="atLeast"/>
      <w:ind w:left="4320" w:right="187"/>
    </w:pPr>
    <w:rPr>
      <w:rFonts w:eastAsia="Times New Roman"/>
      <w:szCs w:val="20"/>
    </w:rPr>
  </w:style>
  <w:style w:type="paragraph" w:styleId="BalloonText">
    <w:name w:val="Balloon Text"/>
    <w:basedOn w:val="Normal"/>
    <w:link w:val="BalloonTextChar"/>
    <w:uiPriority w:val="99"/>
    <w:semiHidden/>
    <w:rsid w:val="000D67F0"/>
    <w:rPr>
      <w:rFonts w:ascii="Tahoma" w:hAnsi="Tahoma" w:cs="Tahoma"/>
      <w:sz w:val="16"/>
      <w:szCs w:val="16"/>
    </w:rPr>
  </w:style>
  <w:style w:type="character" w:customStyle="1" w:styleId="BalloonTextChar">
    <w:name w:val="Balloon Text Char"/>
    <w:basedOn w:val="DefaultParagraphFont"/>
    <w:link w:val="BalloonText"/>
    <w:uiPriority w:val="99"/>
    <w:semiHidden/>
    <w:rsid w:val="006B2770"/>
    <w:rPr>
      <w:sz w:val="0"/>
      <w:szCs w:val="0"/>
    </w:rPr>
  </w:style>
  <w:style w:type="character" w:styleId="CommentReference">
    <w:name w:val="annotation reference"/>
    <w:basedOn w:val="DefaultParagraphFont"/>
    <w:uiPriority w:val="99"/>
    <w:semiHidden/>
    <w:rsid w:val="00E07C48"/>
    <w:rPr>
      <w:rFonts w:cs="Times New Roman"/>
      <w:sz w:val="16"/>
      <w:szCs w:val="16"/>
    </w:rPr>
  </w:style>
  <w:style w:type="paragraph" w:styleId="CommentText">
    <w:name w:val="annotation text"/>
    <w:basedOn w:val="Normal"/>
    <w:link w:val="CommentTextChar"/>
    <w:uiPriority w:val="99"/>
    <w:semiHidden/>
    <w:rsid w:val="00E07C48"/>
    <w:rPr>
      <w:sz w:val="20"/>
      <w:szCs w:val="20"/>
    </w:rPr>
  </w:style>
  <w:style w:type="character" w:customStyle="1" w:styleId="CommentTextChar">
    <w:name w:val="Comment Text Char"/>
    <w:basedOn w:val="DefaultParagraphFont"/>
    <w:link w:val="CommentText"/>
    <w:uiPriority w:val="99"/>
    <w:semiHidden/>
    <w:rsid w:val="006B2770"/>
    <w:rPr>
      <w:sz w:val="20"/>
      <w:szCs w:val="20"/>
    </w:rPr>
  </w:style>
  <w:style w:type="paragraph" w:styleId="CommentSubject">
    <w:name w:val="annotation subject"/>
    <w:basedOn w:val="CommentText"/>
    <w:next w:val="CommentText"/>
    <w:link w:val="CommentSubjectChar"/>
    <w:uiPriority w:val="99"/>
    <w:semiHidden/>
    <w:rsid w:val="00E07C48"/>
    <w:rPr>
      <w:b/>
      <w:bCs/>
    </w:rPr>
  </w:style>
  <w:style w:type="character" w:customStyle="1" w:styleId="CommentSubjectChar">
    <w:name w:val="Comment Subject Char"/>
    <w:basedOn w:val="CommentTextChar"/>
    <w:link w:val="CommentSubject"/>
    <w:uiPriority w:val="99"/>
    <w:semiHidden/>
    <w:rsid w:val="006B27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796485">
      <w:marLeft w:val="0"/>
      <w:marRight w:val="0"/>
      <w:marTop w:val="0"/>
      <w:marBottom w:val="0"/>
      <w:divBdr>
        <w:top w:val="none" w:sz="0" w:space="0" w:color="auto"/>
        <w:left w:val="none" w:sz="0" w:space="0" w:color="auto"/>
        <w:bottom w:val="none" w:sz="0" w:space="0" w:color="auto"/>
        <w:right w:val="none" w:sz="0" w:space="0" w:color="auto"/>
      </w:divBdr>
    </w:div>
    <w:div w:id="743796486">
      <w:marLeft w:val="0"/>
      <w:marRight w:val="0"/>
      <w:marTop w:val="0"/>
      <w:marBottom w:val="0"/>
      <w:divBdr>
        <w:top w:val="none" w:sz="0" w:space="0" w:color="auto"/>
        <w:left w:val="none" w:sz="0" w:space="0" w:color="auto"/>
        <w:bottom w:val="none" w:sz="0" w:space="0" w:color="auto"/>
        <w:right w:val="none" w:sz="0" w:space="0" w:color="auto"/>
      </w:divBdr>
    </w:div>
    <w:div w:id="743796489">
      <w:marLeft w:val="0"/>
      <w:marRight w:val="0"/>
      <w:marTop w:val="0"/>
      <w:marBottom w:val="0"/>
      <w:divBdr>
        <w:top w:val="none" w:sz="0" w:space="0" w:color="auto"/>
        <w:left w:val="none" w:sz="0" w:space="0" w:color="auto"/>
        <w:bottom w:val="none" w:sz="0" w:space="0" w:color="auto"/>
        <w:right w:val="none" w:sz="0" w:space="0" w:color="auto"/>
      </w:divBdr>
    </w:div>
    <w:div w:id="743796490">
      <w:marLeft w:val="0"/>
      <w:marRight w:val="0"/>
      <w:marTop w:val="0"/>
      <w:marBottom w:val="0"/>
      <w:divBdr>
        <w:top w:val="none" w:sz="0" w:space="0" w:color="auto"/>
        <w:left w:val="none" w:sz="0" w:space="0" w:color="auto"/>
        <w:bottom w:val="none" w:sz="0" w:space="0" w:color="auto"/>
        <w:right w:val="none" w:sz="0" w:space="0" w:color="auto"/>
      </w:divBdr>
    </w:div>
    <w:div w:id="743796491">
      <w:marLeft w:val="0"/>
      <w:marRight w:val="0"/>
      <w:marTop w:val="0"/>
      <w:marBottom w:val="0"/>
      <w:divBdr>
        <w:top w:val="none" w:sz="0" w:space="0" w:color="auto"/>
        <w:left w:val="none" w:sz="0" w:space="0" w:color="auto"/>
        <w:bottom w:val="none" w:sz="0" w:space="0" w:color="auto"/>
        <w:right w:val="none" w:sz="0" w:space="0" w:color="auto"/>
      </w:divBdr>
    </w:div>
    <w:div w:id="743796492">
      <w:marLeft w:val="0"/>
      <w:marRight w:val="0"/>
      <w:marTop w:val="0"/>
      <w:marBottom w:val="0"/>
      <w:divBdr>
        <w:top w:val="none" w:sz="0" w:space="0" w:color="auto"/>
        <w:left w:val="none" w:sz="0" w:space="0" w:color="auto"/>
        <w:bottom w:val="none" w:sz="0" w:space="0" w:color="auto"/>
        <w:right w:val="none" w:sz="0" w:space="0" w:color="auto"/>
      </w:divBdr>
    </w:div>
    <w:div w:id="743796493">
      <w:marLeft w:val="0"/>
      <w:marRight w:val="0"/>
      <w:marTop w:val="0"/>
      <w:marBottom w:val="0"/>
      <w:divBdr>
        <w:top w:val="none" w:sz="0" w:space="0" w:color="auto"/>
        <w:left w:val="none" w:sz="0" w:space="0" w:color="auto"/>
        <w:bottom w:val="none" w:sz="0" w:space="0" w:color="auto"/>
        <w:right w:val="none" w:sz="0" w:space="0" w:color="auto"/>
      </w:divBdr>
    </w:div>
    <w:div w:id="743796494">
      <w:marLeft w:val="0"/>
      <w:marRight w:val="0"/>
      <w:marTop w:val="0"/>
      <w:marBottom w:val="0"/>
      <w:divBdr>
        <w:top w:val="none" w:sz="0" w:space="0" w:color="auto"/>
        <w:left w:val="none" w:sz="0" w:space="0" w:color="auto"/>
        <w:bottom w:val="none" w:sz="0" w:space="0" w:color="auto"/>
        <w:right w:val="none" w:sz="0" w:space="0" w:color="auto"/>
      </w:divBdr>
    </w:div>
    <w:div w:id="743796495">
      <w:marLeft w:val="0"/>
      <w:marRight w:val="0"/>
      <w:marTop w:val="0"/>
      <w:marBottom w:val="0"/>
      <w:divBdr>
        <w:top w:val="none" w:sz="0" w:space="0" w:color="auto"/>
        <w:left w:val="none" w:sz="0" w:space="0" w:color="auto"/>
        <w:bottom w:val="none" w:sz="0" w:space="0" w:color="auto"/>
        <w:right w:val="none" w:sz="0" w:space="0" w:color="auto"/>
      </w:divBdr>
    </w:div>
    <w:div w:id="743796496">
      <w:marLeft w:val="0"/>
      <w:marRight w:val="0"/>
      <w:marTop w:val="0"/>
      <w:marBottom w:val="0"/>
      <w:divBdr>
        <w:top w:val="none" w:sz="0" w:space="0" w:color="auto"/>
        <w:left w:val="none" w:sz="0" w:space="0" w:color="auto"/>
        <w:bottom w:val="none" w:sz="0" w:space="0" w:color="auto"/>
        <w:right w:val="none" w:sz="0" w:space="0" w:color="auto"/>
      </w:divBdr>
    </w:div>
    <w:div w:id="743796497">
      <w:marLeft w:val="0"/>
      <w:marRight w:val="0"/>
      <w:marTop w:val="0"/>
      <w:marBottom w:val="0"/>
      <w:divBdr>
        <w:top w:val="none" w:sz="0" w:space="0" w:color="auto"/>
        <w:left w:val="none" w:sz="0" w:space="0" w:color="auto"/>
        <w:bottom w:val="none" w:sz="0" w:space="0" w:color="auto"/>
        <w:right w:val="none" w:sz="0" w:space="0" w:color="auto"/>
      </w:divBdr>
    </w:div>
    <w:div w:id="743796498">
      <w:marLeft w:val="0"/>
      <w:marRight w:val="0"/>
      <w:marTop w:val="0"/>
      <w:marBottom w:val="0"/>
      <w:divBdr>
        <w:top w:val="none" w:sz="0" w:space="0" w:color="auto"/>
        <w:left w:val="none" w:sz="0" w:space="0" w:color="auto"/>
        <w:bottom w:val="none" w:sz="0" w:space="0" w:color="auto"/>
        <w:right w:val="none" w:sz="0" w:space="0" w:color="auto"/>
      </w:divBdr>
    </w:div>
    <w:div w:id="743796499">
      <w:marLeft w:val="0"/>
      <w:marRight w:val="0"/>
      <w:marTop w:val="0"/>
      <w:marBottom w:val="0"/>
      <w:divBdr>
        <w:top w:val="none" w:sz="0" w:space="0" w:color="auto"/>
        <w:left w:val="none" w:sz="0" w:space="0" w:color="auto"/>
        <w:bottom w:val="none" w:sz="0" w:space="0" w:color="auto"/>
        <w:right w:val="none" w:sz="0" w:space="0" w:color="auto"/>
      </w:divBdr>
    </w:div>
    <w:div w:id="743796500">
      <w:marLeft w:val="0"/>
      <w:marRight w:val="0"/>
      <w:marTop w:val="0"/>
      <w:marBottom w:val="0"/>
      <w:divBdr>
        <w:top w:val="none" w:sz="0" w:space="0" w:color="auto"/>
        <w:left w:val="none" w:sz="0" w:space="0" w:color="auto"/>
        <w:bottom w:val="none" w:sz="0" w:space="0" w:color="auto"/>
        <w:right w:val="none" w:sz="0" w:space="0" w:color="auto"/>
      </w:divBdr>
      <w:divsChild>
        <w:div w:id="743796487">
          <w:marLeft w:val="0"/>
          <w:marRight w:val="0"/>
          <w:marTop w:val="0"/>
          <w:marBottom w:val="0"/>
          <w:divBdr>
            <w:top w:val="none" w:sz="0" w:space="0" w:color="auto"/>
            <w:left w:val="none" w:sz="0" w:space="0" w:color="auto"/>
            <w:bottom w:val="none" w:sz="0" w:space="0" w:color="auto"/>
            <w:right w:val="none" w:sz="0" w:space="0" w:color="auto"/>
          </w:divBdr>
          <w:divsChild>
            <w:div w:id="743796488">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7437965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herine.barnard@pse.com" TargetMode="External"/><Relationship Id="rId13" Type="http://schemas.openxmlformats.org/officeDocument/2006/relationships/footer" Target="foot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barnett@perkinscoie.com"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kuzma@perkinscoi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barnett@perkinscoie.com"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jkuzma@perkinscoie.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Perkin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140</IndustryCode>
    <CaseStatus xmlns="dc463f71-b30c-4ab2-9473-d307f9d35888">Closed</CaseStatus>
    <OpenedDate xmlns="dc463f71-b30c-4ab2-9473-d307f9d35888">2013-06-27T07:00:00+00:00</OpenedDate>
    <Date1 xmlns="dc463f71-b30c-4ab2-9473-d307f9d35888">2013-06-27T07:00:00+00:00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131230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3CFBC5394265349A8010B564327F467" ma:contentTypeVersion="135" ma:contentTypeDescription="" ma:contentTypeScope="" ma:versionID="13a3ab3c55d8f44d335e41c14d4274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A90282-5CB2-495C-B9B9-E180DD41A341}"/>
</file>

<file path=customXml/itemProps2.xml><?xml version="1.0" encoding="utf-8"?>
<ds:datastoreItem xmlns:ds="http://schemas.openxmlformats.org/officeDocument/2006/customXml" ds:itemID="{BB259DD7-FC42-4014-AFE3-D7255548AC3A}"/>
</file>

<file path=customXml/itemProps3.xml><?xml version="1.0" encoding="utf-8"?>
<ds:datastoreItem xmlns:ds="http://schemas.openxmlformats.org/officeDocument/2006/customXml" ds:itemID="{64B9E6F6-6ACC-4ED7-9760-F03808752458}"/>
</file>

<file path=customXml/itemProps4.xml><?xml version="1.0" encoding="utf-8"?>
<ds:datastoreItem xmlns:ds="http://schemas.openxmlformats.org/officeDocument/2006/customXml" ds:itemID="{D1541D71-B35C-4833-A98F-6F798669E7E8}"/>
</file>

<file path=docProps/app.xml><?xml version="1.0" encoding="utf-8"?>
<Properties xmlns="http://schemas.openxmlformats.org/officeDocument/2006/extended-properties" xmlns:vt="http://schemas.openxmlformats.org/officeDocument/2006/docPropsVTypes">
  <Template>PerkinsBlank.dotx</Template>
  <TotalTime>0</TotalTime>
  <Pages>13</Pages>
  <Words>2977</Words>
  <Characters>16972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Perkins Coie LLP</Company>
  <LinksUpToDate>false</LinksUpToDate>
  <CharactersWithSpaces>19910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Kuzma, Jason  (Perkins Coie)</dc:creator>
  <cp:lastModifiedBy>No Name</cp:lastModifiedBy>
  <cp:revision>2</cp:revision>
  <cp:lastPrinted>2013-06-27T18:02:00Z</cp:lastPrinted>
  <dcterms:created xsi:type="dcterms:W3CDTF">2013-06-27T18:43:00Z</dcterms:created>
  <dcterms:modified xsi:type="dcterms:W3CDTF">2013-06-27T18:43:00Z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oFAAC41Wbh9etaW2geJKOLEUvVuIXanyFsGKImPaiOdML/2rkZTN5vVzX+oiLEJKA5vLGnZmT22ZWg3u
slGj7Xuzt8G9ycoOHSrJk2W4yK9KcDzB7XSNg60KJKKmOTyMDb7LF5VymlK+OceMkNkWYe7DJjCe
UBkqRebVNUaL0iAY8nccYKuRRDwkXAqj/MpJ/Wj9IUOeu6U2wkdhT+VBe4bvzonki7FsvZ3UW0/P
MBv4jzF08V2QOP03N</vt:lpwstr>
  </property>
  <property fmtid="{D5CDD505-2E9C-101B-9397-08002B2CF9AE}" pid="3" name="MAIL_MSG_ID2">
    <vt:lpwstr>XCB7mUWZE7ApLJI0W2DEsunDNpljf1GNIf6GXXPigc90VAMK65ibkTZ2RnH
Eo5li6qMEcl8SIyP9hS5WaBvDeoAckvDOq/IlF/vLCOYzZxh</vt:lpwstr>
  </property>
  <property fmtid="{D5CDD505-2E9C-101B-9397-08002B2CF9AE}" pid="4" name="RESPONSE_SENDER_NAME">
    <vt:lpwstr>ABAAdnH19QYq2YW/s5oM5ZEhoVd7cH/41mWDX5VxjLCoXusmbqwiEm3eVVHvJK9ZqDPl</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0x0101006E56B4D1795A2E4DB2F0B01679ED314A0073CFBC5394265349A8010B564327F467</vt:lpwstr>
  </property>
  <property fmtid="{D5CDD505-2E9C-101B-9397-08002B2CF9AE}" pid="7" name="_docset_NoMedatataSyncRequired">
    <vt:lpwstr>False</vt:lpwstr>
  </property>
</Properties>
</file>