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7ED8F" w14:textId="523B2C1A" w:rsidR="00046A19" w:rsidRDefault="00046A19" w:rsidP="00046A19">
      <w:bookmarkStart w:id="0" w:name="_GoBack"/>
      <w:bookmarkEnd w:id="0"/>
      <w:r w:rsidRPr="00EB4CE3">
        <w:t xml:space="preserve">Agenda Date: </w:t>
      </w:r>
      <w:r w:rsidRPr="00EB4CE3">
        <w:tab/>
      </w:r>
      <w:r w:rsidRPr="00EB4CE3">
        <w:tab/>
      </w:r>
      <w:r w:rsidR="00AC3BE4">
        <w:t>April 25</w:t>
      </w:r>
      <w:r w:rsidRPr="00EB4CE3">
        <w:t xml:space="preserve">, </w:t>
      </w:r>
      <w:r w:rsidR="007E2FCB">
        <w:t>201</w:t>
      </w:r>
      <w:r w:rsidR="00BB0D23">
        <w:t>3</w:t>
      </w:r>
      <w:r w:rsidR="00AC3BE4">
        <w:tab/>
      </w:r>
    </w:p>
    <w:p w14:paraId="6707ED90" w14:textId="38F9BA7F" w:rsidR="00046A19" w:rsidRDefault="00046A19" w:rsidP="00046A19">
      <w:r w:rsidRPr="00EB4CE3">
        <w:t>Item Number:</w:t>
      </w:r>
      <w:r w:rsidRPr="00EB4CE3">
        <w:tab/>
      </w:r>
      <w:r w:rsidRPr="00EB4CE3">
        <w:tab/>
      </w:r>
      <w:r w:rsidR="004630E9">
        <w:t>A</w:t>
      </w:r>
      <w:r w:rsidR="00220924">
        <w:t>3</w:t>
      </w:r>
      <w:r w:rsidR="0007172A">
        <w:tab/>
      </w:r>
    </w:p>
    <w:p w14:paraId="6707ED91" w14:textId="77777777" w:rsidR="000B6B1A" w:rsidRPr="00EB4CE3" w:rsidRDefault="000B6B1A" w:rsidP="00046A19"/>
    <w:p w14:paraId="6707ED92" w14:textId="4AB70BC2" w:rsidR="00046A19" w:rsidRPr="00EB4CE3" w:rsidRDefault="00046A19" w:rsidP="00046A19">
      <w:r w:rsidRPr="00EB4CE3">
        <w:t xml:space="preserve">Docket: </w:t>
      </w:r>
      <w:r w:rsidRPr="00EB4CE3">
        <w:tab/>
      </w:r>
      <w:r w:rsidRPr="00EB4CE3">
        <w:tab/>
        <w:t>UW-</w:t>
      </w:r>
      <w:r w:rsidR="001B06B5">
        <w:t>1</w:t>
      </w:r>
      <w:r w:rsidR="00947725">
        <w:t>30</w:t>
      </w:r>
      <w:r w:rsidR="00CF75A3">
        <w:t>400</w:t>
      </w:r>
    </w:p>
    <w:p w14:paraId="6707ED93" w14:textId="43F49D77" w:rsidR="00046A19" w:rsidRPr="00EB4CE3" w:rsidRDefault="00046A19" w:rsidP="00046A19">
      <w:r w:rsidRPr="00EB4CE3">
        <w:t>Company Name:</w:t>
      </w:r>
      <w:r w:rsidRPr="00EB4CE3">
        <w:tab/>
      </w:r>
      <w:r w:rsidR="00AC3BE4">
        <w:t>Lehman Enterprises, Inc.</w:t>
      </w:r>
    </w:p>
    <w:p w14:paraId="6707ED94" w14:textId="77777777" w:rsidR="00046A19" w:rsidRPr="00EB4CE3" w:rsidRDefault="00046A19" w:rsidP="00046A19"/>
    <w:p w14:paraId="2082C4ED" w14:textId="3AA2E9BF" w:rsidR="000F032E" w:rsidRDefault="00046A19" w:rsidP="001B06B5">
      <w:r>
        <w:t xml:space="preserve">Staff: </w:t>
      </w:r>
      <w:r>
        <w:tab/>
      </w:r>
      <w:r>
        <w:tab/>
      </w:r>
      <w:r>
        <w:tab/>
      </w:r>
      <w:r w:rsidR="000F032E">
        <w:t>Jim Ward</w:t>
      </w:r>
      <w:r w:rsidRPr="00EB4CE3">
        <w:t>, Regulatory Analyst</w:t>
      </w:r>
    </w:p>
    <w:p w14:paraId="6707ED96" w14:textId="4986276A" w:rsidR="00046A19" w:rsidRPr="00EB4CE3" w:rsidRDefault="001B06B5" w:rsidP="00046A19">
      <w:pPr>
        <w:ind w:left="1440" w:firstLine="720"/>
      </w:pPr>
      <w:r>
        <w:t>John Cupp</w:t>
      </w:r>
      <w:r w:rsidR="00046A19" w:rsidRPr="00EB4CE3">
        <w:t>, Consumer Protection Staff</w:t>
      </w:r>
    </w:p>
    <w:p w14:paraId="6707ED97" w14:textId="77777777" w:rsidR="00046A19" w:rsidRPr="00EB4CE3" w:rsidRDefault="00046A19" w:rsidP="00046A19"/>
    <w:p w14:paraId="6707ED98" w14:textId="77777777" w:rsidR="00046A19" w:rsidRPr="00935AF2" w:rsidRDefault="00046A19" w:rsidP="000F032E">
      <w:pPr>
        <w:rPr>
          <w:b/>
          <w:u w:val="single"/>
        </w:rPr>
      </w:pPr>
      <w:r w:rsidRPr="00935AF2">
        <w:rPr>
          <w:b/>
          <w:u w:val="single"/>
        </w:rPr>
        <w:t>Recommendation</w:t>
      </w:r>
    </w:p>
    <w:p w14:paraId="6707ED9B" w14:textId="77777777" w:rsidR="000B6B1A" w:rsidRDefault="000B6B1A" w:rsidP="000F032E">
      <w:pPr>
        <w:widowControl w:val="0"/>
        <w:autoSpaceDE w:val="0"/>
        <w:autoSpaceDN w:val="0"/>
        <w:adjustRightInd w:val="0"/>
        <w:rPr>
          <w:color w:val="000000"/>
          <w:lang w:bidi="ar-SA"/>
        </w:rPr>
      </w:pPr>
    </w:p>
    <w:p w14:paraId="2D3B9C0D" w14:textId="44FBF2D8" w:rsidR="007E366E" w:rsidRDefault="00D618FA" w:rsidP="00AC3BE4">
      <w:r>
        <w:t xml:space="preserve">Take no action, thereby allowing </w:t>
      </w:r>
      <w:r w:rsidR="00B236D2" w:rsidRPr="00AC3BE4">
        <w:t>the revised rates and tariff revision</w:t>
      </w:r>
      <w:r w:rsidR="00D122A3">
        <w:t>s</w:t>
      </w:r>
      <w:r w:rsidR="00B236D2" w:rsidRPr="00AC3BE4">
        <w:t xml:space="preserve"> filed by </w:t>
      </w:r>
      <w:r w:rsidR="00C07D96">
        <w:t>Lehman Enterprises, Inc.</w:t>
      </w:r>
      <w:r>
        <w:t>,</w:t>
      </w:r>
      <w:r w:rsidR="00C07D96">
        <w:t xml:space="preserve"> </w:t>
      </w:r>
      <w:r w:rsidR="00B236D2" w:rsidRPr="00AC3BE4">
        <w:t xml:space="preserve">on </w:t>
      </w:r>
      <w:r w:rsidR="00C07D96">
        <w:t xml:space="preserve">April </w:t>
      </w:r>
      <w:r w:rsidR="008F7459">
        <w:t>17</w:t>
      </w:r>
      <w:r w:rsidR="00B236D2" w:rsidRPr="00AC3BE4">
        <w:t xml:space="preserve">, 2013, to </w:t>
      </w:r>
      <w:r w:rsidR="00150967" w:rsidRPr="00AC3BE4">
        <w:t>become</w:t>
      </w:r>
      <w:r w:rsidR="00B236D2" w:rsidRPr="00AC3BE4">
        <w:t xml:space="preserve"> effective on Ma</w:t>
      </w:r>
      <w:r w:rsidR="00C07D96">
        <w:t>y 1</w:t>
      </w:r>
      <w:r w:rsidR="00B236D2" w:rsidRPr="00AC3BE4">
        <w:t>, 2013</w:t>
      </w:r>
      <w:r>
        <w:t>, by operation of law</w:t>
      </w:r>
      <w:r w:rsidR="00B236D2" w:rsidRPr="00AC3BE4">
        <w:t xml:space="preserve">. </w:t>
      </w:r>
    </w:p>
    <w:p w14:paraId="2A6AF07E" w14:textId="77777777" w:rsidR="00AC3BE4" w:rsidRPr="00AC3BE4" w:rsidRDefault="00AC3BE4" w:rsidP="00AC3BE4"/>
    <w:p w14:paraId="6707ED9C" w14:textId="2A2673D9" w:rsidR="00046A19" w:rsidRPr="00935AF2" w:rsidRDefault="00046A19" w:rsidP="000F032E">
      <w:pPr>
        <w:rPr>
          <w:b/>
          <w:u w:val="single"/>
        </w:rPr>
      </w:pPr>
      <w:r w:rsidRPr="00935AF2">
        <w:rPr>
          <w:b/>
          <w:u w:val="single"/>
        </w:rPr>
        <w:t>Discussion</w:t>
      </w:r>
    </w:p>
    <w:p w14:paraId="4C43C5EF" w14:textId="7EB8F21B" w:rsidR="00AC3BE4" w:rsidRDefault="00AC3BE4" w:rsidP="00AC3BE4"/>
    <w:p w14:paraId="5F0D32E5" w14:textId="35A354AC" w:rsidR="00AC3BE4" w:rsidRDefault="00AC3BE4" w:rsidP="00AC3BE4">
      <w:r>
        <w:t>On March 19, 2013, Lehman Enterprises, Inc. (company)</w:t>
      </w:r>
      <w:r w:rsidR="00D618FA">
        <w:t>,</w:t>
      </w:r>
      <w:r>
        <w:t xml:space="preserve"> filed with the Utilities and Transportation Commission (commission) a tariff revision that would increase rates and generate $116,420 (</w:t>
      </w:r>
      <w:r w:rsidR="009A2805">
        <w:t>47.1</w:t>
      </w:r>
      <w:r>
        <w:t xml:space="preserve"> percent) additional annual revenue. The proposed increase </w:t>
      </w:r>
      <w:r w:rsidR="00D618FA">
        <w:t>was prompted by increased</w:t>
      </w:r>
      <w:r>
        <w:t xml:space="preserve"> costs </w:t>
      </w:r>
      <w:r w:rsidR="00D618FA">
        <w:t xml:space="preserve">for </w:t>
      </w:r>
      <w:r>
        <w:t xml:space="preserve">labor, testing, insurance and operations. The company serves 861 customers on ten water systems located in Island County. The proposed effective date is May 1, 2013. The company’s last rate increase was effective on November 15, 2003. </w:t>
      </w:r>
    </w:p>
    <w:p w14:paraId="56686FFC" w14:textId="18666990" w:rsidR="005C12C5" w:rsidRPr="00AC3BE4" w:rsidRDefault="005C12C5" w:rsidP="00AC3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05130BF" w14:textId="19FCB954" w:rsidR="00BA191C" w:rsidRDefault="00BA191C"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t>Staff</w:t>
      </w:r>
      <w:r w:rsidR="00D901EC">
        <w:t>’</w:t>
      </w:r>
      <w:r>
        <w:t xml:space="preserve">s review of the </w:t>
      </w:r>
      <w:r w:rsidR="00D901EC">
        <w:t>filing</w:t>
      </w:r>
      <w:r w:rsidR="0087645F">
        <w:t xml:space="preserve"> </w:t>
      </w:r>
      <w:r w:rsidR="002C5C53">
        <w:t>resulted in several adjustments</w:t>
      </w:r>
      <w:r w:rsidR="0087645F">
        <w:t xml:space="preserve">. </w:t>
      </w:r>
      <w:r w:rsidR="00673998">
        <w:t>Staff removed an expense for Contr</w:t>
      </w:r>
      <w:r w:rsidR="005B6421">
        <w:t>act</w:t>
      </w:r>
      <w:r w:rsidR="00673998">
        <w:t xml:space="preserve">ual Engineering that was actually a refund of a developer advance for construction. The company </w:t>
      </w:r>
      <w:r w:rsidR="005B6421">
        <w:t xml:space="preserve">removed </w:t>
      </w:r>
      <w:r w:rsidR="00673998">
        <w:t>o</w:t>
      </w:r>
      <w:r w:rsidR="005B6421">
        <w:t>ne</w:t>
      </w:r>
      <w:r w:rsidR="002C5C53">
        <w:t>-</w:t>
      </w:r>
      <w:r w:rsidR="005B6421">
        <w:t>time</w:t>
      </w:r>
      <w:r w:rsidR="00673998">
        <w:t xml:space="preserve"> repairs that staff added to assets </w:t>
      </w:r>
      <w:r w:rsidR="002C5C53">
        <w:t>because</w:t>
      </w:r>
      <w:r w:rsidR="00673998">
        <w:t xml:space="preserve"> the items were </w:t>
      </w:r>
      <w:r w:rsidR="005B6421">
        <w:t xml:space="preserve">additional </w:t>
      </w:r>
      <w:r w:rsidR="00673998">
        <w:t xml:space="preserve">capital </w:t>
      </w:r>
      <w:r w:rsidR="005B6421">
        <w:t>plant.</w:t>
      </w:r>
      <w:r w:rsidR="004C0F22">
        <w:t xml:space="preserve"> Staff also added depreciation to recognize capital expenses.</w:t>
      </w:r>
    </w:p>
    <w:p w14:paraId="1A0505C0" w14:textId="77777777" w:rsidR="00D901EC" w:rsidRDefault="00D901EC"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4AC12B75" w14:textId="58543DB4" w:rsidR="005451BF" w:rsidRDefault="004C0F22" w:rsidP="007E7204">
      <w:pPr>
        <w:rPr>
          <w:lang w:bidi="ar-SA"/>
        </w:rPr>
      </w:pPr>
      <w:r>
        <w:t>The company agree</w:t>
      </w:r>
      <w:r w:rsidR="00B871E7">
        <w:t>d</w:t>
      </w:r>
      <w:r>
        <w:t xml:space="preserve"> with staff’s adjustments and o</w:t>
      </w:r>
      <w:r w:rsidR="00AB2748" w:rsidRPr="00D328D2">
        <w:t xml:space="preserve">n </w:t>
      </w:r>
      <w:r w:rsidR="00AC3BE4" w:rsidRPr="009A2805">
        <w:t>April</w:t>
      </w:r>
      <w:r w:rsidR="008F7459">
        <w:t xml:space="preserve"> 17,</w:t>
      </w:r>
      <w:r w:rsidR="00AB2748" w:rsidRPr="00D319D6">
        <w:t xml:space="preserve"> 2013</w:t>
      </w:r>
      <w:r w:rsidR="00AB2748" w:rsidRPr="00AA4488">
        <w:t>, the company filed revised rates at staff-recommended levels</w:t>
      </w:r>
      <w:r w:rsidR="00AB2748">
        <w:t xml:space="preserve">. </w:t>
      </w:r>
      <w:r w:rsidR="00093E02">
        <w:t xml:space="preserve">The revised </w:t>
      </w:r>
      <w:r w:rsidR="00093E02" w:rsidRPr="00947725">
        <w:rPr>
          <w:lang w:bidi="ar-SA"/>
        </w:rPr>
        <w:t xml:space="preserve">tariff revision would increase rates and generate </w:t>
      </w:r>
      <w:r w:rsidR="00093E02" w:rsidRPr="0001006D">
        <w:rPr>
          <w:lang w:bidi="ar-SA"/>
        </w:rPr>
        <w:t>$</w:t>
      </w:r>
      <w:r w:rsidR="00396FC9" w:rsidRPr="0001006D">
        <w:rPr>
          <w:lang w:bidi="ar-SA"/>
        </w:rPr>
        <w:t>6</w:t>
      </w:r>
      <w:r w:rsidR="007071BF" w:rsidRPr="0001006D">
        <w:rPr>
          <w:lang w:bidi="ar-SA"/>
        </w:rPr>
        <w:t>3,64</w:t>
      </w:r>
      <w:r w:rsidR="00396FC9" w:rsidRPr="0001006D">
        <w:rPr>
          <w:lang w:bidi="ar-SA"/>
        </w:rPr>
        <w:t>9</w:t>
      </w:r>
      <w:r w:rsidR="00093E02" w:rsidRPr="0001006D">
        <w:rPr>
          <w:lang w:bidi="ar-SA"/>
        </w:rPr>
        <w:t xml:space="preserve"> (2</w:t>
      </w:r>
      <w:r w:rsidR="007071BF" w:rsidRPr="0001006D">
        <w:rPr>
          <w:lang w:bidi="ar-SA"/>
        </w:rPr>
        <w:t>5.</w:t>
      </w:r>
      <w:r w:rsidR="00D86947" w:rsidRPr="0001006D">
        <w:rPr>
          <w:lang w:bidi="ar-SA"/>
        </w:rPr>
        <w:t>8</w:t>
      </w:r>
      <w:r w:rsidR="00093E02" w:rsidRPr="00947725">
        <w:rPr>
          <w:lang w:bidi="ar-SA"/>
        </w:rPr>
        <w:t xml:space="preserve"> percent) additional annual revenue.</w:t>
      </w:r>
      <w:r w:rsidR="00CE361F">
        <w:rPr>
          <w:lang w:bidi="ar-SA"/>
        </w:rPr>
        <w:t xml:space="preserve"> </w:t>
      </w:r>
    </w:p>
    <w:p w14:paraId="59CBEDA4" w14:textId="77777777" w:rsidR="005451BF" w:rsidRDefault="005451BF" w:rsidP="007E7204">
      <w:pPr>
        <w:rPr>
          <w:lang w:bidi="ar-SA"/>
        </w:rPr>
      </w:pPr>
    </w:p>
    <w:p w14:paraId="230E5F84" w14:textId="51B00E87" w:rsidR="00AB2748" w:rsidRPr="007E7204" w:rsidRDefault="00D618FA" w:rsidP="007E7204">
      <w:r>
        <w:rPr>
          <w:lang w:bidi="ar-SA"/>
        </w:rPr>
        <w:t>The company’s current</w:t>
      </w:r>
      <w:r w:rsidR="00CE361F">
        <w:rPr>
          <w:lang w:bidi="ar-SA"/>
        </w:rPr>
        <w:t xml:space="preserve"> ready to serve and un-metered charges</w:t>
      </w:r>
      <w:r>
        <w:rPr>
          <w:lang w:bidi="ar-SA"/>
        </w:rPr>
        <w:t xml:space="preserve"> are artificially</w:t>
      </w:r>
      <w:r w:rsidR="00E16596">
        <w:rPr>
          <w:lang w:bidi="ar-SA"/>
        </w:rPr>
        <w:t xml:space="preserve"> low</w:t>
      </w:r>
      <w:r w:rsidR="00CE361F">
        <w:rPr>
          <w:lang w:bidi="ar-SA"/>
        </w:rPr>
        <w:t xml:space="preserve">. Both of these charges have been adjusted to reflect current </w:t>
      </w:r>
      <w:r>
        <w:rPr>
          <w:lang w:bidi="ar-SA"/>
        </w:rPr>
        <w:t xml:space="preserve">rate design standards </w:t>
      </w:r>
      <w:r w:rsidR="00E16596">
        <w:rPr>
          <w:lang w:bidi="ar-SA"/>
        </w:rPr>
        <w:t>and billing</w:t>
      </w:r>
      <w:r w:rsidR="00CE361F">
        <w:rPr>
          <w:lang w:bidi="ar-SA"/>
        </w:rPr>
        <w:t xml:space="preserve"> </w:t>
      </w:r>
      <w:r>
        <w:rPr>
          <w:lang w:bidi="ar-SA"/>
        </w:rPr>
        <w:t>practices</w:t>
      </w:r>
      <w:r w:rsidR="00CE361F">
        <w:rPr>
          <w:lang w:bidi="ar-SA"/>
        </w:rPr>
        <w:t>.</w:t>
      </w:r>
      <w:r w:rsidR="0045515D">
        <w:rPr>
          <w:lang w:bidi="ar-SA"/>
        </w:rPr>
        <w:t xml:space="preserve"> </w:t>
      </w:r>
      <w:r>
        <w:rPr>
          <w:lang w:bidi="ar-SA"/>
        </w:rPr>
        <w:t>Also, t</w:t>
      </w:r>
      <w:r w:rsidR="0045515D">
        <w:rPr>
          <w:lang w:bidi="ar-SA"/>
        </w:rPr>
        <w:t xml:space="preserve">he company </w:t>
      </w:r>
      <w:r>
        <w:rPr>
          <w:lang w:bidi="ar-SA"/>
        </w:rPr>
        <w:t xml:space="preserve">proposes to change </w:t>
      </w:r>
      <w:r w:rsidR="0007172A">
        <w:rPr>
          <w:lang w:bidi="ar-SA"/>
        </w:rPr>
        <w:t>its</w:t>
      </w:r>
      <w:r>
        <w:rPr>
          <w:lang w:bidi="ar-SA"/>
        </w:rPr>
        <w:t xml:space="preserve"> rate design from </w:t>
      </w:r>
      <w:r w:rsidR="00673998">
        <w:rPr>
          <w:lang w:bidi="ar-SA"/>
        </w:rPr>
        <w:t>five</w:t>
      </w:r>
      <w:r>
        <w:rPr>
          <w:lang w:bidi="ar-SA"/>
        </w:rPr>
        <w:t xml:space="preserve"> usage blocks </w:t>
      </w:r>
      <w:r w:rsidR="0045515D">
        <w:rPr>
          <w:lang w:bidi="ar-SA"/>
        </w:rPr>
        <w:t xml:space="preserve">to three usage blocks. With the average usage of 563 cubic feet </w:t>
      </w:r>
      <w:r>
        <w:rPr>
          <w:lang w:bidi="ar-SA"/>
        </w:rPr>
        <w:t xml:space="preserve">per </w:t>
      </w:r>
      <w:r w:rsidR="0045515D">
        <w:rPr>
          <w:lang w:bidi="ar-SA"/>
        </w:rPr>
        <w:t>month</w:t>
      </w:r>
      <w:r w:rsidR="00EB3D22">
        <w:rPr>
          <w:lang w:bidi="ar-SA"/>
        </w:rPr>
        <w:t>, most</w:t>
      </w:r>
      <w:r w:rsidR="0045515D">
        <w:rPr>
          <w:lang w:bidi="ar-SA"/>
        </w:rPr>
        <w:t xml:space="preserve"> customers should only cross into the higher second </w:t>
      </w:r>
      <w:r w:rsidR="002C5C53">
        <w:rPr>
          <w:lang w:bidi="ar-SA"/>
        </w:rPr>
        <w:t xml:space="preserve">usage </w:t>
      </w:r>
      <w:r w:rsidR="0045515D">
        <w:rPr>
          <w:lang w:bidi="ar-SA"/>
        </w:rPr>
        <w:t>b</w:t>
      </w:r>
      <w:r w:rsidR="00771499">
        <w:rPr>
          <w:lang w:bidi="ar-SA"/>
        </w:rPr>
        <w:t>l</w:t>
      </w:r>
      <w:r w:rsidR="0045515D">
        <w:rPr>
          <w:lang w:bidi="ar-SA"/>
        </w:rPr>
        <w:t xml:space="preserve">ock </w:t>
      </w:r>
      <w:r w:rsidR="002C5C53">
        <w:rPr>
          <w:lang w:bidi="ar-SA"/>
        </w:rPr>
        <w:t xml:space="preserve">during </w:t>
      </w:r>
      <w:r w:rsidR="0045515D">
        <w:rPr>
          <w:lang w:bidi="ar-SA"/>
        </w:rPr>
        <w:t>the summer months.</w:t>
      </w:r>
      <w:r>
        <w:rPr>
          <w:lang w:bidi="ar-SA"/>
        </w:rPr>
        <w:t xml:space="preserve"> See the Rate Comparison Table for more detail on rate design and usage blocks.</w:t>
      </w:r>
    </w:p>
    <w:p w14:paraId="19ABF481" w14:textId="77777777" w:rsidR="00BA191C" w:rsidRPr="00BA191C" w:rsidRDefault="00BA191C" w:rsidP="00BA1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p>
    <w:p w14:paraId="6707EDA0" w14:textId="77777777" w:rsidR="00640061" w:rsidRDefault="00640061" w:rsidP="000F03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b/>
          <w:u w:val="single"/>
          <w:lang w:bidi="ar-SA"/>
        </w:rPr>
      </w:pPr>
      <w:r w:rsidRPr="00A8749C">
        <w:rPr>
          <w:rFonts w:eastAsia="Times New Roman"/>
          <w:b/>
          <w:u w:val="single"/>
          <w:lang w:bidi="ar-SA"/>
        </w:rPr>
        <w:t xml:space="preserve">Customer Comments </w:t>
      </w:r>
    </w:p>
    <w:p w14:paraId="5D8875B1" w14:textId="77777777" w:rsidR="00281C1D" w:rsidRDefault="00281C1D" w:rsidP="00281C1D">
      <w:pPr>
        <w:pStyle w:val="ListParagraph"/>
        <w:spacing w:after="0" w:line="240" w:lineRule="auto"/>
        <w:ind w:left="0"/>
        <w:rPr>
          <w:rFonts w:ascii="Times New Roman" w:hAnsi="Times New Roman"/>
          <w:sz w:val="24"/>
          <w:szCs w:val="24"/>
        </w:rPr>
      </w:pPr>
    </w:p>
    <w:p w14:paraId="187F01B0" w14:textId="70EED2E2" w:rsidR="00240814" w:rsidRDefault="00174509" w:rsidP="00240814">
      <w:r>
        <w:rPr>
          <w:color w:val="000000"/>
        </w:rPr>
        <w:t xml:space="preserve">On </w:t>
      </w:r>
      <w:r w:rsidR="00AC3BE4">
        <w:rPr>
          <w:color w:val="000000"/>
        </w:rPr>
        <w:t>March 19</w:t>
      </w:r>
      <w:r>
        <w:rPr>
          <w:color w:val="000000"/>
        </w:rPr>
        <w:t>, 2013, the company notified its customers of the proposed r</w:t>
      </w:r>
      <w:r w:rsidR="00771499">
        <w:rPr>
          <w:color w:val="000000"/>
        </w:rPr>
        <w:t>at</w:t>
      </w:r>
      <w:r>
        <w:rPr>
          <w:color w:val="000000"/>
        </w:rPr>
        <w:t xml:space="preserve">e </w:t>
      </w:r>
      <w:r w:rsidR="00771499">
        <w:rPr>
          <w:color w:val="000000"/>
        </w:rPr>
        <w:t xml:space="preserve">increase </w:t>
      </w:r>
      <w:r>
        <w:rPr>
          <w:color w:val="000000"/>
        </w:rPr>
        <w:t>by mail.</w:t>
      </w:r>
      <w:r w:rsidR="00240814" w:rsidRPr="00240814">
        <w:rPr>
          <w:color w:val="000000"/>
        </w:rPr>
        <w:t xml:space="preserve"> </w:t>
      </w:r>
      <w:r w:rsidR="00240814">
        <w:rPr>
          <w:color w:val="000000"/>
        </w:rPr>
        <w:t xml:space="preserve">Staff received </w:t>
      </w:r>
      <w:r w:rsidR="00B160BF">
        <w:rPr>
          <w:color w:val="000000"/>
        </w:rPr>
        <w:t>seven</w:t>
      </w:r>
      <w:r w:rsidR="00240814">
        <w:rPr>
          <w:color w:val="000000"/>
        </w:rPr>
        <w:t xml:space="preserve"> consumer comments, all opposed to the proposed rate increase. The customers were notified that documents related the proposed rate increase are available on the commission’s website, and that they may contact John Cupp at 1-888-333-9882 or jcupp@utc.wa.gov with questions or concerns.</w:t>
      </w:r>
    </w:p>
    <w:p w14:paraId="5B707EE0" w14:textId="6D79BE5C" w:rsidR="00BA443C" w:rsidRDefault="00BA443C">
      <w:pPr>
        <w:spacing w:after="200" w:line="276" w:lineRule="auto"/>
      </w:pPr>
      <w:r>
        <w:br w:type="page"/>
      </w:r>
    </w:p>
    <w:p w14:paraId="05C02B39" w14:textId="77777777" w:rsidR="00240814" w:rsidRDefault="00240814" w:rsidP="00240814">
      <w:r>
        <w:rPr>
          <w:b/>
          <w:color w:val="000000"/>
        </w:rPr>
        <w:lastRenderedPageBreak/>
        <w:t>Service Quality</w:t>
      </w:r>
    </w:p>
    <w:p w14:paraId="3846E700" w14:textId="77777777" w:rsidR="00240814" w:rsidRDefault="00240814" w:rsidP="00240814">
      <w:pPr>
        <w:numPr>
          <w:ilvl w:val="0"/>
          <w:numId w:val="20"/>
        </w:numPr>
      </w:pPr>
      <w:r>
        <w:t>One customer believes the company should not be allowed to increase its rates because it cannot provide water during a power outage.</w:t>
      </w:r>
    </w:p>
    <w:p w14:paraId="1318B4CF" w14:textId="77777777" w:rsidR="00240814" w:rsidRDefault="00240814" w:rsidP="00240814">
      <w:pPr>
        <w:rPr>
          <w:sz w:val="20"/>
          <w:szCs w:val="20"/>
        </w:rPr>
      </w:pPr>
    </w:p>
    <w:p w14:paraId="35DD1974" w14:textId="77777777" w:rsidR="00240814" w:rsidRDefault="00240814" w:rsidP="00240814">
      <w:pPr>
        <w:ind w:left="719"/>
      </w:pPr>
      <w:r>
        <w:rPr>
          <w:b/>
          <w:color w:val="000000"/>
        </w:rPr>
        <w:t>Staff Response</w:t>
      </w:r>
    </w:p>
    <w:p w14:paraId="7E265014" w14:textId="2539745A" w:rsidR="00240814" w:rsidRDefault="00240814" w:rsidP="00240814">
      <w:pPr>
        <w:ind w:left="719"/>
        <w:rPr>
          <w:color w:val="000000"/>
        </w:rPr>
      </w:pPr>
      <w:r>
        <w:rPr>
          <w:color w:val="000000"/>
        </w:rPr>
        <w:t xml:space="preserve">Staff explained that the company is not required to provide a generator, but customers may petition the company, and the company may allow customers to vote </w:t>
      </w:r>
      <w:r w:rsidR="00F95A62">
        <w:rPr>
          <w:color w:val="000000"/>
        </w:rPr>
        <w:t xml:space="preserve">on a case-by-case basis </w:t>
      </w:r>
      <w:r>
        <w:rPr>
          <w:color w:val="000000"/>
        </w:rPr>
        <w:t>on whether or not they want to pay to have a generator on their water system.</w:t>
      </w:r>
    </w:p>
    <w:p w14:paraId="151D0FCE" w14:textId="77777777" w:rsidR="00B160BF" w:rsidRDefault="00B160BF" w:rsidP="00240814">
      <w:pPr>
        <w:ind w:left="719"/>
        <w:rPr>
          <w:color w:val="000000"/>
        </w:rPr>
      </w:pPr>
    </w:p>
    <w:p w14:paraId="16F4144D" w14:textId="3189099F" w:rsidR="00B160BF" w:rsidRPr="00B160BF" w:rsidRDefault="00B160BF" w:rsidP="00B160BF">
      <w:pPr>
        <w:pStyle w:val="ListParagraph"/>
        <w:numPr>
          <w:ilvl w:val="0"/>
          <w:numId w:val="20"/>
        </w:numPr>
      </w:pPr>
      <w:r>
        <w:rPr>
          <w:rFonts w:ascii="Times New Roman" w:hAnsi="Times New Roman"/>
          <w:sz w:val="24"/>
          <w:szCs w:val="24"/>
        </w:rPr>
        <w:t>One customer stated that the quality of his water is poor.</w:t>
      </w:r>
    </w:p>
    <w:p w14:paraId="7636DB54" w14:textId="2A1F6E13" w:rsidR="00B160BF" w:rsidRDefault="00B160BF" w:rsidP="00B160BF">
      <w:pPr>
        <w:ind w:left="720"/>
        <w:rPr>
          <w:b/>
        </w:rPr>
      </w:pPr>
      <w:r>
        <w:rPr>
          <w:b/>
        </w:rPr>
        <w:t>Staff response</w:t>
      </w:r>
    </w:p>
    <w:p w14:paraId="64A85DB2" w14:textId="0863ED56" w:rsidR="00B160BF" w:rsidRPr="00B160BF" w:rsidRDefault="00B160BF" w:rsidP="00B160BF">
      <w:pPr>
        <w:ind w:left="720"/>
      </w:pPr>
      <w:r>
        <w:t>Staff explained that water quality is regulated by the Washington Department of Health, and provided the agency’s contact information.</w:t>
      </w:r>
    </w:p>
    <w:p w14:paraId="1EDB0069" w14:textId="77777777" w:rsidR="00240814" w:rsidRDefault="00240814" w:rsidP="00240814">
      <w:pPr>
        <w:ind w:left="719"/>
      </w:pPr>
    </w:p>
    <w:p w14:paraId="52AB7A69" w14:textId="77777777" w:rsidR="00240814" w:rsidRDefault="00240814" w:rsidP="00240814">
      <w:r>
        <w:rPr>
          <w:b/>
          <w:color w:val="000000"/>
        </w:rPr>
        <w:t>Business Practices</w:t>
      </w:r>
    </w:p>
    <w:p w14:paraId="1783E5D0" w14:textId="77777777" w:rsidR="00240814" w:rsidRDefault="00240814" w:rsidP="00240814">
      <w:pPr>
        <w:numPr>
          <w:ilvl w:val="0"/>
          <w:numId w:val="21"/>
        </w:numPr>
        <w:ind w:left="720" w:hanging="360"/>
      </w:pPr>
      <w:r>
        <w:rPr>
          <w:color w:val="000000"/>
        </w:rPr>
        <w:t>One customer believes the company should not be allowed to increase its rates because it does not provide fire hydrants.</w:t>
      </w:r>
    </w:p>
    <w:p w14:paraId="3A1423F8" w14:textId="77777777" w:rsidR="00240814" w:rsidRDefault="00240814" w:rsidP="00240814"/>
    <w:p w14:paraId="31B4BEE8" w14:textId="77777777" w:rsidR="00240814" w:rsidRDefault="00240814" w:rsidP="00240814">
      <w:pPr>
        <w:ind w:left="719"/>
      </w:pPr>
      <w:r>
        <w:rPr>
          <w:b/>
          <w:color w:val="000000"/>
        </w:rPr>
        <w:t>Staff Response</w:t>
      </w:r>
    </w:p>
    <w:p w14:paraId="7E0C8DA3" w14:textId="3E6DEAB5" w:rsidR="00240814" w:rsidRDefault="00240814" w:rsidP="00240814">
      <w:pPr>
        <w:ind w:left="719"/>
        <w:rPr>
          <w:color w:val="000000"/>
        </w:rPr>
      </w:pPr>
      <w:r>
        <w:rPr>
          <w:color w:val="000000"/>
        </w:rPr>
        <w:t>Lehman Enterprises, Inc.</w:t>
      </w:r>
      <w:r w:rsidR="0007172A">
        <w:rPr>
          <w:color w:val="000000"/>
        </w:rPr>
        <w:t>,</w:t>
      </w:r>
      <w:r>
        <w:rPr>
          <w:color w:val="000000"/>
        </w:rPr>
        <w:t xml:space="preserve"> operates ten water systems. </w:t>
      </w:r>
      <w:r w:rsidR="00F95A62">
        <w:rPr>
          <w:color w:val="000000"/>
        </w:rPr>
        <w:t>The company explained that t</w:t>
      </w:r>
      <w:r>
        <w:rPr>
          <w:color w:val="000000"/>
        </w:rPr>
        <w:t>he Washington Department of Health requires fire hydrants on four of those systems, and hydrants are installed as required. Hydrants are not required on the other six systems.</w:t>
      </w:r>
    </w:p>
    <w:p w14:paraId="42A2B1BB" w14:textId="77777777" w:rsidR="00240814" w:rsidRDefault="00240814" w:rsidP="00240814">
      <w:pPr>
        <w:ind w:left="719"/>
        <w:rPr>
          <w:color w:val="000000"/>
        </w:rPr>
      </w:pPr>
    </w:p>
    <w:p w14:paraId="76893529" w14:textId="77777777" w:rsidR="00240814" w:rsidRDefault="00240814" w:rsidP="00240814">
      <w:pPr>
        <w:rPr>
          <w:sz w:val="20"/>
        </w:rPr>
      </w:pPr>
      <w:r>
        <w:rPr>
          <w:b/>
          <w:color w:val="000000"/>
        </w:rPr>
        <w:t>General Comments</w:t>
      </w:r>
    </w:p>
    <w:p w14:paraId="08C96B1F" w14:textId="77777777" w:rsidR="00240814" w:rsidRDefault="00240814" w:rsidP="00240814">
      <w:pPr>
        <w:numPr>
          <w:ilvl w:val="0"/>
          <w:numId w:val="22"/>
        </w:numPr>
        <w:ind w:left="360"/>
      </w:pPr>
      <w:r>
        <w:rPr>
          <w:color w:val="000000"/>
        </w:rPr>
        <w:t>All commenters believe the amount of the proposed increase is excessive.</w:t>
      </w:r>
    </w:p>
    <w:p w14:paraId="321F363D" w14:textId="77777777" w:rsidR="00240814" w:rsidRDefault="00240814" w:rsidP="00240814"/>
    <w:p w14:paraId="7270A1EA" w14:textId="77777777" w:rsidR="00240814" w:rsidRDefault="00240814" w:rsidP="00240814">
      <w:pPr>
        <w:ind w:left="719"/>
      </w:pPr>
      <w:r>
        <w:rPr>
          <w:b/>
          <w:color w:val="000000"/>
        </w:rPr>
        <w:t>Staff Response</w:t>
      </w:r>
    </w:p>
    <w:p w14:paraId="66009374" w14:textId="77777777" w:rsidR="00240814" w:rsidRDefault="00240814" w:rsidP="00240814">
      <w:pPr>
        <w:ind w:left="719"/>
      </w:pPr>
      <w:r>
        <w:t>Customers were advised that state law requires rates to be fair, just, and reasonable, while also allowing the company to recover reasonable operating expenses and earn a reasonable return on its investment. Regulatory staff reviews filings to ensure that all rates and fees are appropriate.</w:t>
      </w:r>
    </w:p>
    <w:p w14:paraId="3F25B650" w14:textId="77777777" w:rsidR="00240814" w:rsidRDefault="00240814" w:rsidP="00240814">
      <w:pPr>
        <w:ind w:left="719"/>
      </w:pPr>
    </w:p>
    <w:p w14:paraId="24CFE77E" w14:textId="77777777" w:rsidR="00240814" w:rsidRDefault="00240814" w:rsidP="00240814">
      <w:pPr>
        <w:numPr>
          <w:ilvl w:val="0"/>
          <w:numId w:val="20"/>
        </w:numPr>
      </w:pPr>
      <w:r>
        <w:t>One customer believes the open meeting for this case should be held on Whidbey Island.</w:t>
      </w:r>
    </w:p>
    <w:p w14:paraId="56F08ABD" w14:textId="77777777" w:rsidR="00240814" w:rsidRDefault="00240814" w:rsidP="00240814"/>
    <w:p w14:paraId="650756D0" w14:textId="77777777" w:rsidR="00240814" w:rsidRDefault="00240814" w:rsidP="00240814">
      <w:pPr>
        <w:ind w:left="720"/>
        <w:rPr>
          <w:b/>
        </w:rPr>
      </w:pPr>
      <w:r>
        <w:rPr>
          <w:b/>
        </w:rPr>
        <w:t>Staff Response</w:t>
      </w:r>
    </w:p>
    <w:p w14:paraId="659A67D1" w14:textId="19D1E6B1" w:rsidR="00240814" w:rsidRDefault="00240814" w:rsidP="00240814">
      <w:pPr>
        <w:ind w:left="720"/>
      </w:pPr>
      <w:r>
        <w:t>Staff explained that this would be impractical because of the number of cases the commission handles at open meetings every year, for issues all over the state. Staff also explained how to attend an open meeting by telephone.</w:t>
      </w:r>
    </w:p>
    <w:p w14:paraId="76280910" w14:textId="75737112" w:rsidR="00240814" w:rsidRDefault="00240814" w:rsidP="00240814"/>
    <w:p w14:paraId="601FBEA3" w14:textId="6FFFE6CA" w:rsidR="004630E9" w:rsidRDefault="004630E9"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2747D">
        <w:t>Current</w:t>
      </w:r>
      <w:r w:rsidR="00B236D2">
        <w:t>,</w:t>
      </w:r>
      <w:r w:rsidR="00253EC2">
        <w:t xml:space="preserve"> </w:t>
      </w:r>
      <w:r w:rsidRPr="00F2747D">
        <w:t>proposed</w:t>
      </w:r>
      <w:r w:rsidR="00B236D2">
        <w:t xml:space="preserve"> and revised</w:t>
      </w:r>
      <w:r>
        <w:t xml:space="preserve"> </w:t>
      </w:r>
      <w:r w:rsidRPr="00F2747D">
        <w:t>rates are shown below for the general rate increase.</w:t>
      </w:r>
    </w:p>
    <w:p w14:paraId="65CEA145" w14:textId="05C89C7E" w:rsidR="00BA443C" w:rsidRDefault="00BA443C">
      <w:pPr>
        <w:spacing w:after="200" w:line="276" w:lineRule="auto"/>
        <w:rPr>
          <w:rFonts w:eastAsia="Times New Roman"/>
          <w:lang w:bidi="ar-SA"/>
        </w:rPr>
      </w:pPr>
      <w:r>
        <w:rPr>
          <w:rFonts w:eastAsia="Times New Roman"/>
          <w:lang w:bidi="ar-SA"/>
        </w:rPr>
        <w:br w:type="page"/>
      </w:r>
    </w:p>
    <w:p w14:paraId="5E606CAF" w14:textId="400DA062" w:rsidR="00BB0D23" w:rsidRDefault="00BB0D23" w:rsidP="004F31C0">
      <w:pPr>
        <w:spacing w:after="200" w:line="276" w:lineRule="auto"/>
        <w:jc w:val="center"/>
        <w:rPr>
          <w:b/>
          <w:u w:val="single"/>
        </w:rPr>
      </w:pPr>
      <w:r w:rsidRPr="00450175">
        <w:rPr>
          <w:b/>
          <w:u w:val="single"/>
        </w:rPr>
        <w:lastRenderedPageBreak/>
        <w:t>Rate Comparison</w:t>
      </w:r>
    </w:p>
    <w:tbl>
      <w:tblPr>
        <w:tblW w:w="4943"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1787"/>
        <w:gridCol w:w="2266"/>
        <w:gridCol w:w="2263"/>
      </w:tblGrid>
      <w:tr w:rsidR="00F35C21" w:rsidRPr="009270B9" w14:paraId="5A8D42CF" w14:textId="77777777" w:rsidTr="00E16596">
        <w:tc>
          <w:tcPr>
            <w:tcW w:w="1664" w:type="pct"/>
          </w:tcPr>
          <w:p w14:paraId="34365329" w14:textId="77777777" w:rsidR="00F35C21" w:rsidRPr="009270B9" w:rsidRDefault="00F35C21" w:rsidP="00AD7FBD">
            <w:pPr>
              <w:keepNext/>
              <w:widowControl w:val="0"/>
              <w:autoSpaceDE w:val="0"/>
              <w:autoSpaceDN w:val="0"/>
              <w:adjustRightInd w:val="0"/>
              <w:jc w:val="center"/>
              <w:outlineLvl w:val="0"/>
              <w:rPr>
                <w:rFonts w:eastAsia="Times New Roman"/>
                <w:b/>
                <w:lang w:bidi="ar-SA"/>
              </w:rPr>
            </w:pPr>
            <w:r w:rsidRPr="009270B9">
              <w:rPr>
                <w:rFonts w:eastAsia="Times New Roman"/>
                <w:b/>
                <w:lang w:bidi="ar-SA"/>
              </w:rPr>
              <w:t>Monthly Rate</w:t>
            </w:r>
          </w:p>
        </w:tc>
        <w:tc>
          <w:tcPr>
            <w:tcW w:w="944" w:type="pct"/>
            <w:shd w:val="clear" w:color="auto" w:fill="F2F2F2" w:themeFill="background1" w:themeFillShade="F2"/>
            <w:vAlign w:val="center"/>
          </w:tcPr>
          <w:p w14:paraId="232120B7" w14:textId="77777777" w:rsidR="00F35C21" w:rsidRPr="009270B9" w:rsidRDefault="00F35C21" w:rsidP="00AD7FBD">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97" w:type="pct"/>
            <w:shd w:val="clear" w:color="auto" w:fill="F2F2F2" w:themeFill="background1" w:themeFillShade="F2"/>
          </w:tcPr>
          <w:p w14:paraId="2DC88AC2" w14:textId="43C5FA52" w:rsidR="00F35C21" w:rsidRPr="009270B9" w:rsidRDefault="00F35C21" w:rsidP="00AD7FBD">
            <w:pPr>
              <w:widowControl w:val="0"/>
              <w:autoSpaceDE w:val="0"/>
              <w:autoSpaceDN w:val="0"/>
              <w:adjustRightInd w:val="0"/>
              <w:jc w:val="center"/>
              <w:rPr>
                <w:rFonts w:eastAsia="Times New Roman"/>
                <w:b/>
                <w:lang w:bidi="ar-SA"/>
              </w:rPr>
            </w:pPr>
            <w:r>
              <w:rPr>
                <w:rFonts w:eastAsia="Times New Roman"/>
                <w:b/>
                <w:lang w:bidi="ar-SA"/>
              </w:rPr>
              <w:t>Proposed Rate</w:t>
            </w:r>
          </w:p>
        </w:tc>
        <w:tc>
          <w:tcPr>
            <w:tcW w:w="1195" w:type="pct"/>
            <w:shd w:val="clear" w:color="auto" w:fill="F2F2F2" w:themeFill="background1" w:themeFillShade="F2"/>
          </w:tcPr>
          <w:p w14:paraId="1C8CDB89" w14:textId="70417741" w:rsidR="00F35C21" w:rsidRPr="009270B9" w:rsidRDefault="00F35C21" w:rsidP="00AD7FBD">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1C201C" w:rsidRPr="009270B9" w14:paraId="480C457A" w14:textId="77777777" w:rsidTr="00E16596">
        <w:tc>
          <w:tcPr>
            <w:tcW w:w="1664" w:type="pct"/>
          </w:tcPr>
          <w:p w14:paraId="715161CE" w14:textId="269C8F0D" w:rsidR="001C201C" w:rsidRPr="009270B9" w:rsidRDefault="001C201C" w:rsidP="008D0CDF">
            <w:pPr>
              <w:keepNext/>
              <w:widowControl w:val="0"/>
              <w:autoSpaceDE w:val="0"/>
              <w:autoSpaceDN w:val="0"/>
              <w:adjustRightInd w:val="0"/>
              <w:outlineLvl w:val="0"/>
              <w:rPr>
                <w:rFonts w:eastAsia="Times New Roman"/>
                <w:lang w:bidi="ar-SA"/>
              </w:rPr>
            </w:pPr>
            <w:r>
              <w:rPr>
                <w:rFonts w:eastAsia="Times New Roman"/>
                <w:lang w:bidi="ar-SA"/>
              </w:rPr>
              <w:t>Ready to Serve Charge</w:t>
            </w:r>
          </w:p>
        </w:tc>
        <w:tc>
          <w:tcPr>
            <w:tcW w:w="944" w:type="pct"/>
          </w:tcPr>
          <w:p w14:paraId="5A2213DF" w14:textId="7C7C8698" w:rsidR="001C201C" w:rsidRPr="009270B9" w:rsidRDefault="001C201C" w:rsidP="008D0CDF">
            <w:pPr>
              <w:widowControl w:val="0"/>
              <w:autoSpaceDE w:val="0"/>
              <w:autoSpaceDN w:val="0"/>
              <w:adjustRightInd w:val="0"/>
              <w:jc w:val="center"/>
              <w:rPr>
                <w:rFonts w:eastAsia="Times New Roman"/>
                <w:lang w:bidi="ar-SA"/>
              </w:rPr>
            </w:pPr>
            <w:r>
              <w:rPr>
                <w:rFonts w:eastAsia="Times New Roman"/>
                <w:lang w:bidi="ar-SA"/>
              </w:rPr>
              <w:t>$5.00</w:t>
            </w:r>
          </w:p>
        </w:tc>
        <w:tc>
          <w:tcPr>
            <w:tcW w:w="1197" w:type="pct"/>
          </w:tcPr>
          <w:p w14:paraId="68612B8D" w14:textId="7FCF8AAD" w:rsidR="001C201C" w:rsidRDefault="001C201C" w:rsidP="001C201C">
            <w:pPr>
              <w:widowControl w:val="0"/>
              <w:autoSpaceDE w:val="0"/>
              <w:autoSpaceDN w:val="0"/>
              <w:adjustRightInd w:val="0"/>
              <w:jc w:val="center"/>
              <w:rPr>
                <w:rFonts w:eastAsia="Times New Roman"/>
                <w:lang w:bidi="ar-SA"/>
              </w:rPr>
            </w:pPr>
            <w:r>
              <w:rPr>
                <w:rFonts w:eastAsia="Times New Roman"/>
                <w:lang w:bidi="ar-SA"/>
              </w:rPr>
              <w:t>$17.50</w:t>
            </w:r>
          </w:p>
        </w:tc>
        <w:tc>
          <w:tcPr>
            <w:tcW w:w="1195" w:type="pct"/>
          </w:tcPr>
          <w:p w14:paraId="72D09C62" w14:textId="6406E4F0" w:rsidR="001C201C" w:rsidRDefault="001C201C" w:rsidP="001C201C">
            <w:pPr>
              <w:widowControl w:val="0"/>
              <w:autoSpaceDE w:val="0"/>
              <w:autoSpaceDN w:val="0"/>
              <w:adjustRightInd w:val="0"/>
              <w:jc w:val="center"/>
              <w:rPr>
                <w:rFonts w:eastAsia="Times New Roman"/>
                <w:lang w:bidi="ar-SA"/>
              </w:rPr>
            </w:pPr>
            <w:r w:rsidRPr="00D319D6">
              <w:rPr>
                <w:rFonts w:eastAsia="Times New Roman"/>
                <w:lang w:bidi="ar-SA"/>
              </w:rPr>
              <w:t>$</w:t>
            </w:r>
            <w:r>
              <w:rPr>
                <w:rFonts w:eastAsia="Times New Roman"/>
                <w:lang w:bidi="ar-SA"/>
              </w:rPr>
              <w:t>17.50</w:t>
            </w:r>
          </w:p>
        </w:tc>
      </w:tr>
      <w:tr w:rsidR="001C201C" w:rsidRPr="009270B9" w14:paraId="17D32FF8" w14:textId="77777777" w:rsidTr="00E16596">
        <w:tc>
          <w:tcPr>
            <w:tcW w:w="1664" w:type="pct"/>
          </w:tcPr>
          <w:p w14:paraId="19D22620" w14:textId="2B40B9C3" w:rsidR="001C201C" w:rsidRPr="009270B9" w:rsidRDefault="001C201C" w:rsidP="008D0CDF">
            <w:pPr>
              <w:keepNext/>
              <w:widowControl w:val="0"/>
              <w:autoSpaceDE w:val="0"/>
              <w:autoSpaceDN w:val="0"/>
              <w:adjustRightInd w:val="0"/>
              <w:outlineLvl w:val="0"/>
              <w:rPr>
                <w:rFonts w:eastAsia="Times New Roman"/>
                <w:lang w:bidi="ar-SA"/>
              </w:rPr>
            </w:pPr>
            <w:r>
              <w:rPr>
                <w:rFonts w:eastAsia="Times New Roman"/>
                <w:lang w:bidi="ar-SA"/>
              </w:rPr>
              <w:t>Un-Metered Charge</w:t>
            </w:r>
          </w:p>
        </w:tc>
        <w:tc>
          <w:tcPr>
            <w:tcW w:w="944" w:type="pct"/>
          </w:tcPr>
          <w:p w14:paraId="2E0D5412" w14:textId="4050DBC6" w:rsidR="001C201C" w:rsidRPr="009270B9" w:rsidRDefault="001C201C" w:rsidP="008D0CDF">
            <w:pPr>
              <w:widowControl w:val="0"/>
              <w:autoSpaceDE w:val="0"/>
              <w:autoSpaceDN w:val="0"/>
              <w:adjustRightInd w:val="0"/>
              <w:jc w:val="center"/>
              <w:rPr>
                <w:rFonts w:eastAsia="Times New Roman"/>
                <w:lang w:bidi="ar-SA"/>
              </w:rPr>
            </w:pPr>
            <w:r>
              <w:rPr>
                <w:rFonts w:eastAsia="Times New Roman"/>
                <w:lang w:bidi="ar-SA"/>
              </w:rPr>
              <w:t>$17.50</w:t>
            </w:r>
          </w:p>
        </w:tc>
        <w:tc>
          <w:tcPr>
            <w:tcW w:w="1197" w:type="pct"/>
          </w:tcPr>
          <w:p w14:paraId="505F0417" w14:textId="6D7658FA" w:rsidR="001C201C" w:rsidRDefault="001C201C" w:rsidP="001C201C">
            <w:pPr>
              <w:widowControl w:val="0"/>
              <w:autoSpaceDE w:val="0"/>
              <w:autoSpaceDN w:val="0"/>
              <w:adjustRightInd w:val="0"/>
              <w:jc w:val="center"/>
              <w:rPr>
                <w:rFonts w:eastAsia="Times New Roman"/>
                <w:lang w:bidi="ar-SA"/>
              </w:rPr>
            </w:pPr>
            <w:r>
              <w:rPr>
                <w:rFonts w:eastAsia="Times New Roman"/>
                <w:lang w:bidi="ar-SA"/>
              </w:rPr>
              <w:t>$32.50</w:t>
            </w:r>
          </w:p>
        </w:tc>
        <w:tc>
          <w:tcPr>
            <w:tcW w:w="1195" w:type="pct"/>
          </w:tcPr>
          <w:p w14:paraId="682CC01E" w14:textId="5F4C64C6" w:rsidR="001C201C" w:rsidRDefault="009A2805" w:rsidP="007071BF">
            <w:pPr>
              <w:widowControl w:val="0"/>
              <w:autoSpaceDE w:val="0"/>
              <w:autoSpaceDN w:val="0"/>
              <w:adjustRightInd w:val="0"/>
              <w:jc w:val="center"/>
              <w:rPr>
                <w:rFonts w:eastAsia="Times New Roman"/>
                <w:lang w:bidi="ar-SA"/>
              </w:rPr>
            </w:pPr>
            <w:r w:rsidRPr="00A05975">
              <w:rPr>
                <w:rFonts w:eastAsia="Times New Roman"/>
                <w:lang w:bidi="ar-SA"/>
              </w:rPr>
              <w:t>$2</w:t>
            </w:r>
            <w:r w:rsidR="007071BF">
              <w:rPr>
                <w:rFonts w:eastAsia="Times New Roman"/>
                <w:lang w:bidi="ar-SA"/>
              </w:rPr>
              <w:t>6.75</w:t>
            </w:r>
          </w:p>
        </w:tc>
      </w:tr>
      <w:tr w:rsidR="001C201C" w:rsidRPr="009270B9" w14:paraId="6B3FAD0C" w14:textId="77777777" w:rsidTr="00E16596">
        <w:tc>
          <w:tcPr>
            <w:tcW w:w="1664" w:type="pct"/>
          </w:tcPr>
          <w:p w14:paraId="1BE3F43E" w14:textId="5E587133" w:rsidR="001C201C" w:rsidRPr="009270B9" w:rsidRDefault="001C201C" w:rsidP="008D0CDF">
            <w:pPr>
              <w:keepNext/>
              <w:widowControl w:val="0"/>
              <w:autoSpaceDE w:val="0"/>
              <w:autoSpaceDN w:val="0"/>
              <w:adjustRightInd w:val="0"/>
              <w:outlineLvl w:val="0"/>
              <w:rPr>
                <w:rFonts w:eastAsia="Times New Roman"/>
                <w:lang w:bidi="ar-SA"/>
              </w:rPr>
            </w:pPr>
            <w:r>
              <w:rPr>
                <w:rFonts w:eastAsia="Times New Roman"/>
                <w:lang w:bidi="ar-SA"/>
              </w:rPr>
              <w:t xml:space="preserve">Meter Base Charge </w:t>
            </w:r>
          </w:p>
        </w:tc>
        <w:tc>
          <w:tcPr>
            <w:tcW w:w="944" w:type="pct"/>
          </w:tcPr>
          <w:p w14:paraId="131DBC61" w14:textId="7F6B5901" w:rsidR="001C201C" w:rsidRPr="009270B9" w:rsidRDefault="001C201C" w:rsidP="008D0CDF">
            <w:pPr>
              <w:widowControl w:val="0"/>
              <w:autoSpaceDE w:val="0"/>
              <w:autoSpaceDN w:val="0"/>
              <w:adjustRightInd w:val="0"/>
              <w:jc w:val="center"/>
              <w:rPr>
                <w:rFonts w:eastAsia="Times New Roman"/>
                <w:lang w:bidi="ar-SA"/>
              </w:rPr>
            </w:pPr>
            <w:r>
              <w:rPr>
                <w:rFonts w:eastAsia="Times New Roman"/>
                <w:lang w:bidi="ar-SA"/>
              </w:rPr>
              <w:t>$17.50</w:t>
            </w:r>
          </w:p>
        </w:tc>
        <w:tc>
          <w:tcPr>
            <w:tcW w:w="1197" w:type="pct"/>
          </w:tcPr>
          <w:p w14:paraId="76D07E25" w14:textId="46B83431" w:rsidR="001C201C" w:rsidRDefault="001C201C" w:rsidP="008D0CDF">
            <w:pPr>
              <w:widowControl w:val="0"/>
              <w:autoSpaceDE w:val="0"/>
              <w:autoSpaceDN w:val="0"/>
              <w:adjustRightInd w:val="0"/>
              <w:jc w:val="center"/>
              <w:rPr>
                <w:rFonts w:eastAsia="Times New Roman"/>
                <w:lang w:bidi="ar-SA"/>
              </w:rPr>
            </w:pPr>
            <w:r>
              <w:rPr>
                <w:rFonts w:eastAsia="Times New Roman"/>
                <w:lang w:bidi="ar-SA"/>
              </w:rPr>
              <w:t>$17.50</w:t>
            </w:r>
          </w:p>
        </w:tc>
        <w:tc>
          <w:tcPr>
            <w:tcW w:w="1195" w:type="pct"/>
          </w:tcPr>
          <w:p w14:paraId="37845863" w14:textId="347B5A8D" w:rsidR="001C201C" w:rsidRDefault="001C201C" w:rsidP="001C201C">
            <w:pPr>
              <w:widowControl w:val="0"/>
              <w:autoSpaceDE w:val="0"/>
              <w:autoSpaceDN w:val="0"/>
              <w:adjustRightInd w:val="0"/>
              <w:jc w:val="center"/>
              <w:rPr>
                <w:rFonts w:eastAsia="Times New Roman"/>
                <w:lang w:bidi="ar-SA"/>
              </w:rPr>
            </w:pPr>
            <w:r w:rsidRPr="00D319D6">
              <w:rPr>
                <w:rFonts w:eastAsia="Times New Roman"/>
                <w:lang w:bidi="ar-SA"/>
              </w:rPr>
              <w:t>$1</w:t>
            </w:r>
            <w:r>
              <w:rPr>
                <w:rFonts w:eastAsia="Times New Roman"/>
                <w:lang w:bidi="ar-SA"/>
              </w:rPr>
              <w:t>7.50</w:t>
            </w:r>
          </w:p>
        </w:tc>
      </w:tr>
      <w:tr w:rsidR="001C201C" w:rsidRPr="009270B9" w14:paraId="0E7FE22B" w14:textId="77777777" w:rsidTr="00E16596">
        <w:tc>
          <w:tcPr>
            <w:tcW w:w="1664" w:type="pct"/>
          </w:tcPr>
          <w:p w14:paraId="04DE9275" w14:textId="5EAB1C70" w:rsidR="001C201C" w:rsidRPr="009270B9" w:rsidRDefault="008D0CDF" w:rsidP="008D0CDF">
            <w:pPr>
              <w:keepNext/>
              <w:widowControl w:val="0"/>
              <w:autoSpaceDE w:val="0"/>
              <w:autoSpaceDN w:val="0"/>
              <w:adjustRightInd w:val="0"/>
              <w:outlineLvl w:val="0"/>
              <w:rPr>
                <w:rFonts w:eastAsia="Times New Roman"/>
                <w:lang w:bidi="ar-SA"/>
              </w:rPr>
            </w:pPr>
            <w:r>
              <w:rPr>
                <w:rFonts w:eastAsia="Times New Roman"/>
                <w:lang w:bidi="ar-SA"/>
              </w:rPr>
              <w:t>0 – 500 Cubic Feet</w:t>
            </w:r>
            <w:r w:rsidR="001C201C">
              <w:rPr>
                <w:rFonts w:eastAsia="Times New Roman"/>
                <w:lang w:bidi="ar-SA"/>
              </w:rPr>
              <w:t xml:space="preserve"> </w:t>
            </w:r>
          </w:p>
        </w:tc>
        <w:tc>
          <w:tcPr>
            <w:tcW w:w="944" w:type="pct"/>
          </w:tcPr>
          <w:p w14:paraId="69A557F6" w14:textId="656ED724" w:rsidR="001C201C" w:rsidRPr="009270B9" w:rsidRDefault="008D0CDF" w:rsidP="008D0CDF">
            <w:pPr>
              <w:widowControl w:val="0"/>
              <w:autoSpaceDE w:val="0"/>
              <w:autoSpaceDN w:val="0"/>
              <w:adjustRightInd w:val="0"/>
              <w:jc w:val="center"/>
              <w:rPr>
                <w:rFonts w:eastAsia="Times New Roman"/>
                <w:lang w:bidi="ar-SA"/>
              </w:rPr>
            </w:pPr>
            <w:r>
              <w:rPr>
                <w:rFonts w:eastAsia="Times New Roman"/>
                <w:lang w:bidi="ar-SA"/>
              </w:rPr>
              <w:t>$0.50*</w:t>
            </w:r>
          </w:p>
        </w:tc>
        <w:tc>
          <w:tcPr>
            <w:tcW w:w="1197" w:type="pct"/>
          </w:tcPr>
          <w:p w14:paraId="072C60D2" w14:textId="514E5A60" w:rsidR="001C201C" w:rsidRDefault="001C201C" w:rsidP="008D0CDF">
            <w:pPr>
              <w:widowControl w:val="0"/>
              <w:autoSpaceDE w:val="0"/>
              <w:autoSpaceDN w:val="0"/>
              <w:adjustRightInd w:val="0"/>
              <w:jc w:val="center"/>
              <w:rPr>
                <w:rFonts w:eastAsia="Times New Roman"/>
                <w:lang w:bidi="ar-SA"/>
              </w:rPr>
            </w:pPr>
            <w:r>
              <w:rPr>
                <w:rFonts w:eastAsia="Times New Roman"/>
                <w:lang w:bidi="ar-SA"/>
              </w:rPr>
              <w:t>$1.</w:t>
            </w:r>
            <w:r w:rsidR="008D0CDF">
              <w:rPr>
                <w:rFonts w:eastAsia="Times New Roman"/>
                <w:lang w:bidi="ar-SA"/>
              </w:rPr>
              <w:t>50*</w:t>
            </w:r>
          </w:p>
        </w:tc>
        <w:tc>
          <w:tcPr>
            <w:tcW w:w="1195" w:type="pct"/>
          </w:tcPr>
          <w:p w14:paraId="4C8B13B5" w14:textId="10D7475E" w:rsidR="001C201C" w:rsidRDefault="001C201C" w:rsidP="00A05975">
            <w:pPr>
              <w:widowControl w:val="0"/>
              <w:autoSpaceDE w:val="0"/>
              <w:autoSpaceDN w:val="0"/>
              <w:adjustRightInd w:val="0"/>
              <w:jc w:val="center"/>
              <w:rPr>
                <w:rFonts w:eastAsia="Times New Roman"/>
                <w:lang w:bidi="ar-SA"/>
              </w:rPr>
            </w:pPr>
            <w:r w:rsidRPr="00D319D6">
              <w:rPr>
                <w:rFonts w:eastAsia="Times New Roman"/>
                <w:lang w:bidi="ar-SA"/>
              </w:rPr>
              <w:t>$</w:t>
            </w:r>
            <w:r w:rsidR="00D86947">
              <w:rPr>
                <w:rFonts w:eastAsia="Times New Roman"/>
                <w:lang w:bidi="ar-SA"/>
              </w:rPr>
              <w:t>0</w:t>
            </w:r>
            <w:r w:rsidR="00A05975">
              <w:rPr>
                <w:rFonts w:eastAsia="Times New Roman"/>
                <w:lang w:bidi="ar-SA"/>
              </w:rPr>
              <w:t>.75</w:t>
            </w:r>
            <w:r w:rsidR="00D86947">
              <w:rPr>
                <w:rFonts w:eastAsia="Times New Roman"/>
                <w:lang w:bidi="ar-SA"/>
              </w:rPr>
              <w:t>*</w:t>
            </w:r>
          </w:p>
        </w:tc>
      </w:tr>
      <w:tr w:rsidR="008D0CDF" w:rsidRPr="009270B9" w14:paraId="54AEB0B7" w14:textId="77777777" w:rsidTr="00E16596">
        <w:tc>
          <w:tcPr>
            <w:tcW w:w="1664" w:type="pct"/>
          </w:tcPr>
          <w:p w14:paraId="2EB3240B" w14:textId="710DEBE5" w:rsidR="008D0CDF" w:rsidRPr="009270B9" w:rsidRDefault="008D0CDF" w:rsidP="008D0CDF">
            <w:pPr>
              <w:keepNext/>
              <w:widowControl w:val="0"/>
              <w:autoSpaceDE w:val="0"/>
              <w:autoSpaceDN w:val="0"/>
              <w:adjustRightInd w:val="0"/>
              <w:outlineLvl w:val="0"/>
              <w:rPr>
                <w:rFonts w:eastAsia="Times New Roman"/>
                <w:lang w:bidi="ar-SA"/>
              </w:rPr>
            </w:pPr>
            <w:r>
              <w:rPr>
                <w:rFonts w:eastAsia="Times New Roman"/>
                <w:lang w:bidi="ar-SA"/>
              </w:rPr>
              <w:t xml:space="preserve">501 – 1,000 Cubic Feet </w:t>
            </w:r>
          </w:p>
        </w:tc>
        <w:tc>
          <w:tcPr>
            <w:tcW w:w="944" w:type="pct"/>
          </w:tcPr>
          <w:p w14:paraId="297A76FD" w14:textId="2871A156" w:rsidR="008D0CDF" w:rsidRPr="009270B9" w:rsidRDefault="008D0CDF" w:rsidP="009A2805">
            <w:pPr>
              <w:widowControl w:val="0"/>
              <w:autoSpaceDE w:val="0"/>
              <w:autoSpaceDN w:val="0"/>
              <w:adjustRightInd w:val="0"/>
              <w:jc w:val="center"/>
              <w:rPr>
                <w:rFonts w:eastAsia="Times New Roman"/>
                <w:lang w:bidi="ar-SA"/>
              </w:rPr>
            </w:pPr>
            <w:r>
              <w:rPr>
                <w:rFonts w:eastAsia="Times New Roman"/>
                <w:lang w:bidi="ar-SA"/>
              </w:rPr>
              <w:t>$</w:t>
            </w:r>
            <w:r w:rsidR="009A2805">
              <w:rPr>
                <w:rFonts w:eastAsia="Times New Roman"/>
                <w:lang w:bidi="ar-SA"/>
              </w:rPr>
              <w:t>1.0</w:t>
            </w:r>
            <w:r>
              <w:rPr>
                <w:rFonts w:eastAsia="Times New Roman"/>
                <w:lang w:bidi="ar-SA"/>
              </w:rPr>
              <w:t>0*</w:t>
            </w:r>
          </w:p>
        </w:tc>
        <w:tc>
          <w:tcPr>
            <w:tcW w:w="1197" w:type="pct"/>
          </w:tcPr>
          <w:p w14:paraId="5A339C34" w14:textId="171BCBCC" w:rsidR="008D0CDF" w:rsidRDefault="00AB09B9" w:rsidP="008D0CDF">
            <w:pPr>
              <w:widowControl w:val="0"/>
              <w:autoSpaceDE w:val="0"/>
              <w:autoSpaceDN w:val="0"/>
              <w:adjustRightInd w:val="0"/>
              <w:jc w:val="center"/>
              <w:rPr>
                <w:rFonts w:eastAsia="Times New Roman"/>
                <w:lang w:bidi="ar-SA"/>
              </w:rPr>
            </w:pPr>
            <w:r>
              <w:rPr>
                <w:rFonts w:eastAsia="Times New Roman"/>
                <w:lang w:bidi="ar-SA"/>
              </w:rPr>
              <w:t>NA</w:t>
            </w:r>
          </w:p>
        </w:tc>
        <w:tc>
          <w:tcPr>
            <w:tcW w:w="1195" w:type="pct"/>
          </w:tcPr>
          <w:p w14:paraId="08FC5DFF" w14:textId="6B2C54B6" w:rsidR="008D0CDF" w:rsidRDefault="00D86947" w:rsidP="00D86947">
            <w:pPr>
              <w:widowControl w:val="0"/>
              <w:autoSpaceDE w:val="0"/>
              <w:autoSpaceDN w:val="0"/>
              <w:adjustRightInd w:val="0"/>
              <w:jc w:val="center"/>
              <w:rPr>
                <w:rFonts w:eastAsia="Times New Roman"/>
                <w:lang w:bidi="ar-SA"/>
              </w:rPr>
            </w:pPr>
            <w:r>
              <w:rPr>
                <w:rFonts w:eastAsia="Times New Roman"/>
                <w:lang w:bidi="ar-SA"/>
              </w:rPr>
              <w:t>NA</w:t>
            </w:r>
          </w:p>
        </w:tc>
      </w:tr>
      <w:tr w:rsidR="008D0CDF" w:rsidRPr="009270B9" w14:paraId="1C8EB5D9" w14:textId="77777777" w:rsidTr="00E16596">
        <w:tc>
          <w:tcPr>
            <w:tcW w:w="1664" w:type="pct"/>
          </w:tcPr>
          <w:p w14:paraId="4CBE3558" w14:textId="7054FC1C" w:rsidR="008D0CDF" w:rsidRPr="009270B9" w:rsidRDefault="008D0CDF" w:rsidP="008D0CDF">
            <w:pPr>
              <w:keepNext/>
              <w:widowControl w:val="0"/>
              <w:autoSpaceDE w:val="0"/>
              <w:autoSpaceDN w:val="0"/>
              <w:adjustRightInd w:val="0"/>
              <w:outlineLvl w:val="0"/>
              <w:rPr>
                <w:rFonts w:eastAsia="Times New Roman"/>
                <w:lang w:bidi="ar-SA"/>
              </w:rPr>
            </w:pPr>
            <w:r>
              <w:rPr>
                <w:rFonts w:eastAsia="Times New Roman"/>
                <w:lang w:bidi="ar-SA"/>
              </w:rPr>
              <w:t xml:space="preserve">1,001 – 1,500 Cubic Feet </w:t>
            </w:r>
          </w:p>
        </w:tc>
        <w:tc>
          <w:tcPr>
            <w:tcW w:w="944" w:type="pct"/>
          </w:tcPr>
          <w:p w14:paraId="38115B25" w14:textId="06E887B2" w:rsidR="008D0CDF" w:rsidRPr="009270B9" w:rsidRDefault="008D0CDF" w:rsidP="009A2805">
            <w:pPr>
              <w:widowControl w:val="0"/>
              <w:autoSpaceDE w:val="0"/>
              <w:autoSpaceDN w:val="0"/>
              <w:adjustRightInd w:val="0"/>
              <w:jc w:val="center"/>
              <w:rPr>
                <w:rFonts w:eastAsia="Times New Roman"/>
                <w:lang w:bidi="ar-SA"/>
              </w:rPr>
            </w:pPr>
            <w:r>
              <w:rPr>
                <w:rFonts w:eastAsia="Times New Roman"/>
                <w:lang w:bidi="ar-SA"/>
              </w:rPr>
              <w:t>$</w:t>
            </w:r>
            <w:r w:rsidR="007912D6">
              <w:rPr>
                <w:rFonts w:eastAsia="Times New Roman"/>
                <w:lang w:bidi="ar-SA"/>
              </w:rPr>
              <w:t>1</w:t>
            </w:r>
            <w:r>
              <w:rPr>
                <w:rFonts w:eastAsia="Times New Roman"/>
                <w:lang w:bidi="ar-SA"/>
              </w:rPr>
              <w:t>.</w:t>
            </w:r>
            <w:r w:rsidR="009A2805">
              <w:rPr>
                <w:rFonts w:eastAsia="Times New Roman"/>
                <w:lang w:bidi="ar-SA"/>
              </w:rPr>
              <w:t>2</w:t>
            </w:r>
            <w:r>
              <w:rPr>
                <w:rFonts w:eastAsia="Times New Roman"/>
                <w:lang w:bidi="ar-SA"/>
              </w:rPr>
              <w:t>0*</w:t>
            </w:r>
          </w:p>
        </w:tc>
        <w:tc>
          <w:tcPr>
            <w:tcW w:w="1197" w:type="pct"/>
          </w:tcPr>
          <w:p w14:paraId="0CE25CAE" w14:textId="04C5540C" w:rsidR="008D0CDF" w:rsidRDefault="00AB09B9" w:rsidP="00AB09B9">
            <w:pPr>
              <w:widowControl w:val="0"/>
              <w:autoSpaceDE w:val="0"/>
              <w:autoSpaceDN w:val="0"/>
              <w:adjustRightInd w:val="0"/>
              <w:jc w:val="center"/>
              <w:rPr>
                <w:rFonts w:eastAsia="Times New Roman"/>
                <w:lang w:bidi="ar-SA"/>
              </w:rPr>
            </w:pPr>
            <w:r>
              <w:rPr>
                <w:rFonts w:eastAsia="Times New Roman"/>
                <w:lang w:bidi="ar-SA"/>
              </w:rPr>
              <w:t>NA</w:t>
            </w:r>
          </w:p>
        </w:tc>
        <w:tc>
          <w:tcPr>
            <w:tcW w:w="1195" w:type="pct"/>
          </w:tcPr>
          <w:p w14:paraId="630A4890" w14:textId="4A11EF96" w:rsidR="008D0CDF" w:rsidRDefault="00D86947" w:rsidP="00D86947">
            <w:pPr>
              <w:widowControl w:val="0"/>
              <w:autoSpaceDE w:val="0"/>
              <w:autoSpaceDN w:val="0"/>
              <w:adjustRightInd w:val="0"/>
              <w:jc w:val="center"/>
              <w:rPr>
                <w:rFonts w:eastAsia="Times New Roman"/>
                <w:lang w:bidi="ar-SA"/>
              </w:rPr>
            </w:pPr>
            <w:r>
              <w:rPr>
                <w:rFonts w:eastAsia="Times New Roman"/>
                <w:lang w:bidi="ar-SA"/>
              </w:rPr>
              <w:t>NA</w:t>
            </w:r>
          </w:p>
        </w:tc>
      </w:tr>
      <w:tr w:rsidR="00AB09B9" w:rsidRPr="009270B9" w14:paraId="357F32B9" w14:textId="77777777" w:rsidTr="00E16596">
        <w:tc>
          <w:tcPr>
            <w:tcW w:w="1664" w:type="pct"/>
          </w:tcPr>
          <w:p w14:paraId="2DDDD7BC" w14:textId="3F762417" w:rsidR="00AB09B9" w:rsidRDefault="00AB09B9" w:rsidP="008D0CDF">
            <w:pPr>
              <w:keepNext/>
              <w:widowControl w:val="0"/>
              <w:autoSpaceDE w:val="0"/>
              <w:autoSpaceDN w:val="0"/>
              <w:adjustRightInd w:val="0"/>
              <w:outlineLvl w:val="0"/>
              <w:rPr>
                <w:rFonts w:eastAsia="Times New Roman"/>
                <w:lang w:bidi="ar-SA"/>
              </w:rPr>
            </w:pPr>
            <w:r>
              <w:rPr>
                <w:rFonts w:eastAsia="Times New Roman"/>
                <w:lang w:bidi="ar-SA"/>
              </w:rPr>
              <w:t>501 – 1,499 Cubic Feet</w:t>
            </w:r>
          </w:p>
        </w:tc>
        <w:tc>
          <w:tcPr>
            <w:tcW w:w="944" w:type="pct"/>
          </w:tcPr>
          <w:p w14:paraId="32AA0710" w14:textId="3253564E" w:rsidR="00AB09B9" w:rsidRDefault="00AB09B9" w:rsidP="007912D6">
            <w:pPr>
              <w:widowControl w:val="0"/>
              <w:autoSpaceDE w:val="0"/>
              <w:autoSpaceDN w:val="0"/>
              <w:adjustRightInd w:val="0"/>
              <w:jc w:val="center"/>
              <w:rPr>
                <w:rFonts w:eastAsia="Times New Roman"/>
                <w:lang w:bidi="ar-SA"/>
              </w:rPr>
            </w:pPr>
            <w:r>
              <w:rPr>
                <w:rFonts w:eastAsia="Times New Roman"/>
                <w:lang w:bidi="ar-SA"/>
              </w:rPr>
              <w:t>NA</w:t>
            </w:r>
          </w:p>
        </w:tc>
        <w:tc>
          <w:tcPr>
            <w:tcW w:w="1197" w:type="pct"/>
          </w:tcPr>
          <w:p w14:paraId="3FDDBA64" w14:textId="6223A838" w:rsidR="00AB09B9" w:rsidRDefault="00AB09B9" w:rsidP="008D0CDF">
            <w:pPr>
              <w:widowControl w:val="0"/>
              <w:autoSpaceDE w:val="0"/>
              <w:autoSpaceDN w:val="0"/>
              <w:adjustRightInd w:val="0"/>
              <w:jc w:val="center"/>
              <w:rPr>
                <w:rFonts w:eastAsia="Times New Roman"/>
                <w:lang w:bidi="ar-SA"/>
              </w:rPr>
            </w:pPr>
            <w:r>
              <w:rPr>
                <w:rFonts w:eastAsia="Times New Roman"/>
                <w:lang w:bidi="ar-SA"/>
              </w:rPr>
              <w:t>$2.75*</w:t>
            </w:r>
          </w:p>
        </w:tc>
        <w:tc>
          <w:tcPr>
            <w:tcW w:w="1195" w:type="pct"/>
          </w:tcPr>
          <w:p w14:paraId="38447668" w14:textId="72E61864" w:rsidR="00AB09B9" w:rsidRPr="00D319D6" w:rsidRDefault="00D86947" w:rsidP="007071BF">
            <w:pPr>
              <w:widowControl w:val="0"/>
              <w:autoSpaceDE w:val="0"/>
              <w:autoSpaceDN w:val="0"/>
              <w:adjustRightInd w:val="0"/>
              <w:jc w:val="center"/>
              <w:rPr>
                <w:rFonts w:eastAsia="Times New Roman"/>
                <w:lang w:bidi="ar-SA"/>
              </w:rPr>
            </w:pPr>
            <w:r>
              <w:rPr>
                <w:rFonts w:eastAsia="Times New Roman"/>
                <w:lang w:bidi="ar-SA"/>
              </w:rPr>
              <w:t>$</w:t>
            </w:r>
            <w:r w:rsidR="007071BF">
              <w:rPr>
                <w:rFonts w:eastAsia="Times New Roman"/>
                <w:lang w:bidi="ar-SA"/>
              </w:rPr>
              <w:t>1.8</w:t>
            </w:r>
            <w:r>
              <w:rPr>
                <w:rFonts w:eastAsia="Times New Roman"/>
                <w:lang w:bidi="ar-SA"/>
              </w:rPr>
              <w:t>0*</w:t>
            </w:r>
          </w:p>
        </w:tc>
      </w:tr>
      <w:tr w:rsidR="00AB09B9" w:rsidRPr="009270B9" w14:paraId="4DA7A0BC" w14:textId="77777777" w:rsidTr="00E16596">
        <w:tc>
          <w:tcPr>
            <w:tcW w:w="1664" w:type="pct"/>
          </w:tcPr>
          <w:p w14:paraId="2F66F8BE" w14:textId="32CE3A11" w:rsidR="00AB09B9" w:rsidRDefault="00AB09B9" w:rsidP="008D0CDF">
            <w:pPr>
              <w:keepNext/>
              <w:widowControl w:val="0"/>
              <w:autoSpaceDE w:val="0"/>
              <w:autoSpaceDN w:val="0"/>
              <w:adjustRightInd w:val="0"/>
              <w:outlineLvl w:val="0"/>
              <w:rPr>
                <w:rFonts w:eastAsia="Times New Roman"/>
                <w:lang w:bidi="ar-SA"/>
              </w:rPr>
            </w:pPr>
            <w:r>
              <w:rPr>
                <w:rFonts w:eastAsia="Times New Roman"/>
                <w:lang w:bidi="ar-SA"/>
              </w:rPr>
              <w:t>Over 1,500 Cubic Feet</w:t>
            </w:r>
          </w:p>
        </w:tc>
        <w:tc>
          <w:tcPr>
            <w:tcW w:w="944" w:type="pct"/>
          </w:tcPr>
          <w:p w14:paraId="1C6155BC" w14:textId="2C967BFD" w:rsidR="00AB09B9" w:rsidRDefault="00AB09B9" w:rsidP="007912D6">
            <w:pPr>
              <w:widowControl w:val="0"/>
              <w:autoSpaceDE w:val="0"/>
              <w:autoSpaceDN w:val="0"/>
              <w:adjustRightInd w:val="0"/>
              <w:jc w:val="center"/>
              <w:rPr>
                <w:rFonts w:eastAsia="Times New Roman"/>
                <w:lang w:bidi="ar-SA"/>
              </w:rPr>
            </w:pPr>
            <w:r>
              <w:rPr>
                <w:rFonts w:eastAsia="Times New Roman"/>
                <w:lang w:bidi="ar-SA"/>
              </w:rPr>
              <w:t>NA</w:t>
            </w:r>
          </w:p>
        </w:tc>
        <w:tc>
          <w:tcPr>
            <w:tcW w:w="1197" w:type="pct"/>
          </w:tcPr>
          <w:p w14:paraId="5D22D66D" w14:textId="0CF94E6E" w:rsidR="00AB09B9" w:rsidRDefault="00AB09B9" w:rsidP="008D0CDF">
            <w:pPr>
              <w:widowControl w:val="0"/>
              <w:autoSpaceDE w:val="0"/>
              <w:autoSpaceDN w:val="0"/>
              <w:adjustRightInd w:val="0"/>
              <w:jc w:val="center"/>
              <w:rPr>
                <w:rFonts w:eastAsia="Times New Roman"/>
                <w:lang w:bidi="ar-SA"/>
              </w:rPr>
            </w:pPr>
            <w:r>
              <w:rPr>
                <w:rFonts w:eastAsia="Times New Roman"/>
                <w:lang w:bidi="ar-SA"/>
              </w:rPr>
              <w:t>$5.50*</w:t>
            </w:r>
          </w:p>
        </w:tc>
        <w:tc>
          <w:tcPr>
            <w:tcW w:w="1195" w:type="pct"/>
          </w:tcPr>
          <w:p w14:paraId="1C88F83B" w14:textId="635AF755" w:rsidR="00AB09B9" w:rsidRPr="00D319D6" w:rsidRDefault="00D86947" w:rsidP="00D86947">
            <w:pPr>
              <w:widowControl w:val="0"/>
              <w:autoSpaceDE w:val="0"/>
              <w:autoSpaceDN w:val="0"/>
              <w:adjustRightInd w:val="0"/>
              <w:jc w:val="center"/>
              <w:rPr>
                <w:rFonts w:eastAsia="Times New Roman"/>
                <w:lang w:bidi="ar-SA"/>
              </w:rPr>
            </w:pPr>
            <w:r>
              <w:rPr>
                <w:rFonts w:eastAsia="Times New Roman"/>
                <w:lang w:bidi="ar-SA"/>
              </w:rPr>
              <w:t>$4.00*</w:t>
            </w:r>
          </w:p>
        </w:tc>
      </w:tr>
      <w:tr w:rsidR="008D0CDF" w:rsidRPr="009270B9" w14:paraId="1A1C288A" w14:textId="77777777" w:rsidTr="00E16596">
        <w:tc>
          <w:tcPr>
            <w:tcW w:w="1664" w:type="pct"/>
          </w:tcPr>
          <w:p w14:paraId="29E31123" w14:textId="3D00F7FE" w:rsidR="008D0CDF" w:rsidRPr="009270B9" w:rsidRDefault="008D0CDF" w:rsidP="008D0CDF">
            <w:pPr>
              <w:keepNext/>
              <w:widowControl w:val="0"/>
              <w:autoSpaceDE w:val="0"/>
              <w:autoSpaceDN w:val="0"/>
              <w:adjustRightInd w:val="0"/>
              <w:outlineLvl w:val="0"/>
              <w:rPr>
                <w:rFonts w:eastAsia="Times New Roman"/>
                <w:lang w:bidi="ar-SA"/>
              </w:rPr>
            </w:pPr>
            <w:r>
              <w:rPr>
                <w:rFonts w:eastAsia="Times New Roman"/>
                <w:lang w:bidi="ar-SA"/>
              </w:rPr>
              <w:t xml:space="preserve">1,501 – 2,000 Cubic Feet </w:t>
            </w:r>
          </w:p>
        </w:tc>
        <w:tc>
          <w:tcPr>
            <w:tcW w:w="944" w:type="pct"/>
          </w:tcPr>
          <w:p w14:paraId="07153440" w14:textId="48635A13" w:rsidR="008D0CDF" w:rsidRPr="009270B9" w:rsidRDefault="008D0CDF" w:rsidP="007912D6">
            <w:pPr>
              <w:widowControl w:val="0"/>
              <w:autoSpaceDE w:val="0"/>
              <w:autoSpaceDN w:val="0"/>
              <w:adjustRightInd w:val="0"/>
              <w:jc w:val="center"/>
              <w:rPr>
                <w:rFonts w:eastAsia="Times New Roman"/>
                <w:lang w:bidi="ar-SA"/>
              </w:rPr>
            </w:pPr>
            <w:r>
              <w:rPr>
                <w:rFonts w:eastAsia="Times New Roman"/>
                <w:lang w:bidi="ar-SA"/>
              </w:rPr>
              <w:t>$</w:t>
            </w:r>
            <w:r w:rsidR="007912D6">
              <w:rPr>
                <w:rFonts w:eastAsia="Times New Roman"/>
                <w:lang w:bidi="ar-SA"/>
              </w:rPr>
              <w:t>2.00</w:t>
            </w:r>
            <w:r>
              <w:rPr>
                <w:rFonts w:eastAsia="Times New Roman"/>
                <w:lang w:bidi="ar-SA"/>
              </w:rPr>
              <w:t>*</w:t>
            </w:r>
          </w:p>
        </w:tc>
        <w:tc>
          <w:tcPr>
            <w:tcW w:w="1197" w:type="pct"/>
          </w:tcPr>
          <w:p w14:paraId="53822822" w14:textId="0C89DFC9" w:rsidR="008D0CDF" w:rsidRDefault="00AB09B9" w:rsidP="008D0CDF">
            <w:pPr>
              <w:widowControl w:val="0"/>
              <w:autoSpaceDE w:val="0"/>
              <w:autoSpaceDN w:val="0"/>
              <w:adjustRightInd w:val="0"/>
              <w:jc w:val="center"/>
              <w:rPr>
                <w:rFonts w:eastAsia="Times New Roman"/>
                <w:lang w:bidi="ar-SA"/>
              </w:rPr>
            </w:pPr>
            <w:r>
              <w:rPr>
                <w:rFonts w:eastAsia="Times New Roman"/>
                <w:lang w:bidi="ar-SA"/>
              </w:rPr>
              <w:t>NA</w:t>
            </w:r>
          </w:p>
        </w:tc>
        <w:tc>
          <w:tcPr>
            <w:tcW w:w="1195" w:type="pct"/>
          </w:tcPr>
          <w:p w14:paraId="434A729F" w14:textId="291021BC" w:rsidR="008D0CDF" w:rsidRDefault="00D86947" w:rsidP="008D0CDF">
            <w:pPr>
              <w:widowControl w:val="0"/>
              <w:autoSpaceDE w:val="0"/>
              <w:autoSpaceDN w:val="0"/>
              <w:adjustRightInd w:val="0"/>
              <w:jc w:val="center"/>
              <w:rPr>
                <w:rFonts w:eastAsia="Times New Roman"/>
                <w:lang w:bidi="ar-SA"/>
              </w:rPr>
            </w:pPr>
            <w:r>
              <w:rPr>
                <w:rFonts w:eastAsia="Times New Roman"/>
                <w:lang w:bidi="ar-SA"/>
              </w:rPr>
              <w:t>NA</w:t>
            </w:r>
          </w:p>
        </w:tc>
      </w:tr>
      <w:tr w:rsidR="008D0CDF" w:rsidRPr="009270B9" w14:paraId="39A5F76E" w14:textId="77777777" w:rsidTr="00E16596">
        <w:tc>
          <w:tcPr>
            <w:tcW w:w="1664" w:type="pct"/>
          </w:tcPr>
          <w:p w14:paraId="454BE364" w14:textId="0358118A" w:rsidR="008D0CDF" w:rsidRPr="009270B9" w:rsidRDefault="008D0CDF" w:rsidP="008D0CDF">
            <w:pPr>
              <w:keepNext/>
              <w:widowControl w:val="0"/>
              <w:autoSpaceDE w:val="0"/>
              <w:autoSpaceDN w:val="0"/>
              <w:adjustRightInd w:val="0"/>
              <w:outlineLvl w:val="0"/>
              <w:rPr>
                <w:rFonts w:eastAsia="Times New Roman"/>
                <w:lang w:bidi="ar-SA"/>
              </w:rPr>
            </w:pPr>
            <w:r>
              <w:rPr>
                <w:rFonts w:eastAsia="Times New Roman"/>
                <w:lang w:bidi="ar-SA"/>
              </w:rPr>
              <w:t xml:space="preserve">2,001 – 3,000 Cubic Feet </w:t>
            </w:r>
          </w:p>
        </w:tc>
        <w:tc>
          <w:tcPr>
            <w:tcW w:w="944" w:type="pct"/>
          </w:tcPr>
          <w:p w14:paraId="0B5F4215" w14:textId="6CC68DB6" w:rsidR="008D0CDF" w:rsidRPr="009270B9" w:rsidRDefault="008D0CDF" w:rsidP="007912D6">
            <w:pPr>
              <w:widowControl w:val="0"/>
              <w:autoSpaceDE w:val="0"/>
              <w:autoSpaceDN w:val="0"/>
              <w:adjustRightInd w:val="0"/>
              <w:jc w:val="center"/>
              <w:rPr>
                <w:rFonts w:eastAsia="Times New Roman"/>
                <w:lang w:bidi="ar-SA"/>
              </w:rPr>
            </w:pPr>
            <w:r>
              <w:rPr>
                <w:rFonts w:eastAsia="Times New Roman"/>
                <w:lang w:bidi="ar-SA"/>
              </w:rPr>
              <w:t>$</w:t>
            </w:r>
            <w:r w:rsidR="007912D6">
              <w:rPr>
                <w:rFonts w:eastAsia="Times New Roman"/>
                <w:lang w:bidi="ar-SA"/>
              </w:rPr>
              <w:t>2</w:t>
            </w:r>
            <w:r>
              <w:rPr>
                <w:rFonts w:eastAsia="Times New Roman"/>
                <w:lang w:bidi="ar-SA"/>
              </w:rPr>
              <w:t>.50*</w:t>
            </w:r>
          </w:p>
        </w:tc>
        <w:tc>
          <w:tcPr>
            <w:tcW w:w="1197" w:type="pct"/>
          </w:tcPr>
          <w:p w14:paraId="6076CF6E" w14:textId="5962E7AF" w:rsidR="008D0CDF" w:rsidRDefault="00AB09B9" w:rsidP="00AB09B9">
            <w:pPr>
              <w:widowControl w:val="0"/>
              <w:autoSpaceDE w:val="0"/>
              <w:autoSpaceDN w:val="0"/>
              <w:adjustRightInd w:val="0"/>
              <w:jc w:val="center"/>
              <w:rPr>
                <w:rFonts w:eastAsia="Times New Roman"/>
                <w:lang w:bidi="ar-SA"/>
              </w:rPr>
            </w:pPr>
            <w:r>
              <w:rPr>
                <w:rFonts w:eastAsia="Times New Roman"/>
                <w:lang w:bidi="ar-SA"/>
              </w:rPr>
              <w:t>NA</w:t>
            </w:r>
          </w:p>
        </w:tc>
        <w:tc>
          <w:tcPr>
            <w:tcW w:w="1195" w:type="pct"/>
          </w:tcPr>
          <w:p w14:paraId="4900AAD1" w14:textId="77A4B2D0" w:rsidR="008D0CDF" w:rsidRDefault="00D86947" w:rsidP="00D86947">
            <w:pPr>
              <w:widowControl w:val="0"/>
              <w:autoSpaceDE w:val="0"/>
              <w:autoSpaceDN w:val="0"/>
              <w:adjustRightInd w:val="0"/>
              <w:jc w:val="center"/>
              <w:rPr>
                <w:rFonts w:eastAsia="Times New Roman"/>
                <w:lang w:bidi="ar-SA"/>
              </w:rPr>
            </w:pPr>
            <w:r>
              <w:rPr>
                <w:rFonts w:eastAsia="Times New Roman"/>
                <w:lang w:bidi="ar-SA"/>
              </w:rPr>
              <w:t>NA</w:t>
            </w:r>
          </w:p>
        </w:tc>
      </w:tr>
      <w:tr w:rsidR="001C201C" w:rsidRPr="009270B9" w14:paraId="6261FEC2" w14:textId="77777777" w:rsidTr="00E16596">
        <w:tc>
          <w:tcPr>
            <w:tcW w:w="1664" w:type="pct"/>
          </w:tcPr>
          <w:p w14:paraId="5B14562C" w14:textId="0011B787" w:rsidR="001C201C" w:rsidRPr="009270B9" w:rsidRDefault="008D0CDF" w:rsidP="008D0CDF">
            <w:pPr>
              <w:keepNext/>
              <w:widowControl w:val="0"/>
              <w:autoSpaceDE w:val="0"/>
              <w:autoSpaceDN w:val="0"/>
              <w:adjustRightInd w:val="0"/>
              <w:outlineLvl w:val="0"/>
              <w:rPr>
                <w:rFonts w:eastAsia="Times New Roman"/>
                <w:lang w:bidi="ar-SA"/>
              </w:rPr>
            </w:pPr>
            <w:r>
              <w:rPr>
                <w:rFonts w:eastAsia="Times New Roman"/>
                <w:lang w:bidi="ar-SA"/>
              </w:rPr>
              <w:t>Over 3,000 Cubic Feet</w:t>
            </w:r>
            <w:r w:rsidR="001C201C">
              <w:rPr>
                <w:rFonts w:eastAsia="Times New Roman"/>
                <w:lang w:bidi="ar-SA"/>
              </w:rPr>
              <w:t xml:space="preserve"> </w:t>
            </w:r>
          </w:p>
        </w:tc>
        <w:tc>
          <w:tcPr>
            <w:tcW w:w="944" w:type="pct"/>
          </w:tcPr>
          <w:p w14:paraId="363ACBEC" w14:textId="3F8D2196" w:rsidR="001C201C" w:rsidRPr="009270B9" w:rsidRDefault="007912D6" w:rsidP="008D0CDF">
            <w:pPr>
              <w:widowControl w:val="0"/>
              <w:autoSpaceDE w:val="0"/>
              <w:autoSpaceDN w:val="0"/>
              <w:adjustRightInd w:val="0"/>
              <w:jc w:val="center"/>
              <w:rPr>
                <w:rFonts w:eastAsia="Times New Roman"/>
                <w:lang w:bidi="ar-SA"/>
              </w:rPr>
            </w:pPr>
            <w:r>
              <w:rPr>
                <w:rFonts w:eastAsia="Times New Roman"/>
                <w:lang w:bidi="ar-SA"/>
              </w:rPr>
              <w:t>$3.00*</w:t>
            </w:r>
          </w:p>
        </w:tc>
        <w:tc>
          <w:tcPr>
            <w:tcW w:w="1197" w:type="pct"/>
          </w:tcPr>
          <w:p w14:paraId="08ADF2D5" w14:textId="2F590D1B" w:rsidR="001C201C" w:rsidRDefault="00AB09B9" w:rsidP="00AB09B9">
            <w:pPr>
              <w:widowControl w:val="0"/>
              <w:autoSpaceDE w:val="0"/>
              <w:autoSpaceDN w:val="0"/>
              <w:adjustRightInd w:val="0"/>
              <w:jc w:val="center"/>
              <w:rPr>
                <w:rFonts w:eastAsia="Times New Roman"/>
                <w:lang w:bidi="ar-SA"/>
              </w:rPr>
            </w:pPr>
            <w:r>
              <w:rPr>
                <w:rFonts w:eastAsia="Times New Roman"/>
                <w:lang w:bidi="ar-SA"/>
              </w:rPr>
              <w:t>NA</w:t>
            </w:r>
          </w:p>
        </w:tc>
        <w:tc>
          <w:tcPr>
            <w:tcW w:w="1195" w:type="pct"/>
          </w:tcPr>
          <w:p w14:paraId="14497D8B" w14:textId="21DBBFF4" w:rsidR="001C201C" w:rsidRDefault="00D86947" w:rsidP="00D86947">
            <w:pPr>
              <w:widowControl w:val="0"/>
              <w:autoSpaceDE w:val="0"/>
              <w:autoSpaceDN w:val="0"/>
              <w:adjustRightInd w:val="0"/>
              <w:jc w:val="center"/>
              <w:rPr>
                <w:rFonts w:eastAsia="Times New Roman"/>
                <w:lang w:bidi="ar-SA"/>
              </w:rPr>
            </w:pPr>
            <w:r>
              <w:rPr>
                <w:rFonts w:eastAsia="Times New Roman"/>
                <w:lang w:bidi="ar-SA"/>
              </w:rPr>
              <w:t>NA</w:t>
            </w:r>
          </w:p>
        </w:tc>
      </w:tr>
    </w:tbl>
    <w:p w14:paraId="1B05FB47" w14:textId="0CCA32F2" w:rsidR="008D0CDF" w:rsidRDefault="008D0CDF" w:rsidP="008D0CDF">
      <w:pPr>
        <w:rPr>
          <w:rFonts w:eastAsia="Times New Roman"/>
          <w:sz w:val="20"/>
          <w:szCs w:val="20"/>
        </w:rPr>
      </w:pPr>
      <w:r>
        <w:rPr>
          <w:rFonts w:eastAsia="Times New Roman"/>
          <w:sz w:val="20"/>
          <w:szCs w:val="20"/>
        </w:rPr>
        <w:t>*</w:t>
      </w:r>
      <w:r w:rsidR="00D753F6">
        <w:rPr>
          <w:rFonts w:eastAsia="Times New Roman"/>
          <w:sz w:val="20"/>
          <w:szCs w:val="20"/>
        </w:rPr>
        <w:t>All rates listed p</w:t>
      </w:r>
      <w:r w:rsidRPr="001811BA">
        <w:rPr>
          <w:rFonts w:eastAsia="Times New Roman"/>
          <w:sz w:val="20"/>
          <w:szCs w:val="20"/>
        </w:rPr>
        <w:t xml:space="preserve">er 100 </w:t>
      </w:r>
      <w:r w:rsidR="00AB09B9">
        <w:rPr>
          <w:rFonts w:eastAsia="Times New Roman"/>
          <w:sz w:val="20"/>
          <w:szCs w:val="20"/>
        </w:rPr>
        <w:t>c</w:t>
      </w:r>
      <w:r w:rsidRPr="001811BA">
        <w:rPr>
          <w:rFonts w:eastAsia="Times New Roman"/>
          <w:sz w:val="20"/>
          <w:szCs w:val="20"/>
        </w:rPr>
        <w:t xml:space="preserve">ubic </w:t>
      </w:r>
      <w:r w:rsidR="00AB09B9">
        <w:rPr>
          <w:rFonts w:eastAsia="Times New Roman"/>
          <w:sz w:val="20"/>
          <w:szCs w:val="20"/>
        </w:rPr>
        <w:t>f</w:t>
      </w:r>
      <w:r w:rsidRPr="001811BA">
        <w:rPr>
          <w:rFonts w:eastAsia="Times New Roman"/>
          <w:sz w:val="20"/>
          <w:szCs w:val="20"/>
        </w:rPr>
        <w:t>eet</w:t>
      </w:r>
      <w:r>
        <w:rPr>
          <w:rFonts w:eastAsia="Times New Roman"/>
          <w:sz w:val="20"/>
          <w:szCs w:val="20"/>
        </w:rPr>
        <w:t xml:space="preserve"> </w:t>
      </w:r>
      <w:r w:rsidR="00D753F6">
        <w:rPr>
          <w:rFonts w:eastAsia="Times New Roman"/>
          <w:sz w:val="20"/>
          <w:szCs w:val="20"/>
        </w:rPr>
        <w:t>and charged per cubic foot</w:t>
      </w:r>
      <w:r>
        <w:rPr>
          <w:rFonts w:eastAsia="Times New Roman"/>
          <w:sz w:val="20"/>
          <w:szCs w:val="20"/>
        </w:rPr>
        <w:t>.</w:t>
      </w:r>
    </w:p>
    <w:p w14:paraId="4682326B" w14:textId="22CA4452" w:rsidR="00D753F6" w:rsidRPr="001811BA" w:rsidRDefault="00D753F6" w:rsidP="008D0CDF">
      <w:pPr>
        <w:rPr>
          <w:rFonts w:eastAsia="Times New Roman"/>
          <w:sz w:val="20"/>
          <w:szCs w:val="20"/>
        </w:rPr>
      </w:pPr>
      <w:r>
        <w:rPr>
          <w:rFonts w:eastAsia="Times New Roman"/>
          <w:sz w:val="20"/>
          <w:szCs w:val="20"/>
        </w:rPr>
        <w:t xml:space="preserve">  All rates and charges subject to state utility tax.</w:t>
      </w:r>
    </w:p>
    <w:p w14:paraId="7DE1279C" w14:textId="77777777" w:rsidR="00F2183F" w:rsidRDefault="00F2183F"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lang w:bidi="ar-SA"/>
        </w:rPr>
      </w:pPr>
    </w:p>
    <w:p w14:paraId="67EE2226" w14:textId="248BCBF9" w:rsidR="004630E9" w:rsidRDefault="00B236D2"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Times New Roman"/>
          <w:lang w:bidi="ar-SA"/>
        </w:rPr>
        <w:t xml:space="preserve">Using the company’s </w:t>
      </w:r>
      <w:r w:rsidR="00150967">
        <w:rPr>
          <w:rFonts w:eastAsia="Times New Roman"/>
          <w:lang w:bidi="ar-SA"/>
        </w:rPr>
        <w:t>proposed</w:t>
      </w:r>
      <w:r>
        <w:rPr>
          <w:rFonts w:eastAsia="Times New Roman"/>
          <w:lang w:bidi="ar-SA"/>
        </w:rPr>
        <w:t xml:space="preserve"> rates, a</w:t>
      </w:r>
      <w:r w:rsidR="00673998">
        <w:rPr>
          <w:rFonts w:eastAsia="Times New Roman"/>
          <w:lang w:bidi="ar-SA"/>
        </w:rPr>
        <w:t>n average</w:t>
      </w:r>
      <w:r>
        <w:rPr>
          <w:rFonts w:eastAsia="Times New Roman"/>
          <w:lang w:bidi="ar-SA"/>
        </w:rPr>
        <w:t xml:space="preserve"> </w:t>
      </w:r>
      <w:r w:rsidR="00150967">
        <w:rPr>
          <w:rFonts w:eastAsia="Times New Roman"/>
          <w:lang w:bidi="ar-SA"/>
        </w:rPr>
        <w:t>customer</w:t>
      </w:r>
      <w:r>
        <w:rPr>
          <w:rFonts w:eastAsia="Times New Roman"/>
          <w:lang w:bidi="ar-SA"/>
        </w:rPr>
        <w:t xml:space="preserve"> would </w:t>
      </w:r>
      <w:r w:rsidR="004630E9" w:rsidRPr="007E4463">
        <w:rPr>
          <w:rFonts w:eastAsia="Times New Roman"/>
          <w:lang w:bidi="ar-SA"/>
        </w:rPr>
        <w:t>pay $</w:t>
      </w:r>
      <w:r w:rsidR="00C77A08">
        <w:rPr>
          <w:rFonts w:eastAsia="Times New Roman"/>
          <w:lang w:bidi="ar-SA"/>
        </w:rPr>
        <w:t>6</w:t>
      </w:r>
      <w:r w:rsidR="00DB7FAD">
        <w:rPr>
          <w:rFonts w:eastAsia="Times New Roman"/>
          <w:lang w:bidi="ar-SA"/>
        </w:rPr>
        <w:t>.41</w:t>
      </w:r>
      <w:r w:rsidR="004630E9" w:rsidRPr="007E4463">
        <w:rPr>
          <w:rFonts w:eastAsia="Times New Roman"/>
          <w:lang w:bidi="ar-SA"/>
        </w:rPr>
        <w:t xml:space="preserve"> </w:t>
      </w:r>
      <w:r w:rsidR="00C77A08">
        <w:rPr>
          <w:rFonts w:eastAsia="Times New Roman"/>
          <w:lang w:bidi="ar-SA"/>
        </w:rPr>
        <w:t>(</w:t>
      </w:r>
      <w:r w:rsidR="001D4972">
        <w:rPr>
          <w:rFonts w:eastAsia="Times New Roman"/>
          <w:lang w:bidi="ar-SA"/>
        </w:rPr>
        <w:t>2</w:t>
      </w:r>
      <w:r w:rsidR="00DB7FAD">
        <w:rPr>
          <w:rFonts w:eastAsia="Times New Roman"/>
          <w:lang w:bidi="ar-SA"/>
        </w:rPr>
        <w:t>9.6</w:t>
      </w:r>
      <w:r w:rsidR="004630E9" w:rsidRPr="007E4463">
        <w:rPr>
          <w:rFonts w:eastAsia="Times New Roman"/>
          <w:lang w:bidi="ar-SA"/>
        </w:rPr>
        <w:t xml:space="preserve"> percent)</w:t>
      </w:r>
      <w:r w:rsidR="004630E9" w:rsidRPr="0080117F">
        <w:rPr>
          <w:rFonts w:eastAsia="Times New Roman"/>
          <w:lang w:bidi="ar-SA"/>
        </w:rPr>
        <w:t xml:space="preserve"> more </w:t>
      </w:r>
      <w:r w:rsidR="004630E9">
        <w:rPr>
          <w:rFonts w:eastAsia="Times New Roman"/>
          <w:lang w:bidi="ar-SA"/>
        </w:rPr>
        <w:t>than</w:t>
      </w:r>
      <w:r w:rsidR="004630E9" w:rsidRPr="0080117F">
        <w:rPr>
          <w:rFonts w:eastAsia="Times New Roman"/>
          <w:lang w:bidi="ar-SA"/>
        </w:rPr>
        <w:t xml:space="preserve"> the </w:t>
      </w:r>
      <w:r w:rsidR="004630E9">
        <w:rPr>
          <w:rFonts w:eastAsia="Times New Roman"/>
          <w:lang w:bidi="ar-SA"/>
        </w:rPr>
        <w:t>current</w:t>
      </w:r>
      <w:r w:rsidR="004630E9" w:rsidRPr="0080117F">
        <w:rPr>
          <w:rFonts w:eastAsia="Times New Roman"/>
          <w:lang w:bidi="ar-SA"/>
        </w:rPr>
        <w:t xml:space="preserve"> rates (see “Average Bill Comparison” table below).</w:t>
      </w:r>
      <w:r w:rsidR="004630E9" w:rsidRPr="00BE1B5B">
        <w:t xml:space="preserve"> </w:t>
      </w:r>
      <w:r>
        <w:t>Using the revised rates, a</w:t>
      </w:r>
      <w:r w:rsidR="00E16596">
        <w:t>n average</w:t>
      </w:r>
      <w:r>
        <w:t xml:space="preserve"> customer would pay </w:t>
      </w:r>
      <w:r w:rsidRPr="0001006D">
        <w:t>$</w:t>
      </w:r>
      <w:r w:rsidR="007071BF" w:rsidRPr="0001006D">
        <w:t>1.84</w:t>
      </w:r>
      <w:r w:rsidRPr="0001006D">
        <w:t xml:space="preserve"> (</w:t>
      </w:r>
      <w:r w:rsidR="007071BF" w:rsidRPr="0001006D">
        <w:t>8.5</w:t>
      </w:r>
      <w:r w:rsidR="00093E02" w:rsidRPr="0001006D">
        <w:t xml:space="preserve"> </w:t>
      </w:r>
      <w:r w:rsidRPr="0001006D">
        <w:t>percent</w:t>
      </w:r>
      <w:r>
        <w:t xml:space="preserve">) </w:t>
      </w:r>
      <w:r w:rsidR="00150967">
        <w:t>more than</w:t>
      </w:r>
      <w:r>
        <w:t xml:space="preserve"> current rates (see “Average Bill </w:t>
      </w:r>
      <w:r w:rsidR="00150967">
        <w:t>Comparison</w:t>
      </w:r>
      <w:r>
        <w:t>” table below). Current</w:t>
      </w:r>
      <w:r w:rsidR="00795EC0">
        <w:t>,</w:t>
      </w:r>
      <w:r>
        <w:t xml:space="preserve"> proposed and revised </w:t>
      </w:r>
      <w:r w:rsidR="00795EC0">
        <w:t xml:space="preserve">average </w:t>
      </w:r>
      <w:r>
        <w:t>bill</w:t>
      </w:r>
      <w:r w:rsidR="00795EC0">
        <w:t xml:space="preserve">s are shown below for </w:t>
      </w:r>
      <w:r w:rsidR="00150967">
        <w:t>comparison</w:t>
      </w:r>
      <w:r w:rsidR="00795EC0">
        <w:t>. C</w:t>
      </w:r>
      <w:r w:rsidR="00C77A08">
        <w:t xml:space="preserve">urrently the company </w:t>
      </w:r>
      <w:r w:rsidR="00DB7FAD">
        <w:t>bills bi-monthly.</w:t>
      </w:r>
    </w:p>
    <w:p w14:paraId="221CE7BA" w14:textId="77777777" w:rsidR="00E16596" w:rsidRPr="00BF601A" w:rsidRDefault="00E16596" w:rsidP="004630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7EE06" w14:textId="3D6675AD" w:rsidR="00640061" w:rsidRPr="009270B9" w:rsidRDefault="00640061" w:rsidP="000F032E">
      <w:pPr>
        <w:jc w:val="center"/>
        <w:rPr>
          <w:rFonts w:eastAsia="Times New Roman"/>
          <w:b/>
          <w:u w:val="single"/>
          <w:lang w:bidi="ar-SA"/>
        </w:rPr>
      </w:pPr>
      <w:r w:rsidRPr="009270B9">
        <w:rPr>
          <w:rFonts w:eastAsia="Times New Roman"/>
          <w:b/>
          <w:u w:val="single"/>
          <w:lang w:bidi="ar-SA"/>
        </w:rPr>
        <w:t xml:space="preserve">Average </w:t>
      </w:r>
      <w:r w:rsidR="00771499">
        <w:rPr>
          <w:rFonts w:eastAsia="Times New Roman"/>
          <w:b/>
          <w:u w:val="single"/>
          <w:lang w:bidi="ar-SA"/>
        </w:rPr>
        <w:t xml:space="preserve">Monthly </w:t>
      </w:r>
      <w:r w:rsidRPr="009270B9">
        <w:rPr>
          <w:rFonts w:eastAsia="Times New Roman"/>
          <w:b/>
          <w:u w:val="single"/>
          <w:lang w:bidi="ar-SA"/>
        </w:rPr>
        <w:t>Bill Comparison</w:t>
      </w:r>
    </w:p>
    <w:p w14:paraId="6707EE07" w14:textId="77777777" w:rsidR="00640061" w:rsidRPr="009270B9" w:rsidRDefault="00640061" w:rsidP="000F0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lang w:bidi="ar-SA"/>
        </w:rPr>
      </w:pPr>
    </w:p>
    <w:tbl>
      <w:tblPr>
        <w:tblW w:w="493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1842"/>
        <w:gridCol w:w="2249"/>
        <w:gridCol w:w="2247"/>
      </w:tblGrid>
      <w:tr w:rsidR="00F35C21" w:rsidRPr="009270B9" w14:paraId="6707EE0E" w14:textId="77777777" w:rsidTr="00F35C21">
        <w:trPr>
          <w:jc w:val="center"/>
        </w:trPr>
        <w:tc>
          <w:tcPr>
            <w:tcW w:w="1646" w:type="pct"/>
          </w:tcPr>
          <w:p w14:paraId="485F4562" w14:textId="09F5A11D" w:rsidR="00F35C21" w:rsidRDefault="00F35C21" w:rsidP="00791DF6">
            <w:pPr>
              <w:keepNext/>
              <w:widowControl w:val="0"/>
              <w:autoSpaceDE w:val="0"/>
              <w:autoSpaceDN w:val="0"/>
              <w:adjustRightInd w:val="0"/>
              <w:jc w:val="center"/>
              <w:outlineLvl w:val="0"/>
              <w:rPr>
                <w:rFonts w:eastAsia="Times New Roman"/>
                <w:b/>
                <w:lang w:bidi="ar-SA"/>
              </w:rPr>
            </w:pPr>
            <w:r>
              <w:rPr>
                <w:rFonts w:eastAsia="Times New Roman"/>
                <w:b/>
                <w:lang w:bidi="ar-SA"/>
              </w:rPr>
              <w:t>Average Monthly Usage</w:t>
            </w:r>
          </w:p>
          <w:p w14:paraId="6707EE09" w14:textId="3E477442" w:rsidR="00F35C21" w:rsidRPr="009270B9" w:rsidRDefault="00AB09B9" w:rsidP="00AB09B9">
            <w:pPr>
              <w:keepNext/>
              <w:widowControl w:val="0"/>
              <w:autoSpaceDE w:val="0"/>
              <w:autoSpaceDN w:val="0"/>
              <w:adjustRightInd w:val="0"/>
              <w:jc w:val="center"/>
              <w:outlineLvl w:val="0"/>
              <w:rPr>
                <w:rFonts w:eastAsia="Times New Roman"/>
                <w:b/>
                <w:lang w:bidi="ar-SA"/>
              </w:rPr>
            </w:pPr>
            <w:r>
              <w:rPr>
                <w:rFonts w:eastAsia="Times New Roman"/>
                <w:b/>
                <w:lang w:bidi="ar-SA"/>
              </w:rPr>
              <w:t>56</w:t>
            </w:r>
            <w:r w:rsidR="00F35C21">
              <w:rPr>
                <w:rFonts w:eastAsia="Times New Roman"/>
                <w:b/>
                <w:lang w:bidi="ar-SA"/>
              </w:rPr>
              <w:t>3 Cubic Feet</w:t>
            </w:r>
          </w:p>
        </w:tc>
        <w:tc>
          <w:tcPr>
            <w:tcW w:w="975" w:type="pct"/>
            <w:shd w:val="clear" w:color="auto" w:fill="F2F2F2" w:themeFill="background1" w:themeFillShade="F2"/>
            <w:vAlign w:val="center"/>
          </w:tcPr>
          <w:p w14:paraId="254C69DB" w14:textId="77777777" w:rsidR="00F35C21" w:rsidRDefault="00F35C21" w:rsidP="00791DF6">
            <w:pPr>
              <w:widowControl w:val="0"/>
              <w:autoSpaceDE w:val="0"/>
              <w:autoSpaceDN w:val="0"/>
              <w:adjustRightInd w:val="0"/>
              <w:rPr>
                <w:rFonts w:eastAsia="Times New Roman"/>
                <w:b/>
                <w:lang w:bidi="ar-SA"/>
              </w:rPr>
            </w:pPr>
          </w:p>
          <w:p w14:paraId="6707EE0B" w14:textId="77777777" w:rsidR="00F35C21" w:rsidRPr="009270B9" w:rsidRDefault="00F35C21" w:rsidP="00D52F9F">
            <w:pPr>
              <w:widowControl w:val="0"/>
              <w:autoSpaceDE w:val="0"/>
              <w:autoSpaceDN w:val="0"/>
              <w:adjustRightInd w:val="0"/>
              <w:jc w:val="center"/>
              <w:rPr>
                <w:rFonts w:eastAsia="Times New Roman"/>
                <w:b/>
                <w:lang w:bidi="ar-SA"/>
              </w:rPr>
            </w:pPr>
            <w:r w:rsidRPr="009270B9">
              <w:rPr>
                <w:rFonts w:eastAsia="Times New Roman"/>
                <w:b/>
                <w:lang w:bidi="ar-SA"/>
              </w:rPr>
              <w:t>Current Rate</w:t>
            </w:r>
          </w:p>
        </w:tc>
        <w:tc>
          <w:tcPr>
            <w:tcW w:w="1190" w:type="pct"/>
            <w:shd w:val="clear" w:color="auto" w:fill="F2F2F2" w:themeFill="background1" w:themeFillShade="F2"/>
          </w:tcPr>
          <w:p w14:paraId="608C06F8" w14:textId="77777777" w:rsidR="00F35C21" w:rsidRDefault="00F35C21" w:rsidP="00F35C21">
            <w:pPr>
              <w:widowControl w:val="0"/>
              <w:autoSpaceDE w:val="0"/>
              <w:autoSpaceDN w:val="0"/>
              <w:adjustRightInd w:val="0"/>
              <w:jc w:val="center"/>
              <w:rPr>
                <w:rFonts w:eastAsia="Times New Roman"/>
                <w:b/>
                <w:lang w:bidi="ar-SA"/>
              </w:rPr>
            </w:pPr>
          </w:p>
          <w:p w14:paraId="02D9EEA5" w14:textId="76F43D9E" w:rsidR="00F35C21" w:rsidRDefault="00F35C21" w:rsidP="000F032E">
            <w:pPr>
              <w:widowControl w:val="0"/>
              <w:autoSpaceDE w:val="0"/>
              <w:autoSpaceDN w:val="0"/>
              <w:adjustRightInd w:val="0"/>
              <w:jc w:val="center"/>
              <w:rPr>
                <w:rFonts w:eastAsia="Times New Roman"/>
                <w:b/>
                <w:lang w:bidi="ar-SA"/>
              </w:rPr>
            </w:pPr>
            <w:r w:rsidRPr="009270B9">
              <w:rPr>
                <w:rFonts w:eastAsia="Times New Roman"/>
                <w:b/>
                <w:lang w:bidi="ar-SA"/>
              </w:rPr>
              <w:t>Proposed Rate</w:t>
            </w:r>
          </w:p>
        </w:tc>
        <w:tc>
          <w:tcPr>
            <w:tcW w:w="1190" w:type="pct"/>
            <w:shd w:val="clear" w:color="auto" w:fill="F2F2F2" w:themeFill="background1" w:themeFillShade="F2"/>
          </w:tcPr>
          <w:p w14:paraId="407A0CDE" w14:textId="7924F605" w:rsidR="00F35C21" w:rsidRDefault="00F35C21" w:rsidP="000F032E">
            <w:pPr>
              <w:widowControl w:val="0"/>
              <w:autoSpaceDE w:val="0"/>
              <w:autoSpaceDN w:val="0"/>
              <w:adjustRightInd w:val="0"/>
              <w:jc w:val="center"/>
              <w:rPr>
                <w:rFonts w:eastAsia="Times New Roman"/>
                <w:b/>
                <w:lang w:bidi="ar-SA"/>
              </w:rPr>
            </w:pPr>
          </w:p>
          <w:p w14:paraId="5BBE339B" w14:textId="55EF4BEF" w:rsidR="00F35C21" w:rsidRPr="009270B9" w:rsidRDefault="00F35C21" w:rsidP="000F032E">
            <w:pPr>
              <w:widowControl w:val="0"/>
              <w:autoSpaceDE w:val="0"/>
              <w:autoSpaceDN w:val="0"/>
              <w:adjustRightInd w:val="0"/>
              <w:jc w:val="center"/>
              <w:rPr>
                <w:rFonts w:eastAsia="Times New Roman"/>
                <w:b/>
                <w:lang w:bidi="ar-SA"/>
              </w:rPr>
            </w:pPr>
            <w:r>
              <w:rPr>
                <w:rFonts w:eastAsia="Times New Roman"/>
                <w:b/>
                <w:lang w:bidi="ar-SA"/>
              </w:rPr>
              <w:t>Revi</w:t>
            </w:r>
            <w:r w:rsidRPr="009270B9">
              <w:rPr>
                <w:rFonts w:eastAsia="Times New Roman"/>
                <w:b/>
                <w:lang w:bidi="ar-SA"/>
              </w:rPr>
              <w:t>sed Rate</w:t>
            </w:r>
          </w:p>
        </w:tc>
      </w:tr>
      <w:tr w:rsidR="00F35C21" w:rsidRPr="009270B9" w14:paraId="358BAF1A" w14:textId="77777777" w:rsidTr="00F35C21">
        <w:trPr>
          <w:jc w:val="center"/>
        </w:trPr>
        <w:tc>
          <w:tcPr>
            <w:tcW w:w="1646" w:type="pct"/>
          </w:tcPr>
          <w:p w14:paraId="5FB4B5B3" w14:textId="48076937" w:rsidR="00F35C21" w:rsidRDefault="00F35C21" w:rsidP="00791DF6">
            <w:pPr>
              <w:keepNext/>
              <w:widowControl w:val="0"/>
              <w:autoSpaceDE w:val="0"/>
              <w:autoSpaceDN w:val="0"/>
              <w:adjustRightInd w:val="0"/>
              <w:outlineLvl w:val="0"/>
              <w:rPr>
                <w:rFonts w:eastAsia="Times New Roman"/>
                <w:lang w:bidi="ar-SA"/>
              </w:rPr>
            </w:pPr>
            <w:r>
              <w:rPr>
                <w:rFonts w:eastAsia="Times New Roman"/>
                <w:lang w:bidi="ar-SA"/>
              </w:rPr>
              <w:t>Base Rate</w:t>
            </w:r>
          </w:p>
        </w:tc>
        <w:tc>
          <w:tcPr>
            <w:tcW w:w="975" w:type="pct"/>
          </w:tcPr>
          <w:p w14:paraId="32AB8B64" w14:textId="3F0B74B6" w:rsidR="00F35C21" w:rsidRDefault="00F35C21" w:rsidP="00AB09B9">
            <w:pPr>
              <w:widowControl w:val="0"/>
              <w:autoSpaceDE w:val="0"/>
              <w:autoSpaceDN w:val="0"/>
              <w:adjustRightInd w:val="0"/>
              <w:jc w:val="center"/>
              <w:rPr>
                <w:rFonts w:eastAsia="Times New Roman"/>
                <w:lang w:bidi="ar-SA"/>
              </w:rPr>
            </w:pPr>
            <w:r>
              <w:rPr>
                <w:rFonts w:eastAsia="Times New Roman"/>
                <w:lang w:bidi="ar-SA"/>
              </w:rPr>
              <w:t>$</w:t>
            </w:r>
            <w:r w:rsidR="00AB09B9">
              <w:rPr>
                <w:rFonts w:eastAsia="Times New Roman"/>
                <w:lang w:bidi="ar-SA"/>
              </w:rPr>
              <w:t>17.5</w:t>
            </w:r>
            <w:r>
              <w:rPr>
                <w:rFonts w:eastAsia="Times New Roman"/>
                <w:lang w:bidi="ar-SA"/>
              </w:rPr>
              <w:t>0</w:t>
            </w:r>
          </w:p>
        </w:tc>
        <w:tc>
          <w:tcPr>
            <w:tcW w:w="1190" w:type="pct"/>
          </w:tcPr>
          <w:p w14:paraId="383FA25C" w14:textId="431D5706" w:rsidR="00F35C21" w:rsidRDefault="00AB09B9" w:rsidP="00007D8E">
            <w:pPr>
              <w:widowControl w:val="0"/>
              <w:autoSpaceDE w:val="0"/>
              <w:autoSpaceDN w:val="0"/>
              <w:adjustRightInd w:val="0"/>
              <w:jc w:val="center"/>
              <w:rPr>
                <w:rFonts w:eastAsia="Times New Roman"/>
                <w:lang w:bidi="ar-SA"/>
              </w:rPr>
            </w:pPr>
            <w:r>
              <w:rPr>
                <w:rFonts w:eastAsia="Times New Roman"/>
                <w:lang w:bidi="ar-SA"/>
              </w:rPr>
              <w:t>$17.5</w:t>
            </w:r>
            <w:r w:rsidR="00F35C21">
              <w:rPr>
                <w:rFonts w:eastAsia="Times New Roman"/>
                <w:lang w:bidi="ar-SA"/>
              </w:rPr>
              <w:t>0</w:t>
            </w:r>
          </w:p>
        </w:tc>
        <w:tc>
          <w:tcPr>
            <w:tcW w:w="1190" w:type="pct"/>
          </w:tcPr>
          <w:p w14:paraId="7A0F3C5D" w14:textId="714DEF8A" w:rsidR="00F35C21" w:rsidRPr="009553EB" w:rsidRDefault="00F35C21" w:rsidP="00DB7FAD">
            <w:pPr>
              <w:widowControl w:val="0"/>
              <w:autoSpaceDE w:val="0"/>
              <w:autoSpaceDN w:val="0"/>
              <w:adjustRightInd w:val="0"/>
              <w:jc w:val="center"/>
              <w:rPr>
                <w:rFonts w:eastAsia="Times New Roman"/>
                <w:lang w:bidi="ar-SA"/>
              </w:rPr>
            </w:pPr>
            <w:r>
              <w:rPr>
                <w:rFonts w:eastAsia="Times New Roman"/>
                <w:lang w:bidi="ar-SA"/>
              </w:rPr>
              <w:t>$</w:t>
            </w:r>
            <w:r w:rsidR="00DB7FAD">
              <w:rPr>
                <w:rFonts w:eastAsia="Times New Roman"/>
                <w:lang w:bidi="ar-SA"/>
              </w:rPr>
              <w:t>17.5</w:t>
            </w:r>
            <w:r>
              <w:rPr>
                <w:rFonts w:eastAsia="Times New Roman"/>
                <w:lang w:bidi="ar-SA"/>
              </w:rPr>
              <w:t>0</w:t>
            </w:r>
          </w:p>
        </w:tc>
      </w:tr>
      <w:tr w:rsidR="00F35C21" w:rsidRPr="009270B9" w14:paraId="59393E75" w14:textId="77777777" w:rsidTr="00F35C21">
        <w:trPr>
          <w:jc w:val="center"/>
        </w:trPr>
        <w:tc>
          <w:tcPr>
            <w:tcW w:w="1646" w:type="pct"/>
          </w:tcPr>
          <w:p w14:paraId="083B2104" w14:textId="2DF3EFEE" w:rsidR="00F35C21" w:rsidRDefault="00F35C21" w:rsidP="00AB09B9">
            <w:pPr>
              <w:keepNext/>
              <w:widowControl w:val="0"/>
              <w:autoSpaceDE w:val="0"/>
              <w:autoSpaceDN w:val="0"/>
              <w:adjustRightInd w:val="0"/>
              <w:outlineLvl w:val="0"/>
              <w:rPr>
                <w:rFonts w:eastAsia="Times New Roman"/>
                <w:lang w:bidi="ar-SA"/>
              </w:rPr>
            </w:pPr>
            <w:r>
              <w:rPr>
                <w:rFonts w:eastAsia="Times New Roman"/>
                <w:lang w:bidi="ar-SA"/>
              </w:rPr>
              <w:t xml:space="preserve">0 – </w:t>
            </w:r>
            <w:r w:rsidR="00AB09B9">
              <w:rPr>
                <w:rFonts w:eastAsia="Times New Roman"/>
                <w:lang w:bidi="ar-SA"/>
              </w:rPr>
              <w:t>500</w:t>
            </w:r>
            <w:r>
              <w:rPr>
                <w:rFonts w:eastAsia="Times New Roman"/>
                <w:lang w:bidi="ar-SA"/>
              </w:rPr>
              <w:t xml:space="preserve"> Cubic Feet</w:t>
            </w:r>
          </w:p>
        </w:tc>
        <w:tc>
          <w:tcPr>
            <w:tcW w:w="975" w:type="pct"/>
          </w:tcPr>
          <w:p w14:paraId="5F6E4761" w14:textId="42674C28" w:rsidR="00F35C21" w:rsidRDefault="00F35C21" w:rsidP="00AB09B9">
            <w:pPr>
              <w:widowControl w:val="0"/>
              <w:autoSpaceDE w:val="0"/>
              <w:autoSpaceDN w:val="0"/>
              <w:adjustRightInd w:val="0"/>
              <w:jc w:val="center"/>
              <w:rPr>
                <w:rFonts w:eastAsia="Times New Roman"/>
                <w:lang w:bidi="ar-SA"/>
              </w:rPr>
            </w:pPr>
            <w:r>
              <w:rPr>
                <w:rFonts w:eastAsia="Times New Roman"/>
                <w:lang w:bidi="ar-SA"/>
              </w:rPr>
              <w:t>$</w:t>
            </w:r>
            <w:r w:rsidR="00AB09B9">
              <w:rPr>
                <w:rFonts w:eastAsia="Times New Roman"/>
                <w:lang w:bidi="ar-SA"/>
              </w:rPr>
              <w:t>2.50</w:t>
            </w:r>
          </w:p>
        </w:tc>
        <w:tc>
          <w:tcPr>
            <w:tcW w:w="1190" w:type="pct"/>
          </w:tcPr>
          <w:p w14:paraId="67F6E27F" w14:textId="6502B472" w:rsidR="00F35C21" w:rsidRDefault="00F35C21" w:rsidP="00AB09B9">
            <w:pPr>
              <w:widowControl w:val="0"/>
              <w:autoSpaceDE w:val="0"/>
              <w:autoSpaceDN w:val="0"/>
              <w:adjustRightInd w:val="0"/>
              <w:jc w:val="center"/>
              <w:rPr>
                <w:rFonts w:eastAsia="Times New Roman"/>
                <w:lang w:bidi="ar-SA"/>
              </w:rPr>
            </w:pPr>
            <w:r>
              <w:rPr>
                <w:rFonts w:eastAsia="Times New Roman"/>
                <w:lang w:bidi="ar-SA"/>
              </w:rPr>
              <w:t>$</w:t>
            </w:r>
            <w:r w:rsidR="00AB09B9">
              <w:rPr>
                <w:rFonts w:eastAsia="Times New Roman"/>
                <w:lang w:bidi="ar-SA"/>
              </w:rPr>
              <w:t>7.50</w:t>
            </w:r>
          </w:p>
        </w:tc>
        <w:tc>
          <w:tcPr>
            <w:tcW w:w="1190" w:type="pct"/>
          </w:tcPr>
          <w:p w14:paraId="24B54588" w14:textId="49F9A3CB" w:rsidR="00F35C21" w:rsidRPr="009553EB" w:rsidRDefault="00F35C21" w:rsidP="00CE361F">
            <w:pPr>
              <w:widowControl w:val="0"/>
              <w:autoSpaceDE w:val="0"/>
              <w:autoSpaceDN w:val="0"/>
              <w:adjustRightInd w:val="0"/>
              <w:jc w:val="center"/>
              <w:rPr>
                <w:rFonts w:eastAsia="Times New Roman"/>
                <w:lang w:bidi="ar-SA"/>
              </w:rPr>
            </w:pPr>
            <w:r>
              <w:rPr>
                <w:rFonts w:eastAsia="Times New Roman"/>
                <w:lang w:bidi="ar-SA"/>
              </w:rPr>
              <w:t>$</w:t>
            </w:r>
            <w:r w:rsidR="00A05975">
              <w:rPr>
                <w:rFonts w:eastAsia="Times New Roman"/>
                <w:lang w:bidi="ar-SA"/>
              </w:rPr>
              <w:t>3.75</w:t>
            </w:r>
          </w:p>
        </w:tc>
      </w:tr>
      <w:tr w:rsidR="00F35C21" w:rsidRPr="009270B9" w14:paraId="6707EE12" w14:textId="77777777" w:rsidTr="00F35C21">
        <w:trPr>
          <w:jc w:val="center"/>
        </w:trPr>
        <w:tc>
          <w:tcPr>
            <w:tcW w:w="1646" w:type="pct"/>
          </w:tcPr>
          <w:p w14:paraId="6707EE0F" w14:textId="2B6295D4" w:rsidR="00F35C21" w:rsidRPr="009270B9" w:rsidRDefault="00AB09B9" w:rsidP="00791DF6">
            <w:pPr>
              <w:keepNext/>
              <w:widowControl w:val="0"/>
              <w:autoSpaceDE w:val="0"/>
              <w:autoSpaceDN w:val="0"/>
              <w:adjustRightInd w:val="0"/>
              <w:outlineLvl w:val="0"/>
              <w:rPr>
                <w:rFonts w:eastAsia="Times New Roman"/>
                <w:lang w:bidi="ar-SA"/>
              </w:rPr>
            </w:pPr>
            <w:r>
              <w:rPr>
                <w:rFonts w:eastAsia="Times New Roman"/>
                <w:lang w:bidi="ar-SA"/>
              </w:rPr>
              <w:t>501 – 563</w:t>
            </w:r>
            <w:r w:rsidR="00E16596">
              <w:rPr>
                <w:rFonts w:eastAsia="Times New Roman"/>
                <w:lang w:bidi="ar-SA"/>
              </w:rPr>
              <w:t xml:space="preserve"> Cubic Feet</w:t>
            </w:r>
          </w:p>
        </w:tc>
        <w:tc>
          <w:tcPr>
            <w:tcW w:w="975" w:type="pct"/>
          </w:tcPr>
          <w:p w14:paraId="6707EE10" w14:textId="4E3FF9FE" w:rsidR="00F35C21" w:rsidRPr="009270B9" w:rsidRDefault="00F35C21" w:rsidP="00AB09B9">
            <w:pPr>
              <w:widowControl w:val="0"/>
              <w:autoSpaceDE w:val="0"/>
              <w:autoSpaceDN w:val="0"/>
              <w:adjustRightInd w:val="0"/>
              <w:jc w:val="center"/>
              <w:rPr>
                <w:rFonts w:eastAsia="Times New Roman"/>
                <w:lang w:bidi="ar-SA"/>
              </w:rPr>
            </w:pPr>
            <w:r>
              <w:rPr>
                <w:rFonts w:eastAsia="Times New Roman"/>
                <w:lang w:bidi="ar-SA"/>
              </w:rPr>
              <w:t>$</w:t>
            </w:r>
            <w:r w:rsidR="00AB09B9">
              <w:rPr>
                <w:rFonts w:eastAsia="Times New Roman"/>
                <w:lang w:bidi="ar-SA"/>
              </w:rPr>
              <w:t>0.63</w:t>
            </w:r>
          </w:p>
        </w:tc>
        <w:tc>
          <w:tcPr>
            <w:tcW w:w="1190" w:type="pct"/>
          </w:tcPr>
          <w:p w14:paraId="37A7576C" w14:textId="7FAD8CE8" w:rsidR="00F35C21" w:rsidRPr="009553EB" w:rsidRDefault="00F35C21" w:rsidP="00AB09B9">
            <w:pPr>
              <w:widowControl w:val="0"/>
              <w:autoSpaceDE w:val="0"/>
              <w:autoSpaceDN w:val="0"/>
              <w:adjustRightInd w:val="0"/>
              <w:jc w:val="center"/>
              <w:rPr>
                <w:rFonts w:eastAsia="Times New Roman"/>
                <w:lang w:bidi="ar-SA"/>
              </w:rPr>
            </w:pPr>
            <w:r w:rsidRPr="009553EB">
              <w:rPr>
                <w:rFonts w:eastAsia="Times New Roman"/>
                <w:lang w:bidi="ar-SA"/>
              </w:rPr>
              <w:t>$</w:t>
            </w:r>
            <w:r>
              <w:rPr>
                <w:rFonts w:eastAsia="Times New Roman"/>
                <w:lang w:bidi="ar-SA"/>
              </w:rPr>
              <w:t>1</w:t>
            </w:r>
            <w:r w:rsidR="00AB09B9">
              <w:rPr>
                <w:rFonts w:eastAsia="Times New Roman"/>
                <w:lang w:bidi="ar-SA"/>
              </w:rPr>
              <w:t>.73</w:t>
            </w:r>
          </w:p>
        </w:tc>
        <w:tc>
          <w:tcPr>
            <w:tcW w:w="1190" w:type="pct"/>
          </w:tcPr>
          <w:p w14:paraId="52C3F6BE" w14:textId="4E2494BA" w:rsidR="00F35C21" w:rsidRPr="009553EB" w:rsidRDefault="00F35C21" w:rsidP="00CE361F">
            <w:pPr>
              <w:widowControl w:val="0"/>
              <w:autoSpaceDE w:val="0"/>
              <w:autoSpaceDN w:val="0"/>
              <w:adjustRightInd w:val="0"/>
              <w:jc w:val="center"/>
              <w:rPr>
                <w:rFonts w:eastAsia="Times New Roman"/>
                <w:lang w:bidi="ar-SA"/>
              </w:rPr>
            </w:pPr>
            <w:r w:rsidRPr="009553EB">
              <w:rPr>
                <w:rFonts w:eastAsia="Times New Roman"/>
                <w:lang w:bidi="ar-SA"/>
              </w:rPr>
              <w:t>$</w:t>
            </w:r>
            <w:r w:rsidR="00DB7FAD">
              <w:rPr>
                <w:rFonts w:eastAsia="Times New Roman"/>
                <w:lang w:bidi="ar-SA"/>
              </w:rPr>
              <w:t>1.</w:t>
            </w:r>
            <w:r w:rsidR="007071BF">
              <w:rPr>
                <w:rFonts w:eastAsia="Times New Roman"/>
                <w:lang w:bidi="ar-SA"/>
              </w:rPr>
              <w:t>13</w:t>
            </w:r>
          </w:p>
        </w:tc>
      </w:tr>
      <w:tr w:rsidR="00667E63" w:rsidRPr="009270B9" w14:paraId="27A47E39" w14:textId="77777777" w:rsidTr="00667E63">
        <w:trPr>
          <w:jc w:val="center"/>
        </w:trPr>
        <w:tc>
          <w:tcPr>
            <w:tcW w:w="1646" w:type="pct"/>
          </w:tcPr>
          <w:p w14:paraId="56EC407D" w14:textId="6C8B0887" w:rsidR="00667E63" w:rsidRDefault="00667E63" w:rsidP="00C77A08">
            <w:pPr>
              <w:widowControl w:val="0"/>
              <w:autoSpaceDE w:val="0"/>
              <w:autoSpaceDN w:val="0"/>
              <w:adjustRightInd w:val="0"/>
              <w:rPr>
                <w:rFonts w:eastAsia="Times New Roman"/>
                <w:lang w:bidi="ar-SA"/>
              </w:rPr>
            </w:pPr>
            <w:r>
              <w:rPr>
                <w:rFonts w:eastAsia="Times New Roman"/>
                <w:lang w:bidi="ar-SA"/>
              </w:rPr>
              <w:t>Sub Total</w:t>
            </w:r>
          </w:p>
        </w:tc>
        <w:tc>
          <w:tcPr>
            <w:tcW w:w="975" w:type="pct"/>
            <w:tcBorders>
              <w:bottom w:val="single" w:sz="4" w:space="0" w:color="auto"/>
            </w:tcBorders>
          </w:tcPr>
          <w:p w14:paraId="4072EA14" w14:textId="2CD3093F" w:rsidR="00667E63" w:rsidRDefault="00667E63" w:rsidP="00C77A08">
            <w:pPr>
              <w:widowControl w:val="0"/>
              <w:autoSpaceDE w:val="0"/>
              <w:autoSpaceDN w:val="0"/>
              <w:adjustRightInd w:val="0"/>
              <w:jc w:val="center"/>
              <w:rPr>
                <w:rFonts w:eastAsia="Times New Roman"/>
                <w:lang w:bidi="ar-SA"/>
              </w:rPr>
            </w:pPr>
            <w:r>
              <w:rPr>
                <w:rFonts w:eastAsia="Times New Roman"/>
                <w:lang w:bidi="ar-SA"/>
              </w:rPr>
              <w:t>$20.63</w:t>
            </w:r>
          </w:p>
        </w:tc>
        <w:tc>
          <w:tcPr>
            <w:tcW w:w="1190" w:type="pct"/>
            <w:tcBorders>
              <w:bottom w:val="single" w:sz="4" w:space="0" w:color="auto"/>
            </w:tcBorders>
          </w:tcPr>
          <w:p w14:paraId="138AE5F9" w14:textId="67390A01" w:rsidR="00667E63" w:rsidRPr="009553EB" w:rsidRDefault="00DB7FAD" w:rsidP="00C77A08">
            <w:pPr>
              <w:widowControl w:val="0"/>
              <w:autoSpaceDE w:val="0"/>
              <w:autoSpaceDN w:val="0"/>
              <w:adjustRightInd w:val="0"/>
              <w:jc w:val="center"/>
              <w:rPr>
                <w:rFonts w:eastAsia="Times New Roman"/>
                <w:lang w:bidi="ar-SA"/>
              </w:rPr>
            </w:pPr>
            <w:r>
              <w:rPr>
                <w:rFonts w:eastAsia="Times New Roman"/>
                <w:lang w:bidi="ar-SA"/>
              </w:rPr>
              <w:t>$26.73</w:t>
            </w:r>
          </w:p>
        </w:tc>
        <w:tc>
          <w:tcPr>
            <w:tcW w:w="1190" w:type="pct"/>
            <w:tcBorders>
              <w:bottom w:val="single" w:sz="4" w:space="0" w:color="auto"/>
            </w:tcBorders>
          </w:tcPr>
          <w:p w14:paraId="52A539BA" w14:textId="7CE655AD" w:rsidR="00667E63" w:rsidRPr="00D319D6" w:rsidRDefault="00DB7FAD" w:rsidP="007071BF">
            <w:pPr>
              <w:widowControl w:val="0"/>
              <w:autoSpaceDE w:val="0"/>
              <w:autoSpaceDN w:val="0"/>
              <w:adjustRightInd w:val="0"/>
              <w:jc w:val="center"/>
              <w:rPr>
                <w:rFonts w:eastAsia="Times New Roman"/>
                <w:lang w:bidi="ar-SA"/>
              </w:rPr>
            </w:pPr>
            <w:r>
              <w:rPr>
                <w:rFonts w:eastAsia="Times New Roman"/>
                <w:lang w:bidi="ar-SA"/>
              </w:rPr>
              <w:t>$2</w:t>
            </w:r>
            <w:r w:rsidR="007071BF">
              <w:rPr>
                <w:rFonts w:eastAsia="Times New Roman"/>
                <w:lang w:bidi="ar-SA"/>
              </w:rPr>
              <w:t>2.38</w:t>
            </w:r>
          </w:p>
        </w:tc>
      </w:tr>
      <w:tr w:rsidR="00F35C21" w:rsidRPr="009270B9" w14:paraId="186FC7F6" w14:textId="77777777" w:rsidTr="00F35C21">
        <w:trPr>
          <w:jc w:val="center"/>
        </w:trPr>
        <w:tc>
          <w:tcPr>
            <w:tcW w:w="1646" w:type="pct"/>
          </w:tcPr>
          <w:p w14:paraId="1395170C" w14:textId="626421B7" w:rsidR="00F35C21" w:rsidRDefault="00AB09B9" w:rsidP="00C77A08">
            <w:pPr>
              <w:widowControl w:val="0"/>
              <w:autoSpaceDE w:val="0"/>
              <w:autoSpaceDN w:val="0"/>
              <w:adjustRightInd w:val="0"/>
              <w:rPr>
                <w:rFonts w:eastAsia="Times New Roman"/>
                <w:lang w:bidi="ar-SA"/>
              </w:rPr>
            </w:pPr>
            <w:r>
              <w:rPr>
                <w:rFonts w:eastAsia="Times New Roman"/>
                <w:lang w:bidi="ar-SA"/>
              </w:rPr>
              <w:t>State Utility Tax</w:t>
            </w:r>
          </w:p>
        </w:tc>
        <w:tc>
          <w:tcPr>
            <w:tcW w:w="975" w:type="pct"/>
            <w:tcBorders>
              <w:bottom w:val="single" w:sz="18" w:space="0" w:color="auto"/>
            </w:tcBorders>
          </w:tcPr>
          <w:p w14:paraId="59A1D8BC" w14:textId="3716866F" w:rsidR="00F35C21" w:rsidRDefault="00667E63" w:rsidP="00C77A08">
            <w:pPr>
              <w:widowControl w:val="0"/>
              <w:autoSpaceDE w:val="0"/>
              <w:autoSpaceDN w:val="0"/>
              <w:adjustRightInd w:val="0"/>
              <w:jc w:val="center"/>
              <w:rPr>
                <w:rFonts w:eastAsia="Times New Roman"/>
                <w:lang w:bidi="ar-SA"/>
              </w:rPr>
            </w:pPr>
            <w:r>
              <w:rPr>
                <w:rFonts w:eastAsia="Times New Roman"/>
                <w:lang w:bidi="ar-SA"/>
              </w:rPr>
              <w:t>$1.04</w:t>
            </w:r>
          </w:p>
        </w:tc>
        <w:tc>
          <w:tcPr>
            <w:tcW w:w="1190" w:type="pct"/>
            <w:tcBorders>
              <w:bottom w:val="single" w:sz="18" w:space="0" w:color="auto"/>
            </w:tcBorders>
          </w:tcPr>
          <w:p w14:paraId="66D029C4" w14:textId="115B9777" w:rsidR="00F35C21" w:rsidRPr="009553EB" w:rsidRDefault="00F35C21" w:rsidP="00C77A08">
            <w:pPr>
              <w:widowControl w:val="0"/>
              <w:autoSpaceDE w:val="0"/>
              <w:autoSpaceDN w:val="0"/>
              <w:adjustRightInd w:val="0"/>
              <w:jc w:val="center"/>
              <w:rPr>
                <w:rFonts w:eastAsia="Times New Roman"/>
                <w:lang w:bidi="ar-SA"/>
              </w:rPr>
            </w:pPr>
            <w:r w:rsidRPr="009553EB">
              <w:rPr>
                <w:rFonts w:eastAsia="Times New Roman"/>
                <w:lang w:bidi="ar-SA"/>
              </w:rPr>
              <w:t>$</w:t>
            </w:r>
            <w:r w:rsidR="00DB7FAD">
              <w:rPr>
                <w:rFonts w:eastAsia="Times New Roman"/>
                <w:lang w:bidi="ar-SA"/>
              </w:rPr>
              <w:t>1.34</w:t>
            </w:r>
          </w:p>
        </w:tc>
        <w:tc>
          <w:tcPr>
            <w:tcW w:w="1190" w:type="pct"/>
            <w:tcBorders>
              <w:bottom w:val="single" w:sz="18" w:space="0" w:color="auto"/>
            </w:tcBorders>
          </w:tcPr>
          <w:p w14:paraId="31049909" w14:textId="6DC7B625" w:rsidR="00F35C21" w:rsidRPr="009553EB" w:rsidRDefault="00A05975" w:rsidP="00FA031B">
            <w:pPr>
              <w:widowControl w:val="0"/>
              <w:autoSpaceDE w:val="0"/>
              <w:autoSpaceDN w:val="0"/>
              <w:adjustRightInd w:val="0"/>
              <w:jc w:val="center"/>
              <w:rPr>
                <w:rFonts w:eastAsia="Times New Roman"/>
                <w:lang w:bidi="ar-SA"/>
              </w:rPr>
            </w:pPr>
            <w:r>
              <w:rPr>
                <w:rFonts w:eastAsia="Times New Roman"/>
                <w:lang w:bidi="ar-SA"/>
              </w:rPr>
              <w:t>$1.13</w:t>
            </w:r>
          </w:p>
        </w:tc>
      </w:tr>
      <w:tr w:rsidR="00F35C21" w:rsidRPr="009270B9" w14:paraId="6707EE1E" w14:textId="77777777" w:rsidTr="00F35C21">
        <w:trPr>
          <w:jc w:val="center"/>
        </w:trPr>
        <w:tc>
          <w:tcPr>
            <w:tcW w:w="1646" w:type="pct"/>
            <w:tcBorders>
              <w:right w:val="single" w:sz="2" w:space="0" w:color="auto"/>
            </w:tcBorders>
          </w:tcPr>
          <w:p w14:paraId="6707EE1B" w14:textId="542C7167" w:rsidR="00F35C21" w:rsidRPr="009270B9" w:rsidRDefault="00F35C21" w:rsidP="00E73DBD">
            <w:pPr>
              <w:widowControl w:val="0"/>
              <w:autoSpaceDE w:val="0"/>
              <w:autoSpaceDN w:val="0"/>
              <w:adjustRightInd w:val="0"/>
              <w:rPr>
                <w:rFonts w:eastAsia="Times New Roman"/>
                <w:lang w:bidi="ar-SA"/>
              </w:rPr>
            </w:pPr>
            <w:r>
              <w:rPr>
                <w:rFonts w:eastAsia="Times New Roman"/>
                <w:lang w:bidi="ar-SA"/>
              </w:rPr>
              <w:t xml:space="preserve">Average </w:t>
            </w:r>
            <w:r w:rsidRPr="009270B9">
              <w:rPr>
                <w:rFonts w:eastAsia="Times New Roman"/>
                <w:lang w:bidi="ar-SA"/>
              </w:rPr>
              <w:t>Monthly Bill</w:t>
            </w:r>
          </w:p>
        </w:tc>
        <w:tc>
          <w:tcPr>
            <w:tcW w:w="975" w:type="pct"/>
            <w:tcBorders>
              <w:top w:val="single" w:sz="18" w:space="0" w:color="auto"/>
              <w:left w:val="single" w:sz="2" w:space="0" w:color="auto"/>
              <w:bottom w:val="single" w:sz="2" w:space="0" w:color="auto"/>
              <w:right w:val="single" w:sz="2" w:space="0" w:color="auto"/>
            </w:tcBorders>
          </w:tcPr>
          <w:p w14:paraId="6707EE1C" w14:textId="61CB49D7" w:rsidR="00F35C21" w:rsidRDefault="00667E63" w:rsidP="006075AF">
            <w:pPr>
              <w:widowControl w:val="0"/>
              <w:autoSpaceDE w:val="0"/>
              <w:autoSpaceDN w:val="0"/>
              <w:adjustRightInd w:val="0"/>
              <w:jc w:val="center"/>
              <w:rPr>
                <w:rFonts w:eastAsia="Times New Roman"/>
                <w:lang w:bidi="ar-SA"/>
              </w:rPr>
            </w:pPr>
            <w:r>
              <w:rPr>
                <w:rFonts w:eastAsia="Times New Roman"/>
                <w:lang w:bidi="ar-SA"/>
              </w:rPr>
              <w:t>$21.67</w:t>
            </w:r>
          </w:p>
        </w:tc>
        <w:tc>
          <w:tcPr>
            <w:tcW w:w="1190" w:type="pct"/>
            <w:tcBorders>
              <w:top w:val="single" w:sz="18" w:space="0" w:color="auto"/>
              <w:left w:val="single" w:sz="2" w:space="0" w:color="auto"/>
              <w:right w:val="single" w:sz="2" w:space="0" w:color="auto"/>
            </w:tcBorders>
          </w:tcPr>
          <w:p w14:paraId="418CA43F" w14:textId="35F434F9" w:rsidR="00F35C21" w:rsidRDefault="00DB7FAD" w:rsidP="00C77A08">
            <w:pPr>
              <w:widowControl w:val="0"/>
              <w:autoSpaceDE w:val="0"/>
              <w:autoSpaceDN w:val="0"/>
              <w:adjustRightInd w:val="0"/>
              <w:jc w:val="center"/>
              <w:rPr>
                <w:rFonts w:eastAsia="Times New Roman"/>
                <w:lang w:bidi="ar-SA"/>
              </w:rPr>
            </w:pPr>
            <w:r>
              <w:rPr>
                <w:rFonts w:eastAsia="Times New Roman"/>
                <w:lang w:bidi="ar-SA"/>
              </w:rPr>
              <w:t>$28.08</w:t>
            </w:r>
          </w:p>
        </w:tc>
        <w:tc>
          <w:tcPr>
            <w:tcW w:w="1190" w:type="pct"/>
            <w:tcBorders>
              <w:top w:val="single" w:sz="18" w:space="0" w:color="auto"/>
              <w:left w:val="single" w:sz="2" w:space="0" w:color="auto"/>
            </w:tcBorders>
          </w:tcPr>
          <w:p w14:paraId="1ABE5710" w14:textId="0EA88103" w:rsidR="00F35C21" w:rsidRDefault="00DB7FAD" w:rsidP="00CE361F">
            <w:pPr>
              <w:widowControl w:val="0"/>
              <w:autoSpaceDE w:val="0"/>
              <w:autoSpaceDN w:val="0"/>
              <w:adjustRightInd w:val="0"/>
              <w:jc w:val="center"/>
              <w:rPr>
                <w:rFonts w:eastAsia="Times New Roman"/>
                <w:lang w:bidi="ar-SA"/>
              </w:rPr>
            </w:pPr>
            <w:r>
              <w:rPr>
                <w:rFonts w:eastAsia="Times New Roman"/>
                <w:lang w:bidi="ar-SA"/>
              </w:rPr>
              <w:t>$2</w:t>
            </w:r>
            <w:r w:rsidR="007071BF">
              <w:rPr>
                <w:rFonts w:eastAsia="Times New Roman"/>
                <w:lang w:bidi="ar-SA"/>
              </w:rPr>
              <w:t>3.51</w:t>
            </w:r>
          </w:p>
        </w:tc>
      </w:tr>
      <w:tr w:rsidR="00F35C21" w:rsidRPr="009270B9" w14:paraId="62FE79C1" w14:textId="77777777" w:rsidTr="00F35C21">
        <w:trPr>
          <w:jc w:val="center"/>
        </w:trPr>
        <w:tc>
          <w:tcPr>
            <w:tcW w:w="1646" w:type="pct"/>
          </w:tcPr>
          <w:p w14:paraId="70794B76" w14:textId="433F2BC4" w:rsidR="00F35C21" w:rsidRPr="007C07AE" w:rsidRDefault="00F35C21" w:rsidP="000F032E">
            <w:pPr>
              <w:widowControl w:val="0"/>
              <w:autoSpaceDE w:val="0"/>
              <w:autoSpaceDN w:val="0"/>
              <w:adjustRightInd w:val="0"/>
            </w:pPr>
          </w:p>
        </w:tc>
        <w:tc>
          <w:tcPr>
            <w:tcW w:w="975" w:type="pct"/>
            <w:tcBorders>
              <w:top w:val="single" w:sz="2" w:space="0" w:color="auto"/>
            </w:tcBorders>
          </w:tcPr>
          <w:p w14:paraId="7850F316" w14:textId="77777777" w:rsidR="00F35C21" w:rsidRDefault="00F35C21" w:rsidP="000F032E">
            <w:pPr>
              <w:widowControl w:val="0"/>
              <w:autoSpaceDE w:val="0"/>
              <w:autoSpaceDN w:val="0"/>
              <w:adjustRightInd w:val="0"/>
              <w:jc w:val="center"/>
              <w:rPr>
                <w:rFonts w:eastAsia="Times New Roman"/>
                <w:lang w:bidi="ar-SA"/>
              </w:rPr>
            </w:pPr>
          </w:p>
        </w:tc>
        <w:tc>
          <w:tcPr>
            <w:tcW w:w="1190" w:type="pct"/>
          </w:tcPr>
          <w:p w14:paraId="6B6D83D7" w14:textId="77777777" w:rsidR="00F35C21" w:rsidRPr="009553EB" w:rsidRDefault="00F35C21" w:rsidP="006075AF">
            <w:pPr>
              <w:widowControl w:val="0"/>
              <w:autoSpaceDE w:val="0"/>
              <w:autoSpaceDN w:val="0"/>
              <w:adjustRightInd w:val="0"/>
              <w:jc w:val="center"/>
              <w:rPr>
                <w:rFonts w:eastAsia="Times New Roman"/>
                <w:lang w:bidi="ar-SA"/>
              </w:rPr>
            </w:pPr>
          </w:p>
        </w:tc>
        <w:tc>
          <w:tcPr>
            <w:tcW w:w="1190" w:type="pct"/>
          </w:tcPr>
          <w:p w14:paraId="1EEB4A8B" w14:textId="20933FCA" w:rsidR="00F35C21" w:rsidRPr="009553EB" w:rsidRDefault="00F35C21" w:rsidP="006075AF">
            <w:pPr>
              <w:widowControl w:val="0"/>
              <w:autoSpaceDE w:val="0"/>
              <w:autoSpaceDN w:val="0"/>
              <w:adjustRightInd w:val="0"/>
              <w:jc w:val="center"/>
              <w:rPr>
                <w:rFonts w:eastAsia="Times New Roman"/>
                <w:lang w:bidi="ar-SA"/>
              </w:rPr>
            </w:pPr>
          </w:p>
        </w:tc>
      </w:tr>
      <w:tr w:rsidR="00F35C21" w:rsidRPr="009270B9" w14:paraId="6707EE22" w14:textId="77777777" w:rsidTr="00F35C21">
        <w:trPr>
          <w:jc w:val="center"/>
        </w:trPr>
        <w:tc>
          <w:tcPr>
            <w:tcW w:w="1646" w:type="pct"/>
          </w:tcPr>
          <w:p w14:paraId="6707EE1F" w14:textId="77777777" w:rsidR="00F35C21" w:rsidRPr="009270B9" w:rsidRDefault="00F35C21" w:rsidP="000F032E">
            <w:pPr>
              <w:widowControl w:val="0"/>
              <w:autoSpaceDE w:val="0"/>
              <w:autoSpaceDN w:val="0"/>
              <w:adjustRightInd w:val="0"/>
              <w:rPr>
                <w:rFonts w:eastAsia="Times New Roman"/>
                <w:lang w:bidi="ar-SA"/>
              </w:rPr>
            </w:pPr>
            <w:r w:rsidRPr="007C07AE">
              <w:t>Increase From Current Rates</w:t>
            </w:r>
          </w:p>
        </w:tc>
        <w:tc>
          <w:tcPr>
            <w:tcW w:w="975" w:type="pct"/>
          </w:tcPr>
          <w:p w14:paraId="6707EE20" w14:textId="706F5FF5" w:rsidR="00F35C21" w:rsidRDefault="00F35C21" w:rsidP="000F032E">
            <w:pPr>
              <w:widowControl w:val="0"/>
              <w:autoSpaceDE w:val="0"/>
              <w:autoSpaceDN w:val="0"/>
              <w:adjustRightInd w:val="0"/>
              <w:jc w:val="center"/>
              <w:rPr>
                <w:rFonts w:eastAsia="Times New Roman"/>
                <w:lang w:bidi="ar-SA"/>
              </w:rPr>
            </w:pPr>
          </w:p>
        </w:tc>
        <w:tc>
          <w:tcPr>
            <w:tcW w:w="1190" w:type="pct"/>
          </w:tcPr>
          <w:p w14:paraId="1FD0E3BA" w14:textId="4E1917CF" w:rsidR="00F35C21" w:rsidRDefault="00F35C21" w:rsidP="00DB7FAD">
            <w:pPr>
              <w:widowControl w:val="0"/>
              <w:autoSpaceDE w:val="0"/>
              <w:autoSpaceDN w:val="0"/>
              <w:adjustRightInd w:val="0"/>
              <w:jc w:val="center"/>
              <w:rPr>
                <w:rFonts w:eastAsia="Times New Roman"/>
                <w:lang w:bidi="ar-SA"/>
              </w:rPr>
            </w:pPr>
            <w:r>
              <w:rPr>
                <w:rFonts w:eastAsia="Times New Roman"/>
                <w:lang w:bidi="ar-SA"/>
              </w:rPr>
              <w:t>$6</w:t>
            </w:r>
            <w:r w:rsidR="00DB7FAD">
              <w:rPr>
                <w:rFonts w:eastAsia="Times New Roman"/>
                <w:lang w:bidi="ar-SA"/>
              </w:rPr>
              <w:t>.41</w:t>
            </w:r>
          </w:p>
        </w:tc>
        <w:tc>
          <w:tcPr>
            <w:tcW w:w="1190" w:type="pct"/>
          </w:tcPr>
          <w:p w14:paraId="2704F660" w14:textId="45EC0131" w:rsidR="00F35C21" w:rsidRPr="0001006D" w:rsidRDefault="00A05975" w:rsidP="007071BF">
            <w:pPr>
              <w:widowControl w:val="0"/>
              <w:autoSpaceDE w:val="0"/>
              <w:autoSpaceDN w:val="0"/>
              <w:adjustRightInd w:val="0"/>
              <w:jc w:val="center"/>
              <w:rPr>
                <w:rFonts w:eastAsia="Times New Roman"/>
                <w:lang w:bidi="ar-SA"/>
              </w:rPr>
            </w:pPr>
            <w:r w:rsidRPr="0001006D">
              <w:rPr>
                <w:rFonts w:eastAsia="Times New Roman"/>
                <w:lang w:bidi="ar-SA"/>
              </w:rPr>
              <w:t>$</w:t>
            </w:r>
            <w:r w:rsidR="007071BF" w:rsidRPr="0001006D">
              <w:rPr>
                <w:rFonts w:eastAsia="Times New Roman"/>
                <w:lang w:bidi="ar-SA"/>
              </w:rPr>
              <w:t>1.84</w:t>
            </w:r>
          </w:p>
        </w:tc>
      </w:tr>
      <w:tr w:rsidR="00F35C21" w:rsidRPr="009270B9" w14:paraId="2B6F1566" w14:textId="77777777" w:rsidTr="00F35C21">
        <w:trPr>
          <w:jc w:val="center"/>
        </w:trPr>
        <w:tc>
          <w:tcPr>
            <w:tcW w:w="1646" w:type="pct"/>
          </w:tcPr>
          <w:p w14:paraId="0123CA23" w14:textId="77777777" w:rsidR="00F35C21" w:rsidRPr="007C07AE" w:rsidRDefault="00F35C21" w:rsidP="000F032E">
            <w:pPr>
              <w:widowControl w:val="0"/>
              <w:autoSpaceDE w:val="0"/>
              <w:autoSpaceDN w:val="0"/>
              <w:adjustRightInd w:val="0"/>
            </w:pPr>
          </w:p>
        </w:tc>
        <w:tc>
          <w:tcPr>
            <w:tcW w:w="975" w:type="pct"/>
          </w:tcPr>
          <w:p w14:paraId="550E42A8" w14:textId="77777777" w:rsidR="00F35C21" w:rsidRDefault="00F35C21" w:rsidP="000F032E">
            <w:pPr>
              <w:widowControl w:val="0"/>
              <w:autoSpaceDE w:val="0"/>
              <w:autoSpaceDN w:val="0"/>
              <w:adjustRightInd w:val="0"/>
              <w:jc w:val="center"/>
              <w:rPr>
                <w:rFonts w:eastAsia="Times New Roman"/>
                <w:lang w:bidi="ar-SA"/>
              </w:rPr>
            </w:pPr>
          </w:p>
        </w:tc>
        <w:tc>
          <w:tcPr>
            <w:tcW w:w="1190" w:type="pct"/>
          </w:tcPr>
          <w:p w14:paraId="0E795D0F" w14:textId="0ACBBE99" w:rsidR="00F35C21" w:rsidRDefault="00DB7FAD" w:rsidP="00DB7FAD">
            <w:pPr>
              <w:widowControl w:val="0"/>
              <w:autoSpaceDE w:val="0"/>
              <w:autoSpaceDN w:val="0"/>
              <w:adjustRightInd w:val="0"/>
              <w:jc w:val="center"/>
              <w:rPr>
                <w:rFonts w:eastAsia="Times New Roman"/>
                <w:lang w:bidi="ar-SA"/>
              </w:rPr>
            </w:pPr>
            <w:r>
              <w:rPr>
                <w:rFonts w:eastAsia="Times New Roman"/>
                <w:lang w:bidi="ar-SA"/>
              </w:rPr>
              <w:t>29.6</w:t>
            </w:r>
            <w:r w:rsidR="00F35C21" w:rsidRPr="009553EB">
              <w:rPr>
                <w:rFonts w:eastAsia="Times New Roman"/>
                <w:lang w:bidi="ar-SA"/>
              </w:rPr>
              <w:t>%</w:t>
            </w:r>
          </w:p>
        </w:tc>
        <w:tc>
          <w:tcPr>
            <w:tcW w:w="1190" w:type="pct"/>
          </w:tcPr>
          <w:p w14:paraId="5289F1E8" w14:textId="6095DBEB" w:rsidR="00F35C21" w:rsidRPr="0001006D" w:rsidRDefault="007071BF" w:rsidP="007071BF">
            <w:pPr>
              <w:widowControl w:val="0"/>
              <w:autoSpaceDE w:val="0"/>
              <w:autoSpaceDN w:val="0"/>
              <w:adjustRightInd w:val="0"/>
              <w:jc w:val="center"/>
              <w:rPr>
                <w:rFonts w:eastAsia="Times New Roman"/>
                <w:lang w:bidi="ar-SA"/>
              </w:rPr>
            </w:pPr>
            <w:r w:rsidRPr="0001006D">
              <w:rPr>
                <w:rFonts w:eastAsia="Times New Roman"/>
                <w:lang w:bidi="ar-SA"/>
              </w:rPr>
              <w:t>8</w:t>
            </w:r>
            <w:r w:rsidR="0045515D" w:rsidRPr="0001006D">
              <w:rPr>
                <w:rFonts w:eastAsia="Times New Roman"/>
                <w:lang w:bidi="ar-SA"/>
              </w:rPr>
              <w:t>.</w:t>
            </w:r>
            <w:r w:rsidRPr="0001006D">
              <w:rPr>
                <w:rFonts w:eastAsia="Times New Roman"/>
                <w:lang w:bidi="ar-SA"/>
              </w:rPr>
              <w:t>5</w:t>
            </w:r>
            <w:r w:rsidR="00DB7FAD" w:rsidRPr="0001006D">
              <w:rPr>
                <w:rFonts w:eastAsia="Times New Roman"/>
                <w:lang w:bidi="ar-SA"/>
              </w:rPr>
              <w:t>%</w:t>
            </w:r>
          </w:p>
        </w:tc>
      </w:tr>
    </w:tbl>
    <w:p w14:paraId="15928CE0" w14:textId="1C71129E" w:rsidR="00174509" w:rsidRDefault="00174509" w:rsidP="00AC3B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07EE26" w14:textId="77777777" w:rsidR="00046A19" w:rsidRDefault="00046A19" w:rsidP="000F032E">
      <w:pPr>
        <w:rPr>
          <w:b/>
          <w:u w:val="single"/>
        </w:rPr>
      </w:pPr>
      <w:r w:rsidRPr="00935AF2">
        <w:rPr>
          <w:b/>
          <w:u w:val="single"/>
        </w:rPr>
        <w:t xml:space="preserve">Conclusion </w:t>
      </w:r>
    </w:p>
    <w:p w14:paraId="6707EE27" w14:textId="77777777" w:rsidR="00046A19" w:rsidRDefault="00046A19" w:rsidP="000F032E">
      <w:pPr>
        <w:widowControl w:val="0"/>
        <w:autoSpaceDE w:val="0"/>
        <w:autoSpaceDN w:val="0"/>
        <w:adjustRightInd w:val="0"/>
        <w:rPr>
          <w:rFonts w:eastAsia="Times New Roman"/>
          <w:color w:val="000000"/>
          <w:lang w:bidi="ar-SA"/>
        </w:rPr>
      </w:pPr>
    </w:p>
    <w:p w14:paraId="6342478F" w14:textId="295ABB6F" w:rsidR="00757A74" w:rsidRPr="00AA4488" w:rsidRDefault="00757A74" w:rsidP="00757A74">
      <w:r w:rsidRPr="00AA4488">
        <w:t xml:space="preserve">Commission staff has completed its review of the company’s supporting financial documents, books and records. Staff’s review </w:t>
      </w:r>
      <w:r w:rsidR="004658DE">
        <w:t xml:space="preserve">of the filing </w:t>
      </w:r>
      <w:r w:rsidRPr="00AA4488">
        <w:t xml:space="preserve">shows that the </w:t>
      </w:r>
      <w:r w:rsidR="009A2805">
        <w:t xml:space="preserve">revised </w:t>
      </w:r>
      <w:r w:rsidR="00BA191C">
        <w:t xml:space="preserve">expenses are reasonable and required as part of the </w:t>
      </w:r>
      <w:r w:rsidR="00A118AB">
        <w:t>company</w:t>
      </w:r>
      <w:r w:rsidR="00BA191C">
        <w:t xml:space="preserve">’s operation. The customers’ comments do not change staff’s </w:t>
      </w:r>
      <w:r w:rsidR="00BA191C">
        <w:lastRenderedPageBreak/>
        <w:t>opinion that the company’s financial information supports the revised revenue requirement, and the revised rates and charges are fair, just, reasonable and sufficient</w:t>
      </w:r>
      <w:r w:rsidR="00F35C21">
        <w:t>.</w:t>
      </w:r>
    </w:p>
    <w:p w14:paraId="00C016FD" w14:textId="77777777" w:rsidR="00757A74" w:rsidRDefault="00757A74" w:rsidP="00757A74">
      <w:pPr>
        <w:tabs>
          <w:tab w:val="left" w:pos="0"/>
          <w:tab w:val="left" w:pos="3185"/>
        </w:tabs>
      </w:pPr>
      <w:r>
        <w:tab/>
      </w:r>
    </w:p>
    <w:p w14:paraId="1A2A4563" w14:textId="77777777" w:rsidR="000D1680" w:rsidRDefault="00BA191C" w:rsidP="00AC3BE4">
      <w:pPr>
        <w:widowControl w:val="0"/>
        <w:autoSpaceDE w:val="0"/>
        <w:autoSpaceDN w:val="0"/>
        <w:adjustRightInd w:val="0"/>
      </w:pPr>
      <w:r>
        <w:rPr>
          <w:color w:val="000000"/>
          <w:lang w:bidi="ar-SA"/>
        </w:rPr>
        <w:t xml:space="preserve">Staff recommends that the commission </w:t>
      </w:r>
      <w:r w:rsidR="008F7459">
        <w:rPr>
          <w:color w:val="000000"/>
          <w:lang w:bidi="ar-SA"/>
        </w:rPr>
        <w:t xml:space="preserve">take no action, thereby </w:t>
      </w:r>
      <w:r w:rsidR="00AC3BE4">
        <w:rPr>
          <w:color w:val="000000"/>
          <w:lang w:bidi="ar-SA"/>
        </w:rPr>
        <w:t>a</w:t>
      </w:r>
      <w:r w:rsidR="00534BDD" w:rsidRPr="00AC3BE4">
        <w:t>llow</w:t>
      </w:r>
      <w:r w:rsidR="008F7459">
        <w:t>ing</w:t>
      </w:r>
      <w:r w:rsidR="00534BDD" w:rsidRPr="00AC3BE4">
        <w:t xml:space="preserve"> the revised rates and tariff revision</w:t>
      </w:r>
      <w:r w:rsidR="00D122A3">
        <w:t>s</w:t>
      </w:r>
      <w:r w:rsidR="00534BDD" w:rsidRPr="00AC3BE4">
        <w:t xml:space="preserve"> filed by </w:t>
      </w:r>
      <w:r w:rsidR="00AC3BE4">
        <w:t>Lehman Enterprises, Inc.</w:t>
      </w:r>
      <w:r w:rsidR="008F7459">
        <w:t>,</w:t>
      </w:r>
      <w:r w:rsidR="00534BDD" w:rsidRPr="00AC3BE4">
        <w:t xml:space="preserve"> on </w:t>
      </w:r>
      <w:r w:rsidR="00DB7FAD">
        <w:t>April</w:t>
      </w:r>
      <w:r w:rsidR="008F7459">
        <w:t xml:space="preserve"> 17,</w:t>
      </w:r>
      <w:r w:rsidR="00534BDD" w:rsidRPr="00AC3BE4">
        <w:t xml:space="preserve"> 2013, to become effective on </w:t>
      </w:r>
    </w:p>
    <w:p w14:paraId="6610E77D" w14:textId="62B4B590" w:rsidR="00947725" w:rsidRPr="005C6590" w:rsidRDefault="00AC3BE4" w:rsidP="00AC3BE4">
      <w:pPr>
        <w:widowControl w:val="0"/>
        <w:autoSpaceDE w:val="0"/>
        <w:autoSpaceDN w:val="0"/>
        <w:adjustRightInd w:val="0"/>
      </w:pPr>
      <w:r>
        <w:t>May 1</w:t>
      </w:r>
      <w:r w:rsidR="00534BDD" w:rsidRPr="00AC3BE4">
        <w:t>, 2013</w:t>
      </w:r>
      <w:r w:rsidR="008F7459">
        <w:t>, by operation of law</w:t>
      </w:r>
      <w:r w:rsidR="00534BDD" w:rsidRPr="00AC3BE4">
        <w:t xml:space="preserve">. </w:t>
      </w:r>
    </w:p>
    <w:sectPr w:rsidR="00947725" w:rsidRPr="005C6590" w:rsidSect="00750A48">
      <w:headerReference w:type="defaul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F4D8A" w14:textId="77777777" w:rsidR="00B871E7" w:rsidRDefault="00B871E7" w:rsidP="00E5657A">
      <w:r>
        <w:separator/>
      </w:r>
    </w:p>
  </w:endnote>
  <w:endnote w:type="continuationSeparator" w:id="0">
    <w:p w14:paraId="57F008D6" w14:textId="77777777" w:rsidR="00B871E7" w:rsidRDefault="00B871E7" w:rsidP="00E5657A">
      <w:r>
        <w:continuationSeparator/>
      </w:r>
    </w:p>
  </w:endnote>
  <w:endnote w:type="continuationNotice" w:id="1">
    <w:p w14:paraId="4C74B546" w14:textId="77777777" w:rsidR="00B871E7" w:rsidRDefault="00B87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DFBE" w14:textId="77777777" w:rsidR="00B871E7" w:rsidRDefault="00B871E7" w:rsidP="00E5657A">
      <w:r>
        <w:separator/>
      </w:r>
    </w:p>
  </w:footnote>
  <w:footnote w:type="continuationSeparator" w:id="0">
    <w:p w14:paraId="07E23A8C" w14:textId="77777777" w:rsidR="00B871E7" w:rsidRDefault="00B871E7" w:rsidP="00E5657A">
      <w:r>
        <w:continuationSeparator/>
      </w:r>
    </w:p>
  </w:footnote>
  <w:footnote w:type="continuationNotice" w:id="1">
    <w:p w14:paraId="3076B6DE" w14:textId="77777777" w:rsidR="00B871E7" w:rsidRDefault="00B871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EE2F" w14:textId="17994B5D" w:rsidR="00B871E7" w:rsidRPr="00296F3B" w:rsidRDefault="00B871E7" w:rsidP="001E2713">
    <w:pPr>
      <w:pStyle w:val="Header"/>
      <w:rPr>
        <w:sz w:val="20"/>
        <w:szCs w:val="20"/>
      </w:rPr>
    </w:pPr>
    <w:r w:rsidRPr="00296F3B">
      <w:rPr>
        <w:sz w:val="20"/>
        <w:szCs w:val="20"/>
      </w:rPr>
      <w:t>Docket UW-1</w:t>
    </w:r>
    <w:r>
      <w:rPr>
        <w:sz w:val="20"/>
        <w:szCs w:val="20"/>
      </w:rPr>
      <w:t>30400</w:t>
    </w:r>
  </w:p>
  <w:p w14:paraId="6707EE30" w14:textId="64C6D1B8" w:rsidR="00B871E7" w:rsidRPr="00296F3B" w:rsidRDefault="00B871E7" w:rsidP="001E2713">
    <w:pPr>
      <w:pStyle w:val="Header"/>
      <w:rPr>
        <w:sz w:val="20"/>
        <w:szCs w:val="20"/>
      </w:rPr>
    </w:pPr>
    <w:r>
      <w:rPr>
        <w:sz w:val="20"/>
        <w:szCs w:val="20"/>
      </w:rPr>
      <w:t>April 25</w:t>
    </w:r>
    <w:r w:rsidRPr="00296F3B">
      <w:rPr>
        <w:sz w:val="20"/>
        <w:szCs w:val="20"/>
      </w:rPr>
      <w:t xml:space="preserve">, </w:t>
    </w:r>
    <w:r>
      <w:rPr>
        <w:sz w:val="20"/>
        <w:szCs w:val="20"/>
      </w:rPr>
      <w:t>2013</w:t>
    </w:r>
  </w:p>
  <w:p w14:paraId="6707EE31" w14:textId="77777777" w:rsidR="00B871E7" w:rsidRDefault="00B871E7" w:rsidP="001E2713">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261E11">
      <w:rPr>
        <w:noProof/>
        <w:sz w:val="20"/>
        <w:szCs w:val="20"/>
      </w:rPr>
      <w:t>4</w:t>
    </w:r>
    <w:r w:rsidRPr="00296F3B">
      <w:rPr>
        <w:sz w:val="20"/>
        <w:szCs w:val="20"/>
      </w:rPr>
      <w:fldChar w:fldCharType="end"/>
    </w:r>
  </w:p>
  <w:p w14:paraId="6707EE32" w14:textId="77777777" w:rsidR="00B871E7" w:rsidRPr="00296F3B" w:rsidRDefault="00B871E7" w:rsidP="001E2713">
    <w:pPr>
      <w:pStyle w:val="Header"/>
      <w:rPr>
        <w:sz w:val="20"/>
        <w:szCs w:val="20"/>
      </w:rPr>
    </w:pPr>
  </w:p>
  <w:p w14:paraId="6707EE33" w14:textId="77777777" w:rsidR="00B871E7" w:rsidRDefault="00B871E7" w:rsidP="001E2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D9F32D1"/>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0B"/>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B5A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B4BEA"/>
    <w:multiLevelType w:val="hybridMultilevel"/>
    <w:tmpl w:val="D2B0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24D84"/>
    <w:multiLevelType w:val="hybridMultilevel"/>
    <w:tmpl w:val="891C6C74"/>
    <w:lvl w:ilvl="0" w:tplc="2410FAD0">
      <w:start w:val="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006AA1"/>
    <w:multiLevelType w:val="hybridMultilevel"/>
    <w:tmpl w:val="346469FA"/>
    <w:lvl w:ilvl="0" w:tplc="12280FFA">
      <w:start w:val="5"/>
      <w:numFmt w:val="bullet"/>
      <w:lvlText w:val=""/>
      <w:lvlJc w:val="left"/>
      <w:pPr>
        <w:ind w:left="828" w:hanging="360"/>
      </w:pPr>
      <w:rPr>
        <w:rFonts w:ascii="Symbol" w:eastAsia="Times New Roman" w:hAnsi="Symbol"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nsid w:val="3896075A"/>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31B8D"/>
    <w:multiLevelType w:val="hybridMultilevel"/>
    <w:tmpl w:val="FCBC4F6A"/>
    <w:lvl w:ilvl="0" w:tplc="060C461C">
      <w:start w:val="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E15AAD"/>
    <w:multiLevelType w:val="hybridMultilevel"/>
    <w:tmpl w:val="93FA7E80"/>
    <w:lvl w:ilvl="0" w:tplc="96747C7E">
      <w:start w:val="5"/>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3CD02C7A"/>
    <w:multiLevelType w:val="hybridMultilevel"/>
    <w:tmpl w:val="5976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C29AC"/>
    <w:multiLevelType w:val="hybridMultilevel"/>
    <w:tmpl w:val="EBF8310A"/>
    <w:lvl w:ilvl="0" w:tplc="08421AA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152AA"/>
    <w:multiLevelType w:val="hybridMultilevel"/>
    <w:tmpl w:val="9B0465CC"/>
    <w:lvl w:ilvl="0" w:tplc="28AA77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CA650E"/>
    <w:multiLevelType w:val="hybridMultilevel"/>
    <w:tmpl w:val="CDB65E04"/>
    <w:lvl w:ilvl="0" w:tplc="E954F2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7"/>
  </w:num>
  <w:num w:numId="5">
    <w:abstractNumId w:val="15"/>
  </w:num>
  <w:num w:numId="6">
    <w:abstractNumId w:val="12"/>
  </w:num>
  <w:num w:numId="7">
    <w:abstractNumId w:val="4"/>
  </w:num>
  <w:num w:numId="8">
    <w:abstractNumId w:val="3"/>
  </w:num>
  <w:num w:numId="9">
    <w:abstractNumId w:val="1"/>
  </w:num>
  <w:num w:numId="10">
    <w:abstractNumId w:val="18"/>
  </w:num>
  <w:num w:numId="11">
    <w:abstractNumId w:val="5"/>
  </w:num>
  <w:num w:numId="12">
    <w:abstractNumId w:val="14"/>
  </w:num>
  <w:num w:numId="13">
    <w:abstractNumId w:val="8"/>
  </w:num>
  <w:num w:numId="14">
    <w:abstractNumId w:val="16"/>
  </w:num>
  <w:num w:numId="15">
    <w:abstractNumId w:val="2"/>
  </w:num>
  <w:num w:numId="16">
    <w:abstractNumId w:val="6"/>
  </w:num>
  <w:num w:numId="17">
    <w:abstractNumId w:val="9"/>
  </w:num>
  <w:num w:numId="18">
    <w:abstractNumId w:val="0"/>
  </w:num>
  <w:num w:numId="19">
    <w:abstractNumId w:val="11"/>
  </w:num>
  <w:num w:numId="20">
    <w:abstractNumId w:val="11"/>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9"/>
    <w:rsid w:val="00003188"/>
    <w:rsid w:val="0000617D"/>
    <w:rsid w:val="00006D5A"/>
    <w:rsid w:val="00007D8E"/>
    <w:rsid w:val="0001006D"/>
    <w:rsid w:val="00010837"/>
    <w:rsid w:val="0001140F"/>
    <w:rsid w:val="0001293B"/>
    <w:rsid w:val="0002398D"/>
    <w:rsid w:val="00046A19"/>
    <w:rsid w:val="0005104E"/>
    <w:rsid w:val="00056076"/>
    <w:rsid w:val="0007172A"/>
    <w:rsid w:val="00093E02"/>
    <w:rsid w:val="000A6670"/>
    <w:rsid w:val="000B6B1A"/>
    <w:rsid w:val="000D1680"/>
    <w:rsid w:val="000D2500"/>
    <w:rsid w:val="000D37C4"/>
    <w:rsid w:val="000E640C"/>
    <w:rsid w:val="000F032E"/>
    <w:rsid w:val="00134FF4"/>
    <w:rsid w:val="00140595"/>
    <w:rsid w:val="00144A3B"/>
    <w:rsid w:val="00150967"/>
    <w:rsid w:val="00174509"/>
    <w:rsid w:val="001811BA"/>
    <w:rsid w:val="00182A1D"/>
    <w:rsid w:val="001954F2"/>
    <w:rsid w:val="001B06B5"/>
    <w:rsid w:val="001C1C21"/>
    <w:rsid w:val="001C201C"/>
    <w:rsid w:val="001C5AB1"/>
    <w:rsid w:val="001C6E68"/>
    <w:rsid w:val="001D4972"/>
    <w:rsid w:val="001E1D7A"/>
    <w:rsid w:val="001E2713"/>
    <w:rsid w:val="001E31DA"/>
    <w:rsid w:val="001E5B64"/>
    <w:rsid w:val="001F1624"/>
    <w:rsid w:val="00220924"/>
    <w:rsid w:val="00225208"/>
    <w:rsid w:val="00230C1E"/>
    <w:rsid w:val="00240814"/>
    <w:rsid w:val="00253EC2"/>
    <w:rsid w:val="00261E11"/>
    <w:rsid w:val="00265377"/>
    <w:rsid w:val="00272E16"/>
    <w:rsid w:val="00275421"/>
    <w:rsid w:val="00281C1D"/>
    <w:rsid w:val="0028787E"/>
    <w:rsid w:val="002C039A"/>
    <w:rsid w:val="002C5C53"/>
    <w:rsid w:val="002D390A"/>
    <w:rsid w:val="002E5B90"/>
    <w:rsid w:val="00313006"/>
    <w:rsid w:val="00323AED"/>
    <w:rsid w:val="0035584C"/>
    <w:rsid w:val="00396FC9"/>
    <w:rsid w:val="003B34B3"/>
    <w:rsid w:val="003B6BE1"/>
    <w:rsid w:val="003C2A4E"/>
    <w:rsid w:val="003C699C"/>
    <w:rsid w:val="0040784B"/>
    <w:rsid w:val="004322C3"/>
    <w:rsid w:val="004518CD"/>
    <w:rsid w:val="0045319D"/>
    <w:rsid w:val="0045515D"/>
    <w:rsid w:val="004558FB"/>
    <w:rsid w:val="004630E9"/>
    <w:rsid w:val="00464DCC"/>
    <w:rsid w:val="004658DE"/>
    <w:rsid w:val="004676B0"/>
    <w:rsid w:val="00477A98"/>
    <w:rsid w:val="00485438"/>
    <w:rsid w:val="00495488"/>
    <w:rsid w:val="004C0F22"/>
    <w:rsid w:val="004F31C0"/>
    <w:rsid w:val="004F6243"/>
    <w:rsid w:val="0050769C"/>
    <w:rsid w:val="00527C58"/>
    <w:rsid w:val="00534BDD"/>
    <w:rsid w:val="00543717"/>
    <w:rsid w:val="005451BF"/>
    <w:rsid w:val="00552600"/>
    <w:rsid w:val="00554747"/>
    <w:rsid w:val="00560828"/>
    <w:rsid w:val="00564807"/>
    <w:rsid w:val="00577E5D"/>
    <w:rsid w:val="0058267C"/>
    <w:rsid w:val="005A343E"/>
    <w:rsid w:val="005A3E18"/>
    <w:rsid w:val="005A6C74"/>
    <w:rsid w:val="005B6421"/>
    <w:rsid w:val="005C12C5"/>
    <w:rsid w:val="005C6590"/>
    <w:rsid w:val="005D5F66"/>
    <w:rsid w:val="005F1EA9"/>
    <w:rsid w:val="005F4F36"/>
    <w:rsid w:val="006075AF"/>
    <w:rsid w:val="00621606"/>
    <w:rsid w:val="0062310E"/>
    <w:rsid w:val="00637B69"/>
    <w:rsid w:val="00640061"/>
    <w:rsid w:val="00657BE5"/>
    <w:rsid w:val="00661169"/>
    <w:rsid w:val="00667E63"/>
    <w:rsid w:val="00670B9E"/>
    <w:rsid w:val="00672F7B"/>
    <w:rsid w:val="00673998"/>
    <w:rsid w:val="006A41EE"/>
    <w:rsid w:val="006A53A7"/>
    <w:rsid w:val="006C71E3"/>
    <w:rsid w:val="006D764C"/>
    <w:rsid w:val="006D7A58"/>
    <w:rsid w:val="006F3B0E"/>
    <w:rsid w:val="006F41DA"/>
    <w:rsid w:val="00700919"/>
    <w:rsid w:val="007071BF"/>
    <w:rsid w:val="00717FD6"/>
    <w:rsid w:val="0072504A"/>
    <w:rsid w:val="007276F6"/>
    <w:rsid w:val="007327A3"/>
    <w:rsid w:val="00742F7F"/>
    <w:rsid w:val="007458F8"/>
    <w:rsid w:val="00750A48"/>
    <w:rsid w:val="00757A74"/>
    <w:rsid w:val="00760627"/>
    <w:rsid w:val="00771499"/>
    <w:rsid w:val="00781DB0"/>
    <w:rsid w:val="007912D6"/>
    <w:rsid w:val="00791DF6"/>
    <w:rsid w:val="00793227"/>
    <w:rsid w:val="00794D57"/>
    <w:rsid w:val="00795EC0"/>
    <w:rsid w:val="007A6995"/>
    <w:rsid w:val="007D0EBE"/>
    <w:rsid w:val="007D2573"/>
    <w:rsid w:val="007E2FCB"/>
    <w:rsid w:val="007E366E"/>
    <w:rsid w:val="007E4463"/>
    <w:rsid w:val="007E7204"/>
    <w:rsid w:val="007E7A13"/>
    <w:rsid w:val="00817FF7"/>
    <w:rsid w:val="00822FD1"/>
    <w:rsid w:val="00832DA8"/>
    <w:rsid w:val="008464A8"/>
    <w:rsid w:val="00870BB6"/>
    <w:rsid w:val="0087645F"/>
    <w:rsid w:val="008975CC"/>
    <w:rsid w:val="008A4BE5"/>
    <w:rsid w:val="008A5118"/>
    <w:rsid w:val="008B7991"/>
    <w:rsid w:val="008D0CDF"/>
    <w:rsid w:val="008F7459"/>
    <w:rsid w:val="00907C9A"/>
    <w:rsid w:val="00910FCE"/>
    <w:rsid w:val="00923A19"/>
    <w:rsid w:val="0093429A"/>
    <w:rsid w:val="00947725"/>
    <w:rsid w:val="009553EB"/>
    <w:rsid w:val="00963EDA"/>
    <w:rsid w:val="00964470"/>
    <w:rsid w:val="00985AE5"/>
    <w:rsid w:val="009A2805"/>
    <w:rsid w:val="009A47E4"/>
    <w:rsid w:val="009B0311"/>
    <w:rsid w:val="009B79A8"/>
    <w:rsid w:val="009C1E52"/>
    <w:rsid w:val="00A05975"/>
    <w:rsid w:val="00A118AB"/>
    <w:rsid w:val="00A14FC2"/>
    <w:rsid w:val="00A31E63"/>
    <w:rsid w:val="00A4610A"/>
    <w:rsid w:val="00A46C58"/>
    <w:rsid w:val="00A55AE8"/>
    <w:rsid w:val="00A61F9F"/>
    <w:rsid w:val="00A67871"/>
    <w:rsid w:val="00A77CD8"/>
    <w:rsid w:val="00A80CB3"/>
    <w:rsid w:val="00A84C2A"/>
    <w:rsid w:val="00A95415"/>
    <w:rsid w:val="00AA3232"/>
    <w:rsid w:val="00AA6F5A"/>
    <w:rsid w:val="00AA7F14"/>
    <w:rsid w:val="00AB09B9"/>
    <w:rsid w:val="00AB2748"/>
    <w:rsid w:val="00AC0E4A"/>
    <w:rsid w:val="00AC3BE4"/>
    <w:rsid w:val="00AD3312"/>
    <w:rsid w:val="00AD4AF7"/>
    <w:rsid w:val="00AD7FBD"/>
    <w:rsid w:val="00AE273E"/>
    <w:rsid w:val="00AE42F2"/>
    <w:rsid w:val="00B076FA"/>
    <w:rsid w:val="00B13041"/>
    <w:rsid w:val="00B14F10"/>
    <w:rsid w:val="00B160BF"/>
    <w:rsid w:val="00B236D2"/>
    <w:rsid w:val="00B26B2D"/>
    <w:rsid w:val="00B53986"/>
    <w:rsid w:val="00B561C7"/>
    <w:rsid w:val="00B759C1"/>
    <w:rsid w:val="00B83CF8"/>
    <w:rsid w:val="00B871E7"/>
    <w:rsid w:val="00B97E27"/>
    <w:rsid w:val="00BA191C"/>
    <w:rsid w:val="00BA443C"/>
    <w:rsid w:val="00BB0D23"/>
    <w:rsid w:val="00BB3AF4"/>
    <w:rsid w:val="00BC0903"/>
    <w:rsid w:val="00BE1B5B"/>
    <w:rsid w:val="00BE627B"/>
    <w:rsid w:val="00C07D96"/>
    <w:rsid w:val="00C60230"/>
    <w:rsid w:val="00C77A08"/>
    <w:rsid w:val="00C9285A"/>
    <w:rsid w:val="00CA429B"/>
    <w:rsid w:val="00CB3D36"/>
    <w:rsid w:val="00CE361F"/>
    <w:rsid w:val="00CF36EC"/>
    <w:rsid w:val="00CF4027"/>
    <w:rsid w:val="00CF75A3"/>
    <w:rsid w:val="00D00FB8"/>
    <w:rsid w:val="00D122A3"/>
    <w:rsid w:val="00D157A4"/>
    <w:rsid w:val="00D16EE4"/>
    <w:rsid w:val="00D23EA5"/>
    <w:rsid w:val="00D319D6"/>
    <w:rsid w:val="00D40F76"/>
    <w:rsid w:val="00D43CE8"/>
    <w:rsid w:val="00D522BC"/>
    <w:rsid w:val="00D52F9F"/>
    <w:rsid w:val="00D568C6"/>
    <w:rsid w:val="00D57C3F"/>
    <w:rsid w:val="00D618FA"/>
    <w:rsid w:val="00D61A4B"/>
    <w:rsid w:val="00D622B2"/>
    <w:rsid w:val="00D6775B"/>
    <w:rsid w:val="00D753F6"/>
    <w:rsid w:val="00D8448A"/>
    <w:rsid w:val="00D86947"/>
    <w:rsid w:val="00D901EC"/>
    <w:rsid w:val="00D910B5"/>
    <w:rsid w:val="00DA1B86"/>
    <w:rsid w:val="00DB7FAD"/>
    <w:rsid w:val="00DD2A47"/>
    <w:rsid w:val="00DF2DF3"/>
    <w:rsid w:val="00DF363D"/>
    <w:rsid w:val="00DF5E47"/>
    <w:rsid w:val="00E12FF1"/>
    <w:rsid w:val="00E16596"/>
    <w:rsid w:val="00E27685"/>
    <w:rsid w:val="00E56305"/>
    <w:rsid w:val="00E5657A"/>
    <w:rsid w:val="00E60EB2"/>
    <w:rsid w:val="00E67789"/>
    <w:rsid w:val="00E73DBD"/>
    <w:rsid w:val="00E761D5"/>
    <w:rsid w:val="00E80DC5"/>
    <w:rsid w:val="00E817B3"/>
    <w:rsid w:val="00E90190"/>
    <w:rsid w:val="00E9466A"/>
    <w:rsid w:val="00EA46AD"/>
    <w:rsid w:val="00EB3D22"/>
    <w:rsid w:val="00EC107C"/>
    <w:rsid w:val="00EC1AF7"/>
    <w:rsid w:val="00EC5341"/>
    <w:rsid w:val="00F02C2A"/>
    <w:rsid w:val="00F13F26"/>
    <w:rsid w:val="00F2183F"/>
    <w:rsid w:val="00F21B68"/>
    <w:rsid w:val="00F3565A"/>
    <w:rsid w:val="00F35C21"/>
    <w:rsid w:val="00F95A62"/>
    <w:rsid w:val="00F97111"/>
    <w:rsid w:val="00FA031B"/>
    <w:rsid w:val="00FA5576"/>
    <w:rsid w:val="00FB7FC5"/>
    <w:rsid w:val="00FC2402"/>
    <w:rsid w:val="00FE3929"/>
    <w:rsid w:val="00F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A19"/>
    <w:pPr>
      <w:spacing w:after="0" w:line="240" w:lineRule="auto"/>
    </w:pPr>
    <w:rPr>
      <w:rFonts w:ascii="Times New Roman" w:eastAsia="Calibri" w:hAnsi="Times New Roman" w:cs="Times New Roman"/>
      <w:sz w:val="24"/>
      <w:szCs w:val="24"/>
      <w:lang w:bidi="en-US"/>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046A19"/>
    <w:rPr>
      <w:szCs w:val="32"/>
    </w:rPr>
  </w:style>
  <w:style w:type="paragraph" w:styleId="Header">
    <w:name w:val="header"/>
    <w:basedOn w:val="Normal"/>
    <w:link w:val="HeaderChar"/>
    <w:uiPriority w:val="99"/>
    <w:unhideWhenUsed/>
    <w:rsid w:val="00046A19"/>
    <w:pPr>
      <w:tabs>
        <w:tab w:val="center" w:pos="4680"/>
        <w:tab w:val="right" w:pos="9360"/>
      </w:tabs>
    </w:pPr>
  </w:style>
  <w:style w:type="character" w:customStyle="1" w:styleId="HeaderChar">
    <w:name w:val="Header Char"/>
    <w:basedOn w:val="DefaultParagraphFont"/>
    <w:link w:val="Header"/>
    <w:uiPriority w:val="99"/>
    <w:rsid w:val="00046A19"/>
    <w:rPr>
      <w:rFonts w:ascii="Times New Roman" w:eastAsia="Calibri" w:hAnsi="Times New Roman" w:cs="Times New Roman"/>
      <w:sz w:val="24"/>
      <w:szCs w:val="24"/>
      <w:lang w:bidi="en-US"/>
    </w:rPr>
  </w:style>
  <w:style w:type="paragraph" w:styleId="BalloonText">
    <w:name w:val="Balloon Text"/>
    <w:basedOn w:val="Normal"/>
    <w:link w:val="BalloonTextChar"/>
    <w:uiPriority w:val="99"/>
    <w:semiHidden/>
    <w:unhideWhenUsed/>
    <w:rsid w:val="00F02C2A"/>
    <w:rPr>
      <w:rFonts w:ascii="Tahoma" w:hAnsi="Tahoma" w:cs="Tahoma"/>
      <w:sz w:val="16"/>
      <w:szCs w:val="16"/>
    </w:rPr>
  </w:style>
  <w:style w:type="character" w:customStyle="1" w:styleId="BalloonTextChar">
    <w:name w:val="Balloon Text Char"/>
    <w:basedOn w:val="DefaultParagraphFont"/>
    <w:link w:val="BalloonText"/>
    <w:uiPriority w:val="99"/>
    <w:semiHidden/>
    <w:rsid w:val="00F02C2A"/>
    <w:rPr>
      <w:rFonts w:ascii="Tahoma" w:eastAsia="Calibri" w:hAnsi="Tahoma" w:cs="Tahoma"/>
      <w:sz w:val="16"/>
      <w:szCs w:val="16"/>
      <w:lang w:bidi="en-US"/>
    </w:rPr>
  </w:style>
  <w:style w:type="table" w:styleId="TableGrid">
    <w:name w:val="Table Grid"/>
    <w:basedOn w:val="TableNormal"/>
    <w:uiPriority w:val="59"/>
    <w:rsid w:val="001C6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2310E"/>
    <w:pPr>
      <w:tabs>
        <w:tab w:val="center" w:pos="4680"/>
        <w:tab w:val="right" w:pos="9360"/>
      </w:tabs>
    </w:pPr>
  </w:style>
  <w:style w:type="character" w:customStyle="1" w:styleId="FooterChar">
    <w:name w:val="Footer Char"/>
    <w:basedOn w:val="DefaultParagraphFont"/>
    <w:link w:val="Footer"/>
    <w:uiPriority w:val="99"/>
    <w:rsid w:val="0062310E"/>
    <w:rPr>
      <w:rFonts w:ascii="Times New Roman" w:eastAsia="Calibri" w:hAnsi="Times New Roman" w:cs="Times New Roman"/>
      <w:sz w:val="24"/>
      <w:szCs w:val="24"/>
      <w:lang w:bidi="en-US"/>
    </w:rPr>
  </w:style>
  <w:style w:type="paragraph" w:styleId="ListParagraph">
    <w:name w:val="List Paragraph"/>
    <w:basedOn w:val="Normal"/>
    <w:uiPriority w:val="34"/>
    <w:qFormat/>
    <w:rsid w:val="00640061"/>
    <w:pPr>
      <w:spacing w:after="200" w:line="276" w:lineRule="auto"/>
      <w:ind w:left="720"/>
    </w:pPr>
    <w:rPr>
      <w:rFonts w:ascii="Calibri" w:hAnsi="Calibri"/>
      <w:sz w:val="22"/>
      <w:szCs w:val="22"/>
      <w:lang w:bidi="ar-SA"/>
    </w:rPr>
  </w:style>
  <w:style w:type="character" w:styleId="Hyperlink">
    <w:name w:val="Hyperlink"/>
    <w:uiPriority w:val="99"/>
    <w:unhideWhenUsed/>
    <w:rsid w:val="00640061"/>
    <w:rPr>
      <w:color w:val="0000FF"/>
      <w:u w:val="single"/>
    </w:rPr>
  </w:style>
  <w:style w:type="paragraph" w:styleId="BodyText">
    <w:name w:val="Body Text"/>
    <w:basedOn w:val="Normal"/>
    <w:link w:val="BodyTextChar"/>
    <w:rsid w:val="00640061"/>
    <w:pPr>
      <w:widowControl w:val="0"/>
      <w:autoSpaceDE w:val="0"/>
      <w:autoSpaceDN w:val="0"/>
      <w:adjustRightInd w:val="0"/>
    </w:pPr>
    <w:rPr>
      <w:rFonts w:ascii="Courier" w:eastAsia="Times New Roman" w:hAnsi="Courier"/>
      <w:lang w:bidi="ar-SA"/>
    </w:rPr>
  </w:style>
  <w:style w:type="character" w:customStyle="1" w:styleId="BodyTextChar">
    <w:name w:val="Body Text Char"/>
    <w:basedOn w:val="DefaultParagraphFont"/>
    <w:link w:val="BodyText"/>
    <w:rsid w:val="00640061"/>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05104E"/>
    <w:rPr>
      <w:sz w:val="16"/>
      <w:szCs w:val="16"/>
    </w:rPr>
  </w:style>
  <w:style w:type="paragraph" w:styleId="CommentText">
    <w:name w:val="annotation text"/>
    <w:basedOn w:val="Normal"/>
    <w:link w:val="CommentTextChar"/>
    <w:uiPriority w:val="99"/>
    <w:semiHidden/>
    <w:unhideWhenUsed/>
    <w:rsid w:val="0005104E"/>
    <w:rPr>
      <w:sz w:val="20"/>
      <w:szCs w:val="20"/>
    </w:rPr>
  </w:style>
  <w:style w:type="character" w:customStyle="1" w:styleId="CommentTextChar">
    <w:name w:val="Comment Text Char"/>
    <w:basedOn w:val="DefaultParagraphFont"/>
    <w:link w:val="CommentText"/>
    <w:uiPriority w:val="99"/>
    <w:semiHidden/>
    <w:rsid w:val="0005104E"/>
    <w:rPr>
      <w:rFonts w:ascii="Times New Roman" w:eastAsia="Calibri"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5104E"/>
    <w:rPr>
      <w:b/>
      <w:bCs/>
    </w:rPr>
  </w:style>
  <w:style w:type="character" w:customStyle="1" w:styleId="CommentSubjectChar">
    <w:name w:val="Comment Subject Char"/>
    <w:basedOn w:val="CommentTextChar"/>
    <w:link w:val="CommentSubject"/>
    <w:uiPriority w:val="99"/>
    <w:semiHidden/>
    <w:rsid w:val="0005104E"/>
    <w:rPr>
      <w:rFonts w:ascii="Times New Roman" w:eastAsia="Calibri" w:hAnsi="Times New Roman" w:cs="Times New Roman"/>
      <w:b/>
      <w:bCs/>
      <w:sz w:val="20"/>
      <w:szCs w:val="20"/>
      <w:lang w:bidi="en-US"/>
    </w:rPr>
  </w:style>
  <w:style w:type="paragraph" w:styleId="Revision">
    <w:name w:val="Revision"/>
    <w:hidden/>
    <w:uiPriority w:val="99"/>
    <w:semiHidden/>
    <w:rsid w:val="0005104E"/>
    <w:pPr>
      <w:spacing w:after="0" w:line="240" w:lineRule="auto"/>
    </w:pPr>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6509">
      <w:bodyDiv w:val="1"/>
      <w:marLeft w:val="0"/>
      <w:marRight w:val="0"/>
      <w:marTop w:val="0"/>
      <w:marBottom w:val="0"/>
      <w:divBdr>
        <w:top w:val="none" w:sz="0" w:space="0" w:color="auto"/>
        <w:left w:val="none" w:sz="0" w:space="0" w:color="auto"/>
        <w:bottom w:val="none" w:sz="0" w:space="0" w:color="auto"/>
        <w:right w:val="none" w:sz="0" w:space="0" w:color="auto"/>
      </w:divBdr>
    </w:div>
    <w:div w:id="2117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2013-03-19T07:00:00+00:00</OpenedDate>
    <Date1 xmlns="dc463f71-b30c-4ab2-9473-d307f9d35888">2013-04-25T07:00:00+00:00</Date1>
    <IsDocumentOrder xmlns="dc463f71-b30c-4ab2-9473-d307f9d35888" xsi:nil="true"/>
    <IsHighlyConfidential xmlns="dc463f71-b30c-4ab2-9473-d307f9d35888">false</IsHighlyConfidential>
    <CaseCompanyNames xmlns="dc463f71-b30c-4ab2-9473-d307f9d35888">Lehman Enterprises, Inc.</CaseCompanyNames>
    <DocketNumber xmlns="dc463f71-b30c-4ab2-9473-d307f9d35888">130400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F0CA4259FBEA04E80244BDA78543617" ma:contentTypeVersion="135" ma:contentTypeDescription="" ma:contentTypeScope="" ma:versionID="565d888d28ef40c94b5a20234f1ed5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626EB-A5AB-4F27-893B-57E83208135A}"/>
</file>

<file path=customXml/itemProps2.xml><?xml version="1.0" encoding="utf-8"?>
<ds:datastoreItem xmlns:ds="http://schemas.openxmlformats.org/officeDocument/2006/customXml" ds:itemID="{D3630B3D-7A61-4250-AC79-E615B32A51E4}"/>
</file>

<file path=customXml/itemProps3.xml><?xml version="1.0" encoding="utf-8"?>
<ds:datastoreItem xmlns:ds="http://schemas.openxmlformats.org/officeDocument/2006/customXml" ds:itemID="{5D508F9C-D8AA-4D6C-AB99-7C4E100C1A8E}"/>
</file>

<file path=customXml/itemProps4.xml><?xml version="1.0" encoding="utf-8"?>
<ds:datastoreItem xmlns:ds="http://schemas.openxmlformats.org/officeDocument/2006/customXml" ds:itemID="{63842288-C601-470E-898C-2CA4020764E2}"/>
</file>

<file path=customXml/itemProps5.xml><?xml version="1.0" encoding="utf-8"?>
<ds:datastoreItem xmlns:ds="http://schemas.openxmlformats.org/officeDocument/2006/customXml" ds:itemID="{13F98F44-4A29-43D8-8CC3-59B479CE16DF}"/>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Lehman Enterprises, Inc. Memo to allow</vt:lpstr>
    </vt:vector>
  </TitlesOfParts>
  <Company>Washington Utilities and Transportation Commission</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Lehman Enterprises, Inc. Memo to allow</dc:title>
  <dc:creator>Jim Ward</dc:creator>
  <cp:lastModifiedBy>Lisa Wyse</cp:lastModifiedBy>
  <cp:revision>2</cp:revision>
  <cp:lastPrinted>2013-04-17T20:56:00Z</cp:lastPrinted>
  <dcterms:created xsi:type="dcterms:W3CDTF">2013-04-22T23:25:00Z</dcterms:created>
  <dcterms:modified xsi:type="dcterms:W3CDTF">2013-04-22T23:25:00Z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0x0101006E56B4D1795A2E4DB2F0B01679ED314A006F0CA4259FBEA04E80244BDA78543617</vt:lpwstr>
  </property>
  <property fmtid="{D5CDD505-2E9C-101B-9397-08002B2CF9AE}" pid="3" name="_docset_NoMedatataSyncRequired">
    <vt:lpwstr>False</vt:lpwstr>
  </property>
</Properties>
</file>