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A19" w:rsidRDefault="00046A19" w:rsidP="00046A19">
      <w:r w:rsidRPr="00EB4CE3">
        <w:t xml:space="preserve">Agenda Date: </w:t>
      </w:r>
      <w:r w:rsidRPr="00EB4CE3">
        <w:tab/>
      </w:r>
      <w:r w:rsidRPr="00EB4CE3">
        <w:tab/>
      </w:r>
      <w:r w:rsidR="001B06B5">
        <w:t>December 27</w:t>
      </w:r>
      <w:r w:rsidRPr="00EB4CE3">
        <w:t xml:space="preserve">, </w:t>
      </w:r>
      <w:r w:rsidR="007E2FCB">
        <w:t>2012</w:t>
      </w:r>
      <w:r>
        <w:tab/>
      </w:r>
      <w:r>
        <w:tab/>
      </w:r>
    </w:p>
    <w:p w:rsidR="00046A19" w:rsidRDefault="00046A19" w:rsidP="00046A19">
      <w:r w:rsidRPr="00EB4CE3">
        <w:t>Item Number:</w:t>
      </w:r>
      <w:r w:rsidRPr="00EB4CE3">
        <w:tab/>
      </w:r>
      <w:r w:rsidRPr="00EB4CE3">
        <w:tab/>
      </w:r>
      <w:r w:rsidR="00D71416">
        <w:t>A1</w:t>
      </w:r>
    </w:p>
    <w:p w:rsidR="000B6B1A" w:rsidRPr="00EB4CE3" w:rsidRDefault="000B6B1A" w:rsidP="00046A19"/>
    <w:p w:rsidR="00046A19" w:rsidRPr="00EB4CE3" w:rsidRDefault="00046A19" w:rsidP="00046A19">
      <w:r w:rsidRPr="00EB4CE3">
        <w:t xml:space="preserve">Docket: </w:t>
      </w:r>
      <w:r w:rsidRPr="00EB4CE3">
        <w:tab/>
      </w:r>
      <w:r w:rsidRPr="00EB4CE3">
        <w:tab/>
        <w:t>UW-</w:t>
      </w:r>
      <w:r w:rsidR="001B06B5">
        <w:t>121</w:t>
      </w:r>
      <w:r w:rsidR="00E56305">
        <w:t>904</w:t>
      </w:r>
    </w:p>
    <w:p w:rsidR="00046A19" w:rsidRPr="00EB4CE3" w:rsidRDefault="00046A19" w:rsidP="00046A19">
      <w:r w:rsidRPr="00EB4CE3">
        <w:t>Company Name:</w:t>
      </w:r>
      <w:r w:rsidRPr="00EB4CE3">
        <w:tab/>
      </w:r>
      <w:r w:rsidR="001B06B5">
        <w:t>Eastwood Park Water Co.</w:t>
      </w:r>
    </w:p>
    <w:p w:rsidR="00046A19" w:rsidRPr="00EB4CE3" w:rsidRDefault="00046A19" w:rsidP="00046A19"/>
    <w:p w:rsidR="000F032E" w:rsidRDefault="00046A19" w:rsidP="001B06B5">
      <w:r>
        <w:t xml:space="preserve">Staff: </w:t>
      </w:r>
      <w:r>
        <w:tab/>
      </w:r>
      <w:r>
        <w:tab/>
      </w:r>
      <w:r>
        <w:tab/>
      </w:r>
      <w:r w:rsidR="000F032E">
        <w:t>Jim Ward</w:t>
      </w:r>
      <w:r w:rsidRPr="00EB4CE3">
        <w:t>, Regulatory Analyst</w:t>
      </w:r>
    </w:p>
    <w:p w:rsidR="00046A19" w:rsidRPr="00EB4CE3" w:rsidRDefault="001B06B5" w:rsidP="00046A19">
      <w:pPr>
        <w:ind w:left="1440" w:firstLine="720"/>
      </w:pPr>
      <w:r>
        <w:t>John Cupp</w:t>
      </w:r>
      <w:r w:rsidR="00046A19" w:rsidRPr="00EB4CE3">
        <w:t>, Consumer Protection Staff</w:t>
      </w:r>
    </w:p>
    <w:p w:rsidR="00046A19" w:rsidRPr="00EB4CE3" w:rsidRDefault="00046A19" w:rsidP="00046A19"/>
    <w:p w:rsidR="00046A19" w:rsidRPr="00935AF2" w:rsidRDefault="00046A19" w:rsidP="000F032E">
      <w:pPr>
        <w:rPr>
          <w:b/>
          <w:u w:val="single"/>
        </w:rPr>
      </w:pPr>
      <w:r w:rsidRPr="00935AF2">
        <w:rPr>
          <w:b/>
          <w:u w:val="single"/>
        </w:rPr>
        <w:t>Recommendation</w:t>
      </w:r>
    </w:p>
    <w:p w:rsidR="00046A19" w:rsidRDefault="00046A19" w:rsidP="000F032E">
      <w:pPr>
        <w:widowControl w:val="0"/>
        <w:autoSpaceDE w:val="0"/>
        <w:autoSpaceDN w:val="0"/>
        <w:adjustRightInd w:val="0"/>
        <w:rPr>
          <w:rFonts w:eastAsia="Times New Roman"/>
          <w:color w:val="000000"/>
          <w:lang w:bidi="ar-SA"/>
        </w:rPr>
      </w:pPr>
    </w:p>
    <w:p w:rsidR="00046A19" w:rsidRDefault="000B6B1A" w:rsidP="000F032E">
      <w:pPr>
        <w:widowControl w:val="0"/>
        <w:autoSpaceDE w:val="0"/>
        <w:autoSpaceDN w:val="0"/>
        <w:adjustRightInd w:val="0"/>
        <w:rPr>
          <w:color w:val="000000"/>
          <w:lang w:bidi="ar-SA"/>
        </w:rPr>
      </w:pPr>
      <w:r w:rsidRPr="000B6B1A">
        <w:rPr>
          <w:color w:val="000000"/>
          <w:lang w:bidi="ar-SA"/>
        </w:rPr>
        <w:t xml:space="preserve">Issue a Complaint and Order </w:t>
      </w:r>
      <w:r>
        <w:rPr>
          <w:color w:val="000000"/>
          <w:lang w:bidi="ar-SA"/>
        </w:rPr>
        <w:t>Suspending the tariff revision</w:t>
      </w:r>
      <w:r w:rsidR="0001140F">
        <w:rPr>
          <w:color w:val="000000"/>
          <w:lang w:bidi="ar-SA"/>
        </w:rPr>
        <w:t>s</w:t>
      </w:r>
      <w:r>
        <w:rPr>
          <w:color w:val="000000"/>
          <w:lang w:bidi="ar-SA"/>
        </w:rPr>
        <w:t xml:space="preserve"> filed by </w:t>
      </w:r>
      <w:r w:rsidR="001B06B5">
        <w:t xml:space="preserve">Eastwood Park Water Co. </w:t>
      </w:r>
      <w:r>
        <w:rPr>
          <w:color w:val="000000"/>
          <w:lang w:bidi="ar-SA"/>
        </w:rPr>
        <w:t xml:space="preserve">on </w:t>
      </w:r>
      <w:r w:rsidR="001B06B5">
        <w:rPr>
          <w:color w:val="000000"/>
          <w:lang w:bidi="ar-SA"/>
        </w:rPr>
        <w:t>Nove</w:t>
      </w:r>
      <w:r w:rsidR="00003188">
        <w:rPr>
          <w:color w:val="000000"/>
          <w:lang w:bidi="ar-SA"/>
        </w:rPr>
        <w:t xml:space="preserve">mber </w:t>
      </w:r>
      <w:r w:rsidR="001B06B5">
        <w:rPr>
          <w:color w:val="000000"/>
          <w:lang w:bidi="ar-SA"/>
        </w:rPr>
        <w:t>30</w:t>
      </w:r>
      <w:r>
        <w:rPr>
          <w:color w:val="000000"/>
          <w:lang w:bidi="ar-SA"/>
        </w:rPr>
        <w:t>, 201</w:t>
      </w:r>
      <w:r w:rsidR="00003188">
        <w:rPr>
          <w:color w:val="000000"/>
          <w:lang w:bidi="ar-SA"/>
        </w:rPr>
        <w:t>2</w:t>
      </w:r>
      <w:r>
        <w:rPr>
          <w:color w:val="000000"/>
          <w:lang w:bidi="ar-SA"/>
        </w:rPr>
        <w:t xml:space="preserve">. </w:t>
      </w:r>
    </w:p>
    <w:p w:rsidR="000B6B1A" w:rsidRPr="000B6B1A" w:rsidRDefault="000B6B1A" w:rsidP="000F032E">
      <w:pPr>
        <w:widowControl w:val="0"/>
        <w:autoSpaceDE w:val="0"/>
        <w:autoSpaceDN w:val="0"/>
        <w:adjustRightInd w:val="0"/>
        <w:rPr>
          <w:color w:val="000000"/>
          <w:lang w:bidi="ar-SA"/>
        </w:rPr>
      </w:pPr>
    </w:p>
    <w:p w:rsidR="00046A19" w:rsidRPr="00935AF2" w:rsidRDefault="00046A19" w:rsidP="000F032E">
      <w:pPr>
        <w:rPr>
          <w:b/>
          <w:u w:val="single"/>
        </w:rPr>
      </w:pPr>
      <w:r w:rsidRPr="00935AF2">
        <w:rPr>
          <w:b/>
          <w:u w:val="single"/>
        </w:rPr>
        <w:t>Discussion</w:t>
      </w:r>
    </w:p>
    <w:p w:rsidR="00D157A4" w:rsidRPr="000F032E" w:rsidRDefault="00D157A4" w:rsidP="000F032E">
      <w:pPr>
        <w:rPr>
          <w:rFonts w:eastAsia="Times New Roman"/>
          <w:lang w:bidi="ar-SA"/>
        </w:rPr>
      </w:pPr>
    </w:p>
    <w:p w:rsidR="001B06B5" w:rsidRDefault="001B06B5" w:rsidP="001B06B5">
      <w:r>
        <w:t>On November 30, 2012, Eastwood Park Water Co. (company) filed with the Utilities and Transportation Commission (commission) tariff revision</w:t>
      </w:r>
      <w:r w:rsidR="00BC7B9F">
        <w:t>s</w:t>
      </w:r>
      <w:r>
        <w:t xml:space="preserve"> that would increase rates and generate $10,320 (29 percent) additional annual revenue. The company serves 86 customers near Spanaway in Pierce County. The proposed effective date is January 1, 2013. The company’s last rate increase was effective on April 1, 2008. </w:t>
      </w:r>
    </w:p>
    <w:p w:rsidR="00046A19" w:rsidRPr="000F032E" w:rsidRDefault="00046A19" w:rsidP="000F032E">
      <w:pPr>
        <w:pStyle w:val="NoSpacing"/>
        <w:rPr>
          <w:rFonts w:eastAsia="Times New Roman"/>
          <w:szCs w:val="24"/>
          <w:lang w:bidi="ar-SA"/>
        </w:rPr>
      </w:pPr>
    </w:p>
    <w:p w:rsidR="00FE1F5C" w:rsidRPr="00BF601A" w:rsidRDefault="00FE1F5C" w:rsidP="00FE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eastAsia="Times New Roman"/>
          <w:lang w:bidi="ar-SA"/>
        </w:rPr>
        <w:t xml:space="preserve">A </w:t>
      </w:r>
      <w:r w:rsidR="00D169AC">
        <w:rPr>
          <w:rFonts w:eastAsia="Times New Roman"/>
          <w:lang w:bidi="ar-SA"/>
        </w:rPr>
        <w:t>customer</w:t>
      </w:r>
      <w:r>
        <w:rPr>
          <w:rFonts w:eastAsia="Times New Roman"/>
          <w:lang w:bidi="ar-SA"/>
        </w:rPr>
        <w:t xml:space="preserve"> who uses 783 </w:t>
      </w:r>
      <w:r w:rsidRPr="0080117F">
        <w:rPr>
          <w:rFonts w:eastAsia="Times New Roman"/>
          <w:lang w:bidi="ar-SA"/>
        </w:rPr>
        <w:t>cubic feet of water per month</w:t>
      </w:r>
      <w:r>
        <w:rPr>
          <w:rFonts w:eastAsia="Times New Roman"/>
          <w:lang w:bidi="ar-SA"/>
        </w:rPr>
        <w:t xml:space="preserve"> </w:t>
      </w:r>
      <w:r w:rsidR="00DE77E4">
        <w:rPr>
          <w:rFonts w:eastAsia="Times New Roman"/>
          <w:lang w:bidi="ar-SA"/>
        </w:rPr>
        <w:t>(the calculated average monthly usage)</w:t>
      </w:r>
      <w:r w:rsidR="00DE77E4" w:rsidRPr="0080117F">
        <w:rPr>
          <w:rFonts w:eastAsia="Times New Roman"/>
          <w:lang w:bidi="ar-SA"/>
        </w:rPr>
        <w:t xml:space="preserve"> </w:t>
      </w:r>
      <w:r w:rsidRPr="009553EB">
        <w:rPr>
          <w:rFonts w:eastAsia="Times New Roman"/>
          <w:lang w:bidi="ar-SA"/>
        </w:rPr>
        <w:t xml:space="preserve">would </w:t>
      </w:r>
      <w:r w:rsidRPr="007E4463">
        <w:rPr>
          <w:rFonts w:eastAsia="Times New Roman"/>
          <w:lang w:bidi="ar-SA"/>
        </w:rPr>
        <w:t>pay $10.71 (28.3 percent)</w:t>
      </w:r>
      <w:r w:rsidRPr="0080117F">
        <w:rPr>
          <w:rFonts w:eastAsia="Times New Roman"/>
          <w:lang w:bidi="ar-SA"/>
        </w:rPr>
        <w:t xml:space="preserve"> more </w:t>
      </w:r>
      <w:r>
        <w:rPr>
          <w:rFonts w:eastAsia="Times New Roman"/>
          <w:lang w:bidi="ar-SA"/>
        </w:rPr>
        <w:t>than</w:t>
      </w:r>
      <w:r w:rsidRPr="0080117F">
        <w:rPr>
          <w:rFonts w:eastAsia="Times New Roman"/>
          <w:lang w:bidi="ar-SA"/>
        </w:rPr>
        <w:t xml:space="preserve"> the </w:t>
      </w:r>
      <w:r>
        <w:rPr>
          <w:rFonts w:eastAsia="Times New Roman"/>
          <w:lang w:bidi="ar-SA"/>
        </w:rPr>
        <w:t>current</w:t>
      </w:r>
      <w:r w:rsidRPr="0080117F">
        <w:rPr>
          <w:rFonts w:eastAsia="Times New Roman"/>
          <w:lang w:bidi="ar-SA"/>
        </w:rPr>
        <w:t xml:space="preserve"> rates (see “Average Bill Comparison” table below).</w:t>
      </w:r>
      <w:r w:rsidRPr="00BE1B5B">
        <w:t xml:space="preserve"> </w:t>
      </w:r>
      <w:r>
        <w:t xml:space="preserve">The company’s current rates have two usage blocks: 0 to 1,000 cubic feet, and over 1,000 cubic feet. The company proposes to split the current 0 to 1,000 cubic feet usage block into two blocks: 0 to 500 cubic feet and 501 to 1,000 cubic feet. </w:t>
      </w:r>
    </w:p>
    <w:p w:rsidR="00FE1F5C" w:rsidRDefault="00FE1F5C" w:rsidP="00FE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p>
    <w:p w:rsidR="00FE1F5C" w:rsidRDefault="00FE1F5C" w:rsidP="00FE1F5C">
      <w:pPr>
        <w:spacing w:after="200"/>
        <w:jc w:val="center"/>
        <w:rPr>
          <w:b/>
          <w:u w:val="single"/>
        </w:rPr>
      </w:pPr>
      <w:r w:rsidRPr="00450175">
        <w:rPr>
          <w:b/>
          <w:u w:val="single"/>
        </w:rPr>
        <w:t>Rate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8"/>
        <w:gridCol w:w="2461"/>
        <w:gridCol w:w="2967"/>
      </w:tblGrid>
      <w:tr w:rsidR="00FE1F5C" w:rsidRPr="009270B9" w:rsidTr="00FE1F5C">
        <w:tc>
          <w:tcPr>
            <w:tcW w:w="2166" w:type="pct"/>
          </w:tcPr>
          <w:p w:rsidR="00FE1F5C" w:rsidRPr="009270B9" w:rsidRDefault="00FE1F5C" w:rsidP="00FE1F5C">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Monthly Rate</w:t>
            </w:r>
          </w:p>
        </w:tc>
        <w:tc>
          <w:tcPr>
            <w:tcW w:w="1285" w:type="pct"/>
            <w:shd w:val="clear" w:color="auto" w:fill="F2F2F2" w:themeFill="background1" w:themeFillShade="F2"/>
            <w:vAlign w:val="center"/>
          </w:tcPr>
          <w:p w:rsidR="00FE1F5C" w:rsidRPr="009270B9" w:rsidRDefault="00FE1F5C" w:rsidP="00FE1F5C">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549" w:type="pct"/>
            <w:shd w:val="clear" w:color="auto" w:fill="F2F2F2" w:themeFill="background1" w:themeFillShade="F2"/>
          </w:tcPr>
          <w:p w:rsidR="00FE1F5C" w:rsidRPr="009270B9" w:rsidRDefault="00FE1F5C" w:rsidP="00FE1F5C">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FE1F5C" w:rsidRPr="009270B9" w:rsidTr="00FE1F5C">
        <w:tc>
          <w:tcPr>
            <w:tcW w:w="2166" w:type="pct"/>
          </w:tcPr>
          <w:p w:rsidR="00FE1F5C" w:rsidRPr="009270B9" w:rsidRDefault="00FE1F5C" w:rsidP="00FE1F5C">
            <w:pPr>
              <w:keepNext/>
              <w:widowControl w:val="0"/>
              <w:autoSpaceDE w:val="0"/>
              <w:autoSpaceDN w:val="0"/>
              <w:adjustRightInd w:val="0"/>
              <w:outlineLvl w:val="0"/>
              <w:rPr>
                <w:rFonts w:eastAsia="Times New Roman"/>
                <w:lang w:bidi="ar-SA"/>
              </w:rPr>
            </w:pPr>
            <w:r>
              <w:rPr>
                <w:rFonts w:eastAsia="Times New Roman"/>
                <w:lang w:bidi="ar-SA"/>
              </w:rPr>
              <w:t xml:space="preserve">Base Rate </w:t>
            </w:r>
          </w:p>
        </w:tc>
        <w:tc>
          <w:tcPr>
            <w:tcW w:w="1285" w:type="pct"/>
          </w:tcPr>
          <w:p w:rsidR="00FE1F5C" w:rsidRPr="009270B9" w:rsidRDefault="00FE1F5C" w:rsidP="00FE1F5C">
            <w:pPr>
              <w:widowControl w:val="0"/>
              <w:autoSpaceDE w:val="0"/>
              <w:autoSpaceDN w:val="0"/>
              <w:adjustRightInd w:val="0"/>
              <w:jc w:val="center"/>
              <w:rPr>
                <w:rFonts w:eastAsia="Times New Roman"/>
                <w:lang w:bidi="ar-SA"/>
              </w:rPr>
            </w:pPr>
            <w:r>
              <w:rPr>
                <w:rFonts w:eastAsia="Times New Roman"/>
                <w:lang w:bidi="ar-SA"/>
              </w:rPr>
              <w:t>$30.00</w:t>
            </w:r>
          </w:p>
        </w:tc>
        <w:tc>
          <w:tcPr>
            <w:tcW w:w="1549" w:type="pct"/>
          </w:tcPr>
          <w:p w:rsidR="00FE1F5C" w:rsidRPr="009270B9" w:rsidRDefault="00FE1F5C" w:rsidP="00FE1F5C">
            <w:pPr>
              <w:widowControl w:val="0"/>
              <w:autoSpaceDE w:val="0"/>
              <w:autoSpaceDN w:val="0"/>
              <w:adjustRightInd w:val="0"/>
              <w:jc w:val="center"/>
              <w:rPr>
                <w:rFonts w:eastAsia="Times New Roman"/>
                <w:lang w:bidi="ar-SA"/>
              </w:rPr>
            </w:pPr>
            <w:r>
              <w:rPr>
                <w:rFonts w:eastAsia="Times New Roman"/>
                <w:lang w:bidi="ar-SA"/>
              </w:rPr>
              <w:t>$40.00</w:t>
            </w:r>
          </w:p>
        </w:tc>
      </w:tr>
      <w:tr w:rsidR="00FE1F5C" w:rsidRPr="009270B9" w:rsidTr="00FE1F5C">
        <w:tc>
          <w:tcPr>
            <w:tcW w:w="2166" w:type="pct"/>
          </w:tcPr>
          <w:p w:rsidR="00FE1F5C" w:rsidRPr="009270B9" w:rsidRDefault="00FE1F5C" w:rsidP="00FE1F5C">
            <w:pPr>
              <w:widowControl w:val="0"/>
              <w:autoSpaceDE w:val="0"/>
              <w:autoSpaceDN w:val="0"/>
              <w:adjustRightInd w:val="0"/>
              <w:rPr>
                <w:rFonts w:eastAsia="Times New Roman"/>
                <w:lang w:bidi="ar-SA"/>
              </w:rPr>
            </w:pPr>
            <w:r w:rsidRPr="009270B9">
              <w:rPr>
                <w:rFonts w:eastAsia="Times New Roman"/>
                <w:lang w:bidi="ar-SA"/>
              </w:rPr>
              <w:t xml:space="preserve">0 – </w:t>
            </w:r>
            <w:r>
              <w:rPr>
                <w:rFonts w:eastAsia="Times New Roman"/>
                <w:lang w:bidi="ar-SA"/>
              </w:rPr>
              <w:t>5</w:t>
            </w:r>
            <w:r w:rsidRPr="009270B9">
              <w:rPr>
                <w:rFonts w:eastAsia="Times New Roman"/>
                <w:lang w:bidi="ar-SA"/>
              </w:rPr>
              <w:t>00 Cubic Feet</w:t>
            </w:r>
          </w:p>
        </w:tc>
        <w:tc>
          <w:tcPr>
            <w:tcW w:w="1285" w:type="pct"/>
          </w:tcPr>
          <w:p w:rsidR="00FE1F5C" w:rsidRDefault="00FE1F5C" w:rsidP="00FE1F5C">
            <w:pPr>
              <w:widowControl w:val="0"/>
              <w:autoSpaceDE w:val="0"/>
              <w:autoSpaceDN w:val="0"/>
              <w:adjustRightInd w:val="0"/>
              <w:jc w:val="center"/>
              <w:rPr>
                <w:rFonts w:eastAsia="Times New Roman"/>
                <w:lang w:bidi="ar-SA"/>
              </w:rPr>
            </w:pPr>
            <w:r>
              <w:rPr>
                <w:rFonts w:eastAsia="Times New Roman"/>
                <w:lang w:bidi="ar-SA"/>
              </w:rPr>
              <w:t>$1.00</w:t>
            </w:r>
            <w:r w:rsidR="00D169AC">
              <w:rPr>
                <w:rFonts w:eastAsia="Times New Roman"/>
                <w:lang w:bidi="ar-SA"/>
              </w:rPr>
              <w:t>*</w:t>
            </w:r>
          </w:p>
        </w:tc>
        <w:tc>
          <w:tcPr>
            <w:tcW w:w="1549" w:type="pct"/>
          </w:tcPr>
          <w:p w:rsidR="00FE1F5C" w:rsidRDefault="00FE1F5C" w:rsidP="00FE1F5C">
            <w:pPr>
              <w:widowControl w:val="0"/>
              <w:autoSpaceDE w:val="0"/>
              <w:autoSpaceDN w:val="0"/>
              <w:adjustRightInd w:val="0"/>
              <w:jc w:val="center"/>
              <w:rPr>
                <w:rFonts w:eastAsia="Times New Roman"/>
                <w:lang w:bidi="ar-SA"/>
              </w:rPr>
            </w:pPr>
            <w:r>
              <w:rPr>
                <w:rFonts w:eastAsia="Times New Roman"/>
                <w:lang w:bidi="ar-SA"/>
              </w:rPr>
              <w:t>$1.00</w:t>
            </w:r>
            <w:r w:rsidR="00D169AC">
              <w:rPr>
                <w:rFonts w:eastAsia="Times New Roman"/>
                <w:lang w:bidi="ar-SA"/>
              </w:rPr>
              <w:t>*</w:t>
            </w:r>
          </w:p>
        </w:tc>
      </w:tr>
      <w:tr w:rsidR="00FE1F5C" w:rsidRPr="009270B9" w:rsidTr="00FE1F5C">
        <w:tc>
          <w:tcPr>
            <w:tcW w:w="2166" w:type="pct"/>
          </w:tcPr>
          <w:p w:rsidR="00FE1F5C" w:rsidRPr="009270B9" w:rsidRDefault="00FE1F5C" w:rsidP="00FE1F5C">
            <w:pPr>
              <w:widowControl w:val="0"/>
              <w:autoSpaceDE w:val="0"/>
              <w:autoSpaceDN w:val="0"/>
              <w:adjustRightInd w:val="0"/>
              <w:rPr>
                <w:rFonts w:eastAsia="Times New Roman"/>
                <w:lang w:bidi="ar-SA"/>
              </w:rPr>
            </w:pPr>
            <w:r>
              <w:rPr>
                <w:rFonts w:eastAsia="Times New Roman"/>
                <w:lang w:bidi="ar-SA"/>
              </w:rPr>
              <w:t>501</w:t>
            </w:r>
            <w:r w:rsidRPr="009270B9">
              <w:rPr>
                <w:rFonts w:eastAsia="Times New Roman"/>
                <w:lang w:bidi="ar-SA"/>
              </w:rPr>
              <w:t xml:space="preserve"> – </w:t>
            </w:r>
            <w:r>
              <w:rPr>
                <w:rFonts w:eastAsia="Times New Roman"/>
                <w:lang w:bidi="ar-SA"/>
              </w:rPr>
              <w:t>1,0</w:t>
            </w:r>
            <w:r w:rsidRPr="009270B9">
              <w:rPr>
                <w:rFonts w:eastAsia="Times New Roman"/>
                <w:lang w:bidi="ar-SA"/>
              </w:rPr>
              <w:t>00 Cubic Feet</w:t>
            </w:r>
          </w:p>
        </w:tc>
        <w:tc>
          <w:tcPr>
            <w:tcW w:w="1285" w:type="pct"/>
          </w:tcPr>
          <w:p w:rsidR="00FE1F5C" w:rsidRPr="009270B9" w:rsidRDefault="00FE1F5C" w:rsidP="00FE1F5C">
            <w:pPr>
              <w:widowControl w:val="0"/>
              <w:autoSpaceDE w:val="0"/>
              <w:autoSpaceDN w:val="0"/>
              <w:adjustRightInd w:val="0"/>
              <w:jc w:val="center"/>
              <w:rPr>
                <w:rFonts w:eastAsia="Times New Roman"/>
                <w:lang w:bidi="ar-SA"/>
              </w:rPr>
            </w:pPr>
            <w:r>
              <w:rPr>
                <w:rFonts w:eastAsia="Times New Roman"/>
                <w:lang w:bidi="ar-SA"/>
              </w:rPr>
              <w:t>$1.00</w:t>
            </w:r>
            <w:r w:rsidR="00D169AC">
              <w:rPr>
                <w:rFonts w:eastAsia="Times New Roman"/>
                <w:lang w:bidi="ar-SA"/>
              </w:rPr>
              <w:t>*</w:t>
            </w:r>
          </w:p>
        </w:tc>
        <w:tc>
          <w:tcPr>
            <w:tcW w:w="1549" w:type="pct"/>
          </w:tcPr>
          <w:p w:rsidR="00FE1F5C" w:rsidRPr="009270B9" w:rsidRDefault="00FE1F5C" w:rsidP="00FE1F5C">
            <w:pPr>
              <w:widowControl w:val="0"/>
              <w:autoSpaceDE w:val="0"/>
              <w:autoSpaceDN w:val="0"/>
              <w:adjustRightInd w:val="0"/>
              <w:jc w:val="center"/>
              <w:rPr>
                <w:rFonts w:eastAsia="Times New Roman"/>
                <w:lang w:bidi="ar-SA"/>
              </w:rPr>
            </w:pPr>
            <w:r>
              <w:rPr>
                <w:rFonts w:eastAsia="Times New Roman"/>
                <w:lang w:bidi="ar-SA"/>
              </w:rPr>
              <w:t>$1.25</w:t>
            </w:r>
            <w:r w:rsidR="00D169AC">
              <w:rPr>
                <w:rFonts w:eastAsia="Times New Roman"/>
                <w:lang w:bidi="ar-SA"/>
              </w:rPr>
              <w:t>*</w:t>
            </w:r>
          </w:p>
        </w:tc>
      </w:tr>
      <w:tr w:rsidR="00FE1F5C" w:rsidRPr="009270B9" w:rsidTr="00FE1F5C">
        <w:tc>
          <w:tcPr>
            <w:tcW w:w="2166" w:type="pct"/>
          </w:tcPr>
          <w:p w:rsidR="00FE1F5C" w:rsidRPr="009270B9" w:rsidRDefault="00FE1F5C" w:rsidP="00FE1F5C">
            <w:pPr>
              <w:widowControl w:val="0"/>
              <w:autoSpaceDE w:val="0"/>
              <w:autoSpaceDN w:val="0"/>
              <w:adjustRightInd w:val="0"/>
              <w:rPr>
                <w:rFonts w:eastAsia="Times New Roman"/>
                <w:lang w:bidi="ar-SA"/>
              </w:rPr>
            </w:pPr>
            <w:r>
              <w:rPr>
                <w:rFonts w:eastAsia="Times New Roman"/>
                <w:lang w:bidi="ar-SA"/>
              </w:rPr>
              <w:t>Over</w:t>
            </w:r>
            <w:r w:rsidRPr="009270B9">
              <w:rPr>
                <w:rFonts w:eastAsia="Times New Roman"/>
                <w:lang w:bidi="ar-SA"/>
              </w:rPr>
              <w:t xml:space="preserve"> </w:t>
            </w:r>
            <w:r>
              <w:rPr>
                <w:rFonts w:eastAsia="Times New Roman"/>
                <w:lang w:bidi="ar-SA"/>
              </w:rPr>
              <w:t>1,0</w:t>
            </w:r>
            <w:r w:rsidRPr="009270B9">
              <w:rPr>
                <w:rFonts w:eastAsia="Times New Roman"/>
                <w:lang w:bidi="ar-SA"/>
              </w:rPr>
              <w:t>00 Cubic Feet</w:t>
            </w:r>
          </w:p>
        </w:tc>
        <w:tc>
          <w:tcPr>
            <w:tcW w:w="1285" w:type="pct"/>
          </w:tcPr>
          <w:p w:rsidR="00FE1F5C" w:rsidRPr="009270B9" w:rsidRDefault="00FE1F5C" w:rsidP="00FE1F5C">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w:t>
            </w:r>
            <w:r w:rsidRPr="009270B9">
              <w:rPr>
                <w:rFonts w:eastAsia="Times New Roman"/>
                <w:lang w:bidi="ar-SA"/>
              </w:rPr>
              <w:t>.</w:t>
            </w:r>
            <w:r>
              <w:rPr>
                <w:rFonts w:eastAsia="Times New Roman"/>
                <w:lang w:bidi="ar-SA"/>
              </w:rPr>
              <w:t>50</w:t>
            </w:r>
            <w:r w:rsidR="00D169AC">
              <w:rPr>
                <w:rFonts w:eastAsia="Times New Roman"/>
                <w:lang w:bidi="ar-SA"/>
              </w:rPr>
              <w:t>*</w:t>
            </w:r>
          </w:p>
        </w:tc>
        <w:tc>
          <w:tcPr>
            <w:tcW w:w="1549" w:type="pct"/>
          </w:tcPr>
          <w:p w:rsidR="00FE1F5C" w:rsidRPr="009270B9" w:rsidRDefault="00FE1F5C" w:rsidP="00FE1F5C">
            <w:pPr>
              <w:widowControl w:val="0"/>
              <w:autoSpaceDE w:val="0"/>
              <w:autoSpaceDN w:val="0"/>
              <w:adjustRightInd w:val="0"/>
              <w:jc w:val="center"/>
              <w:rPr>
                <w:rFonts w:eastAsia="Times New Roman"/>
                <w:lang w:bidi="ar-SA"/>
              </w:rPr>
            </w:pPr>
            <w:r>
              <w:rPr>
                <w:rFonts w:eastAsia="Times New Roman"/>
                <w:lang w:bidi="ar-SA"/>
              </w:rPr>
              <w:t>$1.60</w:t>
            </w:r>
            <w:r w:rsidR="00D169AC">
              <w:rPr>
                <w:rFonts w:eastAsia="Times New Roman"/>
                <w:lang w:bidi="ar-SA"/>
              </w:rPr>
              <w:t>*</w:t>
            </w:r>
          </w:p>
        </w:tc>
      </w:tr>
    </w:tbl>
    <w:p w:rsidR="00FE1F5C" w:rsidRPr="001811BA" w:rsidRDefault="00FE1F5C" w:rsidP="00FE1F5C">
      <w:pPr>
        <w:rPr>
          <w:rFonts w:eastAsia="Times New Roman"/>
          <w:sz w:val="20"/>
          <w:szCs w:val="20"/>
        </w:rPr>
      </w:pPr>
      <w:r>
        <w:rPr>
          <w:rFonts w:eastAsia="Times New Roman"/>
          <w:sz w:val="20"/>
          <w:szCs w:val="20"/>
        </w:rPr>
        <w:t>*</w:t>
      </w:r>
      <w:r w:rsidRPr="001811BA">
        <w:rPr>
          <w:rFonts w:eastAsia="Times New Roman"/>
          <w:sz w:val="20"/>
          <w:szCs w:val="20"/>
        </w:rPr>
        <w:t>Per 100 Cubic Feet</w:t>
      </w:r>
      <w:r>
        <w:rPr>
          <w:rFonts w:eastAsia="Times New Roman"/>
          <w:sz w:val="20"/>
          <w:szCs w:val="20"/>
        </w:rPr>
        <w:t xml:space="preserve"> (or portion thereof).</w:t>
      </w:r>
    </w:p>
    <w:p w:rsidR="00D169AC" w:rsidRDefault="00D169AC" w:rsidP="00FE1F5C">
      <w:pPr>
        <w:jc w:val="center"/>
        <w:rPr>
          <w:rFonts w:eastAsia="Times New Roman"/>
          <w:b/>
          <w:u w:val="single"/>
          <w:lang w:bidi="ar-SA"/>
        </w:rPr>
      </w:pPr>
    </w:p>
    <w:p w:rsidR="00FE1F5C" w:rsidRPr="009270B9" w:rsidRDefault="00FE1F5C" w:rsidP="00FE1F5C">
      <w:pPr>
        <w:jc w:val="center"/>
        <w:rPr>
          <w:rFonts w:eastAsia="Times New Roman"/>
          <w:b/>
          <w:u w:val="single"/>
          <w:lang w:bidi="ar-SA"/>
        </w:rPr>
      </w:pPr>
      <w:r w:rsidRPr="009270B9">
        <w:rPr>
          <w:rFonts w:eastAsia="Times New Roman"/>
          <w:b/>
          <w:u w:val="single"/>
          <w:lang w:bidi="ar-SA"/>
        </w:rPr>
        <w:t>Average Bill Comparison</w:t>
      </w:r>
    </w:p>
    <w:p w:rsidR="00FE1F5C" w:rsidRPr="009270B9" w:rsidRDefault="00FE1F5C" w:rsidP="00FE1F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3"/>
        <w:gridCol w:w="2538"/>
        <w:gridCol w:w="2865"/>
      </w:tblGrid>
      <w:tr w:rsidR="00FE1F5C" w:rsidRPr="009270B9" w:rsidTr="00FE1F5C">
        <w:tc>
          <w:tcPr>
            <w:tcW w:w="2179" w:type="pct"/>
          </w:tcPr>
          <w:p w:rsidR="00FE1F5C" w:rsidRPr="009270B9" w:rsidRDefault="00FE1F5C" w:rsidP="00FE1F5C">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 xml:space="preserve">Average Monthly </w:t>
            </w:r>
            <w:r>
              <w:rPr>
                <w:rFonts w:eastAsia="Times New Roman"/>
                <w:b/>
                <w:lang w:bidi="ar-SA"/>
              </w:rPr>
              <w:t>Usage</w:t>
            </w:r>
          </w:p>
          <w:p w:rsidR="00FE1F5C" w:rsidRPr="009270B9" w:rsidRDefault="00FE1F5C" w:rsidP="00FE1F5C">
            <w:pPr>
              <w:keepNext/>
              <w:widowControl w:val="0"/>
              <w:autoSpaceDE w:val="0"/>
              <w:autoSpaceDN w:val="0"/>
              <w:adjustRightInd w:val="0"/>
              <w:jc w:val="center"/>
              <w:outlineLvl w:val="0"/>
              <w:rPr>
                <w:rFonts w:eastAsia="Times New Roman"/>
                <w:b/>
                <w:lang w:bidi="ar-SA"/>
              </w:rPr>
            </w:pPr>
            <w:r>
              <w:rPr>
                <w:rFonts w:eastAsia="Times New Roman"/>
                <w:b/>
                <w:lang w:bidi="ar-SA"/>
              </w:rPr>
              <w:t>783</w:t>
            </w:r>
            <w:r w:rsidRPr="009270B9">
              <w:rPr>
                <w:rFonts w:eastAsia="Times New Roman"/>
                <w:b/>
                <w:lang w:bidi="ar-SA"/>
              </w:rPr>
              <w:t xml:space="preserve"> </w:t>
            </w:r>
            <w:r>
              <w:rPr>
                <w:rFonts w:eastAsia="Times New Roman"/>
                <w:b/>
                <w:lang w:bidi="ar-SA"/>
              </w:rPr>
              <w:t>C</w:t>
            </w:r>
            <w:r w:rsidRPr="009270B9">
              <w:rPr>
                <w:rFonts w:eastAsia="Times New Roman"/>
                <w:b/>
                <w:lang w:bidi="ar-SA"/>
              </w:rPr>
              <w:t xml:space="preserve">ubic </w:t>
            </w:r>
            <w:r>
              <w:rPr>
                <w:rFonts w:eastAsia="Times New Roman"/>
                <w:b/>
                <w:lang w:bidi="ar-SA"/>
              </w:rPr>
              <w:t>F</w:t>
            </w:r>
            <w:r w:rsidRPr="009270B9">
              <w:rPr>
                <w:rFonts w:eastAsia="Times New Roman"/>
                <w:b/>
                <w:lang w:bidi="ar-SA"/>
              </w:rPr>
              <w:t>eet</w:t>
            </w:r>
          </w:p>
        </w:tc>
        <w:tc>
          <w:tcPr>
            <w:tcW w:w="1325" w:type="pct"/>
            <w:shd w:val="clear" w:color="auto" w:fill="F2F2F2" w:themeFill="background1" w:themeFillShade="F2"/>
            <w:vAlign w:val="center"/>
          </w:tcPr>
          <w:p w:rsidR="00FE1F5C" w:rsidRPr="009270B9" w:rsidRDefault="00FE1F5C" w:rsidP="00FE1F5C">
            <w:pPr>
              <w:widowControl w:val="0"/>
              <w:autoSpaceDE w:val="0"/>
              <w:autoSpaceDN w:val="0"/>
              <w:adjustRightInd w:val="0"/>
              <w:jc w:val="center"/>
              <w:rPr>
                <w:rFonts w:eastAsia="Times New Roman"/>
                <w:b/>
                <w:lang w:bidi="ar-SA"/>
              </w:rPr>
            </w:pPr>
          </w:p>
          <w:p w:rsidR="00FE1F5C" w:rsidRPr="009270B9" w:rsidRDefault="00FE1F5C" w:rsidP="00FE1F5C">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496" w:type="pct"/>
            <w:shd w:val="clear" w:color="auto" w:fill="F2F2F2" w:themeFill="background1" w:themeFillShade="F2"/>
          </w:tcPr>
          <w:p w:rsidR="00FE1F5C" w:rsidRPr="009270B9" w:rsidRDefault="00FE1F5C" w:rsidP="00FE1F5C">
            <w:pPr>
              <w:widowControl w:val="0"/>
              <w:autoSpaceDE w:val="0"/>
              <w:autoSpaceDN w:val="0"/>
              <w:adjustRightInd w:val="0"/>
              <w:jc w:val="center"/>
              <w:rPr>
                <w:rFonts w:eastAsia="Times New Roman"/>
                <w:b/>
                <w:lang w:bidi="ar-SA"/>
              </w:rPr>
            </w:pPr>
          </w:p>
          <w:p w:rsidR="00FE1F5C" w:rsidRPr="009270B9" w:rsidRDefault="00FE1F5C" w:rsidP="00FE1F5C">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FE1F5C" w:rsidRPr="009270B9" w:rsidTr="00FE1F5C">
        <w:tc>
          <w:tcPr>
            <w:tcW w:w="2179" w:type="pct"/>
          </w:tcPr>
          <w:p w:rsidR="00FE1F5C" w:rsidRPr="009270B9" w:rsidRDefault="00FE1F5C" w:rsidP="00FE1F5C">
            <w:pPr>
              <w:keepNext/>
              <w:widowControl w:val="0"/>
              <w:autoSpaceDE w:val="0"/>
              <w:autoSpaceDN w:val="0"/>
              <w:adjustRightInd w:val="0"/>
              <w:outlineLvl w:val="0"/>
              <w:rPr>
                <w:rFonts w:eastAsia="Times New Roman"/>
                <w:lang w:bidi="ar-SA"/>
              </w:rPr>
            </w:pPr>
            <w:r>
              <w:rPr>
                <w:rFonts w:eastAsia="Times New Roman"/>
                <w:lang w:bidi="ar-SA"/>
              </w:rPr>
              <w:t>Base Rate</w:t>
            </w:r>
          </w:p>
        </w:tc>
        <w:tc>
          <w:tcPr>
            <w:tcW w:w="1325" w:type="pct"/>
          </w:tcPr>
          <w:p w:rsidR="00FE1F5C" w:rsidRPr="009270B9" w:rsidRDefault="00FE1F5C" w:rsidP="00FE1F5C">
            <w:pPr>
              <w:widowControl w:val="0"/>
              <w:autoSpaceDE w:val="0"/>
              <w:autoSpaceDN w:val="0"/>
              <w:adjustRightInd w:val="0"/>
              <w:jc w:val="center"/>
              <w:rPr>
                <w:rFonts w:eastAsia="Times New Roman"/>
                <w:lang w:bidi="ar-SA"/>
              </w:rPr>
            </w:pPr>
            <w:r>
              <w:rPr>
                <w:rFonts w:eastAsia="Times New Roman"/>
                <w:lang w:bidi="ar-SA"/>
              </w:rPr>
              <w:t>$30.00</w:t>
            </w:r>
          </w:p>
        </w:tc>
        <w:tc>
          <w:tcPr>
            <w:tcW w:w="1496" w:type="pct"/>
          </w:tcPr>
          <w:p w:rsidR="00FE1F5C" w:rsidRPr="009553EB" w:rsidRDefault="00FE1F5C" w:rsidP="00FE1F5C">
            <w:pPr>
              <w:widowControl w:val="0"/>
              <w:autoSpaceDE w:val="0"/>
              <w:autoSpaceDN w:val="0"/>
              <w:adjustRightInd w:val="0"/>
              <w:jc w:val="center"/>
              <w:rPr>
                <w:rFonts w:eastAsia="Times New Roman"/>
                <w:lang w:bidi="ar-SA"/>
              </w:rPr>
            </w:pPr>
            <w:r w:rsidRPr="009553EB">
              <w:rPr>
                <w:rFonts w:eastAsia="Times New Roman"/>
                <w:lang w:bidi="ar-SA"/>
              </w:rPr>
              <w:t>$</w:t>
            </w:r>
            <w:r>
              <w:rPr>
                <w:rFonts w:eastAsia="Times New Roman"/>
                <w:lang w:bidi="ar-SA"/>
              </w:rPr>
              <w:t>40.00</w:t>
            </w:r>
          </w:p>
        </w:tc>
      </w:tr>
      <w:tr w:rsidR="00FE1F5C" w:rsidRPr="009270B9" w:rsidTr="00FE1F5C">
        <w:tc>
          <w:tcPr>
            <w:tcW w:w="2179" w:type="pct"/>
          </w:tcPr>
          <w:p w:rsidR="00FE1F5C" w:rsidRPr="009270B9" w:rsidRDefault="00FE1F5C" w:rsidP="00FE1F5C">
            <w:pPr>
              <w:widowControl w:val="0"/>
              <w:autoSpaceDE w:val="0"/>
              <w:autoSpaceDN w:val="0"/>
              <w:adjustRightInd w:val="0"/>
              <w:rPr>
                <w:rFonts w:eastAsia="Times New Roman"/>
                <w:lang w:bidi="ar-SA"/>
              </w:rPr>
            </w:pPr>
            <w:r>
              <w:rPr>
                <w:rFonts w:eastAsia="Times New Roman"/>
                <w:lang w:bidi="ar-SA"/>
              </w:rPr>
              <w:t xml:space="preserve">0 – 500 Cubic Feet </w:t>
            </w:r>
          </w:p>
        </w:tc>
        <w:tc>
          <w:tcPr>
            <w:tcW w:w="1325" w:type="pct"/>
          </w:tcPr>
          <w:p w:rsidR="00FE1F5C" w:rsidRPr="009270B9" w:rsidRDefault="00FE1F5C" w:rsidP="00FE1F5C">
            <w:pPr>
              <w:widowControl w:val="0"/>
              <w:autoSpaceDE w:val="0"/>
              <w:autoSpaceDN w:val="0"/>
              <w:adjustRightInd w:val="0"/>
              <w:jc w:val="center"/>
              <w:rPr>
                <w:rFonts w:eastAsia="Times New Roman"/>
                <w:lang w:bidi="ar-SA"/>
              </w:rPr>
            </w:pPr>
            <w:r>
              <w:rPr>
                <w:rFonts w:eastAsia="Times New Roman"/>
                <w:lang w:bidi="ar-SA"/>
              </w:rPr>
              <w:t>$5.00</w:t>
            </w:r>
          </w:p>
        </w:tc>
        <w:tc>
          <w:tcPr>
            <w:tcW w:w="1496" w:type="pct"/>
          </w:tcPr>
          <w:p w:rsidR="00FE1F5C" w:rsidRPr="009553EB" w:rsidRDefault="00FE1F5C" w:rsidP="00FE1F5C">
            <w:pPr>
              <w:widowControl w:val="0"/>
              <w:autoSpaceDE w:val="0"/>
              <w:autoSpaceDN w:val="0"/>
              <w:adjustRightInd w:val="0"/>
              <w:jc w:val="center"/>
              <w:rPr>
                <w:rFonts w:eastAsia="Times New Roman"/>
                <w:lang w:bidi="ar-SA"/>
              </w:rPr>
            </w:pPr>
            <w:r w:rsidRPr="009553EB">
              <w:rPr>
                <w:rFonts w:eastAsia="Times New Roman"/>
                <w:lang w:bidi="ar-SA"/>
              </w:rPr>
              <w:t>$</w:t>
            </w:r>
            <w:r>
              <w:rPr>
                <w:rFonts w:eastAsia="Times New Roman"/>
                <w:lang w:bidi="ar-SA"/>
              </w:rPr>
              <w:t>5.00</w:t>
            </w:r>
          </w:p>
        </w:tc>
      </w:tr>
      <w:tr w:rsidR="00FE1F5C" w:rsidRPr="009270B9" w:rsidTr="00FE1F5C">
        <w:tc>
          <w:tcPr>
            <w:tcW w:w="2179" w:type="pct"/>
          </w:tcPr>
          <w:p w:rsidR="00FE1F5C" w:rsidRPr="009270B9" w:rsidRDefault="00FE1F5C" w:rsidP="005228ED">
            <w:pPr>
              <w:widowControl w:val="0"/>
              <w:autoSpaceDE w:val="0"/>
              <w:autoSpaceDN w:val="0"/>
              <w:adjustRightInd w:val="0"/>
              <w:rPr>
                <w:rFonts w:eastAsia="Times New Roman"/>
                <w:lang w:bidi="ar-SA"/>
              </w:rPr>
            </w:pPr>
            <w:r>
              <w:rPr>
                <w:rFonts w:eastAsia="Times New Roman"/>
                <w:lang w:bidi="ar-SA"/>
              </w:rPr>
              <w:t>50</w:t>
            </w:r>
            <w:r w:rsidR="005228ED">
              <w:rPr>
                <w:rFonts w:eastAsia="Times New Roman"/>
                <w:lang w:bidi="ar-SA"/>
              </w:rPr>
              <w:t>1</w:t>
            </w:r>
            <w:bookmarkStart w:id="0" w:name="_GoBack"/>
            <w:bookmarkEnd w:id="0"/>
            <w:r>
              <w:rPr>
                <w:rFonts w:eastAsia="Times New Roman"/>
                <w:lang w:bidi="ar-SA"/>
              </w:rPr>
              <w:t xml:space="preserve"> – 783 Cubic Feet</w:t>
            </w:r>
          </w:p>
        </w:tc>
        <w:tc>
          <w:tcPr>
            <w:tcW w:w="1325" w:type="pct"/>
          </w:tcPr>
          <w:p w:rsidR="00FE1F5C" w:rsidRPr="009270B9" w:rsidRDefault="00FE1F5C" w:rsidP="00FE1F5C">
            <w:pPr>
              <w:widowControl w:val="0"/>
              <w:autoSpaceDE w:val="0"/>
              <w:autoSpaceDN w:val="0"/>
              <w:adjustRightInd w:val="0"/>
              <w:jc w:val="center"/>
              <w:rPr>
                <w:rFonts w:eastAsia="Times New Roman"/>
                <w:lang w:bidi="ar-SA"/>
              </w:rPr>
            </w:pPr>
            <w:r>
              <w:rPr>
                <w:rFonts w:eastAsia="Times New Roman"/>
                <w:lang w:bidi="ar-SA"/>
              </w:rPr>
              <w:t>$2.83</w:t>
            </w:r>
          </w:p>
        </w:tc>
        <w:tc>
          <w:tcPr>
            <w:tcW w:w="1496" w:type="pct"/>
          </w:tcPr>
          <w:p w:rsidR="00FE1F5C" w:rsidRPr="009553EB" w:rsidRDefault="00FE1F5C" w:rsidP="00FE1F5C">
            <w:pPr>
              <w:widowControl w:val="0"/>
              <w:autoSpaceDE w:val="0"/>
              <w:autoSpaceDN w:val="0"/>
              <w:adjustRightInd w:val="0"/>
              <w:jc w:val="center"/>
              <w:rPr>
                <w:rFonts w:eastAsia="Times New Roman"/>
                <w:lang w:bidi="ar-SA"/>
              </w:rPr>
            </w:pPr>
            <w:r>
              <w:rPr>
                <w:rFonts w:eastAsia="Times New Roman"/>
                <w:lang w:bidi="ar-SA"/>
              </w:rPr>
              <w:t>$3.54</w:t>
            </w:r>
          </w:p>
        </w:tc>
      </w:tr>
      <w:tr w:rsidR="00FE1F5C" w:rsidRPr="009270B9" w:rsidTr="00FE1F5C">
        <w:tc>
          <w:tcPr>
            <w:tcW w:w="2179" w:type="pct"/>
          </w:tcPr>
          <w:p w:rsidR="00FE1F5C" w:rsidRPr="009270B9" w:rsidRDefault="00FE1F5C" w:rsidP="00FE1F5C">
            <w:pPr>
              <w:widowControl w:val="0"/>
              <w:autoSpaceDE w:val="0"/>
              <w:autoSpaceDN w:val="0"/>
              <w:adjustRightInd w:val="0"/>
              <w:rPr>
                <w:rFonts w:eastAsia="Times New Roman"/>
                <w:lang w:bidi="ar-SA"/>
              </w:rPr>
            </w:pPr>
            <w:r w:rsidRPr="009270B9">
              <w:rPr>
                <w:rFonts w:eastAsia="Times New Roman"/>
                <w:lang w:bidi="ar-SA"/>
              </w:rPr>
              <w:t>Average Monthly Bill</w:t>
            </w:r>
          </w:p>
        </w:tc>
        <w:tc>
          <w:tcPr>
            <w:tcW w:w="1325" w:type="pct"/>
          </w:tcPr>
          <w:p w:rsidR="00FE1F5C" w:rsidRDefault="00FE1F5C" w:rsidP="00FE1F5C">
            <w:pPr>
              <w:widowControl w:val="0"/>
              <w:autoSpaceDE w:val="0"/>
              <w:autoSpaceDN w:val="0"/>
              <w:adjustRightInd w:val="0"/>
              <w:jc w:val="center"/>
              <w:rPr>
                <w:rFonts w:eastAsia="Times New Roman"/>
                <w:lang w:bidi="ar-SA"/>
              </w:rPr>
            </w:pPr>
            <w:r>
              <w:rPr>
                <w:rFonts w:eastAsia="Times New Roman"/>
                <w:lang w:bidi="ar-SA"/>
              </w:rPr>
              <w:t>$37.83</w:t>
            </w:r>
          </w:p>
        </w:tc>
        <w:tc>
          <w:tcPr>
            <w:tcW w:w="1496" w:type="pct"/>
          </w:tcPr>
          <w:p w:rsidR="00FE1F5C" w:rsidRPr="009553EB" w:rsidRDefault="00FE1F5C" w:rsidP="00FE1F5C">
            <w:pPr>
              <w:widowControl w:val="0"/>
              <w:autoSpaceDE w:val="0"/>
              <w:autoSpaceDN w:val="0"/>
              <w:adjustRightInd w:val="0"/>
              <w:jc w:val="center"/>
              <w:rPr>
                <w:rFonts w:eastAsia="Times New Roman"/>
                <w:lang w:bidi="ar-SA"/>
              </w:rPr>
            </w:pPr>
            <w:r>
              <w:rPr>
                <w:rFonts w:eastAsia="Times New Roman"/>
                <w:lang w:bidi="ar-SA"/>
              </w:rPr>
              <w:t>$48.54</w:t>
            </w:r>
          </w:p>
        </w:tc>
      </w:tr>
      <w:tr w:rsidR="00FE1F5C" w:rsidRPr="009270B9" w:rsidTr="00FE1F5C">
        <w:tc>
          <w:tcPr>
            <w:tcW w:w="2179" w:type="pct"/>
          </w:tcPr>
          <w:p w:rsidR="00FE1F5C" w:rsidRPr="009270B9" w:rsidRDefault="00FE1F5C" w:rsidP="00FE1F5C">
            <w:pPr>
              <w:widowControl w:val="0"/>
              <w:autoSpaceDE w:val="0"/>
              <w:autoSpaceDN w:val="0"/>
              <w:adjustRightInd w:val="0"/>
              <w:rPr>
                <w:rFonts w:eastAsia="Times New Roman"/>
                <w:lang w:bidi="ar-SA"/>
              </w:rPr>
            </w:pPr>
            <w:r w:rsidRPr="007C07AE">
              <w:t>Increase From Current Rates</w:t>
            </w:r>
          </w:p>
        </w:tc>
        <w:tc>
          <w:tcPr>
            <w:tcW w:w="1325" w:type="pct"/>
          </w:tcPr>
          <w:p w:rsidR="00FE1F5C" w:rsidRDefault="00FE1F5C" w:rsidP="00FE1F5C">
            <w:pPr>
              <w:widowControl w:val="0"/>
              <w:autoSpaceDE w:val="0"/>
              <w:autoSpaceDN w:val="0"/>
              <w:adjustRightInd w:val="0"/>
              <w:jc w:val="center"/>
              <w:rPr>
                <w:rFonts w:eastAsia="Times New Roman"/>
                <w:lang w:bidi="ar-SA"/>
              </w:rPr>
            </w:pPr>
          </w:p>
        </w:tc>
        <w:tc>
          <w:tcPr>
            <w:tcW w:w="1496" w:type="pct"/>
          </w:tcPr>
          <w:p w:rsidR="00FE1F5C" w:rsidRPr="009553EB" w:rsidRDefault="00FE1F5C" w:rsidP="00FE1F5C">
            <w:pPr>
              <w:widowControl w:val="0"/>
              <w:autoSpaceDE w:val="0"/>
              <w:autoSpaceDN w:val="0"/>
              <w:adjustRightInd w:val="0"/>
              <w:jc w:val="center"/>
              <w:rPr>
                <w:rFonts w:eastAsia="Times New Roman"/>
                <w:lang w:bidi="ar-SA"/>
              </w:rPr>
            </w:pPr>
            <w:r>
              <w:rPr>
                <w:rFonts w:eastAsia="Times New Roman"/>
                <w:lang w:bidi="ar-SA"/>
              </w:rPr>
              <w:t>$10.71</w:t>
            </w:r>
          </w:p>
        </w:tc>
      </w:tr>
      <w:tr w:rsidR="00FE1F5C" w:rsidRPr="009270B9" w:rsidTr="00FE1F5C">
        <w:tc>
          <w:tcPr>
            <w:tcW w:w="2179" w:type="pct"/>
          </w:tcPr>
          <w:p w:rsidR="00FE1F5C" w:rsidRPr="007C07AE" w:rsidRDefault="00FE1F5C" w:rsidP="00FE1F5C">
            <w:pPr>
              <w:widowControl w:val="0"/>
              <w:autoSpaceDE w:val="0"/>
              <w:autoSpaceDN w:val="0"/>
              <w:adjustRightInd w:val="0"/>
            </w:pPr>
          </w:p>
        </w:tc>
        <w:tc>
          <w:tcPr>
            <w:tcW w:w="1325" w:type="pct"/>
          </w:tcPr>
          <w:p w:rsidR="00FE1F5C" w:rsidRDefault="00FE1F5C" w:rsidP="00FE1F5C">
            <w:pPr>
              <w:widowControl w:val="0"/>
              <w:autoSpaceDE w:val="0"/>
              <w:autoSpaceDN w:val="0"/>
              <w:adjustRightInd w:val="0"/>
              <w:jc w:val="center"/>
              <w:rPr>
                <w:rFonts w:eastAsia="Times New Roman"/>
                <w:lang w:bidi="ar-SA"/>
              </w:rPr>
            </w:pPr>
          </w:p>
        </w:tc>
        <w:tc>
          <w:tcPr>
            <w:tcW w:w="1496" w:type="pct"/>
          </w:tcPr>
          <w:p w:rsidR="00FE1F5C" w:rsidRPr="009553EB" w:rsidRDefault="00FE1F5C" w:rsidP="00FE1F5C">
            <w:pPr>
              <w:widowControl w:val="0"/>
              <w:autoSpaceDE w:val="0"/>
              <w:autoSpaceDN w:val="0"/>
              <w:adjustRightInd w:val="0"/>
              <w:jc w:val="center"/>
              <w:rPr>
                <w:rFonts w:eastAsia="Times New Roman"/>
                <w:lang w:bidi="ar-SA"/>
              </w:rPr>
            </w:pPr>
            <w:r>
              <w:rPr>
                <w:rFonts w:eastAsia="Times New Roman"/>
                <w:lang w:bidi="ar-SA"/>
              </w:rPr>
              <w:t>28</w:t>
            </w:r>
            <w:r w:rsidRPr="009553EB">
              <w:rPr>
                <w:rFonts w:eastAsia="Times New Roman"/>
                <w:lang w:bidi="ar-SA"/>
              </w:rPr>
              <w:t>.</w:t>
            </w:r>
            <w:r>
              <w:rPr>
                <w:rFonts w:eastAsia="Times New Roman"/>
                <w:lang w:bidi="ar-SA"/>
              </w:rPr>
              <w:t>3</w:t>
            </w:r>
            <w:r w:rsidRPr="009553EB">
              <w:rPr>
                <w:rFonts w:eastAsia="Times New Roman"/>
                <w:lang w:bidi="ar-SA"/>
              </w:rPr>
              <w:t>%</w:t>
            </w:r>
          </w:p>
        </w:tc>
      </w:tr>
    </w:tbl>
    <w:p w:rsidR="00FE1F5C" w:rsidRPr="00AE389D" w:rsidRDefault="00FE1F5C" w:rsidP="00FE1F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r w:rsidRPr="00AE389D">
        <w:rPr>
          <w:rFonts w:eastAsia="Times New Roman"/>
          <w:lang w:bidi="ar-SA"/>
        </w:rPr>
        <w:lastRenderedPageBreak/>
        <w:t xml:space="preserve">Commission staff has not completed its review of the company’s supporting financial documents, books and records. </w:t>
      </w:r>
      <w:r>
        <w:rPr>
          <w:rFonts w:eastAsia="Times New Roman"/>
          <w:lang w:bidi="ar-SA"/>
        </w:rPr>
        <w:t xml:space="preserve">The company has not fully responded to outstanding data requests issued on December 4, 5, and 6, 2012. </w:t>
      </w:r>
      <w:r w:rsidRPr="00AE389D">
        <w:rPr>
          <w:rFonts w:eastAsia="Times New Roman"/>
          <w:lang w:bidi="ar-SA"/>
        </w:rPr>
        <w:t xml:space="preserve">Therefore, the company has not </w:t>
      </w:r>
      <w:r>
        <w:rPr>
          <w:rFonts w:eastAsia="Times New Roman"/>
          <w:lang w:bidi="ar-SA"/>
        </w:rPr>
        <w:t xml:space="preserve">yet </w:t>
      </w:r>
      <w:r w:rsidRPr="00AE389D">
        <w:rPr>
          <w:rFonts w:eastAsia="Times New Roman"/>
          <w:lang w:bidi="ar-SA"/>
        </w:rPr>
        <w:t>demonstrated that the proposed rates are fair,</w:t>
      </w:r>
      <w:r>
        <w:rPr>
          <w:rFonts w:eastAsia="Times New Roman"/>
          <w:lang w:bidi="ar-SA"/>
        </w:rPr>
        <w:t xml:space="preserve"> </w:t>
      </w:r>
      <w:r w:rsidRPr="00AE389D">
        <w:rPr>
          <w:rFonts w:eastAsia="Times New Roman"/>
          <w:lang w:bidi="ar-SA"/>
        </w:rPr>
        <w:t>just, reasonable and sufficient.</w:t>
      </w:r>
    </w:p>
    <w:p w:rsidR="00BC7B9F" w:rsidRDefault="00BC7B9F" w:rsidP="00BC7B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u w:val="single"/>
        </w:rPr>
      </w:pPr>
    </w:p>
    <w:p w:rsidR="00BC7B9F" w:rsidRDefault="00BC7B9F" w:rsidP="00BC7B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u w:val="single"/>
        </w:rPr>
      </w:pPr>
      <w:r w:rsidRPr="00935AF2">
        <w:rPr>
          <w:b/>
          <w:u w:val="single"/>
        </w:rPr>
        <w:t>C</w:t>
      </w:r>
      <w:r>
        <w:rPr>
          <w:b/>
          <w:u w:val="single"/>
        </w:rPr>
        <w:t>ustomer Comments</w:t>
      </w:r>
    </w:p>
    <w:p w:rsidR="00BC7B9F" w:rsidRDefault="00BC7B9F" w:rsidP="00BC7B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u w:val="single"/>
        </w:rPr>
      </w:pPr>
    </w:p>
    <w:p w:rsidR="00BC7B9F" w:rsidRDefault="00BC7B9F" w:rsidP="00BC7B9F">
      <w:r>
        <w:rPr>
          <w:color w:val="000000"/>
        </w:rPr>
        <w:t>On November 30, 2012, the company notified its customers of the proposed rate increase by mail. Staff received four consumer comments regarding the proposed rate increase, all of which opposed the rate increase. Customers were notified that documents related to the rate increase are available on the commission’s website, and that they may contact John Cupp at 1-888-333-9882 or jcupp@utc.wa.gov with questions or concerns.</w:t>
      </w:r>
    </w:p>
    <w:p w:rsidR="00BC7B9F" w:rsidRDefault="00BC7B9F" w:rsidP="00BC7B9F"/>
    <w:p w:rsidR="00BC7B9F" w:rsidRDefault="00BC7B9F" w:rsidP="00BC7B9F">
      <w:r>
        <w:rPr>
          <w:b/>
          <w:color w:val="000000"/>
        </w:rPr>
        <w:t>Filing Documents and Methodology</w:t>
      </w:r>
    </w:p>
    <w:p w:rsidR="00BC7B9F" w:rsidRDefault="00BC7B9F" w:rsidP="00BC7B9F">
      <w:pPr>
        <w:numPr>
          <w:ilvl w:val="0"/>
          <w:numId w:val="6"/>
        </w:numPr>
        <w:ind w:left="720" w:hanging="360"/>
      </w:pPr>
      <w:r>
        <w:rPr>
          <w:color w:val="000000"/>
        </w:rPr>
        <w:t>One customer stated that he did not receive the customer notice 30 days before the proposed effective date.</w:t>
      </w:r>
    </w:p>
    <w:p w:rsidR="00BC7B9F" w:rsidRDefault="00BC7B9F" w:rsidP="00BC7B9F"/>
    <w:p w:rsidR="00BC7B9F" w:rsidRDefault="00BC7B9F" w:rsidP="00BC7B9F">
      <w:pPr>
        <w:ind w:left="719"/>
      </w:pPr>
      <w:r>
        <w:rPr>
          <w:b/>
          <w:color w:val="000000"/>
        </w:rPr>
        <w:t>Staff Response</w:t>
      </w:r>
    </w:p>
    <w:p w:rsidR="00BC7B9F" w:rsidRDefault="00BC7B9F" w:rsidP="00BC7B9F">
      <w:pPr>
        <w:ind w:left="719"/>
      </w:pPr>
      <w:r>
        <w:rPr>
          <w:color w:val="000000"/>
        </w:rPr>
        <w:t>Staff is looking into this issue.</w:t>
      </w:r>
    </w:p>
    <w:p w:rsidR="00BC7B9F" w:rsidRDefault="00BC7B9F" w:rsidP="00BC7B9F">
      <w:pPr>
        <w:ind w:left="719"/>
      </w:pPr>
    </w:p>
    <w:p w:rsidR="00BC7B9F" w:rsidRDefault="00BC7B9F" w:rsidP="00BC7B9F">
      <w:r>
        <w:rPr>
          <w:b/>
          <w:color w:val="000000"/>
        </w:rPr>
        <w:t>Service Quality</w:t>
      </w:r>
    </w:p>
    <w:p w:rsidR="00BC7B9F" w:rsidRPr="002D098C" w:rsidRDefault="00BC7B9F" w:rsidP="00BC7B9F">
      <w:pPr>
        <w:pStyle w:val="ListParagraph"/>
        <w:numPr>
          <w:ilvl w:val="0"/>
          <w:numId w:val="8"/>
        </w:numPr>
        <w:tabs>
          <w:tab w:val="left" w:pos="220"/>
        </w:tabs>
        <w:spacing w:after="0" w:line="240" w:lineRule="auto"/>
        <w:contextualSpacing/>
      </w:pPr>
      <w:r w:rsidRPr="00302D68">
        <w:rPr>
          <w:rFonts w:ascii="Times New Roman" w:hAnsi="Times New Roman"/>
          <w:color w:val="000000"/>
          <w:sz w:val="24"/>
        </w:rPr>
        <w:t>All four customers stated that the water service is not reliable</w:t>
      </w:r>
      <w:r w:rsidRPr="00FD6189">
        <w:rPr>
          <w:color w:val="000000"/>
          <w:sz w:val="24"/>
        </w:rPr>
        <w:t>.</w:t>
      </w:r>
    </w:p>
    <w:p w:rsidR="00BC7B9F" w:rsidRDefault="00BC7B9F" w:rsidP="00BC7B9F"/>
    <w:p w:rsidR="00BC7B9F" w:rsidRDefault="00BC7B9F" w:rsidP="00BC7B9F">
      <w:pPr>
        <w:ind w:left="719"/>
      </w:pPr>
      <w:r>
        <w:rPr>
          <w:b/>
          <w:color w:val="000000"/>
        </w:rPr>
        <w:t>Staff Response</w:t>
      </w:r>
    </w:p>
    <w:p w:rsidR="00BC7B9F" w:rsidRDefault="00BC7B9F" w:rsidP="00BC7B9F">
      <w:pPr>
        <w:ind w:left="719"/>
      </w:pPr>
      <w:r>
        <w:rPr>
          <w:color w:val="000000"/>
        </w:rPr>
        <w:t>Staff requested additional information from these customers.</w:t>
      </w:r>
    </w:p>
    <w:p w:rsidR="00BC7B9F" w:rsidRDefault="00BC7B9F" w:rsidP="00BC7B9F">
      <w:pPr>
        <w:ind w:left="719"/>
      </w:pPr>
    </w:p>
    <w:p w:rsidR="00BC7B9F" w:rsidRDefault="00BC7B9F" w:rsidP="00BC7B9F">
      <w:r>
        <w:rPr>
          <w:b/>
          <w:color w:val="000000"/>
        </w:rPr>
        <w:t>General Comments</w:t>
      </w:r>
    </w:p>
    <w:p w:rsidR="00BC7B9F" w:rsidRPr="00260FC6" w:rsidRDefault="00BC7B9F" w:rsidP="00BC7B9F">
      <w:pPr>
        <w:numPr>
          <w:ilvl w:val="0"/>
          <w:numId w:val="7"/>
        </w:numPr>
        <w:ind w:left="720" w:hanging="360"/>
      </w:pPr>
      <w:r>
        <w:rPr>
          <w:color w:val="000000"/>
        </w:rPr>
        <w:t>One customer commented that the company improperly disconnected service.</w:t>
      </w:r>
    </w:p>
    <w:p w:rsidR="00BC7B9F" w:rsidRDefault="00BC7B9F" w:rsidP="00BC7B9F"/>
    <w:p w:rsidR="00BC7B9F" w:rsidRDefault="00BC7B9F" w:rsidP="00BC7B9F">
      <w:pPr>
        <w:ind w:left="719"/>
      </w:pPr>
      <w:r>
        <w:rPr>
          <w:b/>
          <w:color w:val="000000"/>
        </w:rPr>
        <w:t>Staff Response</w:t>
      </w:r>
    </w:p>
    <w:p w:rsidR="00BC7B9F" w:rsidRDefault="00302D68" w:rsidP="00BC7B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r>
        <w:rPr>
          <w:color w:val="000000"/>
        </w:rPr>
        <w:tab/>
      </w:r>
      <w:r w:rsidR="00BC7B9F">
        <w:rPr>
          <w:color w:val="000000"/>
        </w:rPr>
        <w:t>Staff requested additional information from this customer.</w:t>
      </w:r>
    </w:p>
    <w:p w:rsidR="000A1AC7" w:rsidRDefault="000A1AC7" w:rsidP="000F03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p>
    <w:p w:rsidR="00BE627B" w:rsidRPr="00EB4CE3" w:rsidRDefault="00BE627B" w:rsidP="000F032E"/>
    <w:p w:rsidR="00046A19" w:rsidRDefault="00046A19" w:rsidP="000F032E">
      <w:pPr>
        <w:rPr>
          <w:b/>
          <w:u w:val="single"/>
        </w:rPr>
      </w:pPr>
      <w:r w:rsidRPr="00935AF2">
        <w:rPr>
          <w:b/>
          <w:u w:val="single"/>
        </w:rPr>
        <w:t xml:space="preserve">Conclusion </w:t>
      </w:r>
    </w:p>
    <w:p w:rsidR="00046A19" w:rsidRDefault="00046A19" w:rsidP="000F032E">
      <w:pPr>
        <w:widowControl w:val="0"/>
        <w:autoSpaceDE w:val="0"/>
        <w:autoSpaceDN w:val="0"/>
        <w:adjustRightInd w:val="0"/>
        <w:rPr>
          <w:rFonts w:eastAsia="Times New Roman"/>
          <w:color w:val="000000"/>
          <w:lang w:bidi="ar-SA"/>
        </w:rPr>
      </w:pPr>
    </w:p>
    <w:p w:rsidR="002C039A" w:rsidRPr="00046A19" w:rsidRDefault="00BE627B" w:rsidP="000F032E">
      <w:r>
        <w:rPr>
          <w:color w:val="000000"/>
          <w:lang w:bidi="ar-SA"/>
        </w:rPr>
        <w:t>I</w:t>
      </w:r>
      <w:r w:rsidR="000B6B1A" w:rsidRPr="000B6B1A">
        <w:rPr>
          <w:color w:val="000000"/>
          <w:lang w:bidi="ar-SA"/>
        </w:rPr>
        <w:t xml:space="preserve">ssue a Complaint and Order </w:t>
      </w:r>
      <w:r w:rsidR="000B6B1A">
        <w:rPr>
          <w:color w:val="000000"/>
          <w:lang w:bidi="ar-SA"/>
        </w:rPr>
        <w:t>Suspending the tariff revision</w:t>
      </w:r>
      <w:r w:rsidR="0001140F">
        <w:rPr>
          <w:color w:val="000000"/>
          <w:lang w:bidi="ar-SA"/>
        </w:rPr>
        <w:t>s</w:t>
      </w:r>
      <w:r w:rsidR="000B6B1A">
        <w:rPr>
          <w:color w:val="000000"/>
          <w:lang w:bidi="ar-SA"/>
        </w:rPr>
        <w:t xml:space="preserve"> filed by </w:t>
      </w:r>
      <w:r w:rsidR="001B06B5">
        <w:t xml:space="preserve">Eastwood Park Water Co.  </w:t>
      </w:r>
      <w:r w:rsidR="000B6B1A">
        <w:rPr>
          <w:color w:val="000000"/>
          <w:lang w:bidi="ar-SA"/>
        </w:rPr>
        <w:t xml:space="preserve">on </w:t>
      </w:r>
      <w:r w:rsidR="001B06B5">
        <w:rPr>
          <w:color w:val="000000"/>
          <w:lang w:bidi="ar-SA"/>
        </w:rPr>
        <w:t>Nove</w:t>
      </w:r>
      <w:r w:rsidR="000F032E">
        <w:rPr>
          <w:color w:val="000000"/>
          <w:lang w:bidi="ar-SA"/>
        </w:rPr>
        <w:t xml:space="preserve">mber </w:t>
      </w:r>
      <w:r w:rsidR="001B06B5">
        <w:rPr>
          <w:color w:val="000000"/>
          <w:lang w:bidi="ar-SA"/>
        </w:rPr>
        <w:t>30</w:t>
      </w:r>
      <w:r w:rsidR="000B6B1A">
        <w:rPr>
          <w:color w:val="000000"/>
          <w:lang w:bidi="ar-SA"/>
        </w:rPr>
        <w:t>, 201</w:t>
      </w:r>
      <w:r w:rsidR="000F032E">
        <w:rPr>
          <w:color w:val="000000"/>
          <w:lang w:bidi="ar-SA"/>
        </w:rPr>
        <w:t>2</w:t>
      </w:r>
      <w:r w:rsidR="000B6B1A">
        <w:rPr>
          <w:color w:val="000000"/>
          <w:lang w:bidi="ar-SA"/>
        </w:rPr>
        <w:t xml:space="preserve">. </w:t>
      </w:r>
    </w:p>
    <w:sectPr w:rsidR="002C039A" w:rsidRPr="00046A19" w:rsidSect="003A397E">
      <w:headerReference w:type="default" r:id="rId11"/>
      <w:pgSz w:w="12240" w:h="15840" w:code="1"/>
      <w:pgMar w:top="1440" w:right="1440" w:bottom="1152"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F5C" w:rsidRDefault="00FE1F5C" w:rsidP="00E5657A">
      <w:r>
        <w:separator/>
      </w:r>
    </w:p>
  </w:endnote>
  <w:endnote w:type="continuationSeparator" w:id="0">
    <w:p w:rsidR="00FE1F5C" w:rsidRDefault="00FE1F5C" w:rsidP="00E5657A">
      <w:r>
        <w:continuationSeparator/>
      </w:r>
    </w:p>
  </w:endnote>
  <w:endnote w:type="continuationNotice" w:id="1">
    <w:p w:rsidR="00FE1F5C" w:rsidRDefault="00FE1F5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F5C" w:rsidRDefault="00FE1F5C" w:rsidP="00E5657A">
      <w:r>
        <w:separator/>
      </w:r>
    </w:p>
  </w:footnote>
  <w:footnote w:type="continuationSeparator" w:id="0">
    <w:p w:rsidR="00FE1F5C" w:rsidRDefault="00FE1F5C" w:rsidP="00E5657A">
      <w:r>
        <w:continuationSeparator/>
      </w:r>
    </w:p>
  </w:footnote>
  <w:footnote w:type="continuationNotice" w:id="1">
    <w:p w:rsidR="00FE1F5C" w:rsidRDefault="00FE1F5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F5C" w:rsidRPr="00296F3B" w:rsidRDefault="00FE1F5C" w:rsidP="001E2713">
    <w:pPr>
      <w:pStyle w:val="Header"/>
      <w:rPr>
        <w:sz w:val="20"/>
        <w:szCs w:val="20"/>
      </w:rPr>
    </w:pPr>
    <w:r w:rsidRPr="00296F3B">
      <w:rPr>
        <w:sz w:val="20"/>
        <w:szCs w:val="20"/>
      </w:rPr>
      <w:t>Docket UW-1</w:t>
    </w:r>
    <w:r>
      <w:rPr>
        <w:sz w:val="20"/>
        <w:szCs w:val="20"/>
      </w:rPr>
      <w:t>21904</w:t>
    </w:r>
  </w:p>
  <w:p w:rsidR="00FE1F5C" w:rsidRPr="00296F3B" w:rsidRDefault="00FE1F5C" w:rsidP="001E2713">
    <w:pPr>
      <w:pStyle w:val="Header"/>
      <w:rPr>
        <w:sz w:val="20"/>
        <w:szCs w:val="20"/>
      </w:rPr>
    </w:pPr>
    <w:r>
      <w:rPr>
        <w:sz w:val="20"/>
        <w:szCs w:val="20"/>
      </w:rPr>
      <w:t>December 27</w:t>
    </w:r>
    <w:r w:rsidRPr="00296F3B">
      <w:rPr>
        <w:sz w:val="20"/>
        <w:szCs w:val="20"/>
      </w:rPr>
      <w:t xml:space="preserve">, </w:t>
    </w:r>
    <w:r>
      <w:rPr>
        <w:sz w:val="20"/>
        <w:szCs w:val="20"/>
      </w:rPr>
      <w:t>2012</w:t>
    </w:r>
  </w:p>
  <w:p w:rsidR="00FE1F5C" w:rsidRDefault="00FE1F5C" w:rsidP="001E2713">
    <w:pPr>
      <w:pStyle w:val="Header"/>
      <w:rPr>
        <w:sz w:val="20"/>
        <w:szCs w:val="20"/>
      </w:rPr>
    </w:pPr>
    <w:r w:rsidRPr="00296F3B">
      <w:rPr>
        <w:sz w:val="20"/>
        <w:szCs w:val="20"/>
      </w:rPr>
      <w:t xml:space="preserve">Page </w:t>
    </w:r>
    <w:r w:rsidR="00844422" w:rsidRPr="00296F3B">
      <w:rPr>
        <w:sz w:val="20"/>
        <w:szCs w:val="20"/>
      </w:rPr>
      <w:fldChar w:fldCharType="begin"/>
    </w:r>
    <w:r w:rsidRPr="00296F3B">
      <w:rPr>
        <w:sz w:val="20"/>
        <w:szCs w:val="20"/>
      </w:rPr>
      <w:instrText xml:space="preserve"> PAGE   \* MERGEFORMAT </w:instrText>
    </w:r>
    <w:r w:rsidR="00844422" w:rsidRPr="00296F3B">
      <w:rPr>
        <w:sz w:val="20"/>
        <w:szCs w:val="20"/>
      </w:rPr>
      <w:fldChar w:fldCharType="separate"/>
    </w:r>
    <w:r w:rsidR="000609A9">
      <w:rPr>
        <w:noProof/>
        <w:sz w:val="20"/>
        <w:szCs w:val="20"/>
      </w:rPr>
      <w:t>2</w:t>
    </w:r>
    <w:r w:rsidR="00844422" w:rsidRPr="00296F3B">
      <w:rPr>
        <w:sz w:val="20"/>
        <w:szCs w:val="20"/>
      </w:rPr>
      <w:fldChar w:fldCharType="end"/>
    </w:r>
  </w:p>
  <w:p w:rsidR="00FE1F5C" w:rsidRPr="00296F3B" w:rsidRDefault="00FE1F5C" w:rsidP="001E2713">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2"/>
    <w:multiLevelType w:val="multilevel"/>
    <w:tmpl w:val="CC324FC6"/>
    <w:lvl w:ilvl="0">
      <w:start w:val="1"/>
      <w:numFmt w:val="bullet"/>
      <w:lvlText w:val=""/>
      <w:lvlJc w:val="left"/>
      <w:rPr>
        <w:rFonts w:ascii="Symbol" w:hAnsi="Symbol" w:hint="default"/>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1D800002"/>
    <w:multiLevelType w:val="hybridMultilevel"/>
    <w:tmpl w:val="F696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06AA1"/>
    <w:multiLevelType w:val="hybridMultilevel"/>
    <w:tmpl w:val="346469FA"/>
    <w:lvl w:ilvl="0" w:tplc="12280FFA">
      <w:start w:val="5"/>
      <w:numFmt w:val="bullet"/>
      <w:lvlText w:val=""/>
      <w:lvlJc w:val="left"/>
      <w:pPr>
        <w:ind w:left="828" w:hanging="360"/>
      </w:pPr>
      <w:rPr>
        <w:rFonts w:ascii="Symbol" w:eastAsia="Times New Roman" w:hAnsi="Symbol"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3BE15AAD"/>
    <w:multiLevelType w:val="hybridMultilevel"/>
    <w:tmpl w:val="93FA7E80"/>
    <w:lvl w:ilvl="0" w:tplc="96747C7E">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1"/>
    <w:footnote w:id="0"/>
    <w:footnote w:id="1"/>
  </w:footnotePr>
  <w:endnotePr>
    <w:endnote w:id="-1"/>
    <w:endnote w:id="0"/>
    <w:endnote w:id="1"/>
  </w:endnotePr>
  <w:compat/>
  <w:rsids>
    <w:rsidRoot w:val="00046A19"/>
    <w:rsid w:val="00003188"/>
    <w:rsid w:val="0000617D"/>
    <w:rsid w:val="00006D5A"/>
    <w:rsid w:val="00007D8E"/>
    <w:rsid w:val="00010837"/>
    <w:rsid w:val="0001140F"/>
    <w:rsid w:val="0001293B"/>
    <w:rsid w:val="00046A19"/>
    <w:rsid w:val="0005104E"/>
    <w:rsid w:val="000609A9"/>
    <w:rsid w:val="000A1AC7"/>
    <w:rsid w:val="000B6B1A"/>
    <w:rsid w:val="000D2500"/>
    <w:rsid w:val="000D37C4"/>
    <w:rsid w:val="000E640C"/>
    <w:rsid w:val="000F032E"/>
    <w:rsid w:val="00140595"/>
    <w:rsid w:val="001476CA"/>
    <w:rsid w:val="001811BA"/>
    <w:rsid w:val="00182A1D"/>
    <w:rsid w:val="001954F2"/>
    <w:rsid w:val="001B06B5"/>
    <w:rsid w:val="001C1C21"/>
    <w:rsid w:val="001C5AB1"/>
    <w:rsid w:val="001C6E68"/>
    <w:rsid w:val="001E1D7A"/>
    <w:rsid w:val="001E2713"/>
    <w:rsid w:val="001E31DA"/>
    <w:rsid w:val="00225208"/>
    <w:rsid w:val="00272E16"/>
    <w:rsid w:val="00281C1D"/>
    <w:rsid w:val="002C039A"/>
    <w:rsid w:val="002D390A"/>
    <w:rsid w:val="002E5B90"/>
    <w:rsid w:val="00302D68"/>
    <w:rsid w:val="00313006"/>
    <w:rsid w:val="00323AED"/>
    <w:rsid w:val="0035584C"/>
    <w:rsid w:val="003A397E"/>
    <w:rsid w:val="003B34B3"/>
    <w:rsid w:val="003B6BE1"/>
    <w:rsid w:val="003C699C"/>
    <w:rsid w:val="0040784B"/>
    <w:rsid w:val="004322C3"/>
    <w:rsid w:val="004518CD"/>
    <w:rsid w:val="004558FB"/>
    <w:rsid w:val="004676B0"/>
    <w:rsid w:val="00477A98"/>
    <w:rsid w:val="00485438"/>
    <w:rsid w:val="00495488"/>
    <w:rsid w:val="004F6243"/>
    <w:rsid w:val="0050769C"/>
    <w:rsid w:val="005228ED"/>
    <w:rsid w:val="00527C58"/>
    <w:rsid w:val="00543717"/>
    <w:rsid w:val="00552600"/>
    <w:rsid w:val="00554747"/>
    <w:rsid w:val="00564807"/>
    <w:rsid w:val="00577E5D"/>
    <w:rsid w:val="0058267C"/>
    <w:rsid w:val="005A343E"/>
    <w:rsid w:val="005A6C74"/>
    <w:rsid w:val="005D5F66"/>
    <w:rsid w:val="006075AF"/>
    <w:rsid w:val="00621606"/>
    <w:rsid w:val="0062310E"/>
    <w:rsid w:val="00637B69"/>
    <w:rsid w:val="00640061"/>
    <w:rsid w:val="00661169"/>
    <w:rsid w:val="00672F7B"/>
    <w:rsid w:val="006A41EE"/>
    <w:rsid w:val="006A53A7"/>
    <w:rsid w:val="006C71E3"/>
    <w:rsid w:val="006D764C"/>
    <w:rsid w:val="006D7A58"/>
    <w:rsid w:val="006F41DA"/>
    <w:rsid w:val="00700919"/>
    <w:rsid w:val="00717FD6"/>
    <w:rsid w:val="0072504A"/>
    <w:rsid w:val="007327A3"/>
    <w:rsid w:val="00742F7F"/>
    <w:rsid w:val="007458F8"/>
    <w:rsid w:val="00750A48"/>
    <w:rsid w:val="00793227"/>
    <w:rsid w:val="00793E06"/>
    <w:rsid w:val="00794D57"/>
    <w:rsid w:val="007D2573"/>
    <w:rsid w:val="007E2FCB"/>
    <w:rsid w:val="007E4463"/>
    <w:rsid w:val="00817FF7"/>
    <w:rsid w:val="00822FD1"/>
    <w:rsid w:val="00832DA8"/>
    <w:rsid w:val="00844422"/>
    <w:rsid w:val="008464A8"/>
    <w:rsid w:val="00870BB6"/>
    <w:rsid w:val="008975CC"/>
    <w:rsid w:val="008A4BE5"/>
    <w:rsid w:val="008A5118"/>
    <w:rsid w:val="008B7991"/>
    <w:rsid w:val="00910FCE"/>
    <w:rsid w:val="00923A19"/>
    <w:rsid w:val="0093429A"/>
    <w:rsid w:val="009553EB"/>
    <w:rsid w:val="00963EDA"/>
    <w:rsid w:val="00964470"/>
    <w:rsid w:val="00992C6E"/>
    <w:rsid w:val="009A47E4"/>
    <w:rsid w:val="009B0311"/>
    <w:rsid w:val="009B79A8"/>
    <w:rsid w:val="009C1E52"/>
    <w:rsid w:val="00A31E63"/>
    <w:rsid w:val="00A4610A"/>
    <w:rsid w:val="00A46C58"/>
    <w:rsid w:val="00A61F9F"/>
    <w:rsid w:val="00A77CD8"/>
    <w:rsid w:val="00A80CB3"/>
    <w:rsid w:val="00A84C2A"/>
    <w:rsid w:val="00A95415"/>
    <w:rsid w:val="00AA3232"/>
    <w:rsid w:val="00AA7F14"/>
    <w:rsid w:val="00AC0E4A"/>
    <w:rsid w:val="00AD3312"/>
    <w:rsid w:val="00AE273E"/>
    <w:rsid w:val="00B13041"/>
    <w:rsid w:val="00B14F10"/>
    <w:rsid w:val="00B26B2D"/>
    <w:rsid w:val="00B53986"/>
    <w:rsid w:val="00B561C7"/>
    <w:rsid w:val="00B759C1"/>
    <w:rsid w:val="00BB3AF4"/>
    <w:rsid w:val="00BC0903"/>
    <w:rsid w:val="00BC7B9F"/>
    <w:rsid w:val="00BE1B5B"/>
    <w:rsid w:val="00BE627B"/>
    <w:rsid w:val="00C60230"/>
    <w:rsid w:val="00C9285A"/>
    <w:rsid w:val="00CA429B"/>
    <w:rsid w:val="00CB3D36"/>
    <w:rsid w:val="00CF36EC"/>
    <w:rsid w:val="00D00FB8"/>
    <w:rsid w:val="00D157A4"/>
    <w:rsid w:val="00D169AC"/>
    <w:rsid w:val="00D16EE4"/>
    <w:rsid w:val="00D23EA5"/>
    <w:rsid w:val="00D568C6"/>
    <w:rsid w:val="00D61A4B"/>
    <w:rsid w:val="00D622B2"/>
    <w:rsid w:val="00D6775B"/>
    <w:rsid w:val="00D71416"/>
    <w:rsid w:val="00D8448A"/>
    <w:rsid w:val="00D910B5"/>
    <w:rsid w:val="00DA1B86"/>
    <w:rsid w:val="00DD2A47"/>
    <w:rsid w:val="00DE77E4"/>
    <w:rsid w:val="00DF2DF3"/>
    <w:rsid w:val="00DF363D"/>
    <w:rsid w:val="00DF5E47"/>
    <w:rsid w:val="00E56305"/>
    <w:rsid w:val="00E5657A"/>
    <w:rsid w:val="00E60EB2"/>
    <w:rsid w:val="00E67789"/>
    <w:rsid w:val="00E761D5"/>
    <w:rsid w:val="00E80DC5"/>
    <w:rsid w:val="00EA46AD"/>
    <w:rsid w:val="00EC5341"/>
    <w:rsid w:val="00F02C2A"/>
    <w:rsid w:val="00F21B68"/>
    <w:rsid w:val="00F3565A"/>
    <w:rsid w:val="00F97111"/>
    <w:rsid w:val="00FA5576"/>
    <w:rsid w:val="00FB7FC5"/>
    <w:rsid w:val="00FE1F5C"/>
    <w:rsid w:val="00FE3929"/>
    <w:rsid w:val="00FE6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2012-11-30T08:00:00+00:00</OpenedDate>
    <Date1 xmlns="dc463f71-b30c-4ab2-9473-d307f9d35888">2012-12-27T08:00:00+00:00</Date1>
    <IsDocumentOrder xmlns="dc463f71-b30c-4ab2-9473-d307f9d35888" xsi:nil="true"/>
    <IsHighlyConfidential xmlns="dc463f71-b30c-4ab2-9473-d307f9d35888">false</IsHighlyConfidential>
    <CaseCompanyNames xmlns="dc463f71-b30c-4ab2-9473-d307f9d35888">Eastwood Park Water Co., Inc.</CaseCompanyNames>
    <DocketNumber xmlns="dc463f71-b30c-4ab2-9473-d307f9d35888">121904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C828A7B4BECA41A39EE62F6AACD924" ma:contentTypeVersion="139" ma:contentTypeDescription="" ma:contentTypeScope="" ma:versionID="9a91a53824658a75331c9e7c1dc224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EF15D-2B93-464E-B670-9571AF0A2AD7}"/>
</file>

<file path=customXml/itemProps2.xml><?xml version="1.0" encoding="utf-8"?>
<ds:datastoreItem xmlns:ds="http://schemas.openxmlformats.org/officeDocument/2006/customXml" ds:itemID="{D3630B3D-7A61-4250-AC79-E615B32A51E4}"/>
</file>

<file path=customXml/itemProps3.xml><?xml version="1.0" encoding="utf-8"?>
<ds:datastoreItem xmlns:ds="http://schemas.openxmlformats.org/officeDocument/2006/customXml" ds:itemID="{5D508F9C-D8AA-4D6C-AB99-7C4E100C1A8E}"/>
</file>

<file path=customXml/itemProps4.xml><?xml version="1.0" encoding="utf-8"?>
<ds:datastoreItem xmlns:ds="http://schemas.openxmlformats.org/officeDocument/2006/customXml" ds:itemID="{73330A12-414C-4B4E-AC0B-E14D3CFB4FB4}"/>
</file>

<file path=customXml/itemProps5.xml><?xml version="1.0" encoding="utf-8"?>
<ds:datastoreItem xmlns:ds="http://schemas.openxmlformats.org/officeDocument/2006/customXml" ds:itemID="{DBC49551-2918-405E-A713-3DF0B6EDC41F}"/>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UW-121904 Scenic Shores Memo for suspend</vt:lpstr>
    </vt:vector>
  </TitlesOfParts>
  <Company>Washington Utilities and Transportation Commission</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UW-121904 Scenic Shores Memo for suspend</dc:title>
  <dc:creator>Jim Ward</dc:creator>
  <cp:lastModifiedBy>utcadmin</cp:lastModifiedBy>
  <cp:revision>2</cp:revision>
  <cp:lastPrinted>2012-12-21T02:02:00Z</cp:lastPrinted>
  <dcterms:created xsi:type="dcterms:W3CDTF">2012-12-24T17:51:00Z</dcterms:created>
  <dcterms:modified xsi:type="dcterms:W3CDTF">2012-12-24T17:51:00Z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0x0101006E56B4D1795A2E4DB2F0B01679ED314A00FDC828A7B4BECA41A39EE62F6AACD924</vt:lpwstr>
  </property>
  <property fmtid="{D5CDD505-2E9C-101B-9397-08002B2CF9AE}" pid="3" name="_docset_NoMedatataSyncRequired">
    <vt:lpwstr>False</vt:lpwstr>
  </property>
</Properties>
</file>