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F" w:rsidRDefault="004D5CCF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BEFORE THE WASHINGTON</w:t>
      </w:r>
    </w:p>
    <w:p w:rsidR="004D5CCF" w:rsidRDefault="004D5CCF">
      <w:pPr>
        <w:jc w:val="center"/>
        <w:rPr>
          <w:b/>
        </w:rPr>
      </w:pPr>
      <w:r>
        <w:rPr>
          <w:b/>
        </w:rPr>
        <w:t>UTILITIES AND TRANSPORTATION COMMISSION</w:t>
      </w:r>
    </w:p>
    <w:p w:rsidR="00410648" w:rsidRDefault="00410648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1"/>
        <w:gridCol w:w="527"/>
        <w:gridCol w:w="4091"/>
      </w:tblGrid>
      <w:tr w:rsidR="004D5CCF" w:rsidTr="00410648">
        <w:tblPrEx>
          <w:tblCellMar>
            <w:top w:w="0" w:type="dxa"/>
            <w:bottom w:w="0" w:type="dxa"/>
          </w:tblCellMar>
        </w:tblPrEx>
        <w:tc>
          <w:tcPr>
            <w:tcW w:w="3901" w:type="dxa"/>
          </w:tcPr>
          <w:p w:rsidR="004D5CCF" w:rsidRDefault="004D5CCF">
            <w:r>
              <w:t xml:space="preserve">In the Matter of </w:t>
            </w:r>
          </w:p>
          <w:p w:rsidR="004D5CCF" w:rsidRDefault="004D5CCF"/>
          <w:p w:rsidR="004D5CCF" w:rsidRDefault="004A60BF">
            <w:r>
              <w:t>Puget Sound &amp; Pacific Railroad</w:t>
            </w:r>
          </w:p>
          <w:p w:rsidR="004D5CCF" w:rsidRDefault="004D5CCF"/>
          <w:p w:rsidR="004D5CCF" w:rsidRDefault="00CA4A91">
            <w:r>
              <w:t xml:space="preserve">Petition </w:t>
            </w:r>
            <w:r w:rsidR="004A60BF">
              <w:t>to Modify Highway-Rail Grade Crossing Active Warning Devices and Disbursement of Funds from the Grade Crossing Protective Fund</w:t>
            </w:r>
          </w:p>
          <w:p w:rsidR="00410648" w:rsidRDefault="00410648"/>
          <w:p w:rsidR="004D5CCF" w:rsidRDefault="00410648" w:rsidP="00410648">
            <w:r>
              <w:t xml:space="preserve">. . . . . . . . . . . . . . . . . . . . . . . . . . . . . . . </w:t>
            </w:r>
          </w:p>
        </w:tc>
        <w:tc>
          <w:tcPr>
            <w:tcW w:w="527" w:type="dxa"/>
          </w:tcPr>
          <w:p w:rsidR="00435447" w:rsidRDefault="004D5CCF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</w:p>
          <w:p w:rsidR="00410648" w:rsidRDefault="00410648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410648" w:rsidRDefault="00410648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6A3673" w:rsidRDefault="006A3673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6A3673" w:rsidRDefault="006A3673" w:rsidP="00410648">
            <w:pPr>
              <w:pStyle w:val="BodyTex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91" w:type="dxa"/>
          </w:tcPr>
          <w:p w:rsidR="004D5CCF" w:rsidRDefault="004D5CCF">
            <w:pPr>
              <w:rPr>
                <w:b/>
              </w:rPr>
            </w:pPr>
            <w:r>
              <w:t xml:space="preserve">DOCKET </w:t>
            </w:r>
            <w:r w:rsidR="004A60BF">
              <w:t>TR-121380</w:t>
            </w:r>
          </w:p>
          <w:p w:rsidR="004D5CCF" w:rsidRDefault="004D5CCF">
            <w:pPr>
              <w:rPr>
                <w:b/>
              </w:rPr>
            </w:pPr>
          </w:p>
          <w:p w:rsidR="004D5CCF" w:rsidRDefault="004D5CCF">
            <w:pPr>
              <w:rPr>
                <w:b/>
              </w:rPr>
            </w:pPr>
            <w:r>
              <w:t>ORDER 0</w:t>
            </w:r>
            <w:r w:rsidR="007B3B6F">
              <w:t>2</w:t>
            </w:r>
          </w:p>
          <w:p w:rsidR="004D5CCF" w:rsidRDefault="004D5CCF"/>
          <w:p w:rsidR="003E38A5" w:rsidRDefault="003E38A5"/>
          <w:p w:rsidR="004D5CCF" w:rsidRDefault="007B3B6F" w:rsidP="00ED748B">
            <w:r>
              <w:t xml:space="preserve">ERRATUM </w:t>
            </w:r>
            <w:r w:rsidR="004D5CCF">
              <w:t>O</w:t>
            </w:r>
            <w:r w:rsidR="00CA4A91">
              <w:t>RDER</w:t>
            </w:r>
            <w:r>
              <w:t xml:space="preserve"> </w:t>
            </w:r>
            <w:r w:rsidR="00ED748B">
              <w:t xml:space="preserve">CORRECTING ORDER </w:t>
            </w:r>
            <w:r>
              <w:t>01</w:t>
            </w:r>
          </w:p>
        </w:tc>
      </w:tr>
    </w:tbl>
    <w:p w:rsidR="004D5CCF" w:rsidRDefault="004D5CCF">
      <w:pPr>
        <w:spacing w:line="288" w:lineRule="auto"/>
        <w:jc w:val="center"/>
        <w:rPr>
          <w:b/>
        </w:rPr>
      </w:pPr>
    </w:p>
    <w:p w:rsidR="004A60BF" w:rsidRDefault="004A60BF" w:rsidP="004A60BF">
      <w:pPr>
        <w:numPr>
          <w:ilvl w:val="0"/>
          <w:numId w:val="6"/>
        </w:numPr>
        <w:spacing w:line="288" w:lineRule="auto"/>
        <w:ind w:left="0" w:hanging="720"/>
      </w:pPr>
      <w:r w:rsidRPr="00DD3311">
        <w:rPr>
          <w:iCs/>
        </w:rPr>
        <w:t>On</w:t>
      </w:r>
      <w:r>
        <w:rPr>
          <w:iCs/>
        </w:rPr>
        <w:t xml:space="preserve"> August 20, 2012</w:t>
      </w:r>
      <w:r w:rsidRPr="00DD3311">
        <w:rPr>
          <w:bCs/>
          <w:iCs/>
        </w:rPr>
        <w:t xml:space="preserve">, </w:t>
      </w:r>
      <w:r>
        <w:t>Puget Sound &amp; Pacific Railroad</w:t>
      </w:r>
      <w:r>
        <w:rPr>
          <w:bCs/>
          <w:iCs/>
        </w:rPr>
        <w:t xml:space="preserve"> (</w:t>
      </w:r>
      <w:r>
        <w:t>PSAP</w:t>
      </w:r>
      <w:r>
        <w:rPr>
          <w:bCs/>
          <w:iCs/>
        </w:rPr>
        <w:t xml:space="preserve"> or Petitioner)</w:t>
      </w:r>
      <w:r w:rsidRPr="00DD3311">
        <w:rPr>
          <w:iCs/>
        </w:rPr>
        <w:t xml:space="preserve"> filed with the </w:t>
      </w:r>
      <w:r>
        <w:rPr>
          <w:iCs/>
        </w:rPr>
        <w:t xml:space="preserve">Washington </w:t>
      </w:r>
      <w:r w:rsidRPr="00DD3311">
        <w:rPr>
          <w:iCs/>
        </w:rPr>
        <w:t xml:space="preserve">Utilities and Transportation </w:t>
      </w:r>
      <w:r>
        <w:rPr>
          <w:iCs/>
        </w:rPr>
        <w:t>Commission</w:t>
      </w:r>
      <w:r w:rsidRPr="00DD3311">
        <w:rPr>
          <w:iCs/>
        </w:rPr>
        <w:t xml:space="preserve"> (</w:t>
      </w:r>
      <w:r>
        <w:rPr>
          <w:iCs/>
        </w:rPr>
        <w:t>Commission</w:t>
      </w:r>
      <w:r w:rsidRPr="00DD3311">
        <w:rPr>
          <w:iCs/>
        </w:rPr>
        <w:t xml:space="preserve">), a petition seeking approval to </w:t>
      </w:r>
      <w:r>
        <w:rPr>
          <w:iCs/>
        </w:rPr>
        <w:t xml:space="preserve">modify active warning devices </w:t>
      </w:r>
      <w:r w:rsidRPr="00DD3311">
        <w:rPr>
          <w:iCs/>
        </w:rPr>
        <w:t>at a railroad-highway grade crossing.</w:t>
      </w:r>
      <w:r>
        <w:rPr>
          <w:iCs/>
        </w:rPr>
        <w:t xml:space="preserve">  </w:t>
      </w:r>
    </w:p>
    <w:p w:rsidR="004A60BF" w:rsidRDefault="004A60BF" w:rsidP="004A60BF">
      <w:pPr>
        <w:spacing w:line="288" w:lineRule="auto"/>
        <w:ind w:left="-720"/>
      </w:pPr>
    </w:p>
    <w:p w:rsidR="00BE19EC" w:rsidRDefault="006A3673" w:rsidP="004A60BF">
      <w:pPr>
        <w:numPr>
          <w:ilvl w:val="0"/>
          <w:numId w:val="6"/>
        </w:numPr>
        <w:spacing w:line="288" w:lineRule="auto"/>
        <w:ind w:left="0" w:hanging="720"/>
      </w:pPr>
      <w:r>
        <w:t xml:space="preserve">On August 31, 2012, the Commission </w:t>
      </w:r>
      <w:r w:rsidR="007B3B6F">
        <w:t xml:space="preserve">entered </w:t>
      </w:r>
      <w:r w:rsidR="00BE19EC" w:rsidRPr="002D0739">
        <w:t xml:space="preserve">Order 01 – Order Granting </w:t>
      </w:r>
      <w:r w:rsidR="004A60BF">
        <w:t xml:space="preserve">Petition to Modify Highway-Rail Grade Crossing Active Warning Devices and </w:t>
      </w:r>
      <w:r>
        <w:t xml:space="preserve">Authorizing Expenditure </w:t>
      </w:r>
      <w:proofErr w:type="gramStart"/>
      <w:r>
        <w:t>From</w:t>
      </w:r>
      <w:proofErr w:type="gramEnd"/>
      <w:r>
        <w:t xml:space="preserve"> the </w:t>
      </w:r>
      <w:r w:rsidR="004A60BF">
        <w:t xml:space="preserve">Grade Crossing Protective Fund </w:t>
      </w:r>
      <w:r w:rsidR="00ED748B">
        <w:t>(Order 01)</w:t>
      </w:r>
      <w:r w:rsidR="00BE19EC">
        <w:t xml:space="preserve">.  </w:t>
      </w:r>
    </w:p>
    <w:p w:rsidR="002A04FE" w:rsidRDefault="002A04FE" w:rsidP="002A04FE">
      <w:pPr>
        <w:pStyle w:val="ListParagraph"/>
        <w:ind w:left="0"/>
      </w:pPr>
    </w:p>
    <w:p w:rsidR="00BD0881" w:rsidRDefault="00ED748B" w:rsidP="00BD0881">
      <w:pPr>
        <w:numPr>
          <w:ilvl w:val="0"/>
          <w:numId w:val="6"/>
        </w:numPr>
        <w:spacing w:line="288" w:lineRule="auto"/>
        <w:ind w:left="0" w:hanging="720"/>
      </w:pPr>
      <w:r>
        <w:t>The</w:t>
      </w:r>
      <w:r w:rsidR="00BD0881">
        <w:t xml:space="preserve"> Commission </w:t>
      </w:r>
      <w:r>
        <w:t>has subsequently become aware</w:t>
      </w:r>
      <w:r w:rsidR="00BD0881">
        <w:t xml:space="preserve"> of an error in Order 01.  </w:t>
      </w:r>
      <w:r>
        <w:t>By this order, the Commission</w:t>
      </w:r>
      <w:r w:rsidR="002D0739">
        <w:t xml:space="preserve"> </w:t>
      </w:r>
      <w:r w:rsidR="00BD0881">
        <w:t>corrects th</w:t>
      </w:r>
      <w:r>
        <w:t xml:space="preserve">is </w:t>
      </w:r>
      <w:r w:rsidR="00BD0881">
        <w:t>e</w:t>
      </w:r>
      <w:r>
        <w:t>rror as</w:t>
      </w:r>
      <w:r w:rsidR="00BD0881">
        <w:t xml:space="preserve"> follow</w:t>
      </w:r>
      <w:r>
        <w:t>s</w:t>
      </w:r>
      <w:r w:rsidR="00BD0881">
        <w:t>:</w:t>
      </w:r>
    </w:p>
    <w:p w:rsidR="00BD0881" w:rsidRDefault="00BD0881" w:rsidP="002A04FE">
      <w:pPr>
        <w:pStyle w:val="ListParagraph"/>
        <w:ind w:left="0"/>
      </w:pPr>
    </w:p>
    <w:p w:rsidR="007B2360" w:rsidRDefault="007B2360" w:rsidP="007B2360">
      <w:pPr>
        <w:numPr>
          <w:ilvl w:val="0"/>
          <w:numId w:val="6"/>
        </w:numPr>
        <w:spacing w:line="288" w:lineRule="auto"/>
        <w:ind w:left="0" w:hanging="720"/>
      </w:pPr>
      <w:r>
        <w:t>In paragraph</w:t>
      </w:r>
      <w:r w:rsidR="00BE19EC">
        <w:t xml:space="preserve"> </w:t>
      </w:r>
      <w:r>
        <w:t>1 of Order</w:t>
      </w:r>
      <w:r w:rsidR="006A3673">
        <w:t xml:space="preserve"> 01</w:t>
      </w:r>
      <w:r w:rsidR="00E8565D">
        <w:t>,</w:t>
      </w:r>
      <w:r w:rsidR="00BE19EC">
        <w:t xml:space="preserve"> </w:t>
      </w:r>
      <w:r>
        <w:t xml:space="preserve">the street name Old State Route 101 (Old SR-101) is corrected and should read </w:t>
      </w:r>
      <w:r w:rsidRPr="007B2360">
        <w:rPr>
          <w:b/>
        </w:rPr>
        <w:t>Old Olympic Highway</w:t>
      </w:r>
      <w:r>
        <w:t>.</w:t>
      </w:r>
      <w:r w:rsidR="006A3673">
        <w:t xml:space="preserve"> </w:t>
      </w:r>
      <w:r>
        <w:t xml:space="preserve"> References to Old SR-101 in paragraphs 2, 3, and 11 are corrected and should read </w:t>
      </w:r>
      <w:r w:rsidRPr="007B2360">
        <w:rPr>
          <w:b/>
        </w:rPr>
        <w:t>Old Olympic Highway</w:t>
      </w:r>
      <w:r>
        <w:t xml:space="preserve">.  </w:t>
      </w:r>
    </w:p>
    <w:p w:rsidR="002A04FE" w:rsidRDefault="002A04FE" w:rsidP="002A04FE">
      <w:pPr>
        <w:pStyle w:val="ListParagraph"/>
      </w:pPr>
    </w:p>
    <w:p w:rsidR="004D5CCF" w:rsidRDefault="004D5CCF">
      <w:pPr>
        <w:spacing w:line="288" w:lineRule="auto"/>
        <w:rPr>
          <w:b/>
        </w:rPr>
      </w:pPr>
      <w:r>
        <w:t>DATED at Olym</w:t>
      </w:r>
      <w:r w:rsidR="00834CCB">
        <w:t xml:space="preserve">pia, Washington, and effective </w:t>
      </w:r>
      <w:r w:rsidR="007B2360">
        <w:t>September 1</w:t>
      </w:r>
      <w:r w:rsidR="00862D5A">
        <w:t>1</w:t>
      </w:r>
      <w:bookmarkStart w:id="0" w:name="_GoBack"/>
      <w:bookmarkEnd w:id="0"/>
      <w:r w:rsidR="007B2360">
        <w:t>, 2012</w:t>
      </w:r>
      <w:r>
        <w:t>.</w:t>
      </w:r>
    </w:p>
    <w:p w:rsidR="004D5CCF" w:rsidRDefault="004D5CCF">
      <w:pPr>
        <w:spacing w:line="288" w:lineRule="auto"/>
        <w:rPr>
          <w:b/>
        </w:rPr>
      </w:pPr>
    </w:p>
    <w:p w:rsidR="007B2360" w:rsidRPr="00DD3311" w:rsidRDefault="007B2360" w:rsidP="007B2360">
      <w:pPr>
        <w:spacing w:line="320" w:lineRule="exact"/>
        <w:jc w:val="center"/>
        <w:rPr>
          <w:iCs/>
        </w:rPr>
      </w:pPr>
      <w:r w:rsidRPr="00DD3311">
        <w:rPr>
          <w:iCs/>
        </w:rPr>
        <w:t xml:space="preserve">WASHINGTON UTILITIES AND TRANSPORTATION </w:t>
      </w:r>
      <w:r>
        <w:rPr>
          <w:iCs/>
        </w:rPr>
        <w:t>COMMISSION</w:t>
      </w:r>
    </w:p>
    <w:p w:rsidR="007B2360" w:rsidRPr="00DD3311" w:rsidRDefault="007B2360" w:rsidP="007B2360">
      <w:pPr>
        <w:pStyle w:val="Header"/>
        <w:spacing w:line="320" w:lineRule="exact"/>
        <w:rPr>
          <w:iCs/>
        </w:rPr>
      </w:pPr>
    </w:p>
    <w:p w:rsidR="007B2360" w:rsidRPr="00DD3311" w:rsidRDefault="007B2360" w:rsidP="007B2360">
      <w:pPr>
        <w:spacing w:line="320" w:lineRule="exact"/>
        <w:rPr>
          <w:iCs/>
        </w:rPr>
      </w:pPr>
    </w:p>
    <w:p w:rsidR="007B2360" w:rsidRPr="00DD3311" w:rsidRDefault="007B2360" w:rsidP="007B2360">
      <w:pPr>
        <w:spacing w:line="320" w:lineRule="exact"/>
        <w:rPr>
          <w:iCs/>
        </w:rPr>
      </w:pPr>
    </w:p>
    <w:p w:rsidR="007B2360" w:rsidRPr="00DD3311" w:rsidRDefault="007B2360" w:rsidP="007B2360">
      <w:pPr>
        <w:spacing w:line="320" w:lineRule="exact"/>
        <w:ind w:left="2160"/>
      </w:pPr>
      <w:r>
        <w:t>DAVID W. DANNER, Executive Director and Secretary</w:t>
      </w:r>
    </w:p>
    <w:p w:rsidR="007B2360" w:rsidRPr="00DD3311" w:rsidRDefault="007B2360" w:rsidP="007B2360">
      <w:pPr>
        <w:spacing w:line="320" w:lineRule="exact"/>
        <w:ind w:left="3500"/>
      </w:pPr>
    </w:p>
    <w:p w:rsidR="007B2360" w:rsidRDefault="007B2360" w:rsidP="007B2360">
      <w:pPr>
        <w:spacing w:line="320" w:lineRule="exact"/>
        <w:jc w:val="center"/>
      </w:pPr>
      <w:r>
        <w:t xml:space="preserve"> </w:t>
      </w:r>
    </w:p>
    <w:p w:rsidR="004D5CCF" w:rsidRDefault="004D5CCF" w:rsidP="007B2360">
      <w:pPr>
        <w:spacing w:line="288" w:lineRule="auto"/>
        <w:jc w:val="center"/>
      </w:pPr>
    </w:p>
    <w:sectPr w:rsidR="004D5CCF" w:rsidSect="00003AD4">
      <w:headerReference w:type="default" r:id="rId9"/>
      <w:headerReference w:type="first" r:id="rId10"/>
      <w:pgSz w:w="12240" w:h="15840" w:code="1"/>
      <w:pgMar w:top="720" w:right="1440" w:bottom="634" w:left="216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C9" w:rsidRDefault="008F1EC9">
      <w:r>
        <w:separator/>
      </w:r>
    </w:p>
  </w:endnote>
  <w:endnote w:type="continuationSeparator" w:id="0">
    <w:p w:rsidR="008F1EC9" w:rsidRDefault="008F1EC9">
      <w:r>
        <w:continuationSeparator/>
      </w:r>
    </w:p>
  </w:endnote>
  <w:endnote w:type="continuationNotice" w:id="1">
    <w:p w:rsidR="008F1EC9" w:rsidRDefault="008F1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C9" w:rsidRDefault="008F1EC9">
      <w:r>
        <w:separator/>
      </w:r>
    </w:p>
  </w:footnote>
  <w:footnote w:type="continuationSeparator" w:id="0">
    <w:p w:rsidR="008F1EC9" w:rsidRDefault="008F1EC9">
      <w:r>
        <w:continuationSeparator/>
      </w:r>
    </w:p>
  </w:footnote>
  <w:footnote w:type="continuationNotice" w:id="1">
    <w:p w:rsidR="008F1EC9" w:rsidRDefault="008F1E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BF" w:rsidRDefault="004A60BF">
    <w:pPr>
      <w:pStyle w:val="Header"/>
      <w:rPr>
        <w:rStyle w:val="PageNumber"/>
        <w:b/>
        <w:sz w:val="20"/>
      </w:rPr>
    </w:pPr>
    <w:r>
      <w:rPr>
        <w:b/>
        <w:sz w:val="20"/>
      </w:rPr>
      <w:t>DOCKET UE-111418</w:t>
    </w:r>
    <w:r>
      <w:rPr>
        <w:b/>
        <w:sz w:val="20"/>
      </w:rPr>
      <w:tab/>
    </w:r>
    <w:r>
      <w:rPr>
        <w:b/>
        <w:sz w:val="20"/>
      </w:rPr>
      <w:tab/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7B2360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  <w:p w:rsidR="004A60BF" w:rsidRDefault="004A60BF">
    <w:pPr>
      <w:pStyle w:val="Header"/>
      <w:rPr>
        <w:rStyle w:val="PageNumber"/>
        <w:b/>
        <w:sz w:val="20"/>
      </w:rPr>
    </w:pPr>
    <w:r>
      <w:rPr>
        <w:rStyle w:val="PageNumber"/>
        <w:b/>
        <w:sz w:val="20"/>
      </w:rPr>
      <w:t>ORDER 02</w:t>
    </w:r>
  </w:p>
  <w:p w:rsidR="004A60BF" w:rsidRDefault="004A60BF">
    <w:pPr>
      <w:pStyle w:val="Head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BF" w:rsidRDefault="004A60BF" w:rsidP="002034E5">
    <w:pPr>
      <w:pStyle w:val="Header"/>
      <w:tabs>
        <w:tab w:val="clear" w:pos="4320"/>
      </w:tabs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1308E"/>
    <w:multiLevelType w:val="hybridMultilevel"/>
    <w:tmpl w:val="EB3C0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989"/>
    <w:multiLevelType w:val="hybridMultilevel"/>
    <w:tmpl w:val="E9A84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4615B7"/>
    <w:multiLevelType w:val="hybridMultilevel"/>
    <w:tmpl w:val="8662F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551D0"/>
    <w:multiLevelType w:val="hybridMultilevel"/>
    <w:tmpl w:val="53CE67D0"/>
    <w:lvl w:ilvl="0" w:tplc="28940D3E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6E949AE"/>
    <w:multiLevelType w:val="hybridMultilevel"/>
    <w:tmpl w:val="AF8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A684E"/>
    <w:multiLevelType w:val="hybridMultilevel"/>
    <w:tmpl w:val="B1EC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92F90"/>
    <w:multiLevelType w:val="hybridMultilevel"/>
    <w:tmpl w:val="0AF234BE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1"/>
    <w:rsid w:val="00003AD4"/>
    <w:rsid w:val="00042225"/>
    <w:rsid w:val="00045F4F"/>
    <w:rsid w:val="00047425"/>
    <w:rsid w:val="00071A8A"/>
    <w:rsid w:val="00082EF3"/>
    <w:rsid w:val="000854D8"/>
    <w:rsid w:val="00100D76"/>
    <w:rsid w:val="00105717"/>
    <w:rsid w:val="00113019"/>
    <w:rsid w:val="00116640"/>
    <w:rsid w:val="00145DDC"/>
    <w:rsid w:val="00160086"/>
    <w:rsid w:val="00162129"/>
    <w:rsid w:val="001805C8"/>
    <w:rsid w:val="00190519"/>
    <w:rsid w:val="0019735F"/>
    <w:rsid w:val="001A6258"/>
    <w:rsid w:val="001E0E17"/>
    <w:rsid w:val="002034E5"/>
    <w:rsid w:val="00240F3B"/>
    <w:rsid w:val="00244F33"/>
    <w:rsid w:val="00260268"/>
    <w:rsid w:val="00286D87"/>
    <w:rsid w:val="002A04FE"/>
    <w:rsid w:val="002B6C43"/>
    <w:rsid w:val="002C6C43"/>
    <w:rsid w:val="002D0739"/>
    <w:rsid w:val="002E68C1"/>
    <w:rsid w:val="002F26D4"/>
    <w:rsid w:val="002F5613"/>
    <w:rsid w:val="002F6ABF"/>
    <w:rsid w:val="00307D25"/>
    <w:rsid w:val="00332E22"/>
    <w:rsid w:val="0036238A"/>
    <w:rsid w:val="00364808"/>
    <w:rsid w:val="003677C9"/>
    <w:rsid w:val="00393C89"/>
    <w:rsid w:val="003B29D0"/>
    <w:rsid w:val="003D2FC7"/>
    <w:rsid w:val="003E3638"/>
    <w:rsid w:val="003E38A5"/>
    <w:rsid w:val="003F5D01"/>
    <w:rsid w:val="00402549"/>
    <w:rsid w:val="004053E2"/>
    <w:rsid w:val="00406615"/>
    <w:rsid w:val="00410648"/>
    <w:rsid w:val="00435447"/>
    <w:rsid w:val="00444F73"/>
    <w:rsid w:val="00466A95"/>
    <w:rsid w:val="0048220B"/>
    <w:rsid w:val="00487C7C"/>
    <w:rsid w:val="004A1E7E"/>
    <w:rsid w:val="004A60BF"/>
    <w:rsid w:val="004B3606"/>
    <w:rsid w:val="004C5401"/>
    <w:rsid w:val="004D4EBC"/>
    <w:rsid w:val="004D5CCF"/>
    <w:rsid w:val="004E4C3D"/>
    <w:rsid w:val="004E7747"/>
    <w:rsid w:val="005269EC"/>
    <w:rsid w:val="005275D5"/>
    <w:rsid w:val="0053084E"/>
    <w:rsid w:val="00533377"/>
    <w:rsid w:val="0053560A"/>
    <w:rsid w:val="00541FE8"/>
    <w:rsid w:val="0055601C"/>
    <w:rsid w:val="00573921"/>
    <w:rsid w:val="005A1A97"/>
    <w:rsid w:val="005E43EE"/>
    <w:rsid w:val="005E7491"/>
    <w:rsid w:val="005F3250"/>
    <w:rsid w:val="005F389F"/>
    <w:rsid w:val="006130C0"/>
    <w:rsid w:val="006365C2"/>
    <w:rsid w:val="00641DEB"/>
    <w:rsid w:val="006A3673"/>
    <w:rsid w:val="006B13F7"/>
    <w:rsid w:val="006B70A7"/>
    <w:rsid w:val="006C5583"/>
    <w:rsid w:val="0072767A"/>
    <w:rsid w:val="00737EB5"/>
    <w:rsid w:val="00767175"/>
    <w:rsid w:val="0078420F"/>
    <w:rsid w:val="007A2B22"/>
    <w:rsid w:val="007B08A0"/>
    <w:rsid w:val="007B2360"/>
    <w:rsid w:val="007B3B6F"/>
    <w:rsid w:val="007E0AA3"/>
    <w:rsid w:val="00817737"/>
    <w:rsid w:val="00822F85"/>
    <w:rsid w:val="0082308E"/>
    <w:rsid w:val="00834CCB"/>
    <w:rsid w:val="008542D7"/>
    <w:rsid w:val="00854E89"/>
    <w:rsid w:val="00862BD2"/>
    <w:rsid w:val="00862D5A"/>
    <w:rsid w:val="00882DEE"/>
    <w:rsid w:val="00887820"/>
    <w:rsid w:val="0089422A"/>
    <w:rsid w:val="008B5933"/>
    <w:rsid w:val="008D1A2D"/>
    <w:rsid w:val="008E4CB9"/>
    <w:rsid w:val="008F0C76"/>
    <w:rsid w:val="008F12FC"/>
    <w:rsid w:val="008F1EC9"/>
    <w:rsid w:val="008F56E8"/>
    <w:rsid w:val="0090510B"/>
    <w:rsid w:val="009079D8"/>
    <w:rsid w:val="00912F85"/>
    <w:rsid w:val="00913B07"/>
    <w:rsid w:val="009233D8"/>
    <w:rsid w:val="00934939"/>
    <w:rsid w:val="00941482"/>
    <w:rsid w:val="00941E48"/>
    <w:rsid w:val="009461D7"/>
    <w:rsid w:val="00951816"/>
    <w:rsid w:val="009543E5"/>
    <w:rsid w:val="00962B35"/>
    <w:rsid w:val="00973863"/>
    <w:rsid w:val="0097491D"/>
    <w:rsid w:val="00984519"/>
    <w:rsid w:val="00984957"/>
    <w:rsid w:val="00986FDF"/>
    <w:rsid w:val="009B00CF"/>
    <w:rsid w:val="009D2FB7"/>
    <w:rsid w:val="009D6624"/>
    <w:rsid w:val="009F453F"/>
    <w:rsid w:val="009F4B0F"/>
    <w:rsid w:val="00A165F4"/>
    <w:rsid w:val="00A245D9"/>
    <w:rsid w:val="00A47DA9"/>
    <w:rsid w:val="00A51192"/>
    <w:rsid w:val="00A64CE9"/>
    <w:rsid w:val="00A86E92"/>
    <w:rsid w:val="00A917A0"/>
    <w:rsid w:val="00A97258"/>
    <w:rsid w:val="00AA45CE"/>
    <w:rsid w:val="00AC423D"/>
    <w:rsid w:val="00AE74F9"/>
    <w:rsid w:val="00B37C92"/>
    <w:rsid w:val="00B54D40"/>
    <w:rsid w:val="00B6387F"/>
    <w:rsid w:val="00B95409"/>
    <w:rsid w:val="00BB57A7"/>
    <w:rsid w:val="00BB65D2"/>
    <w:rsid w:val="00BC7339"/>
    <w:rsid w:val="00BD0881"/>
    <w:rsid w:val="00BE16A5"/>
    <w:rsid w:val="00BE19EC"/>
    <w:rsid w:val="00BF7489"/>
    <w:rsid w:val="00C34074"/>
    <w:rsid w:val="00C37416"/>
    <w:rsid w:val="00C47061"/>
    <w:rsid w:val="00C9537F"/>
    <w:rsid w:val="00CA4512"/>
    <w:rsid w:val="00CA4A91"/>
    <w:rsid w:val="00CB2B86"/>
    <w:rsid w:val="00CD23D8"/>
    <w:rsid w:val="00CD34BE"/>
    <w:rsid w:val="00CE6E5D"/>
    <w:rsid w:val="00CF3BC7"/>
    <w:rsid w:val="00CF3EBF"/>
    <w:rsid w:val="00D059B2"/>
    <w:rsid w:val="00D063A4"/>
    <w:rsid w:val="00D32045"/>
    <w:rsid w:val="00D5648F"/>
    <w:rsid w:val="00D61C1F"/>
    <w:rsid w:val="00D74F35"/>
    <w:rsid w:val="00D86F24"/>
    <w:rsid w:val="00D9057E"/>
    <w:rsid w:val="00DA18C1"/>
    <w:rsid w:val="00DC00C1"/>
    <w:rsid w:val="00DC0992"/>
    <w:rsid w:val="00DE6623"/>
    <w:rsid w:val="00DF4779"/>
    <w:rsid w:val="00DF63D9"/>
    <w:rsid w:val="00E113EA"/>
    <w:rsid w:val="00E232B1"/>
    <w:rsid w:val="00E36CBD"/>
    <w:rsid w:val="00E5183E"/>
    <w:rsid w:val="00E535F0"/>
    <w:rsid w:val="00E63937"/>
    <w:rsid w:val="00E65F39"/>
    <w:rsid w:val="00E8565D"/>
    <w:rsid w:val="00E93404"/>
    <w:rsid w:val="00ED748B"/>
    <w:rsid w:val="00EE6C3D"/>
    <w:rsid w:val="00EF1835"/>
    <w:rsid w:val="00EF2EFD"/>
    <w:rsid w:val="00F00BDB"/>
    <w:rsid w:val="00F1503F"/>
    <w:rsid w:val="00F557A8"/>
    <w:rsid w:val="00F71D83"/>
    <w:rsid w:val="00F8279A"/>
    <w:rsid w:val="00F83435"/>
    <w:rsid w:val="00F848D8"/>
    <w:rsid w:val="00F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none"/>
    </w:rPr>
  </w:style>
  <w:style w:type="character" w:styleId="CommentReference">
    <w:name w:val="annotation reference"/>
    <w:uiPriority w:val="99"/>
    <w:semiHidden/>
    <w:unhideWhenUsed/>
    <w:rsid w:val="002B6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6C43"/>
    <w:rPr>
      <w:b/>
      <w:bCs/>
    </w:rPr>
  </w:style>
  <w:style w:type="paragraph" w:styleId="Revision">
    <w:name w:val="Revision"/>
    <w:hidden/>
    <w:uiPriority w:val="99"/>
    <w:semiHidden/>
    <w:rsid w:val="002B6C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4CCB"/>
    <w:pPr>
      <w:ind w:left="720"/>
    </w:pPr>
  </w:style>
  <w:style w:type="paragraph" w:styleId="FootnoteText">
    <w:name w:val="footnote text"/>
    <w:basedOn w:val="Normal"/>
    <w:link w:val="FootnoteTextChar"/>
    <w:unhideWhenUsed/>
    <w:rsid w:val="00D05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9B2"/>
  </w:style>
  <w:style w:type="character" w:styleId="FootnoteReference">
    <w:name w:val="footnote reference"/>
    <w:unhideWhenUsed/>
    <w:rsid w:val="00D059B2"/>
    <w:rPr>
      <w:vertAlign w:val="superscript"/>
    </w:rPr>
  </w:style>
  <w:style w:type="character" w:styleId="LineNumber">
    <w:name w:val="line number"/>
    <w:uiPriority w:val="99"/>
    <w:semiHidden/>
    <w:unhideWhenUsed/>
    <w:rsid w:val="003F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none"/>
    </w:rPr>
  </w:style>
  <w:style w:type="character" w:styleId="CommentReference">
    <w:name w:val="annotation reference"/>
    <w:uiPriority w:val="99"/>
    <w:semiHidden/>
    <w:unhideWhenUsed/>
    <w:rsid w:val="002B6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6C43"/>
    <w:rPr>
      <w:b/>
      <w:bCs/>
    </w:rPr>
  </w:style>
  <w:style w:type="paragraph" w:styleId="Revision">
    <w:name w:val="Revision"/>
    <w:hidden/>
    <w:uiPriority w:val="99"/>
    <w:semiHidden/>
    <w:rsid w:val="002B6C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4CCB"/>
    <w:pPr>
      <w:ind w:left="720"/>
    </w:pPr>
  </w:style>
  <w:style w:type="paragraph" w:styleId="FootnoteText">
    <w:name w:val="footnote text"/>
    <w:basedOn w:val="Normal"/>
    <w:link w:val="FootnoteTextChar"/>
    <w:unhideWhenUsed/>
    <w:rsid w:val="00D05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059B2"/>
  </w:style>
  <w:style w:type="character" w:styleId="FootnoteReference">
    <w:name w:val="footnote reference"/>
    <w:unhideWhenUsed/>
    <w:rsid w:val="00D059B2"/>
    <w:rPr>
      <w:vertAlign w:val="superscript"/>
    </w:rPr>
  </w:style>
  <w:style w:type="character" w:styleId="LineNumber">
    <w:name w:val="line number"/>
    <w:uiPriority w:val="99"/>
    <w:semiHidden/>
    <w:unhideWhenUsed/>
    <w:rsid w:val="003F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CD444331C8854E99B3D2B44577A6FE" ma:contentTypeVersion="139" ma:contentTypeDescription="" ma:contentTypeScope="" ma:versionID="b823423432b4649479355f94c2b62a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2012-08-20T07:00:00+00:00</OpenedDate>
    <Date1 xmlns="dc463f71-b30c-4ab2-9473-d307f9d35888">2012-09-11T07:00:00+00:00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121380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E05D58-04FF-4090-818E-4CD3E68B2ACF}"/>
</file>

<file path=customXml/itemProps2.xml><?xml version="1.0" encoding="utf-8"?>
<ds:datastoreItem xmlns:ds="http://schemas.openxmlformats.org/officeDocument/2006/customXml" ds:itemID="{43DBE31E-0C4B-4219-B628-B746FB1D39EB}"/>
</file>

<file path=customXml/itemProps3.xml><?xml version="1.0" encoding="utf-8"?>
<ds:datastoreItem xmlns:ds="http://schemas.openxmlformats.org/officeDocument/2006/customXml" ds:itemID="{67D14D41-D3C9-4F84-BAC0-9D8FB921B681}"/>
</file>

<file path=customXml/itemProps4.xml><?xml version="1.0" encoding="utf-8"?>
<ds:datastoreItem xmlns:ds="http://schemas.openxmlformats.org/officeDocument/2006/customXml" ds:itemID="{2A31CB6A-04BE-4201-B701-62FE64AB2A90}"/>
</file>

<file path=customXml/itemProps5.xml><?xml version="1.0" encoding="utf-8"?>
<ds:datastoreItem xmlns:ds="http://schemas.openxmlformats.org/officeDocument/2006/customXml" ds:itemID="{7BDA9DC3-F9E9-4C6F-A6B2-529F9051F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2012-09-10T15:08:00Z</dcterms:created>
  <dcterms:modified xsi:type="dcterms:W3CDTF">2012-09-10T15:08:00Z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0x0101006E56B4D1795A2E4DB2F0B01679ED314A003BCD444331C8854E99B3D2B44577A6FE</vt:lpwstr>
  </property>
  <property fmtid="{D5CDD505-2E9C-101B-9397-08002B2CF9AE}" pid="3" name="_docset_NoMedatataSyncRequired">
    <vt:lpwstr>False</vt:lpwstr>
  </property>
</Properties>
</file>