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1E1863" w14:textId="05E14185" w:rsidR="00D82B88" w:rsidRPr="006A10CF" w:rsidRDefault="00D82B88" w:rsidP="00D82B88">
      <w:pPr>
        <w:pStyle w:val="NoSpacing"/>
        <w:spacing w:line="240" w:lineRule="exact"/>
      </w:pPr>
      <w:r w:rsidRPr="00D82B88">
        <w:t xml:space="preserve">September </w:t>
      </w:r>
      <w:r w:rsidR="00690B13">
        <w:t>21</w:t>
      </w:r>
      <w:r w:rsidRPr="00D82B88">
        <w:t>, 2012</w:t>
      </w:r>
    </w:p>
    <w:p w14:paraId="6B9A6208" w14:textId="77777777" w:rsidR="00D82B88" w:rsidRPr="00D82B88" w:rsidRDefault="00D82B88" w:rsidP="00D82B88">
      <w:pPr>
        <w:pStyle w:val="NoSpacing"/>
        <w:spacing w:line="240" w:lineRule="exact"/>
      </w:pPr>
    </w:p>
    <w:p w14:paraId="1CAFC578" w14:textId="77777777" w:rsidR="00D82B88" w:rsidRPr="00D82B88" w:rsidRDefault="00D82B88" w:rsidP="00D82B88">
      <w:pPr>
        <w:pStyle w:val="NoSpacing"/>
        <w:spacing w:line="240" w:lineRule="exact"/>
      </w:pPr>
      <w:r w:rsidRPr="00D82B88">
        <w:t>David Danner</w:t>
      </w:r>
    </w:p>
    <w:p w14:paraId="1E374A1D" w14:textId="77777777" w:rsidR="00D82B88" w:rsidRPr="00D82B88" w:rsidRDefault="00D82B88" w:rsidP="00D82B88">
      <w:pPr>
        <w:pStyle w:val="NoSpacing"/>
        <w:spacing w:line="240" w:lineRule="exact"/>
      </w:pPr>
      <w:r w:rsidRPr="00D82B88">
        <w:t>Executive Director and Executive Secretary</w:t>
      </w:r>
      <w:bookmarkStart w:id="0" w:name="_GoBack"/>
      <w:bookmarkEnd w:id="0"/>
    </w:p>
    <w:p w14:paraId="4A22F2E2" w14:textId="77777777" w:rsidR="00D82B88" w:rsidRPr="00D82B88" w:rsidRDefault="00D82B88" w:rsidP="00D82B88">
      <w:pPr>
        <w:pStyle w:val="NoSpacing"/>
        <w:spacing w:line="240" w:lineRule="exact"/>
      </w:pPr>
      <w:r w:rsidRPr="00D82B88">
        <w:t>Washington Utilities and Transportation Commission</w:t>
      </w:r>
    </w:p>
    <w:p w14:paraId="39CC925B" w14:textId="77777777" w:rsidR="00D82B88" w:rsidRPr="00D82B88" w:rsidRDefault="00D82B88" w:rsidP="00D82B88">
      <w:pPr>
        <w:pStyle w:val="NoSpacing"/>
        <w:spacing w:line="240" w:lineRule="exact"/>
      </w:pPr>
      <w:r w:rsidRPr="00D82B88">
        <w:t>1300 S. Evergreen Park Dr. S.W.</w:t>
      </w:r>
    </w:p>
    <w:p w14:paraId="7817871F" w14:textId="77777777" w:rsidR="00D82B88" w:rsidRPr="00D82B88" w:rsidRDefault="00D82B88" w:rsidP="00D82B88">
      <w:pPr>
        <w:pStyle w:val="NoSpacing"/>
        <w:spacing w:line="240" w:lineRule="exact"/>
      </w:pPr>
      <w:r w:rsidRPr="00D82B88">
        <w:t>PO Box 47250</w:t>
      </w:r>
    </w:p>
    <w:p w14:paraId="39A796D7" w14:textId="77777777" w:rsidR="00D82B88" w:rsidRPr="00D82B88" w:rsidRDefault="00D82B88" w:rsidP="00D82B88">
      <w:pPr>
        <w:pStyle w:val="NoSpacing"/>
        <w:spacing w:line="240" w:lineRule="exact"/>
      </w:pPr>
      <w:r w:rsidRPr="00D82B88">
        <w:t>Olympia, WA 98504-7250</w:t>
      </w:r>
    </w:p>
    <w:p w14:paraId="6D528334" w14:textId="77777777" w:rsidR="00D82B88" w:rsidRPr="00D82B88" w:rsidRDefault="00D82B88" w:rsidP="00D82B88">
      <w:pPr>
        <w:pStyle w:val="NoSpacing"/>
        <w:spacing w:line="240" w:lineRule="exact"/>
      </w:pPr>
    </w:p>
    <w:p w14:paraId="11805E93" w14:textId="77777777" w:rsidR="00D82B88" w:rsidRPr="00D82B88" w:rsidRDefault="00D82B88" w:rsidP="00D82B88">
      <w:pPr>
        <w:pStyle w:val="NoSpacing"/>
        <w:spacing w:line="240" w:lineRule="exact"/>
        <w:jc w:val="center"/>
      </w:pPr>
      <w:r w:rsidRPr="00D82B88">
        <w:t>RE: UG-121119, Avista Corporation Schedule 190 Revisions</w:t>
      </w:r>
    </w:p>
    <w:tbl>
      <w:tblPr>
        <w:tblW w:w="0" w:type="auto"/>
        <w:tblCellSpacing w:w="0" w:type="dxa"/>
        <w:tblCellMar>
          <w:top w:w="40" w:type="dxa"/>
          <w:left w:w="40" w:type="dxa"/>
          <w:bottom w:w="40" w:type="dxa"/>
          <w:right w:w="40" w:type="dxa"/>
        </w:tblCellMar>
        <w:tblLook w:val="04A0" w:firstRow="1" w:lastRow="0" w:firstColumn="1" w:lastColumn="0" w:noHBand="0" w:noVBand="1"/>
      </w:tblPr>
      <w:tblGrid>
        <w:gridCol w:w="86"/>
        <w:gridCol w:w="86"/>
      </w:tblGrid>
      <w:tr w:rsidR="00D82B88" w:rsidRPr="001E095C" w14:paraId="59172C8A" w14:textId="77777777" w:rsidTr="00D82B88">
        <w:trPr>
          <w:tblCellSpacing w:w="0" w:type="dxa"/>
        </w:trPr>
        <w:tc>
          <w:tcPr>
            <w:tcW w:w="0" w:type="auto"/>
            <w:vAlign w:val="center"/>
            <w:hideMark/>
          </w:tcPr>
          <w:p w14:paraId="04B8EA79" w14:textId="77777777" w:rsidR="00D82B88" w:rsidRPr="00D82B88" w:rsidRDefault="00D82B88" w:rsidP="00D82B88">
            <w:pPr>
              <w:pStyle w:val="NoSpacing"/>
              <w:spacing w:line="240" w:lineRule="exact"/>
            </w:pPr>
          </w:p>
        </w:tc>
        <w:tc>
          <w:tcPr>
            <w:tcW w:w="0" w:type="auto"/>
            <w:vAlign w:val="center"/>
            <w:hideMark/>
          </w:tcPr>
          <w:p w14:paraId="4507D8DB" w14:textId="77777777" w:rsidR="00D82B88" w:rsidRPr="00D82B88" w:rsidRDefault="00D82B88" w:rsidP="00D82B88">
            <w:pPr>
              <w:pStyle w:val="NoSpacing"/>
              <w:spacing w:line="240" w:lineRule="exact"/>
            </w:pPr>
          </w:p>
        </w:tc>
      </w:tr>
    </w:tbl>
    <w:p w14:paraId="2504CD6E" w14:textId="77777777" w:rsidR="00D82B88" w:rsidRDefault="00D82B88" w:rsidP="00D82B88">
      <w:pPr>
        <w:pStyle w:val="NoSpacing"/>
        <w:spacing w:line="240" w:lineRule="exact"/>
      </w:pPr>
    </w:p>
    <w:p w14:paraId="76D8CDE0" w14:textId="72D6EC20" w:rsidR="00DC2ADF" w:rsidRDefault="00E922F7" w:rsidP="00D82B88">
      <w:pPr>
        <w:pStyle w:val="NoSpacing"/>
        <w:spacing w:line="240" w:lineRule="exact"/>
      </w:pPr>
      <w:r>
        <w:t>Dear Mr. Danner,</w:t>
      </w:r>
    </w:p>
    <w:p w14:paraId="13ACAD6D" w14:textId="77777777" w:rsidR="00E922F7" w:rsidRDefault="00E922F7" w:rsidP="00D82B88">
      <w:pPr>
        <w:pStyle w:val="NoSpacing"/>
        <w:spacing w:line="240" w:lineRule="exact"/>
      </w:pPr>
    </w:p>
    <w:p w14:paraId="52CA1C9F" w14:textId="77777777" w:rsidR="00D82B88" w:rsidRPr="00D82B88" w:rsidRDefault="00D82B88" w:rsidP="00D82B88">
      <w:pPr>
        <w:pStyle w:val="NoSpacing"/>
        <w:spacing w:line="240" w:lineRule="exact"/>
      </w:pPr>
    </w:p>
    <w:p w14:paraId="2EB8D555" w14:textId="77777777" w:rsidR="00D82B88" w:rsidRPr="00D82B88" w:rsidRDefault="00D82B88" w:rsidP="00D82B88">
      <w:pPr>
        <w:pStyle w:val="NoSpacing"/>
        <w:spacing w:line="240" w:lineRule="exact"/>
      </w:pPr>
      <w:r w:rsidRPr="00D82B88">
        <w:t>The following comments are provided by the NW Energy Coalition (“Coalition”) in response to Avista’s Schedule 190 Revisions filed on June 29, 2012.</w:t>
      </w:r>
    </w:p>
    <w:p w14:paraId="03DCE1FE" w14:textId="77777777" w:rsidR="00D82B88" w:rsidRPr="00D82B88" w:rsidRDefault="00D82B88" w:rsidP="00D82B88">
      <w:pPr>
        <w:pStyle w:val="NoSpacing"/>
        <w:spacing w:line="240" w:lineRule="exact"/>
      </w:pPr>
    </w:p>
    <w:p w14:paraId="4BD68505" w14:textId="0CE3245E" w:rsidR="00D82B88" w:rsidRDefault="00D82B88" w:rsidP="00D82B88">
      <w:pPr>
        <w:pStyle w:val="NoSpacing"/>
        <w:spacing w:line="240" w:lineRule="exact"/>
      </w:pPr>
      <w:r w:rsidRPr="00D82B88">
        <w:t xml:space="preserve">The Coalition appreciates Avista’s efforts to ascertain whether or not modifications to its avoided cost calculations would produce a portfolio that passes the Total Resource Cost (TRC) test.  </w:t>
      </w:r>
      <w:r w:rsidR="0036757C">
        <w:t xml:space="preserve">While we understand that low natural gas prices are negatively affecting </w:t>
      </w:r>
      <w:r w:rsidR="00690B13">
        <w:t>utility</w:t>
      </w:r>
      <w:r w:rsidR="000D6158">
        <w:t xml:space="preserve"> </w:t>
      </w:r>
      <w:r w:rsidR="0036757C">
        <w:t>avoided costs, we believe that an immediate phase out of natural gas conservation programs is shortsighted</w:t>
      </w:r>
      <w:r w:rsidR="006673C4">
        <w:t xml:space="preserve"> and represents an overly extreme course of action</w:t>
      </w:r>
      <w:r w:rsidR="0036757C">
        <w:t xml:space="preserve">.  Energy efficiency remains an important </w:t>
      </w:r>
      <w:r w:rsidR="00DC2ADF">
        <w:t xml:space="preserve">hedging </w:t>
      </w:r>
      <w:r w:rsidR="0036757C">
        <w:t xml:space="preserve">mechanism against gas price volatility and a good investment for </w:t>
      </w:r>
      <w:r w:rsidR="00690B13">
        <w:t xml:space="preserve">Avista </w:t>
      </w:r>
      <w:r w:rsidR="0036757C">
        <w:t xml:space="preserve">and </w:t>
      </w:r>
      <w:r w:rsidR="00690B13">
        <w:t>its</w:t>
      </w:r>
      <w:r w:rsidR="0036757C">
        <w:t xml:space="preserve"> customers.  Avista has a</w:t>
      </w:r>
      <w:r w:rsidR="00CE5A2D">
        <w:t xml:space="preserve"> positive</w:t>
      </w:r>
      <w:r w:rsidR="0036757C">
        <w:t xml:space="preserve"> track record of devising </w:t>
      </w:r>
      <w:r w:rsidR="00CE5A2D">
        <w:t>ways to continue support for low-income programs and similar creativity needs to be applied to their gas conservation portfolio.</w:t>
      </w:r>
    </w:p>
    <w:p w14:paraId="2EDC236D" w14:textId="77777777" w:rsidR="00CE5A2D" w:rsidRDefault="00CE5A2D" w:rsidP="00D82B88">
      <w:pPr>
        <w:pStyle w:val="NoSpacing"/>
        <w:spacing w:line="240" w:lineRule="exact"/>
      </w:pPr>
    </w:p>
    <w:p w14:paraId="1B3AF765" w14:textId="00E99C6C" w:rsidR="00D82B88" w:rsidRPr="00D82B88" w:rsidRDefault="00CE5A2D" w:rsidP="00D82B88">
      <w:pPr>
        <w:pStyle w:val="NoSpacing"/>
        <w:spacing w:line="240" w:lineRule="exact"/>
      </w:pPr>
      <w:r>
        <w:t xml:space="preserve">Because these price pressures are </w:t>
      </w:r>
      <w:r w:rsidR="00C033AA">
        <w:t xml:space="preserve">being felt by all the investor-owned utilities and the Commission is discussing these very issues in its </w:t>
      </w:r>
      <w:r>
        <w:t xml:space="preserve">open </w:t>
      </w:r>
      <w:r w:rsidR="00C033AA">
        <w:t>D</w:t>
      </w:r>
      <w:r>
        <w:t>ocket</w:t>
      </w:r>
      <w:r w:rsidR="005876BE">
        <w:t xml:space="preserve"> </w:t>
      </w:r>
      <w:r w:rsidR="00C033AA">
        <w:t xml:space="preserve">No. </w:t>
      </w:r>
      <w:r w:rsidR="005876BE">
        <w:t>UG 121207</w:t>
      </w:r>
      <w:r>
        <w:t xml:space="preserve">, the Coalition recommends refraining from issuing a decision </w:t>
      </w:r>
      <w:r w:rsidR="00DC2ADF">
        <w:t>on this matter until</w:t>
      </w:r>
      <w:r>
        <w:t xml:space="preserve"> the investigation into na</w:t>
      </w:r>
      <w:r w:rsidR="00DC2ADF">
        <w:t>tural gas conservation programs concludes.</w:t>
      </w:r>
      <w:r>
        <w:t xml:space="preserve">  Avista needs the full benefit of the Commission’s guidance first.  </w:t>
      </w:r>
    </w:p>
    <w:p w14:paraId="40319B0F" w14:textId="77777777" w:rsidR="00D82B88" w:rsidRPr="00D82B88" w:rsidRDefault="00D82B88" w:rsidP="00D82B88">
      <w:pPr>
        <w:pStyle w:val="NoSpacing"/>
        <w:spacing w:line="240" w:lineRule="exact"/>
      </w:pPr>
    </w:p>
    <w:p w14:paraId="4A165F39" w14:textId="77777777" w:rsidR="00D82B88" w:rsidRPr="00D82B88" w:rsidRDefault="00D82B88" w:rsidP="00D82B88">
      <w:pPr>
        <w:pStyle w:val="NoSpacing"/>
        <w:spacing w:line="240" w:lineRule="exact"/>
      </w:pPr>
    </w:p>
    <w:p w14:paraId="574FE034" w14:textId="77777777" w:rsidR="00D82B88" w:rsidRPr="00D82B88" w:rsidRDefault="00D82B88" w:rsidP="00D82B88">
      <w:pPr>
        <w:pStyle w:val="NoSpacing"/>
        <w:spacing w:line="240" w:lineRule="exact"/>
      </w:pPr>
      <w:r w:rsidRPr="00D82B88">
        <w:t>DISCUSSION</w:t>
      </w:r>
    </w:p>
    <w:p w14:paraId="24E1F60E" w14:textId="77777777" w:rsidR="004F6EDB" w:rsidRDefault="004F6EDB" w:rsidP="00374F69">
      <w:pPr>
        <w:pStyle w:val="NoSpacing"/>
        <w:spacing w:line="240" w:lineRule="exact"/>
      </w:pPr>
    </w:p>
    <w:p w14:paraId="3336D2A8" w14:textId="2146490D" w:rsidR="000636DB" w:rsidRDefault="004F6EDB" w:rsidP="00374F69">
      <w:pPr>
        <w:pStyle w:val="NoSpacing"/>
        <w:spacing w:line="240" w:lineRule="exact"/>
      </w:pPr>
      <w:r>
        <w:t>While</w:t>
      </w:r>
      <w:r w:rsidR="00E922F7">
        <w:t xml:space="preserve"> </w:t>
      </w:r>
      <w:r>
        <w:t>natural gas conservation programs may not</w:t>
      </w:r>
      <w:r w:rsidR="00AF3150">
        <w:t xml:space="preserve"> </w:t>
      </w:r>
      <w:r w:rsidR="005D4470">
        <w:t>prove to</w:t>
      </w:r>
      <w:r>
        <w:t xml:space="preserve"> be cost-effective over the short term</w:t>
      </w:r>
      <w:r w:rsidR="00E922F7">
        <w:t xml:space="preserve"> given </w:t>
      </w:r>
      <w:r w:rsidR="005876BE">
        <w:t xml:space="preserve">current </w:t>
      </w:r>
      <w:r w:rsidR="00E922F7">
        <w:t>market conditions</w:t>
      </w:r>
      <w:r>
        <w:t xml:space="preserve">, </w:t>
      </w:r>
      <w:r w:rsidR="005D4470">
        <w:t xml:space="preserve">it is unadvisable to assume that they will remain so over the long term.  Natural gas prices cannot remain as low as they are </w:t>
      </w:r>
      <w:r w:rsidR="00D3643E">
        <w:t xml:space="preserve">because they </w:t>
      </w:r>
      <w:r w:rsidR="00635A1B">
        <w:t xml:space="preserve">do not cover the </w:t>
      </w:r>
      <w:r w:rsidR="00EC447A">
        <w:t xml:space="preserve">current </w:t>
      </w:r>
      <w:r w:rsidR="00635A1B">
        <w:t xml:space="preserve">average cost of exploration and production.  </w:t>
      </w:r>
      <w:r w:rsidR="00EC447A">
        <w:t xml:space="preserve">The lower than normal prices are attributable to an unusually warm winter that reduced demand and </w:t>
      </w:r>
      <w:r w:rsidR="00E922F7">
        <w:t xml:space="preserve">maximized </w:t>
      </w:r>
      <w:r w:rsidR="00EC447A">
        <w:t xml:space="preserve">storage </w:t>
      </w:r>
      <w:r w:rsidR="001B0705">
        <w:t xml:space="preserve">capacity at the same time that </w:t>
      </w:r>
      <w:r w:rsidR="005900B7">
        <w:t>lease terms</w:t>
      </w:r>
      <w:r w:rsidR="001B0705">
        <w:t xml:space="preserve"> created </w:t>
      </w:r>
      <w:r w:rsidR="005900B7">
        <w:t xml:space="preserve">market </w:t>
      </w:r>
      <w:r w:rsidR="001B0705">
        <w:t>pressure to produce more supply.</w:t>
      </w:r>
      <w:r w:rsidR="005900B7">
        <w:rPr>
          <w:rStyle w:val="FootnoteReference"/>
        </w:rPr>
        <w:footnoteReference w:id="2"/>
      </w:r>
      <w:r w:rsidR="001B0705">
        <w:t xml:space="preserve">  </w:t>
      </w:r>
      <w:r w:rsidR="005900B7">
        <w:t xml:space="preserve">Production has already declined in response to these conditions and industry analysts project </w:t>
      </w:r>
      <w:r w:rsidR="00E744C9">
        <w:t xml:space="preserve">that gas prices will rise to somewhere between $5-7 </w:t>
      </w:r>
      <w:proofErr w:type="spellStart"/>
      <w:r w:rsidR="00E744C9">
        <w:t>MMBtu</w:t>
      </w:r>
      <w:proofErr w:type="spellEnd"/>
      <w:r w:rsidR="00E744C9">
        <w:t xml:space="preserve"> over the next 3 to 5 years.</w:t>
      </w:r>
      <w:r w:rsidR="00E744C9">
        <w:rPr>
          <w:rStyle w:val="FootnoteReference"/>
        </w:rPr>
        <w:footnoteReference w:id="3"/>
      </w:r>
      <w:r w:rsidR="000636DB">
        <w:t xml:space="preserve">  </w:t>
      </w:r>
    </w:p>
    <w:p w14:paraId="7A61A7E5" w14:textId="77777777" w:rsidR="000636DB" w:rsidRDefault="000636DB" w:rsidP="00374F69">
      <w:pPr>
        <w:pStyle w:val="NoSpacing"/>
        <w:spacing w:line="240" w:lineRule="exact"/>
      </w:pPr>
    </w:p>
    <w:p w14:paraId="108E2554" w14:textId="0C51FC0C" w:rsidR="00000FFD" w:rsidRDefault="000636DB" w:rsidP="000636DB">
      <w:pPr>
        <w:pStyle w:val="NoSpacing"/>
        <w:spacing w:line="240" w:lineRule="exact"/>
      </w:pPr>
      <w:r>
        <w:t>Cutting conservation programs prematurely would force utili</w:t>
      </w:r>
      <w:r w:rsidR="005D27C0">
        <w:t xml:space="preserve">ties like Avista to incur extra administrative costs associated with ramping down and then restarting programs while placing additional strain on its trade ally network.  </w:t>
      </w:r>
      <w:r w:rsidR="005876BE">
        <w:t>It would also generate</w:t>
      </w:r>
      <w:r w:rsidR="006C6E3D">
        <w:t xml:space="preserve"> confusion for customers as programs are withdrawn and the message to conserv</w:t>
      </w:r>
      <w:r w:rsidR="005876BE">
        <w:t xml:space="preserve">e </w:t>
      </w:r>
      <w:r w:rsidR="006C6E3D">
        <w:t xml:space="preserve">and increase efficiency goes away.  </w:t>
      </w:r>
      <w:r w:rsidR="005876BE">
        <w:t>These actions</w:t>
      </w:r>
      <w:r w:rsidR="005D27C0">
        <w:t xml:space="preserve"> would also undercut one of the </w:t>
      </w:r>
      <w:r w:rsidR="005D27C0">
        <w:lastRenderedPageBreak/>
        <w:t xml:space="preserve">most beneficial aspects of conservation programs, which </w:t>
      </w:r>
      <w:proofErr w:type="gramStart"/>
      <w:r w:rsidR="005D27C0">
        <w:t>is</w:t>
      </w:r>
      <w:proofErr w:type="gramEnd"/>
      <w:r w:rsidR="005D27C0">
        <w:t xml:space="preserve"> providing </w:t>
      </w:r>
      <w:r w:rsidR="00B47485">
        <w:t xml:space="preserve">customers with </w:t>
      </w:r>
      <w:r w:rsidR="005D27C0">
        <w:t>a hedge against gas price volatility.  Natural gas prices have been volat</w:t>
      </w:r>
      <w:r w:rsidR="00E43DEF">
        <w:t>ile and are likely to remain so</w:t>
      </w:r>
      <w:r w:rsidR="005D27C0">
        <w:t xml:space="preserve"> despite the </w:t>
      </w:r>
      <w:r w:rsidR="00E43DEF">
        <w:t>advent of</w:t>
      </w:r>
      <w:r w:rsidR="005D27C0">
        <w:t xml:space="preserve"> hydraulic fracturing.  </w:t>
      </w:r>
      <w:r w:rsidR="00E43DEF">
        <w:t>This is because natural gas is still subject to a number of vulnerabilities, including interruptions from accidents, weather changes, pipeline disruptions, storage constraints and pending environmental regulations.</w:t>
      </w:r>
      <w:r w:rsidR="00E43DEF">
        <w:rPr>
          <w:rStyle w:val="FootnoteReference"/>
        </w:rPr>
        <w:footnoteReference w:id="4"/>
      </w:r>
      <w:r w:rsidR="00E43DEF">
        <w:t xml:space="preserve">  </w:t>
      </w:r>
      <w:r w:rsidR="0067128F">
        <w:t xml:space="preserve">A complex array of price dichotomies </w:t>
      </w:r>
      <w:r w:rsidR="00000FFD">
        <w:t>such as access to</w:t>
      </w:r>
      <w:r w:rsidR="0067128F">
        <w:t xml:space="preserve"> glob</w:t>
      </w:r>
      <w:r w:rsidR="00000FFD">
        <w:t>al markets and alternative fuel prices</w:t>
      </w:r>
      <w:r w:rsidR="0067128F">
        <w:t xml:space="preserve"> further add to the confusion.</w:t>
      </w:r>
      <w:r w:rsidR="0067128F">
        <w:rPr>
          <w:rStyle w:val="FootnoteReference"/>
        </w:rPr>
        <w:footnoteReference w:id="5"/>
      </w:r>
      <w:r w:rsidR="00000FFD">
        <w:t xml:space="preserve">  As the graph below demonstrates, forecasting prices is </w:t>
      </w:r>
      <w:r w:rsidR="002B7EC3">
        <w:t xml:space="preserve">often </w:t>
      </w:r>
      <w:r w:rsidR="00000FFD">
        <w:t>trickier than it looks:</w:t>
      </w:r>
    </w:p>
    <w:p w14:paraId="383AB839" w14:textId="77777777" w:rsidR="00000FFD" w:rsidRDefault="00000FFD" w:rsidP="000636DB">
      <w:pPr>
        <w:pStyle w:val="NoSpacing"/>
        <w:spacing w:line="240" w:lineRule="exact"/>
      </w:pPr>
    </w:p>
    <w:p w14:paraId="64C60EA5" w14:textId="77777777" w:rsidR="00000FFD" w:rsidRDefault="00000FFD" w:rsidP="00000FFD">
      <w:pPr>
        <w:keepNext/>
      </w:pPr>
      <w:r>
        <w:rPr>
          <w:rFonts w:ascii="Times" w:eastAsia="Times New Roman" w:hAnsi="Times"/>
          <w:noProof/>
        </w:rPr>
        <w:drawing>
          <wp:inline distT="0" distB="0" distL="0" distR="0" wp14:anchorId="578837A9" wp14:editId="1FCC34E6">
            <wp:extent cx="5943600" cy="3417570"/>
            <wp:effectExtent l="25400" t="25400" r="25400" b="368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9062012_blog_graph.png"/>
                    <pic:cNvPicPr/>
                  </pic:nvPicPr>
                  <pic:blipFill>
                    <a:blip r:embed="rId9">
                      <a:extLst>
                        <a:ext uri="{28A0092B-C50C-407E-A947-70E740481C1C}">
                          <a14:useLocalDpi xmlns:a14="http://schemas.microsoft.com/office/drawing/2010/main" val="0"/>
                        </a:ext>
                      </a:extLst>
                    </a:blip>
                    <a:stretch>
                      <a:fillRect/>
                    </a:stretch>
                  </pic:blipFill>
                  <pic:spPr>
                    <a:xfrm>
                      <a:off x="0" y="0"/>
                      <a:ext cx="5943600" cy="3417570"/>
                    </a:xfrm>
                    <a:prstGeom prst="rect">
                      <a:avLst/>
                    </a:prstGeom>
                    <a:ln>
                      <a:solidFill>
                        <a:schemeClr val="tx1"/>
                      </a:solidFill>
                    </a:ln>
                  </pic:spPr>
                </pic:pic>
              </a:graphicData>
            </a:graphic>
          </wp:inline>
        </w:drawing>
      </w:r>
    </w:p>
    <w:p w14:paraId="1D2CB77F" w14:textId="77777777" w:rsidR="00000FFD" w:rsidRPr="00B458DA" w:rsidRDefault="00000FFD" w:rsidP="00000FFD">
      <w:pPr>
        <w:pStyle w:val="Caption"/>
        <w:rPr>
          <w:rFonts w:ascii="Times" w:eastAsia="Times New Roman" w:hAnsi="Times"/>
          <w:color w:val="auto"/>
        </w:rPr>
      </w:pPr>
      <w:r w:rsidRPr="00B458DA">
        <w:rPr>
          <w:color w:val="auto"/>
        </w:rPr>
        <w:t xml:space="preserve">Rocky Mountain Institute, </w:t>
      </w:r>
      <w:r w:rsidRPr="00B458DA">
        <w:rPr>
          <w:i/>
          <w:color w:val="auto"/>
        </w:rPr>
        <w:t>RMI Outlet</w:t>
      </w:r>
      <w:r>
        <w:rPr>
          <w:color w:val="auto"/>
        </w:rPr>
        <w:t>, September 6, 2012</w:t>
      </w:r>
    </w:p>
    <w:p w14:paraId="3FBA2FBC" w14:textId="77777777" w:rsidR="00000FFD" w:rsidRDefault="00000FFD" w:rsidP="000636DB">
      <w:pPr>
        <w:pStyle w:val="NoSpacing"/>
        <w:spacing w:line="240" w:lineRule="exact"/>
      </w:pPr>
    </w:p>
    <w:p w14:paraId="66EE100E" w14:textId="794C0066" w:rsidR="00B47485" w:rsidRDefault="002B7EC3" w:rsidP="00B47485">
      <w:pPr>
        <w:pStyle w:val="NoSpacing"/>
        <w:spacing w:line="240" w:lineRule="exact"/>
      </w:pPr>
      <w:r>
        <w:t>In contrast, energy efficiency programs are a lot more stable.  At least 95% of the time, conservation ends up being a better deal</w:t>
      </w:r>
      <w:r w:rsidR="001C187C">
        <w:t xml:space="preserve"> for customers and the utility on a levelized life-cycle basis</w:t>
      </w:r>
      <w:r>
        <w:t>.  This concept was recently illustrated by the Northwest Power</w:t>
      </w:r>
      <w:r w:rsidR="00B47485">
        <w:t xml:space="preserve"> and Conservation Council in a graph contrasting the average cost of utility acquired s</w:t>
      </w:r>
      <w:r w:rsidR="00B47485" w:rsidRPr="00374F69">
        <w:t xml:space="preserve">avings </w:t>
      </w:r>
      <w:r w:rsidR="00B47485">
        <w:t>with wholesale market electricity prices.  While natural gas is not depicted explicitly below, it expresses a similar pattern due to its influence on electric prices:</w:t>
      </w:r>
    </w:p>
    <w:p w14:paraId="2C6BA650" w14:textId="77777777" w:rsidR="00B47485" w:rsidRDefault="00B47485" w:rsidP="00B47485">
      <w:pPr>
        <w:pStyle w:val="NoSpacing"/>
        <w:spacing w:line="240" w:lineRule="exact"/>
      </w:pPr>
    </w:p>
    <w:p w14:paraId="6954F70C" w14:textId="77777777" w:rsidR="00B47485" w:rsidRDefault="00B47485" w:rsidP="00B47485">
      <w:pPr>
        <w:keepNext/>
      </w:pPr>
      <w:r>
        <w:rPr>
          <w:noProof/>
        </w:rPr>
        <w:lastRenderedPageBreak/>
        <w:drawing>
          <wp:inline distT="0" distB="0" distL="0" distR="0" wp14:anchorId="55F0129C" wp14:editId="7606C183">
            <wp:extent cx="5542532" cy="3525973"/>
            <wp:effectExtent l="25400" t="25400" r="20320" b="304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servation.png"/>
                    <pic:cNvPicPr/>
                  </pic:nvPicPr>
                  <pic:blipFill rotWithShape="1">
                    <a:blip r:embed="rId10">
                      <a:extLst>
                        <a:ext uri="{28A0092B-C50C-407E-A947-70E740481C1C}">
                          <a14:useLocalDpi xmlns:a14="http://schemas.microsoft.com/office/drawing/2010/main" val="0"/>
                        </a:ext>
                      </a:extLst>
                    </a:blip>
                    <a:srcRect l="-1190" t="-2211" r="137" b="-3929"/>
                    <a:stretch/>
                  </pic:blipFill>
                  <pic:spPr bwMode="auto">
                    <a:xfrm>
                      <a:off x="0" y="0"/>
                      <a:ext cx="5544134" cy="3526992"/>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7B967414" w14:textId="77777777" w:rsidR="00B47485" w:rsidRPr="00B458DA" w:rsidRDefault="00B47485" w:rsidP="00B47485">
      <w:pPr>
        <w:pStyle w:val="Caption"/>
        <w:rPr>
          <w:color w:val="auto"/>
        </w:rPr>
      </w:pPr>
      <w:r w:rsidRPr="00374F69">
        <w:rPr>
          <w:color w:val="auto"/>
        </w:rPr>
        <w:t xml:space="preserve">NW Power and Conservation Council, </w:t>
      </w:r>
      <w:r w:rsidRPr="00374F69">
        <w:rPr>
          <w:i/>
          <w:color w:val="auto"/>
        </w:rPr>
        <w:t>Progress Towards the 6th Plan's Conservation Goals</w:t>
      </w:r>
      <w:r>
        <w:rPr>
          <w:color w:val="auto"/>
        </w:rPr>
        <w:t>, 2012</w:t>
      </w:r>
    </w:p>
    <w:p w14:paraId="57687F73" w14:textId="77777777" w:rsidR="00B47485" w:rsidRDefault="00B47485" w:rsidP="00B47485">
      <w:pPr>
        <w:pStyle w:val="NoSpacing"/>
        <w:spacing w:line="240" w:lineRule="exact"/>
      </w:pPr>
    </w:p>
    <w:p w14:paraId="0A75DFAE" w14:textId="08CC6AC3" w:rsidR="0052123D" w:rsidRPr="002E6609" w:rsidRDefault="003971F5" w:rsidP="0052123D">
      <w:pPr>
        <w:pStyle w:val="NoSpacing"/>
        <w:spacing w:line="240" w:lineRule="exact"/>
      </w:pPr>
      <w:r>
        <w:t xml:space="preserve">This stability confers critical risk hedging benefits for both utilities and their customers.  </w:t>
      </w:r>
      <w:r w:rsidR="0052123D">
        <w:t>Conservation programs also incur less financial risk than supply-side resources because they typically do not require utilities to raise capital.  One possible way to better reflect these benefits within the guise of the TRC would be to lower the discount rate being applied.  The Coalition supports the use of a low-risk, long-term customer/societal cost discount rate when evaluating the costs of conservation.</w:t>
      </w:r>
    </w:p>
    <w:p w14:paraId="0F8375ED" w14:textId="56AA8646" w:rsidR="002B7EC3" w:rsidRDefault="002B7EC3" w:rsidP="00000FFD">
      <w:pPr>
        <w:pStyle w:val="NoSpacing"/>
        <w:spacing w:line="240" w:lineRule="exact"/>
      </w:pPr>
    </w:p>
    <w:p w14:paraId="2A51B21C" w14:textId="1DA50BE9" w:rsidR="002B7EC3" w:rsidRDefault="0052123D" w:rsidP="00000FFD">
      <w:pPr>
        <w:pStyle w:val="NoSpacing"/>
        <w:spacing w:line="240" w:lineRule="exact"/>
      </w:pPr>
      <w:r>
        <w:t xml:space="preserve">Avista </w:t>
      </w:r>
      <w:r w:rsidR="00040F1D">
        <w:t xml:space="preserve">might also wish to consider applying </w:t>
      </w:r>
      <w:r w:rsidR="00E922F7">
        <w:t xml:space="preserve">to its gas program TRC </w:t>
      </w:r>
      <w:r w:rsidR="00040F1D">
        <w:t>the 10% conservation adder that is recommended by the Northwest Power and Conservation Council.  While the Coalition appreciates Avista’s consideration of carbon cost adders, distribution capacity cost values, and different applications for net-to-gross</w:t>
      </w:r>
      <w:r w:rsidR="00114A42">
        <w:t>-ratios and realization rates, there are still other</w:t>
      </w:r>
      <w:r w:rsidR="00040F1D">
        <w:t xml:space="preserve"> factors worth investigating.  </w:t>
      </w:r>
      <w:r w:rsidR="00114A42">
        <w:t>In addition to the issues mentioned above, a</w:t>
      </w:r>
      <w:r w:rsidR="00040F1D">
        <w:t xml:space="preserve"> robust cost-benefit analysis should </w:t>
      </w:r>
      <w:r w:rsidR="00114A42">
        <w:t>also address the following components:</w:t>
      </w:r>
    </w:p>
    <w:p w14:paraId="205EAD01" w14:textId="77777777" w:rsidR="00114A42" w:rsidRDefault="00114A42" w:rsidP="00000FFD">
      <w:pPr>
        <w:pStyle w:val="NoSpacing"/>
        <w:spacing w:line="240" w:lineRule="exact"/>
      </w:pPr>
    </w:p>
    <w:p w14:paraId="35B082E2" w14:textId="610C11B8" w:rsidR="00114A42" w:rsidRPr="005557E1" w:rsidRDefault="00114A42" w:rsidP="00114A42">
      <w:pPr>
        <w:pStyle w:val="NoSpacing"/>
        <w:spacing w:line="240" w:lineRule="exact"/>
        <w:ind w:firstLine="360"/>
        <w:rPr>
          <w:b/>
          <w:i/>
        </w:rPr>
      </w:pPr>
      <w:r w:rsidRPr="005557E1">
        <w:rPr>
          <w:b/>
        </w:rPr>
        <w:t>Utility costs and benefits</w:t>
      </w:r>
    </w:p>
    <w:p w14:paraId="3EC194CB" w14:textId="77777777" w:rsidR="00114A42" w:rsidRDefault="00114A42" w:rsidP="00114A42">
      <w:pPr>
        <w:pStyle w:val="NoSpacing"/>
        <w:numPr>
          <w:ilvl w:val="0"/>
          <w:numId w:val="1"/>
        </w:numPr>
        <w:spacing w:line="240" w:lineRule="exact"/>
      </w:pPr>
      <w:r w:rsidRPr="00114A42">
        <w:t>Peak demand reduction</w:t>
      </w:r>
    </w:p>
    <w:p w14:paraId="45C4CE6A" w14:textId="77777777" w:rsidR="00114A42" w:rsidRDefault="00114A42" w:rsidP="00114A42">
      <w:pPr>
        <w:pStyle w:val="NoSpacing"/>
        <w:numPr>
          <w:ilvl w:val="0"/>
          <w:numId w:val="1"/>
        </w:numPr>
        <w:spacing w:line="240" w:lineRule="exact"/>
      </w:pPr>
      <w:r>
        <w:t>Reduced customer arrearages</w:t>
      </w:r>
    </w:p>
    <w:p w14:paraId="72908517" w14:textId="77777777" w:rsidR="00114A42" w:rsidRDefault="00114A42" w:rsidP="00114A42">
      <w:pPr>
        <w:pStyle w:val="NoSpacing"/>
        <w:numPr>
          <w:ilvl w:val="0"/>
          <w:numId w:val="1"/>
        </w:numPr>
        <w:spacing w:line="240" w:lineRule="exact"/>
      </w:pPr>
      <w:r>
        <w:t>Reduced bad-debt write-offs</w:t>
      </w:r>
    </w:p>
    <w:p w14:paraId="115C8493" w14:textId="77777777" w:rsidR="00114A42" w:rsidRDefault="00114A42" w:rsidP="00114A42">
      <w:pPr>
        <w:pStyle w:val="NoSpacing"/>
        <w:numPr>
          <w:ilvl w:val="0"/>
          <w:numId w:val="1"/>
        </w:numPr>
        <w:spacing w:line="240" w:lineRule="exact"/>
      </w:pPr>
      <w:r>
        <w:t>Improved customer service</w:t>
      </w:r>
    </w:p>
    <w:p w14:paraId="0A2677EA" w14:textId="77777777" w:rsidR="00114A42" w:rsidRDefault="00114A42" w:rsidP="00114A42">
      <w:pPr>
        <w:pStyle w:val="NoSpacing"/>
        <w:spacing w:line="240" w:lineRule="exact"/>
        <w:ind w:left="360"/>
      </w:pPr>
    </w:p>
    <w:p w14:paraId="00D2F632" w14:textId="383B99C2" w:rsidR="00114A42" w:rsidRPr="005557E1" w:rsidRDefault="00114A42" w:rsidP="00114A42">
      <w:pPr>
        <w:pStyle w:val="NoSpacing"/>
        <w:spacing w:line="240" w:lineRule="exact"/>
        <w:ind w:left="360"/>
        <w:rPr>
          <w:b/>
        </w:rPr>
      </w:pPr>
      <w:r w:rsidRPr="005557E1">
        <w:rPr>
          <w:b/>
        </w:rPr>
        <w:t>Customer benefits</w:t>
      </w:r>
    </w:p>
    <w:p w14:paraId="37029FBB" w14:textId="77777777" w:rsidR="00114A42" w:rsidRDefault="00114A42" w:rsidP="00114A42">
      <w:pPr>
        <w:pStyle w:val="NoSpacing"/>
        <w:numPr>
          <w:ilvl w:val="0"/>
          <w:numId w:val="1"/>
        </w:numPr>
        <w:spacing w:line="240" w:lineRule="exact"/>
      </w:pPr>
      <w:r>
        <w:t>Lower bills</w:t>
      </w:r>
    </w:p>
    <w:p w14:paraId="4CFD9571" w14:textId="77777777" w:rsidR="00114A42" w:rsidRDefault="00114A42" w:rsidP="00114A42">
      <w:pPr>
        <w:pStyle w:val="NoSpacing"/>
        <w:numPr>
          <w:ilvl w:val="0"/>
          <w:numId w:val="1"/>
        </w:numPr>
        <w:spacing w:line="240" w:lineRule="exact"/>
      </w:pPr>
      <w:r>
        <w:t>Co-benefits in reduced water, fuel oil, etc. usage</w:t>
      </w:r>
    </w:p>
    <w:p w14:paraId="57F8F0FB" w14:textId="77777777" w:rsidR="00114A42" w:rsidRDefault="00114A42" w:rsidP="00114A42">
      <w:pPr>
        <w:pStyle w:val="NoSpacing"/>
        <w:numPr>
          <w:ilvl w:val="0"/>
          <w:numId w:val="1"/>
        </w:numPr>
        <w:spacing w:line="240" w:lineRule="exact"/>
      </w:pPr>
      <w:r>
        <w:t xml:space="preserve">Increased productivity </w:t>
      </w:r>
    </w:p>
    <w:p w14:paraId="669C5AF1" w14:textId="77777777" w:rsidR="00114A42" w:rsidRDefault="00114A42" w:rsidP="00114A42">
      <w:pPr>
        <w:pStyle w:val="NoSpacing"/>
        <w:numPr>
          <w:ilvl w:val="0"/>
          <w:numId w:val="1"/>
        </w:numPr>
        <w:spacing w:line="240" w:lineRule="exact"/>
      </w:pPr>
      <w:r>
        <w:t>Increased safety and comfort</w:t>
      </w:r>
    </w:p>
    <w:p w14:paraId="667C0B33" w14:textId="1759BA8D" w:rsidR="00114A42" w:rsidRDefault="00114A42" w:rsidP="00114A42">
      <w:pPr>
        <w:pStyle w:val="NoSpacing"/>
        <w:numPr>
          <w:ilvl w:val="0"/>
          <w:numId w:val="1"/>
        </w:numPr>
        <w:spacing w:line="240" w:lineRule="exact"/>
      </w:pPr>
      <w:r>
        <w:t>Reduced rate volatility resulting from Purchase Gas Agreement adjustments</w:t>
      </w:r>
    </w:p>
    <w:p w14:paraId="5F71B667" w14:textId="77777777" w:rsidR="00114A42" w:rsidRDefault="00114A42" w:rsidP="00000FFD">
      <w:pPr>
        <w:pStyle w:val="NoSpacing"/>
        <w:spacing w:line="240" w:lineRule="exact"/>
      </w:pPr>
    </w:p>
    <w:p w14:paraId="4CEAC835" w14:textId="27848B73" w:rsidR="009676DF" w:rsidRPr="009676DF" w:rsidRDefault="009676DF" w:rsidP="009676DF">
      <w:pPr>
        <w:pStyle w:val="NoSpacing"/>
        <w:spacing w:line="240" w:lineRule="exact"/>
      </w:pPr>
      <w:r>
        <w:lastRenderedPageBreak/>
        <w:t xml:space="preserve">In its cover letter for this filing, Avista mentioned that it intends to propose an increase in fuel switching incentives in a future filing since lower natural gas avoided costs make the direct use of natural gas more cost effective.  </w:t>
      </w:r>
      <w:r w:rsidR="00D71FAB">
        <w:t>The Coalition agrees that f</w:t>
      </w:r>
      <w:r w:rsidR="00D71FAB" w:rsidRPr="009676DF">
        <w:t xml:space="preserve">uel </w:t>
      </w:r>
      <w:r w:rsidRPr="009676DF">
        <w:t>switching to high efficiency gas equipment is always an important program to offer as it reduces electric loads, provides efficient direct use of a fuel and supports investment in high efficiency equipment.  That said</w:t>
      </w:r>
      <w:proofErr w:type="gramStart"/>
      <w:r w:rsidRPr="009676DF">
        <w:t>,</w:t>
      </w:r>
      <w:proofErr w:type="gramEnd"/>
      <w:r w:rsidRPr="009676DF">
        <w:t xml:space="preserve"> it is not appropriate to push for increased use of natural gas without energy efficiency programs to ensure that customers have opportunities to lower their bills over the long-term.</w:t>
      </w:r>
    </w:p>
    <w:p w14:paraId="4A997DDF" w14:textId="77777777" w:rsidR="005557E1" w:rsidRDefault="005557E1" w:rsidP="00000FFD">
      <w:pPr>
        <w:pStyle w:val="NoSpacing"/>
        <w:spacing w:line="240" w:lineRule="exact"/>
      </w:pPr>
    </w:p>
    <w:p w14:paraId="5C8CD5C7" w14:textId="401E99F1" w:rsidR="00D82B88" w:rsidRPr="00252221" w:rsidRDefault="00D82B88" w:rsidP="00252221">
      <w:pPr>
        <w:pStyle w:val="NoSpacing"/>
        <w:spacing w:line="240" w:lineRule="exact"/>
      </w:pPr>
    </w:p>
    <w:p w14:paraId="21F22D6E" w14:textId="77777777" w:rsidR="00D82B88" w:rsidRPr="00D82B88" w:rsidRDefault="00D82B88" w:rsidP="00D82B88">
      <w:pPr>
        <w:pStyle w:val="NoSpacing"/>
        <w:spacing w:line="240" w:lineRule="exact"/>
      </w:pPr>
      <w:r w:rsidRPr="00D82B88">
        <w:t>CONCLUSION</w:t>
      </w:r>
    </w:p>
    <w:p w14:paraId="62C58B48" w14:textId="77777777" w:rsidR="00D82B88" w:rsidRPr="00D82B88" w:rsidRDefault="00D82B88" w:rsidP="00D82B88">
      <w:pPr>
        <w:pStyle w:val="NoSpacing"/>
        <w:spacing w:line="240" w:lineRule="exact"/>
      </w:pPr>
    </w:p>
    <w:p w14:paraId="7BC66C5E" w14:textId="0A01D380" w:rsidR="004736D2" w:rsidRDefault="004736D2" w:rsidP="00D82B88">
      <w:pPr>
        <w:pStyle w:val="NoSpacing"/>
        <w:spacing w:line="240" w:lineRule="exact"/>
      </w:pPr>
      <w:r>
        <w:t xml:space="preserve">Despite recent low gas prices, energy </w:t>
      </w:r>
      <w:r w:rsidR="00BB090B">
        <w:t xml:space="preserve">savings </w:t>
      </w:r>
      <w:r w:rsidR="00D70E60">
        <w:t>remains a valuable</w:t>
      </w:r>
      <w:r w:rsidR="0084611D">
        <w:t xml:space="preserve"> long-term resource</w:t>
      </w:r>
      <w:r>
        <w:t xml:space="preserve">.  It would be </w:t>
      </w:r>
      <w:r w:rsidR="00B02647">
        <w:t>counterproductive</w:t>
      </w:r>
      <w:r>
        <w:t xml:space="preserve"> to prematurely ramp down all gas conservation programs based on short-term prices that are likely unsustainable.  </w:t>
      </w:r>
      <w:r w:rsidR="00D70E60">
        <w:t xml:space="preserve">In recognition of these conditions, both Oregon and British Columbia have taken steps to ensure the viability of their natural gas programs.  The </w:t>
      </w:r>
      <w:r>
        <w:t>Energy Trust of Oregon</w:t>
      </w:r>
      <w:r w:rsidR="00D70E60">
        <w:t xml:space="preserve"> has proposed a </w:t>
      </w:r>
      <w:r>
        <w:t>2-year waiver</w:t>
      </w:r>
      <w:r>
        <w:rPr>
          <w:rStyle w:val="FootnoteReference"/>
        </w:rPr>
        <w:footnoteReference w:id="6"/>
      </w:r>
      <w:r w:rsidR="00D70E60">
        <w:t xml:space="preserve"> </w:t>
      </w:r>
      <w:r w:rsidR="00BB090B">
        <w:t xml:space="preserve">from the TRC </w:t>
      </w:r>
      <w:r w:rsidR="00D70E60">
        <w:t>and British Columbia has instituted a</w:t>
      </w:r>
      <w:r>
        <w:t xml:space="preserve"> Modified TRC</w:t>
      </w:r>
      <w:r>
        <w:rPr>
          <w:rStyle w:val="FootnoteReference"/>
        </w:rPr>
        <w:footnoteReference w:id="7"/>
      </w:r>
      <w:r w:rsidR="00D70E60">
        <w:t xml:space="preserve">.  Because the UTC has opened a separate docket to investigate its own approach to these issues, the Coalition feels that the Commission should refrain from approving Avista’s Schedule 190 revisions </w:t>
      </w:r>
      <w:r w:rsidR="00E34142">
        <w:t>until the investigation into natural gas programs concludes.</w:t>
      </w:r>
    </w:p>
    <w:p w14:paraId="06383A74" w14:textId="77777777" w:rsidR="004736D2" w:rsidRPr="00D82B88" w:rsidRDefault="004736D2" w:rsidP="00D82B88">
      <w:pPr>
        <w:pStyle w:val="NoSpacing"/>
        <w:spacing w:line="240" w:lineRule="exact"/>
      </w:pPr>
    </w:p>
    <w:p w14:paraId="12AB14A9" w14:textId="14CD4B12" w:rsidR="00D82B88" w:rsidRDefault="00E922F7" w:rsidP="00D82B88">
      <w:pPr>
        <w:pStyle w:val="NoSpacing"/>
        <w:spacing w:line="240" w:lineRule="exact"/>
      </w:pPr>
      <w:r>
        <w:t xml:space="preserve">Thank you for the opportunity to file these comments.  The </w:t>
      </w:r>
      <w:r w:rsidR="00D82B88" w:rsidRPr="00D82B88">
        <w:t>Coalition will attend the Open Meeting on September 27 and wil</w:t>
      </w:r>
      <w:r w:rsidR="004736D2">
        <w:t xml:space="preserve">l be available for questions.  </w:t>
      </w:r>
      <w:r w:rsidR="00252221">
        <w:t xml:space="preserve">Any questions regarding this submission should be directed to Lynne Dial, 206-621-0094 or </w:t>
      </w:r>
      <w:hyperlink r:id="rId11" w:history="1">
        <w:r w:rsidRPr="00A13675">
          <w:rPr>
            <w:rStyle w:val="Hyperlink"/>
          </w:rPr>
          <w:t>lynne@nwenergy.org</w:t>
        </w:r>
      </w:hyperlink>
      <w:r w:rsidR="00252221">
        <w:t>.</w:t>
      </w:r>
    </w:p>
    <w:p w14:paraId="5B555E61" w14:textId="77777777" w:rsidR="00E922F7" w:rsidRDefault="00E922F7" w:rsidP="00D82B88">
      <w:pPr>
        <w:pStyle w:val="NoSpacing"/>
        <w:spacing w:line="240" w:lineRule="exact"/>
      </w:pPr>
    </w:p>
    <w:p w14:paraId="0D300BB1" w14:textId="2AC762A3" w:rsidR="00D71FAB" w:rsidRDefault="00D71FAB" w:rsidP="00D82B88">
      <w:pPr>
        <w:pStyle w:val="NoSpacing"/>
        <w:spacing w:line="240" w:lineRule="exact"/>
      </w:pPr>
    </w:p>
    <w:p w14:paraId="49865F51" w14:textId="1D84EDFD" w:rsidR="00E922F7" w:rsidRDefault="00E922F7" w:rsidP="00D82B88">
      <w:pPr>
        <w:pStyle w:val="NoSpacing"/>
        <w:spacing w:line="240" w:lineRule="exact"/>
      </w:pPr>
      <w:r>
        <w:t>Sincerely,</w:t>
      </w:r>
    </w:p>
    <w:p w14:paraId="5E1D1B16" w14:textId="57F608A0" w:rsidR="00E922F7" w:rsidRDefault="00D71FAB" w:rsidP="00D82B88">
      <w:pPr>
        <w:pStyle w:val="NoSpacing"/>
        <w:spacing w:line="240" w:lineRule="exact"/>
      </w:pPr>
      <w:r>
        <w:rPr>
          <w:noProof/>
        </w:rPr>
        <w:drawing>
          <wp:anchor distT="0" distB="0" distL="114300" distR="114300" simplePos="0" relativeHeight="251658240" behindDoc="0" locked="0" layoutInCell="1" allowOverlap="1" wp14:anchorId="02083CD4" wp14:editId="48EBEA36">
            <wp:simplePos x="0" y="0"/>
            <wp:positionH relativeFrom="column">
              <wp:posOffset>-33020</wp:posOffset>
            </wp:positionH>
            <wp:positionV relativeFrom="paragraph">
              <wp:posOffset>6985</wp:posOffset>
            </wp:positionV>
            <wp:extent cx="833120" cy="450215"/>
            <wp:effectExtent l="0" t="0" r="508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png"/>
                    <pic:cNvPicPr/>
                  </pic:nvPicPr>
                  <pic:blipFill>
                    <a:blip r:embed="rId12">
                      <a:extLst>
                        <a:ext uri="{28A0092B-C50C-407E-A947-70E740481C1C}">
                          <a14:useLocalDpi xmlns:a14="http://schemas.microsoft.com/office/drawing/2010/main" val="0"/>
                        </a:ext>
                      </a:extLst>
                    </a:blip>
                    <a:stretch>
                      <a:fillRect/>
                    </a:stretch>
                  </pic:blipFill>
                  <pic:spPr>
                    <a:xfrm>
                      <a:off x="0" y="0"/>
                      <a:ext cx="833120" cy="450215"/>
                    </a:xfrm>
                    <a:prstGeom prst="rect">
                      <a:avLst/>
                    </a:prstGeom>
                  </pic:spPr>
                </pic:pic>
              </a:graphicData>
            </a:graphic>
            <wp14:sizeRelH relativeFrom="page">
              <wp14:pctWidth>0</wp14:pctWidth>
            </wp14:sizeRelH>
            <wp14:sizeRelV relativeFrom="page">
              <wp14:pctHeight>0</wp14:pctHeight>
            </wp14:sizeRelV>
          </wp:anchor>
        </w:drawing>
      </w:r>
    </w:p>
    <w:p w14:paraId="031B9A70" w14:textId="77777777" w:rsidR="00D71FAB" w:rsidRDefault="00D71FAB" w:rsidP="00D82B88">
      <w:pPr>
        <w:pStyle w:val="NoSpacing"/>
        <w:spacing w:line="240" w:lineRule="exact"/>
      </w:pPr>
    </w:p>
    <w:p w14:paraId="5500725C" w14:textId="77777777" w:rsidR="00D71FAB" w:rsidRDefault="00D71FAB" w:rsidP="00D82B88">
      <w:pPr>
        <w:pStyle w:val="NoSpacing"/>
        <w:spacing w:line="240" w:lineRule="exact"/>
      </w:pPr>
    </w:p>
    <w:p w14:paraId="793F9828" w14:textId="4E0C9CF2" w:rsidR="00E922F7" w:rsidRDefault="00E922F7" w:rsidP="00D82B88">
      <w:pPr>
        <w:pStyle w:val="NoSpacing"/>
        <w:spacing w:line="240" w:lineRule="exact"/>
      </w:pPr>
      <w:r>
        <w:t>Lynne Dial</w:t>
      </w:r>
    </w:p>
    <w:p w14:paraId="17BD23A1" w14:textId="43924991" w:rsidR="00E922F7" w:rsidRDefault="00E922F7" w:rsidP="00D82B88">
      <w:pPr>
        <w:pStyle w:val="NoSpacing"/>
        <w:spacing w:line="240" w:lineRule="exact"/>
      </w:pPr>
      <w:r>
        <w:t>Policy Associate</w:t>
      </w:r>
    </w:p>
    <w:p w14:paraId="54EDD85D" w14:textId="77777777" w:rsidR="00E922F7" w:rsidRPr="00D82B88" w:rsidRDefault="00E922F7" w:rsidP="00D82B88">
      <w:pPr>
        <w:pStyle w:val="NoSpacing"/>
        <w:spacing w:line="240" w:lineRule="exact"/>
      </w:pPr>
    </w:p>
    <w:p w14:paraId="2E02CEF2" w14:textId="77777777" w:rsidR="00D82B88" w:rsidRDefault="00D82B88" w:rsidP="00A469D0">
      <w:pPr>
        <w:pStyle w:val="NoSpacing"/>
        <w:spacing w:line="240" w:lineRule="exact"/>
      </w:pPr>
    </w:p>
    <w:p w14:paraId="3CC9D5DB" w14:textId="77777777" w:rsidR="00D82B88" w:rsidRDefault="00D82B88" w:rsidP="00A469D0">
      <w:pPr>
        <w:pStyle w:val="NoSpacing"/>
        <w:spacing w:line="240" w:lineRule="exact"/>
      </w:pPr>
    </w:p>
    <w:p w14:paraId="765EFBD0" w14:textId="77777777" w:rsidR="00DC2ADF" w:rsidRDefault="00DC2ADF" w:rsidP="00A469D0">
      <w:pPr>
        <w:pStyle w:val="NoSpacing"/>
        <w:spacing w:line="240" w:lineRule="exact"/>
      </w:pPr>
    </w:p>
    <w:p w14:paraId="790899CE" w14:textId="77777777" w:rsidR="00E804C1" w:rsidRDefault="00E804C1" w:rsidP="00A469D0">
      <w:pPr>
        <w:pStyle w:val="NoSpacing"/>
        <w:spacing w:line="240" w:lineRule="exact"/>
      </w:pPr>
    </w:p>
    <w:p w14:paraId="7EBE7397" w14:textId="39612CA9" w:rsidR="00161FF6" w:rsidRDefault="00161FF6" w:rsidP="00A469D0">
      <w:pPr>
        <w:pStyle w:val="NoSpacing"/>
        <w:spacing w:line="240" w:lineRule="exact"/>
      </w:pPr>
    </w:p>
    <w:sectPr w:rsidR="00161FF6" w:rsidSect="00747C67">
      <w:footerReference w:type="even"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554CED" w14:textId="77777777" w:rsidR="00C93D65" w:rsidRDefault="00C93D65" w:rsidP="009A3135">
      <w:pPr>
        <w:spacing w:after="0" w:line="240" w:lineRule="auto"/>
      </w:pPr>
      <w:r>
        <w:separator/>
      </w:r>
    </w:p>
  </w:endnote>
  <w:endnote w:type="continuationSeparator" w:id="0">
    <w:p w14:paraId="01DCC000" w14:textId="77777777" w:rsidR="00C93D65" w:rsidRDefault="00C93D65" w:rsidP="009A3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E0209D" w14:textId="77777777" w:rsidR="00C93D65" w:rsidRDefault="00C93D65" w:rsidP="00BB39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21F5E7" w14:textId="49A12DFE" w:rsidR="00C93D65" w:rsidRDefault="00C93D65" w:rsidP="00A7190F">
    <w:pPr>
      <w:pStyle w:val="Footer"/>
      <w:ind w:right="360"/>
    </w:pPr>
    <w:sdt>
      <w:sdtPr>
        <w:id w:val="969400743"/>
        <w:placeholder>
          <w:docPart w:val="3838195FA3BE8C42818B5DB221FCC205"/>
        </w:placeholder>
        <w:temporary/>
        <w:showingPlcHdr/>
      </w:sdtPr>
      <w:sdtContent>
        <w:r>
          <w:t>[Type text]</w:t>
        </w:r>
      </w:sdtContent>
    </w:sdt>
    <w:r>
      <w:ptab w:relativeTo="margin" w:alignment="center" w:leader="none"/>
    </w:r>
    <w:sdt>
      <w:sdtPr>
        <w:id w:val="969400748"/>
        <w:placeholder>
          <w:docPart w:val="B24F1B9AACDEAE4D963F6A3EA0E14D66"/>
        </w:placeholder>
        <w:temporary/>
        <w:showingPlcHdr/>
      </w:sdtPr>
      <w:sdtContent>
        <w:r>
          <w:t>[Type text]</w:t>
        </w:r>
      </w:sdtContent>
    </w:sdt>
    <w:r>
      <w:ptab w:relativeTo="margin" w:alignment="right" w:leader="none"/>
    </w:r>
    <w:sdt>
      <w:sdtPr>
        <w:id w:val="969400753"/>
        <w:placeholder>
          <w:docPart w:val="D88CDC1DDB6DE9489DAEC4E6DFD0ED4C"/>
        </w:placeholder>
        <w:temporary/>
        <w:showingPlcHdr/>
      </w:sdtPr>
      <w:sdtContent>
        <w:r>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4FFF3A" w14:textId="77777777" w:rsidR="00C93D65" w:rsidRPr="009E1A48" w:rsidRDefault="00C93D65" w:rsidP="00BB39B4">
    <w:pPr>
      <w:pStyle w:val="Footer"/>
      <w:framePr w:wrap="around" w:vAnchor="text" w:hAnchor="margin" w:xAlign="right" w:y="1"/>
      <w:rPr>
        <w:rStyle w:val="PageNumber"/>
      </w:rPr>
    </w:pPr>
    <w:r w:rsidRPr="009E1A48">
      <w:rPr>
        <w:rStyle w:val="PageNumber"/>
      </w:rPr>
      <w:fldChar w:fldCharType="begin"/>
    </w:r>
    <w:r w:rsidRPr="009E1A48">
      <w:rPr>
        <w:rStyle w:val="PageNumber"/>
      </w:rPr>
      <w:instrText xml:space="preserve">PAGE  </w:instrText>
    </w:r>
    <w:r w:rsidRPr="009E1A48">
      <w:rPr>
        <w:rStyle w:val="PageNumber"/>
      </w:rPr>
      <w:fldChar w:fldCharType="separate"/>
    </w:r>
    <w:r w:rsidR="000F42E9">
      <w:rPr>
        <w:rStyle w:val="PageNumber"/>
        <w:noProof/>
      </w:rPr>
      <w:t>1</w:t>
    </w:r>
    <w:r w:rsidRPr="009E1A48">
      <w:rPr>
        <w:rStyle w:val="PageNumber"/>
      </w:rPr>
      <w:fldChar w:fldCharType="end"/>
    </w:r>
  </w:p>
  <w:p w14:paraId="5DB90FFC" w14:textId="0C3F7911" w:rsidR="00C93D65" w:rsidRDefault="00C93D65" w:rsidP="00A7190F">
    <w:pPr>
      <w:pStyle w:val="Footer"/>
      <w:ind w:right="360"/>
    </w:pPr>
    <w:r>
      <w:pict w14:anchorId="4D95E4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85pt;height:1.5pt" o:hrpct="0" o:hralign="center" o:hr="t">
          <v:imagedata r:id="rId1" o:title="Default Line"/>
        </v:shape>
      </w:pict>
    </w:r>
  </w:p>
  <w:p w14:paraId="6594B616" w14:textId="6BC8E385" w:rsidR="00C93D65" w:rsidRDefault="00C93D65">
    <w:pPr>
      <w:pStyle w:val="Footer"/>
    </w:pPr>
    <w:r>
      <w:t>UG-121119, Comments of the NW Energy Coalition, submitted September 21, 2012</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0B8EE5" w14:textId="77777777" w:rsidR="00C93D65" w:rsidRDefault="00C93D65" w:rsidP="009A3135">
      <w:pPr>
        <w:spacing w:after="0" w:line="240" w:lineRule="auto"/>
      </w:pPr>
      <w:r>
        <w:separator/>
      </w:r>
    </w:p>
  </w:footnote>
  <w:footnote w:type="continuationSeparator" w:id="0">
    <w:p w14:paraId="639BB7F6" w14:textId="77777777" w:rsidR="00C93D65" w:rsidRDefault="00C93D65" w:rsidP="009A3135">
      <w:pPr>
        <w:spacing w:after="0" w:line="240" w:lineRule="auto"/>
      </w:pPr>
      <w:r>
        <w:continuationSeparator/>
      </w:r>
    </w:p>
  </w:footnote>
  <w:footnote w:type="continuationNotice" w:id="1">
    <w:p w14:paraId="37F12931" w14:textId="77777777" w:rsidR="00C93D65" w:rsidRDefault="00C93D65">
      <w:pPr>
        <w:spacing w:after="0" w:line="240" w:lineRule="auto"/>
      </w:pPr>
    </w:p>
  </w:footnote>
  <w:footnote w:id="2">
    <w:p w14:paraId="359C2CC0" w14:textId="6EFAC70F" w:rsidR="00C93D65" w:rsidRPr="005900B7" w:rsidRDefault="00C93D65">
      <w:pPr>
        <w:pStyle w:val="FootnoteText"/>
        <w:rPr>
          <w:sz w:val="20"/>
          <w:szCs w:val="20"/>
        </w:rPr>
      </w:pPr>
      <w:r w:rsidRPr="005900B7">
        <w:rPr>
          <w:rStyle w:val="FootnoteReference"/>
          <w:sz w:val="20"/>
          <w:szCs w:val="20"/>
        </w:rPr>
        <w:footnoteRef/>
      </w:r>
      <w:r w:rsidRPr="005900B7">
        <w:rPr>
          <w:sz w:val="20"/>
          <w:szCs w:val="20"/>
        </w:rPr>
        <w:t xml:space="preserve"> </w:t>
      </w:r>
      <w:proofErr w:type="spellStart"/>
      <w:r w:rsidRPr="005900B7">
        <w:rPr>
          <w:sz w:val="20"/>
          <w:szCs w:val="20"/>
        </w:rPr>
        <w:t>Businessweek</w:t>
      </w:r>
      <w:proofErr w:type="spellEnd"/>
      <w:r w:rsidRPr="005900B7">
        <w:rPr>
          <w:sz w:val="20"/>
          <w:szCs w:val="20"/>
        </w:rPr>
        <w:t xml:space="preserve">, </w:t>
      </w:r>
      <w:hyperlink r:id="rId1" w:history="1">
        <w:r w:rsidRPr="005900B7">
          <w:rPr>
            <w:rStyle w:val="Hyperlink"/>
            <w:i/>
            <w:sz w:val="20"/>
            <w:szCs w:val="20"/>
          </w:rPr>
          <w:t>Is Natural Gas too Cheap to Drill?</w:t>
        </w:r>
      </w:hyperlink>
      <w:r w:rsidRPr="005900B7">
        <w:rPr>
          <w:sz w:val="20"/>
          <w:szCs w:val="20"/>
        </w:rPr>
        <w:t>, April 17, 2012</w:t>
      </w:r>
    </w:p>
  </w:footnote>
  <w:footnote w:id="3">
    <w:p w14:paraId="161E68B8" w14:textId="6ACD5D31" w:rsidR="00C93D65" w:rsidRPr="00E744C9" w:rsidRDefault="00C93D65">
      <w:pPr>
        <w:pStyle w:val="FootnoteText"/>
        <w:rPr>
          <w:sz w:val="20"/>
          <w:szCs w:val="20"/>
        </w:rPr>
      </w:pPr>
      <w:r w:rsidRPr="00E744C9">
        <w:rPr>
          <w:rStyle w:val="FootnoteReference"/>
          <w:sz w:val="20"/>
          <w:szCs w:val="20"/>
        </w:rPr>
        <w:footnoteRef/>
      </w:r>
      <w:r w:rsidRPr="00E744C9">
        <w:rPr>
          <w:sz w:val="20"/>
          <w:szCs w:val="20"/>
        </w:rPr>
        <w:t xml:space="preserve"> American Council for an Energy-Efficient Economy, </w:t>
      </w:r>
      <w:hyperlink r:id="rId2" w:history="1">
        <w:r w:rsidRPr="000636DB">
          <w:rPr>
            <w:rStyle w:val="Hyperlink"/>
            <w:i/>
            <w:sz w:val="20"/>
            <w:szCs w:val="20"/>
          </w:rPr>
          <w:t>Saving Money and Reducing Risk: How Energy Efficiency Enhances the Benefits of the Natural Gas Boom</w:t>
        </w:r>
      </w:hyperlink>
      <w:r w:rsidRPr="00E744C9">
        <w:rPr>
          <w:sz w:val="20"/>
          <w:szCs w:val="20"/>
        </w:rPr>
        <w:t>, September 13, 2012</w:t>
      </w:r>
    </w:p>
  </w:footnote>
  <w:footnote w:id="4">
    <w:p w14:paraId="071524CE" w14:textId="2D5EFF02" w:rsidR="00C93D65" w:rsidRPr="00E43DEF" w:rsidRDefault="00C93D65">
      <w:pPr>
        <w:pStyle w:val="FootnoteText"/>
        <w:rPr>
          <w:sz w:val="20"/>
          <w:szCs w:val="20"/>
        </w:rPr>
      </w:pPr>
      <w:r w:rsidRPr="00E43DEF">
        <w:rPr>
          <w:rStyle w:val="FootnoteReference"/>
          <w:sz w:val="20"/>
          <w:szCs w:val="20"/>
        </w:rPr>
        <w:footnoteRef/>
      </w:r>
      <w:r w:rsidRPr="00E43DEF">
        <w:rPr>
          <w:sz w:val="20"/>
          <w:szCs w:val="20"/>
        </w:rPr>
        <w:t xml:space="preserve"> American Council for an Energy-Efficient Economy, </w:t>
      </w:r>
      <w:hyperlink r:id="rId3" w:history="1">
        <w:r w:rsidRPr="00E43DEF">
          <w:rPr>
            <w:rStyle w:val="Hyperlink"/>
            <w:i/>
            <w:sz w:val="20"/>
            <w:szCs w:val="20"/>
          </w:rPr>
          <w:t>Saving Money and Reducing Risk: How Energy Efficiency Enhances the Benefits of the Natural Gas Boom</w:t>
        </w:r>
      </w:hyperlink>
      <w:r w:rsidRPr="00E43DEF">
        <w:rPr>
          <w:sz w:val="20"/>
          <w:szCs w:val="20"/>
        </w:rPr>
        <w:t>, September 13, 2012</w:t>
      </w:r>
    </w:p>
  </w:footnote>
  <w:footnote w:id="5">
    <w:p w14:paraId="0C5805BD" w14:textId="280A75D8" w:rsidR="00C93D65" w:rsidRPr="00000FFD" w:rsidRDefault="00C93D65">
      <w:pPr>
        <w:pStyle w:val="FootnoteText"/>
        <w:rPr>
          <w:sz w:val="20"/>
          <w:szCs w:val="20"/>
        </w:rPr>
      </w:pPr>
      <w:r w:rsidRPr="00000FFD">
        <w:rPr>
          <w:rStyle w:val="FootnoteReference"/>
          <w:sz w:val="20"/>
          <w:szCs w:val="20"/>
        </w:rPr>
        <w:footnoteRef/>
      </w:r>
      <w:r w:rsidRPr="00000FFD">
        <w:rPr>
          <w:sz w:val="20"/>
          <w:szCs w:val="20"/>
        </w:rPr>
        <w:t xml:space="preserve"> Center for Climate and Energy Solutions, </w:t>
      </w:r>
      <w:hyperlink r:id="rId4" w:history="1">
        <w:r w:rsidRPr="00000FFD">
          <w:rPr>
            <w:rStyle w:val="Hyperlink"/>
            <w:i/>
            <w:sz w:val="20"/>
            <w:szCs w:val="20"/>
          </w:rPr>
          <w:t>The Looming Natural Gas Transition in the United States</w:t>
        </w:r>
      </w:hyperlink>
      <w:r w:rsidRPr="00000FFD">
        <w:rPr>
          <w:sz w:val="20"/>
          <w:szCs w:val="20"/>
        </w:rPr>
        <w:t>, May 2012</w:t>
      </w:r>
    </w:p>
  </w:footnote>
  <w:footnote w:id="6">
    <w:p w14:paraId="1641B46B" w14:textId="33B23468" w:rsidR="00C93D65" w:rsidRPr="0079297B" w:rsidRDefault="00C93D65" w:rsidP="004736D2">
      <w:pPr>
        <w:pStyle w:val="FootnoteText"/>
        <w:rPr>
          <w:sz w:val="20"/>
          <w:szCs w:val="20"/>
        </w:rPr>
      </w:pPr>
      <w:r w:rsidRPr="0079297B">
        <w:rPr>
          <w:rStyle w:val="FootnoteReference"/>
          <w:sz w:val="20"/>
          <w:szCs w:val="20"/>
        </w:rPr>
        <w:footnoteRef/>
      </w:r>
      <w:r w:rsidRPr="0079297B">
        <w:rPr>
          <w:sz w:val="20"/>
          <w:szCs w:val="20"/>
        </w:rPr>
        <w:t xml:space="preserve"> </w:t>
      </w:r>
      <w:r>
        <w:rPr>
          <w:sz w:val="20"/>
          <w:szCs w:val="20"/>
        </w:rPr>
        <w:t>On August 2, 2012, t</w:t>
      </w:r>
      <w:r w:rsidRPr="0079297B">
        <w:rPr>
          <w:sz w:val="20"/>
          <w:szCs w:val="20"/>
        </w:rPr>
        <w:t>he Energy Tr</w:t>
      </w:r>
      <w:r>
        <w:rPr>
          <w:sz w:val="20"/>
          <w:szCs w:val="20"/>
        </w:rPr>
        <w:t>ust of Oregon (ETO) filed a request for exceptions to cost effectiveness s</w:t>
      </w:r>
      <w:r w:rsidRPr="0079297B">
        <w:rPr>
          <w:sz w:val="20"/>
          <w:szCs w:val="20"/>
        </w:rPr>
        <w:t>tandards for natu</w:t>
      </w:r>
      <w:r>
        <w:rPr>
          <w:sz w:val="20"/>
          <w:szCs w:val="20"/>
        </w:rPr>
        <w:t>ral gas weatherization programs (</w:t>
      </w:r>
      <w:hyperlink r:id="rId5" w:history="1">
        <w:r w:rsidRPr="00A103B9">
          <w:rPr>
            <w:rStyle w:val="Hyperlink"/>
            <w:sz w:val="20"/>
            <w:szCs w:val="20"/>
          </w:rPr>
          <w:t>UM 1622</w:t>
        </w:r>
      </w:hyperlink>
      <w:r>
        <w:rPr>
          <w:sz w:val="20"/>
          <w:szCs w:val="20"/>
        </w:rPr>
        <w:t xml:space="preserve">). </w:t>
      </w:r>
      <w:r w:rsidRPr="00C67AFC">
        <w:rPr>
          <w:sz w:val="20"/>
          <w:szCs w:val="20"/>
        </w:rPr>
        <w:t xml:space="preserve"> </w:t>
      </w:r>
      <w:r>
        <w:rPr>
          <w:sz w:val="20"/>
          <w:szCs w:val="20"/>
        </w:rPr>
        <w:t>ETO</w:t>
      </w:r>
      <w:r w:rsidRPr="0079297B">
        <w:rPr>
          <w:sz w:val="20"/>
          <w:szCs w:val="20"/>
        </w:rPr>
        <w:t xml:space="preserve"> requested a two-year suspension of its 1.0 benefit/cost ratio requirement for several natural gas measures, citing “lower-than expected savings from evaluations, higher than expected project costs for several measures, and lower avoided cost forecasts due to changes in market fundamentals.”  In doing so, the </w:t>
      </w:r>
      <w:r>
        <w:rPr>
          <w:sz w:val="20"/>
          <w:szCs w:val="20"/>
        </w:rPr>
        <w:t>ETO</w:t>
      </w:r>
      <w:r w:rsidRPr="0079297B">
        <w:rPr>
          <w:sz w:val="20"/>
          <w:szCs w:val="20"/>
        </w:rPr>
        <w:t xml:space="preserve"> aims to maintain program stability while working on solutions to manage these challenges.</w:t>
      </w:r>
    </w:p>
  </w:footnote>
  <w:footnote w:id="7">
    <w:p w14:paraId="71B336AC" w14:textId="77777777" w:rsidR="00C93D65" w:rsidRPr="0079297B" w:rsidRDefault="00C93D65" w:rsidP="004736D2">
      <w:pPr>
        <w:pStyle w:val="FootnoteText"/>
        <w:rPr>
          <w:sz w:val="20"/>
          <w:szCs w:val="20"/>
        </w:rPr>
      </w:pPr>
      <w:r w:rsidRPr="0079297B">
        <w:rPr>
          <w:rStyle w:val="FootnoteReference"/>
          <w:sz w:val="20"/>
          <w:szCs w:val="20"/>
        </w:rPr>
        <w:footnoteRef/>
      </w:r>
      <w:r w:rsidRPr="0079297B">
        <w:rPr>
          <w:sz w:val="20"/>
          <w:szCs w:val="20"/>
        </w:rPr>
        <w:t xml:space="preserve"> </w:t>
      </w:r>
      <w:r>
        <w:rPr>
          <w:sz w:val="20"/>
          <w:szCs w:val="20"/>
        </w:rPr>
        <w:t>“</w:t>
      </w:r>
      <w:r w:rsidRPr="0079297B">
        <w:rPr>
          <w:sz w:val="20"/>
          <w:szCs w:val="20"/>
        </w:rPr>
        <w:t xml:space="preserve">Adventures in </w:t>
      </w:r>
      <w:r>
        <w:rPr>
          <w:sz w:val="20"/>
          <w:szCs w:val="20"/>
        </w:rPr>
        <w:t xml:space="preserve">Tweaking the TRC: Experiences from British Columbia”, </w:t>
      </w:r>
      <w:hyperlink r:id="rId6" w:anchor="page=1" w:history="1">
        <w:r w:rsidRPr="0079297B">
          <w:rPr>
            <w:rStyle w:val="Hyperlink"/>
            <w:sz w:val="20"/>
            <w:szCs w:val="20"/>
          </w:rPr>
          <w:t>2012 ACEEE Summer Study on Energy Efficiency in Buildings</w:t>
        </w:r>
      </w:hyperlink>
      <w:r>
        <w:rPr>
          <w:sz w:val="20"/>
          <w:szCs w:val="20"/>
        </w:rPr>
        <w: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47226"/>
    <w:multiLevelType w:val="hybridMultilevel"/>
    <w:tmpl w:val="6B82C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hdrShapeDefaults>
    <o:shapedefaults v:ext="edit" spidmax="1433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FF6"/>
    <w:rsid w:val="00000FFD"/>
    <w:rsid w:val="00040F1D"/>
    <w:rsid w:val="00044047"/>
    <w:rsid w:val="000636DB"/>
    <w:rsid w:val="00084697"/>
    <w:rsid w:val="00091F6E"/>
    <w:rsid w:val="0009330B"/>
    <w:rsid w:val="000D6158"/>
    <w:rsid w:val="000F42E9"/>
    <w:rsid w:val="00114A42"/>
    <w:rsid w:val="00161FF6"/>
    <w:rsid w:val="00186BDC"/>
    <w:rsid w:val="001A5747"/>
    <w:rsid w:val="001B0705"/>
    <w:rsid w:val="001C187C"/>
    <w:rsid w:val="0021552F"/>
    <w:rsid w:val="00237D5D"/>
    <w:rsid w:val="00241740"/>
    <w:rsid w:val="00252221"/>
    <w:rsid w:val="00270A50"/>
    <w:rsid w:val="002B7EC3"/>
    <w:rsid w:val="002E6609"/>
    <w:rsid w:val="00310F85"/>
    <w:rsid w:val="00343306"/>
    <w:rsid w:val="0035763D"/>
    <w:rsid w:val="0036757C"/>
    <w:rsid w:val="0037400D"/>
    <w:rsid w:val="00374F69"/>
    <w:rsid w:val="003971F5"/>
    <w:rsid w:val="004537F9"/>
    <w:rsid w:val="0045528A"/>
    <w:rsid w:val="004736D2"/>
    <w:rsid w:val="00485413"/>
    <w:rsid w:val="004879BE"/>
    <w:rsid w:val="004B19BF"/>
    <w:rsid w:val="004C0C2F"/>
    <w:rsid w:val="004F6EDB"/>
    <w:rsid w:val="004F77EC"/>
    <w:rsid w:val="0052123D"/>
    <w:rsid w:val="00531BF9"/>
    <w:rsid w:val="005446EE"/>
    <w:rsid w:val="005557E1"/>
    <w:rsid w:val="00567E34"/>
    <w:rsid w:val="005876BE"/>
    <w:rsid w:val="005900B7"/>
    <w:rsid w:val="005D27C0"/>
    <w:rsid w:val="005D4470"/>
    <w:rsid w:val="005E03B2"/>
    <w:rsid w:val="006008DE"/>
    <w:rsid w:val="00627804"/>
    <w:rsid w:val="00635A1B"/>
    <w:rsid w:val="006545FA"/>
    <w:rsid w:val="006673C4"/>
    <w:rsid w:val="0067128F"/>
    <w:rsid w:val="00690B13"/>
    <w:rsid w:val="006C6E3D"/>
    <w:rsid w:val="006D4E40"/>
    <w:rsid w:val="006E1C0F"/>
    <w:rsid w:val="006E45EA"/>
    <w:rsid w:val="006F26F3"/>
    <w:rsid w:val="00747C67"/>
    <w:rsid w:val="00774B9E"/>
    <w:rsid w:val="0079297B"/>
    <w:rsid w:val="007B3597"/>
    <w:rsid w:val="007F4E19"/>
    <w:rsid w:val="008325DB"/>
    <w:rsid w:val="00844FAE"/>
    <w:rsid w:val="0084611D"/>
    <w:rsid w:val="00872348"/>
    <w:rsid w:val="0088291D"/>
    <w:rsid w:val="008B69E0"/>
    <w:rsid w:val="008E2643"/>
    <w:rsid w:val="008F08B6"/>
    <w:rsid w:val="00900D08"/>
    <w:rsid w:val="00907633"/>
    <w:rsid w:val="00927C58"/>
    <w:rsid w:val="00933AE4"/>
    <w:rsid w:val="009676DF"/>
    <w:rsid w:val="00980780"/>
    <w:rsid w:val="009A3135"/>
    <w:rsid w:val="009E1A48"/>
    <w:rsid w:val="009F6036"/>
    <w:rsid w:val="00A103B9"/>
    <w:rsid w:val="00A21596"/>
    <w:rsid w:val="00A242A6"/>
    <w:rsid w:val="00A40876"/>
    <w:rsid w:val="00A469D0"/>
    <w:rsid w:val="00A7190F"/>
    <w:rsid w:val="00AC1AB6"/>
    <w:rsid w:val="00AD67F9"/>
    <w:rsid w:val="00AF3150"/>
    <w:rsid w:val="00AF71B2"/>
    <w:rsid w:val="00B02647"/>
    <w:rsid w:val="00B04CEF"/>
    <w:rsid w:val="00B458DA"/>
    <w:rsid w:val="00B47485"/>
    <w:rsid w:val="00B66B9A"/>
    <w:rsid w:val="00B82A86"/>
    <w:rsid w:val="00BA44BB"/>
    <w:rsid w:val="00BB090B"/>
    <w:rsid w:val="00BB39B4"/>
    <w:rsid w:val="00BB5177"/>
    <w:rsid w:val="00BE25E0"/>
    <w:rsid w:val="00BE799F"/>
    <w:rsid w:val="00C033AA"/>
    <w:rsid w:val="00C03AB3"/>
    <w:rsid w:val="00C07F83"/>
    <w:rsid w:val="00C22D0B"/>
    <w:rsid w:val="00C52F2B"/>
    <w:rsid w:val="00C67AFC"/>
    <w:rsid w:val="00C93D65"/>
    <w:rsid w:val="00CC35E9"/>
    <w:rsid w:val="00CE4F39"/>
    <w:rsid w:val="00CE5A2D"/>
    <w:rsid w:val="00CF0006"/>
    <w:rsid w:val="00D05A8D"/>
    <w:rsid w:val="00D3643E"/>
    <w:rsid w:val="00D70E60"/>
    <w:rsid w:val="00D71FAB"/>
    <w:rsid w:val="00D82B88"/>
    <w:rsid w:val="00DC2ADF"/>
    <w:rsid w:val="00E155C8"/>
    <w:rsid w:val="00E24512"/>
    <w:rsid w:val="00E33B43"/>
    <w:rsid w:val="00E34142"/>
    <w:rsid w:val="00E43DEF"/>
    <w:rsid w:val="00E744C9"/>
    <w:rsid w:val="00E77FAF"/>
    <w:rsid w:val="00E804C1"/>
    <w:rsid w:val="00E83B85"/>
    <w:rsid w:val="00E922F7"/>
    <w:rsid w:val="00EC447A"/>
    <w:rsid w:val="00F609E7"/>
    <w:rsid w:val="00F808E3"/>
    <w:rsid w:val="00F93CDD"/>
    <w:rsid w:val="00FA365B"/>
    <w:rsid w:val="00FA7A2F"/>
    <w:rsid w:val="00FB1800"/>
    <w:rsid w:val="00FC604C"/>
    <w:rsid w:val="00FD22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9"/>
    <o:shapelayout v:ext="edit">
      <o:idmap v:ext="edit" data="1"/>
    </o:shapelayout>
  </w:shapeDefaults>
  <w:decimalSymbol w:val="."/>
  <w:listSeparator w:val=","/>
  <w14:docId w14:val="5259E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C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1FF6"/>
    <w:pPr>
      <w:spacing w:after="0" w:line="240" w:lineRule="auto"/>
    </w:pPr>
  </w:style>
  <w:style w:type="paragraph" w:styleId="Header">
    <w:name w:val="header"/>
    <w:basedOn w:val="Normal"/>
    <w:link w:val="HeaderChar"/>
    <w:uiPriority w:val="99"/>
    <w:unhideWhenUsed/>
    <w:rsid w:val="009A3135"/>
    <w:pPr>
      <w:tabs>
        <w:tab w:val="center" w:pos="4320"/>
        <w:tab w:val="right" w:pos="8640"/>
      </w:tabs>
      <w:spacing w:after="0" w:line="240" w:lineRule="auto"/>
    </w:pPr>
  </w:style>
  <w:style w:type="character" w:customStyle="1" w:styleId="HeaderChar">
    <w:name w:val="Header Char"/>
    <w:basedOn w:val="DefaultParagraphFont"/>
    <w:link w:val="Header"/>
    <w:uiPriority w:val="99"/>
    <w:rsid w:val="009A3135"/>
  </w:style>
  <w:style w:type="paragraph" w:styleId="Footer">
    <w:name w:val="footer"/>
    <w:basedOn w:val="Normal"/>
    <w:link w:val="FooterChar"/>
    <w:uiPriority w:val="99"/>
    <w:unhideWhenUsed/>
    <w:rsid w:val="009A3135"/>
    <w:pPr>
      <w:tabs>
        <w:tab w:val="center" w:pos="4320"/>
        <w:tab w:val="right" w:pos="8640"/>
      </w:tabs>
      <w:spacing w:after="0" w:line="240" w:lineRule="auto"/>
    </w:pPr>
  </w:style>
  <w:style w:type="character" w:customStyle="1" w:styleId="FooterChar">
    <w:name w:val="Footer Char"/>
    <w:basedOn w:val="DefaultParagraphFont"/>
    <w:link w:val="Footer"/>
    <w:uiPriority w:val="99"/>
    <w:rsid w:val="009A3135"/>
  </w:style>
  <w:style w:type="paragraph" w:styleId="FootnoteText">
    <w:name w:val="footnote text"/>
    <w:basedOn w:val="Normal"/>
    <w:link w:val="FootnoteTextChar"/>
    <w:uiPriority w:val="99"/>
    <w:unhideWhenUsed/>
    <w:rsid w:val="008325DB"/>
    <w:pPr>
      <w:spacing w:after="0" w:line="240" w:lineRule="auto"/>
    </w:pPr>
    <w:rPr>
      <w:sz w:val="24"/>
      <w:szCs w:val="24"/>
    </w:rPr>
  </w:style>
  <w:style w:type="character" w:customStyle="1" w:styleId="FootnoteTextChar">
    <w:name w:val="Footnote Text Char"/>
    <w:basedOn w:val="DefaultParagraphFont"/>
    <w:link w:val="FootnoteText"/>
    <w:uiPriority w:val="99"/>
    <w:rsid w:val="008325DB"/>
    <w:rPr>
      <w:sz w:val="24"/>
      <w:szCs w:val="24"/>
    </w:rPr>
  </w:style>
  <w:style w:type="character" w:styleId="FootnoteReference">
    <w:name w:val="footnote reference"/>
    <w:basedOn w:val="DefaultParagraphFont"/>
    <w:uiPriority w:val="99"/>
    <w:unhideWhenUsed/>
    <w:rsid w:val="008325DB"/>
    <w:rPr>
      <w:vertAlign w:val="superscript"/>
    </w:rPr>
  </w:style>
  <w:style w:type="character" w:styleId="Hyperlink">
    <w:name w:val="Hyperlink"/>
    <w:basedOn w:val="DefaultParagraphFont"/>
    <w:uiPriority w:val="99"/>
    <w:unhideWhenUsed/>
    <w:rsid w:val="00872348"/>
    <w:rPr>
      <w:color w:val="0000FF" w:themeColor="hyperlink"/>
      <w:u w:val="single"/>
    </w:rPr>
  </w:style>
  <w:style w:type="character" w:styleId="PageNumber">
    <w:name w:val="page number"/>
    <w:basedOn w:val="DefaultParagraphFont"/>
    <w:uiPriority w:val="99"/>
    <w:semiHidden/>
    <w:unhideWhenUsed/>
    <w:rsid w:val="00A7190F"/>
  </w:style>
  <w:style w:type="character" w:styleId="FollowedHyperlink">
    <w:name w:val="FollowedHyperlink"/>
    <w:basedOn w:val="DefaultParagraphFont"/>
    <w:uiPriority w:val="99"/>
    <w:semiHidden/>
    <w:unhideWhenUsed/>
    <w:rsid w:val="00C67AFC"/>
    <w:rPr>
      <w:color w:val="800080" w:themeColor="followedHyperlink"/>
      <w:u w:val="single"/>
    </w:rPr>
  </w:style>
  <w:style w:type="paragraph" w:styleId="BalloonText">
    <w:name w:val="Balloon Text"/>
    <w:basedOn w:val="Normal"/>
    <w:link w:val="BalloonTextChar"/>
    <w:uiPriority w:val="99"/>
    <w:semiHidden/>
    <w:unhideWhenUsed/>
    <w:rsid w:val="00237D5D"/>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237D5D"/>
    <w:rPr>
      <w:rFonts w:ascii="Lucida Grande" w:hAnsi="Lucida Grande"/>
      <w:sz w:val="18"/>
      <w:szCs w:val="18"/>
    </w:rPr>
  </w:style>
  <w:style w:type="paragraph" w:styleId="Caption">
    <w:name w:val="caption"/>
    <w:basedOn w:val="Normal"/>
    <w:next w:val="Normal"/>
    <w:uiPriority w:val="35"/>
    <w:unhideWhenUsed/>
    <w:qFormat/>
    <w:rsid w:val="00927C58"/>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C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1FF6"/>
    <w:pPr>
      <w:spacing w:after="0" w:line="240" w:lineRule="auto"/>
    </w:pPr>
  </w:style>
  <w:style w:type="paragraph" w:styleId="Header">
    <w:name w:val="header"/>
    <w:basedOn w:val="Normal"/>
    <w:link w:val="HeaderChar"/>
    <w:uiPriority w:val="99"/>
    <w:unhideWhenUsed/>
    <w:rsid w:val="009A3135"/>
    <w:pPr>
      <w:tabs>
        <w:tab w:val="center" w:pos="4320"/>
        <w:tab w:val="right" w:pos="8640"/>
      </w:tabs>
      <w:spacing w:after="0" w:line="240" w:lineRule="auto"/>
    </w:pPr>
  </w:style>
  <w:style w:type="character" w:customStyle="1" w:styleId="HeaderChar">
    <w:name w:val="Header Char"/>
    <w:basedOn w:val="DefaultParagraphFont"/>
    <w:link w:val="Header"/>
    <w:uiPriority w:val="99"/>
    <w:rsid w:val="009A3135"/>
  </w:style>
  <w:style w:type="paragraph" w:styleId="Footer">
    <w:name w:val="footer"/>
    <w:basedOn w:val="Normal"/>
    <w:link w:val="FooterChar"/>
    <w:uiPriority w:val="99"/>
    <w:unhideWhenUsed/>
    <w:rsid w:val="009A3135"/>
    <w:pPr>
      <w:tabs>
        <w:tab w:val="center" w:pos="4320"/>
        <w:tab w:val="right" w:pos="8640"/>
      </w:tabs>
      <w:spacing w:after="0" w:line="240" w:lineRule="auto"/>
    </w:pPr>
  </w:style>
  <w:style w:type="character" w:customStyle="1" w:styleId="FooterChar">
    <w:name w:val="Footer Char"/>
    <w:basedOn w:val="DefaultParagraphFont"/>
    <w:link w:val="Footer"/>
    <w:uiPriority w:val="99"/>
    <w:rsid w:val="009A3135"/>
  </w:style>
  <w:style w:type="paragraph" w:styleId="FootnoteText">
    <w:name w:val="footnote text"/>
    <w:basedOn w:val="Normal"/>
    <w:link w:val="FootnoteTextChar"/>
    <w:uiPriority w:val="99"/>
    <w:unhideWhenUsed/>
    <w:rsid w:val="008325DB"/>
    <w:pPr>
      <w:spacing w:after="0" w:line="240" w:lineRule="auto"/>
    </w:pPr>
    <w:rPr>
      <w:sz w:val="24"/>
      <w:szCs w:val="24"/>
    </w:rPr>
  </w:style>
  <w:style w:type="character" w:customStyle="1" w:styleId="FootnoteTextChar">
    <w:name w:val="Footnote Text Char"/>
    <w:basedOn w:val="DefaultParagraphFont"/>
    <w:link w:val="FootnoteText"/>
    <w:uiPriority w:val="99"/>
    <w:rsid w:val="008325DB"/>
    <w:rPr>
      <w:sz w:val="24"/>
      <w:szCs w:val="24"/>
    </w:rPr>
  </w:style>
  <w:style w:type="character" w:styleId="FootnoteReference">
    <w:name w:val="footnote reference"/>
    <w:basedOn w:val="DefaultParagraphFont"/>
    <w:uiPriority w:val="99"/>
    <w:unhideWhenUsed/>
    <w:rsid w:val="008325DB"/>
    <w:rPr>
      <w:vertAlign w:val="superscript"/>
    </w:rPr>
  </w:style>
  <w:style w:type="character" w:styleId="Hyperlink">
    <w:name w:val="Hyperlink"/>
    <w:basedOn w:val="DefaultParagraphFont"/>
    <w:uiPriority w:val="99"/>
    <w:unhideWhenUsed/>
    <w:rsid w:val="00872348"/>
    <w:rPr>
      <w:color w:val="0000FF" w:themeColor="hyperlink"/>
      <w:u w:val="single"/>
    </w:rPr>
  </w:style>
  <w:style w:type="character" w:styleId="PageNumber">
    <w:name w:val="page number"/>
    <w:basedOn w:val="DefaultParagraphFont"/>
    <w:uiPriority w:val="99"/>
    <w:semiHidden/>
    <w:unhideWhenUsed/>
    <w:rsid w:val="00A7190F"/>
  </w:style>
  <w:style w:type="character" w:styleId="FollowedHyperlink">
    <w:name w:val="FollowedHyperlink"/>
    <w:basedOn w:val="DefaultParagraphFont"/>
    <w:uiPriority w:val="99"/>
    <w:semiHidden/>
    <w:unhideWhenUsed/>
    <w:rsid w:val="00C67AFC"/>
    <w:rPr>
      <w:color w:val="800080" w:themeColor="followedHyperlink"/>
      <w:u w:val="single"/>
    </w:rPr>
  </w:style>
  <w:style w:type="paragraph" w:styleId="BalloonText">
    <w:name w:val="Balloon Text"/>
    <w:basedOn w:val="Normal"/>
    <w:link w:val="BalloonTextChar"/>
    <w:uiPriority w:val="99"/>
    <w:semiHidden/>
    <w:unhideWhenUsed/>
    <w:rsid w:val="00237D5D"/>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237D5D"/>
    <w:rPr>
      <w:rFonts w:ascii="Lucida Grande" w:hAnsi="Lucida Grande"/>
      <w:sz w:val="18"/>
      <w:szCs w:val="18"/>
    </w:rPr>
  </w:style>
  <w:style w:type="paragraph" w:styleId="Caption">
    <w:name w:val="caption"/>
    <w:basedOn w:val="Normal"/>
    <w:next w:val="Normal"/>
    <w:uiPriority w:val="35"/>
    <w:unhideWhenUsed/>
    <w:qFormat/>
    <w:rsid w:val="00927C58"/>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8" Type="http://schemas.openxmlformats.org/officeDocument/2006/relationships/endnotes" Target="endnotes.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12" Type="http://schemas.openxmlformats.org/officeDocument/2006/relationships/image" Target="media/image3.png"/><Relationship Id="rId17" Type="http://schemas.openxmlformats.org/officeDocument/2006/relationships/theme" Target="theme/theme1.xml"/><Relationship Id="rId7" Type="http://schemas.openxmlformats.org/officeDocument/2006/relationships/footnotes" Target="footnotes.xml"/><Relationship Id="rId16" Type="http://schemas.openxmlformats.org/officeDocument/2006/relationships/glossaryDocument" Target="glossary/document.xml"/><Relationship Id="rId2" Type="http://schemas.openxmlformats.org/officeDocument/2006/relationships/numbering" Target="numbering.xml"/><Relationship Id="rId20" Type="http://schemas.openxmlformats.org/officeDocument/2006/relationships/customXml" Target="../customXml/item4.xml"/><Relationship Id="rId11" Type="http://schemas.openxmlformats.org/officeDocument/2006/relationships/hyperlink" Target="mailto:lynne@nwenergy.org"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19" Type="http://schemas.openxmlformats.org/officeDocument/2006/relationships/customXml" Target="../customXml/item3.xml"/><Relationship Id="rId14"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4.gif"/></Relationships>
</file>

<file path=word/_rels/footnotes.xml.rels><?xml version="1.0" encoding="UTF-8" standalone="yes"?>
<Relationships xmlns="http://schemas.openxmlformats.org/package/2006/relationships"><Relationship Id="rId3" Type="http://schemas.openxmlformats.org/officeDocument/2006/relationships/hyperlink" Target="http://aceee.org/white-paper/saving-money-and-reducing-risk" TargetMode="External"/><Relationship Id="rId4" Type="http://schemas.openxmlformats.org/officeDocument/2006/relationships/hyperlink" Target="http://www.c2es.org/docUploads/natural-gas-transition-us.pdf" TargetMode="External"/><Relationship Id="rId5" Type="http://schemas.openxmlformats.org/officeDocument/2006/relationships/hyperlink" Target="http://apps.puc.state.or.us/edockets/docket.asp?DocketID=17795" TargetMode="External"/><Relationship Id="rId6" Type="http://schemas.openxmlformats.org/officeDocument/2006/relationships/hyperlink" Target="http://www.aceee.org/files/proceedings/2012/data/papers/0193-000258.pdf" TargetMode="External"/><Relationship Id="rId1" Type="http://schemas.openxmlformats.org/officeDocument/2006/relationships/hyperlink" Target="http://www.businessweek.com/articles/2012-04-17/is-natural-gas-too-cheap-to-drill" TargetMode="External"/><Relationship Id="rId2" Type="http://schemas.openxmlformats.org/officeDocument/2006/relationships/hyperlink" Target="http://aceee.org/white-paper/saving-money-and-reducing-risk"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838195FA3BE8C42818B5DB221FCC205"/>
        <w:category>
          <w:name w:val="General"/>
          <w:gallery w:val="placeholder"/>
        </w:category>
        <w:types>
          <w:type w:val="bbPlcHdr"/>
        </w:types>
        <w:behaviors>
          <w:behavior w:val="content"/>
        </w:behaviors>
        <w:guid w:val="{FF38800D-E349-5542-B0AB-E216D2FC6705}"/>
      </w:docPartPr>
      <w:docPartBody>
        <w:p w14:paraId="6AF0FEFE" w14:textId="247DFC6C" w:rsidR="00860E0C" w:rsidRDefault="00860E0C" w:rsidP="00860E0C">
          <w:pPr>
            <w:pStyle w:val="3838195FA3BE8C42818B5DB221FCC205"/>
          </w:pPr>
          <w:r>
            <w:t>[Type text]</w:t>
          </w:r>
        </w:p>
      </w:docPartBody>
    </w:docPart>
    <w:docPart>
      <w:docPartPr>
        <w:name w:val="B24F1B9AACDEAE4D963F6A3EA0E14D66"/>
        <w:category>
          <w:name w:val="General"/>
          <w:gallery w:val="placeholder"/>
        </w:category>
        <w:types>
          <w:type w:val="bbPlcHdr"/>
        </w:types>
        <w:behaviors>
          <w:behavior w:val="content"/>
        </w:behaviors>
        <w:guid w:val="{AA04E4AB-B62B-EA4D-9A70-818E7436B2CE}"/>
      </w:docPartPr>
      <w:docPartBody>
        <w:p w14:paraId="42288066" w14:textId="00243833" w:rsidR="00860E0C" w:rsidRDefault="00860E0C" w:rsidP="00860E0C">
          <w:pPr>
            <w:pStyle w:val="B24F1B9AACDEAE4D963F6A3EA0E14D66"/>
          </w:pPr>
          <w:r>
            <w:t>[Type text]</w:t>
          </w:r>
        </w:p>
      </w:docPartBody>
    </w:docPart>
    <w:docPart>
      <w:docPartPr>
        <w:name w:val="D88CDC1DDB6DE9489DAEC4E6DFD0ED4C"/>
        <w:category>
          <w:name w:val="General"/>
          <w:gallery w:val="placeholder"/>
        </w:category>
        <w:types>
          <w:type w:val="bbPlcHdr"/>
        </w:types>
        <w:behaviors>
          <w:behavior w:val="content"/>
        </w:behaviors>
        <w:guid w:val="{DBE5642C-B7C9-4940-92B9-1B537D924508}"/>
      </w:docPartPr>
      <w:docPartBody>
        <w:p w14:paraId="30A44B6B" w14:textId="3E399BDA" w:rsidR="00860E0C" w:rsidRDefault="00860E0C" w:rsidP="00860E0C">
          <w:pPr>
            <w:pStyle w:val="D88CDC1DDB6DE9489DAEC4E6DFD0ED4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E0C"/>
    <w:rsid w:val="001D1DF7"/>
    <w:rsid w:val="002A0952"/>
    <w:rsid w:val="00434CEE"/>
    <w:rsid w:val="00495D63"/>
    <w:rsid w:val="007A5BB1"/>
    <w:rsid w:val="00860E0C"/>
    <w:rsid w:val="009F1CF3"/>
    <w:rsid w:val="00CB6E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38195FA3BE8C42818B5DB221FCC205">
    <w:name w:val="3838195FA3BE8C42818B5DB221FCC205"/>
    <w:rsid w:val="00860E0C"/>
  </w:style>
  <w:style w:type="paragraph" w:customStyle="1" w:styleId="B24F1B9AACDEAE4D963F6A3EA0E14D66">
    <w:name w:val="B24F1B9AACDEAE4D963F6A3EA0E14D66"/>
    <w:rsid w:val="00860E0C"/>
  </w:style>
  <w:style w:type="paragraph" w:customStyle="1" w:styleId="D88CDC1DDB6DE9489DAEC4E6DFD0ED4C">
    <w:name w:val="D88CDC1DDB6DE9489DAEC4E6DFD0ED4C"/>
    <w:rsid w:val="00860E0C"/>
  </w:style>
  <w:style w:type="paragraph" w:customStyle="1" w:styleId="61C17C56F3A3DD40BE052E77458DBD12">
    <w:name w:val="61C17C56F3A3DD40BE052E77458DBD12"/>
    <w:rsid w:val="00860E0C"/>
  </w:style>
  <w:style w:type="paragraph" w:customStyle="1" w:styleId="6310F87F73AB9A49B4AFF7B6243784F5">
    <w:name w:val="6310F87F73AB9A49B4AFF7B6243784F5"/>
    <w:rsid w:val="00860E0C"/>
  </w:style>
  <w:style w:type="paragraph" w:customStyle="1" w:styleId="ED54D37C6BECD046ACBB85823454B028">
    <w:name w:val="ED54D37C6BECD046ACBB85823454B028"/>
    <w:rsid w:val="00860E0C"/>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38195FA3BE8C42818B5DB221FCC205">
    <w:name w:val="3838195FA3BE8C42818B5DB221FCC205"/>
    <w:rsid w:val="00860E0C"/>
  </w:style>
  <w:style w:type="paragraph" w:customStyle="1" w:styleId="B24F1B9AACDEAE4D963F6A3EA0E14D66">
    <w:name w:val="B24F1B9AACDEAE4D963F6A3EA0E14D66"/>
    <w:rsid w:val="00860E0C"/>
  </w:style>
  <w:style w:type="paragraph" w:customStyle="1" w:styleId="D88CDC1DDB6DE9489DAEC4E6DFD0ED4C">
    <w:name w:val="D88CDC1DDB6DE9489DAEC4E6DFD0ED4C"/>
    <w:rsid w:val="00860E0C"/>
  </w:style>
  <w:style w:type="paragraph" w:customStyle="1" w:styleId="61C17C56F3A3DD40BE052E77458DBD12">
    <w:name w:val="61C17C56F3A3DD40BE052E77458DBD12"/>
    <w:rsid w:val="00860E0C"/>
  </w:style>
  <w:style w:type="paragraph" w:customStyle="1" w:styleId="6310F87F73AB9A49B4AFF7B6243784F5">
    <w:name w:val="6310F87F73AB9A49B4AFF7B6243784F5"/>
    <w:rsid w:val="00860E0C"/>
  </w:style>
  <w:style w:type="paragraph" w:customStyle="1" w:styleId="ED54D37C6BECD046ACBB85823454B028">
    <w:name w:val="ED54D37C6BECD046ACBB85823454B028"/>
    <w:rsid w:val="00860E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18352D969DC0246BF312F63C2250349" ma:contentTypeVersion="139" ma:contentTypeDescription="" ma:contentTypeScope="" ma:versionID="32b1db3d6db5a37f5d1a1e0b074219f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Comment</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2012-06-29T07:00:00+00:00</OpenedDate>
    <Date1 xmlns="dc463f71-b30c-4ab2-9473-d307f9d35888">2012-09-21T07:00:00+00:00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121119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DDFF044-652A-4C2E-9506-60214588F07D}"/>
</file>

<file path=customXml/itemProps2.xml><?xml version="1.0" encoding="utf-8"?>
<ds:datastoreItem xmlns:ds="http://schemas.openxmlformats.org/officeDocument/2006/customXml" ds:itemID="{E17EE67C-FD46-214C-91E8-8A6D6DD310B8}"/>
</file>

<file path=customXml/itemProps3.xml><?xml version="1.0" encoding="utf-8"?>
<ds:datastoreItem xmlns:ds="http://schemas.openxmlformats.org/officeDocument/2006/customXml" ds:itemID="{08391AFD-7F3B-40B6-AE87-11CA717D4A33}"/>
</file>

<file path=customXml/itemProps4.xml><?xml version="1.0" encoding="utf-8"?>
<ds:datastoreItem xmlns:ds="http://schemas.openxmlformats.org/officeDocument/2006/customXml" ds:itemID="{DA9ED7F1-2A81-4645-B88B-C8F0BEE0DC1D}"/>
</file>

<file path=customXml/itemProps5.xml><?xml version="1.0" encoding="utf-8"?>
<ds:datastoreItem xmlns:ds="http://schemas.openxmlformats.org/officeDocument/2006/customXml" ds:itemID="{DB7B5D86-CF96-4942-806F-422C953EA7A3}"/>
</file>

<file path=docProps/app.xml><?xml version="1.0" encoding="utf-8"?>
<Properties xmlns="http://schemas.openxmlformats.org/officeDocument/2006/extended-properties" xmlns:vt="http://schemas.openxmlformats.org/officeDocument/2006/docPropsVTypes">
  <Template>Normal.dotm</Template>
  <TotalTime>1</TotalTime>
  <Pages>4</Pages>
  <Words>1077</Words>
  <Characters>6141</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ladial</dc:creator>
  <cp:lastModifiedBy>Lynne Dial</cp:lastModifiedBy>
  <cp:revision>2</cp:revision>
  <cp:lastPrinted>2012-08-31T22:35:00Z</cp:lastPrinted>
  <dcterms:created xsi:type="dcterms:W3CDTF">2012-09-21T22:17:00Z</dcterms:created>
  <dcterms:modified xsi:type="dcterms:W3CDTF">2012-09-21T22:17:00Z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0x0101006E56B4D1795A2E4DB2F0B01679ED314A00818352D969DC0246BF312F63C2250349</vt:lpwstr>
  </property>
  <property fmtid="{D5CDD505-2E9C-101B-9397-08002B2CF9AE}" pid="3" name="_docset_NoMedatataSyncRequired">
    <vt:lpwstr>False</vt:lpwstr>
  </property>
</Properties>
</file>