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97" w:rsidRPr="003A7B35" w:rsidRDefault="003E2C97" w:rsidP="00B3599E">
      <w:pPr>
        <w:pStyle w:val="BodyText"/>
        <w:spacing w:line="264" w:lineRule="auto"/>
        <w:rPr>
          <w:b/>
          <w:bCs/>
          <w:sz w:val="25"/>
          <w:szCs w:val="25"/>
        </w:rPr>
      </w:pPr>
      <w:bookmarkStart w:id="0" w:name="_GoBack"/>
      <w:bookmarkEnd w:id="0"/>
      <w:r w:rsidRPr="003A7B35">
        <w:rPr>
          <w:b/>
          <w:bCs/>
          <w:sz w:val="25"/>
          <w:szCs w:val="25"/>
        </w:rPr>
        <w:t>BEFORE THE WASHINGTON</w:t>
      </w:r>
    </w:p>
    <w:p w:rsidR="003E2C97" w:rsidRPr="003A7B35" w:rsidRDefault="003E2C97" w:rsidP="00B3599E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:rsidR="003E2C97" w:rsidRDefault="003E2C97" w:rsidP="00B3599E">
      <w:pPr>
        <w:pStyle w:val="BodyText"/>
        <w:spacing w:line="264" w:lineRule="auto"/>
        <w:rPr>
          <w:sz w:val="25"/>
          <w:szCs w:val="25"/>
        </w:rPr>
      </w:pPr>
    </w:p>
    <w:p w:rsidR="00B3599E" w:rsidRPr="003A7B35" w:rsidRDefault="00B3599E" w:rsidP="00B3599E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3E2C97" w:rsidRPr="003A7B35" w:rsidTr="000A4BCA">
        <w:trPr>
          <w:trHeight w:val="2025"/>
        </w:trPr>
        <w:tc>
          <w:tcPr>
            <w:tcW w:w="4372" w:type="dxa"/>
          </w:tcPr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a</w:t>
            </w:r>
            <w:r w:rsidRPr="003A7B35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Penalty Assessment Against </w:t>
            </w:r>
          </w:p>
          <w:p w:rsidR="007C3B22" w:rsidRDefault="007C3B22" w:rsidP="00B3599E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365C7F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QUICK MOVE TRANSPORT, LLC</w:t>
            </w:r>
            <w:r w:rsidR="003E2C97">
              <w:rPr>
                <w:bCs/>
                <w:sz w:val="25"/>
                <w:szCs w:val="25"/>
              </w:rPr>
              <w:t xml:space="preserve">, </w:t>
            </w:r>
          </w:p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7C3B22">
              <w:rPr>
                <w:bCs/>
                <w:sz w:val="25"/>
                <w:szCs w:val="25"/>
              </w:rPr>
              <w:t>2</w:t>
            </w:r>
            <w:r w:rsidR="00365C7F">
              <w:rPr>
                <w:bCs/>
                <w:sz w:val="25"/>
                <w:szCs w:val="25"/>
              </w:rPr>
              <w:t>5</w:t>
            </w:r>
            <w:r w:rsidR="007C3B22">
              <w:rPr>
                <w:bCs/>
                <w:sz w:val="25"/>
                <w:szCs w:val="25"/>
              </w:rPr>
              <w:t>0</w:t>
            </w:r>
            <w:r>
              <w:rPr>
                <w:bCs/>
                <w:sz w:val="25"/>
                <w:szCs w:val="25"/>
              </w:rPr>
              <w:t>.00.</w:t>
            </w:r>
          </w:p>
          <w:p w:rsidR="00954A80" w:rsidRDefault="00954A80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954A80" w:rsidRPr="003A7B35" w:rsidRDefault="00954A80" w:rsidP="00B3599E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DOCKET </w:t>
            </w:r>
            <w:r>
              <w:rPr>
                <w:bCs/>
                <w:sz w:val="25"/>
                <w:szCs w:val="25"/>
              </w:rPr>
              <w:t>TV-</w:t>
            </w:r>
            <w:r w:rsidR="00F747CB">
              <w:rPr>
                <w:bCs/>
                <w:sz w:val="25"/>
                <w:szCs w:val="25"/>
              </w:rPr>
              <w:t>120942</w:t>
            </w:r>
          </w:p>
          <w:p w:rsidR="003E2C97" w:rsidRDefault="003E2C97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ORDER 0</w:t>
            </w:r>
            <w:r>
              <w:rPr>
                <w:bCs/>
                <w:sz w:val="25"/>
                <w:szCs w:val="25"/>
              </w:rPr>
              <w:t>1</w:t>
            </w:r>
          </w:p>
          <w:p w:rsidR="003E2C97" w:rsidRDefault="003E2C97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954A80" w:rsidRDefault="00954A80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365C7F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365C7F">
              <w:rPr>
                <w:sz w:val="25"/>
                <w:szCs w:val="25"/>
              </w:rPr>
              <w:t>DENYING MITIGATION</w:t>
            </w:r>
          </w:p>
        </w:tc>
      </w:tr>
    </w:tbl>
    <w:p w:rsidR="00954A80" w:rsidRDefault="00954A80" w:rsidP="00B3599E">
      <w:pPr>
        <w:spacing w:line="264" w:lineRule="auto"/>
        <w:rPr>
          <w:sz w:val="25"/>
          <w:szCs w:val="25"/>
        </w:rPr>
      </w:pPr>
    </w:p>
    <w:p w:rsidR="00E13E08" w:rsidRPr="00E13E08" w:rsidRDefault="00E13E08" w:rsidP="00E13E08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MEMORANDUM</w:t>
      </w:r>
    </w:p>
    <w:p w:rsidR="00E13E08" w:rsidRPr="00B3599E" w:rsidRDefault="00E13E08" w:rsidP="00B3599E">
      <w:pPr>
        <w:spacing w:line="264" w:lineRule="auto"/>
        <w:rPr>
          <w:sz w:val="25"/>
          <w:szCs w:val="25"/>
        </w:rPr>
      </w:pPr>
    </w:p>
    <w:p w:rsidR="00F43A92" w:rsidRDefault="003E2C97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F43A92">
        <w:rPr>
          <w:b/>
          <w:bCs/>
          <w:sz w:val="25"/>
          <w:szCs w:val="25"/>
        </w:rPr>
        <w:t>Penalty.</w:t>
      </w:r>
      <w:r w:rsidRPr="00F43A92">
        <w:rPr>
          <w:sz w:val="25"/>
          <w:szCs w:val="25"/>
        </w:rPr>
        <w:t xml:space="preserve">  On </w:t>
      </w:r>
      <w:r w:rsidR="007C3B22" w:rsidRPr="00F43A92">
        <w:rPr>
          <w:sz w:val="25"/>
          <w:szCs w:val="25"/>
        </w:rPr>
        <w:t>July 24</w:t>
      </w:r>
      <w:r w:rsidRPr="00F43A92">
        <w:rPr>
          <w:sz w:val="25"/>
          <w:szCs w:val="25"/>
        </w:rPr>
        <w:t xml:space="preserve">, 2012, the Washington Utilities and Transportation Commission (Commission) assessed a </w:t>
      </w:r>
      <w:r w:rsidR="00365C7F">
        <w:rPr>
          <w:sz w:val="25"/>
          <w:szCs w:val="25"/>
        </w:rPr>
        <w:t xml:space="preserve">mitigated </w:t>
      </w:r>
      <w:r w:rsidRPr="00F43A92">
        <w:rPr>
          <w:sz w:val="25"/>
          <w:szCs w:val="25"/>
        </w:rPr>
        <w:t>penalty of $</w:t>
      </w:r>
      <w:r w:rsidR="007C3B22" w:rsidRPr="00F43A92">
        <w:rPr>
          <w:sz w:val="25"/>
          <w:szCs w:val="25"/>
        </w:rPr>
        <w:t>2</w:t>
      </w:r>
      <w:r w:rsidR="00365C7F">
        <w:rPr>
          <w:sz w:val="25"/>
          <w:szCs w:val="25"/>
        </w:rPr>
        <w:t>5</w:t>
      </w:r>
      <w:r w:rsidRPr="00F43A92">
        <w:rPr>
          <w:sz w:val="25"/>
          <w:szCs w:val="25"/>
        </w:rPr>
        <w:t xml:space="preserve">0 against </w:t>
      </w:r>
      <w:r w:rsidR="00365C7F">
        <w:rPr>
          <w:sz w:val="25"/>
          <w:szCs w:val="25"/>
        </w:rPr>
        <w:t>Quick Move Transport, LLC (Quick Move</w:t>
      </w:r>
      <w:r w:rsidR="007C3B22" w:rsidRPr="00F43A92">
        <w:rPr>
          <w:sz w:val="25"/>
          <w:szCs w:val="25"/>
        </w:rPr>
        <w:t>)</w:t>
      </w:r>
      <w:r w:rsidRPr="00F43A92">
        <w:rPr>
          <w:sz w:val="25"/>
          <w:szCs w:val="25"/>
        </w:rPr>
        <w:t>, for violation</w:t>
      </w:r>
      <w:r w:rsidR="00F43A92" w:rsidRPr="00F43A92">
        <w:rPr>
          <w:sz w:val="25"/>
          <w:szCs w:val="25"/>
        </w:rPr>
        <w:t>s</w:t>
      </w:r>
      <w:r w:rsidRPr="00F43A92">
        <w:rPr>
          <w:sz w:val="25"/>
          <w:szCs w:val="25"/>
        </w:rPr>
        <w:t xml:space="preserve"> of Washington Administrative Code (WAC) 480-15-</w:t>
      </w:r>
      <w:r w:rsidR="007C3B22" w:rsidRPr="00F43A92">
        <w:rPr>
          <w:sz w:val="25"/>
          <w:szCs w:val="25"/>
        </w:rPr>
        <w:t>48</w:t>
      </w:r>
      <w:r w:rsidRPr="00F43A92">
        <w:rPr>
          <w:sz w:val="25"/>
          <w:szCs w:val="25"/>
        </w:rPr>
        <w:t>0.</w:t>
      </w:r>
      <w:r w:rsidR="00F43A92" w:rsidRPr="00F43A92">
        <w:rPr>
          <w:sz w:val="25"/>
          <w:szCs w:val="25"/>
        </w:rPr>
        <w:t xml:space="preserve">  </w:t>
      </w:r>
      <w:r w:rsidRPr="00F43A92">
        <w:rPr>
          <w:sz w:val="25"/>
          <w:szCs w:val="25"/>
        </w:rPr>
        <w:t xml:space="preserve">This rule requires household goods carriers to </w:t>
      </w:r>
      <w:r w:rsidR="007C3B22" w:rsidRPr="00F43A92">
        <w:rPr>
          <w:sz w:val="25"/>
          <w:szCs w:val="25"/>
        </w:rPr>
        <w:t>file</w:t>
      </w:r>
      <w:r w:rsidRPr="00F43A92">
        <w:rPr>
          <w:sz w:val="25"/>
          <w:szCs w:val="25"/>
        </w:rPr>
        <w:t xml:space="preserve"> </w:t>
      </w:r>
      <w:r w:rsidR="007C3B22" w:rsidRPr="00F43A92">
        <w:rPr>
          <w:sz w:val="25"/>
          <w:szCs w:val="25"/>
        </w:rPr>
        <w:t>annual safety reports with the Commission by May 1 each year</w:t>
      </w:r>
      <w:r w:rsidR="00260481" w:rsidRPr="00F43A92">
        <w:rPr>
          <w:sz w:val="25"/>
          <w:szCs w:val="25"/>
        </w:rPr>
        <w:t>.</w:t>
      </w:r>
    </w:p>
    <w:p w:rsidR="00F43A92" w:rsidRDefault="00F43A92" w:rsidP="00AD6FEA">
      <w:pPr>
        <w:spacing w:line="288" w:lineRule="auto"/>
        <w:rPr>
          <w:sz w:val="25"/>
          <w:szCs w:val="25"/>
        </w:rPr>
      </w:pPr>
    </w:p>
    <w:p w:rsidR="00F43A92" w:rsidRDefault="00F43A92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O</w:t>
      </w:r>
      <w:r w:rsidRPr="00F43A92">
        <w:rPr>
          <w:sz w:val="25"/>
          <w:szCs w:val="25"/>
        </w:rPr>
        <w:t xml:space="preserve">n February 29, 2012, the Commission mailed Annual Report forms and Regulatory Fee packets to all regulated </w:t>
      </w:r>
      <w:sdt>
        <w:sdtPr>
          <w:rPr>
            <w:sz w:val="25"/>
            <w:szCs w:val="25"/>
          </w:rPr>
          <w:id w:val="254879471"/>
          <w:placeholder>
            <w:docPart w:val="BAB65551C9F04C09A1336383E1F195C4"/>
          </w:placeholder>
        </w:sdtPr>
        <w:sdtEndPr/>
        <w:sdtContent>
          <w:r w:rsidRPr="00F43A92">
            <w:rPr>
              <w:sz w:val="25"/>
              <w:szCs w:val="25"/>
            </w:rPr>
            <w:t>household goods carriers</w:t>
          </w:r>
        </w:sdtContent>
      </w:sdt>
      <w:r>
        <w:rPr>
          <w:sz w:val="25"/>
          <w:szCs w:val="25"/>
        </w:rPr>
        <w:t xml:space="preserve"> as required by WAC 480-15-480(1)(b)</w:t>
      </w:r>
      <w:r w:rsidRPr="00F43A92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</w:t>
      </w:r>
      <w:r w:rsidRPr="00F43A92">
        <w:rPr>
          <w:sz w:val="25"/>
          <w:szCs w:val="25"/>
        </w:rPr>
        <w:t xml:space="preserve">On May </w:t>
      </w:r>
      <w:sdt>
        <w:sdtPr>
          <w:rPr>
            <w:sz w:val="25"/>
            <w:szCs w:val="25"/>
          </w:rPr>
          <w:id w:val="94452951"/>
          <w:placeholder>
            <w:docPart w:val="FC5945682D214C76B5DC2C7DD7E2A298"/>
          </w:placeholder>
        </w:sdtPr>
        <w:sdtEndPr/>
        <w:sdtContent>
          <w:r w:rsidRPr="00F43A92">
            <w:rPr>
              <w:sz w:val="25"/>
              <w:szCs w:val="25"/>
            </w:rPr>
            <w:t>15</w:t>
          </w:r>
        </w:sdtContent>
      </w:sdt>
      <w:r w:rsidRPr="00F43A92">
        <w:rPr>
          <w:sz w:val="25"/>
          <w:szCs w:val="25"/>
        </w:rPr>
        <w:t>, 2012, the Commission mailed a letter to companies that had not yet filed an annual report notifying them that they had incurred, as of that date, a penalty of $</w:t>
      </w:r>
      <w:sdt>
        <w:sdtPr>
          <w:rPr>
            <w:sz w:val="25"/>
            <w:szCs w:val="25"/>
          </w:rPr>
          <w:id w:val="1093822728"/>
          <w:placeholder>
            <w:docPart w:val="FC5945682D214C76B5DC2C7DD7E2A298"/>
          </w:placeholder>
        </w:sdtPr>
        <w:sdtEndPr/>
        <w:sdtContent>
          <w:r w:rsidRPr="00F43A92">
            <w:rPr>
              <w:sz w:val="25"/>
              <w:szCs w:val="25"/>
            </w:rPr>
            <w:t>900</w:t>
          </w:r>
        </w:sdtContent>
      </w:sdt>
      <w:r w:rsidRPr="00F43A92">
        <w:rPr>
          <w:sz w:val="25"/>
          <w:szCs w:val="25"/>
        </w:rPr>
        <w:t>. The letter explained that companies who filed their annual reports no later than May 25, 2012</w:t>
      </w:r>
      <w:r w:rsidR="00D97A09">
        <w:rPr>
          <w:sz w:val="25"/>
          <w:szCs w:val="25"/>
        </w:rPr>
        <w:t>,</w:t>
      </w:r>
      <w:r w:rsidRPr="00F43A92">
        <w:rPr>
          <w:sz w:val="25"/>
          <w:szCs w:val="25"/>
        </w:rPr>
        <w:t xml:space="preserve"> would receive mitigated penalties of $25 per day, with an additional $25 per day assessed for each instance in the previous five years that the company received a penalty for filing a late report.</w:t>
      </w:r>
    </w:p>
    <w:p w:rsidR="00F43A92" w:rsidRDefault="00F43A92" w:rsidP="00AD6FEA">
      <w:pPr>
        <w:pStyle w:val="ListParagraph"/>
        <w:spacing w:line="288" w:lineRule="auto"/>
        <w:rPr>
          <w:sz w:val="25"/>
          <w:szCs w:val="25"/>
        </w:rPr>
      </w:pPr>
    </w:p>
    <w:p w:rsidR="003E2C97" w:rsidRPr="00F43A92" w:rsidRDefault="00365C7F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Quick Move filed</w:t>
      </w:r>
      <w:r w:rsidR="00F43A92" w:rsidRPr="00F43A92">
        <w:rPr>
          <w:sz w:val="25"/>
          <w:szCs w:val="25"/>
        </w:rPr>
        <w:t xml:space="preserve"> its 2011 annual report </w:t>
      </w:r>
      <w:r>
        <w:rPr>
          <w:sz w:val="25"/>
          <w:szCs w:val="25"/>
        </w:rPr>
        <w:t>on May 15</w:t>
      </w:r>
      <w:r w:rsidR="00F43A92" w:rsidRPr="00F43A92">
        <w:rPr>
          <w:sz w:val="25"/>
          <w:szCs w:val="25"/>
        </w:rPr>
        <w:t xml:space="preserve">, 2012.  This is </w:t>
      </w:r>
      <w:r w:rsidR="009A6F01">
        <w:rPr>
          <w:sz w:val="25"/>
          <w:szCs w:val="25"/>
        </w:rPr>
        <w:t>14</w:t>
      </w:r>
      <w:r w:rsidR="00F43A92" w:rsidRPr="00F43A92">
        <w:rPr>
          <w:sz w:val="25"/>
          <w:szCs w:val="25"/>
        </w:rPr>
        <w:t xml:space="preserve"> days late, making the company liable for a penalty of up to $</w:t>
      </w:r>
      <w:r w:rsidR="009A6F01">
        <w:rPr>
          <w:sz w:val="25"/>
          <w:szCs w:val="25"/>
        </w:rPr>
        <w:t>1</w:t>
      </w:r>
      <w:r w:rsidR="00F43A92" w:rsidRPr="00F43A92">
        <w:rPr>
          <w:sz w:val="25"/>
          <w:szCs w:val="25"/>
        </w:rPr>
        <w:t>,</w:t>
      </w:r>
      <w:r w:rsidR="009A6F01">
        <w:rPr>
          <w:sz w:val="25"/>
          <w:szCs w:val="25"/>
        </w:rPr>
        <w:t>4</w:t>
      </w:r>
      <w:r w:rsidR="00F43A92" w:rsidRPr="00F43A92">
        <w:rPr>
          <w:sz w:val="25"/>
          <w:szCs w:val="25"/>
        </w:rPr>
        <w:t>00</w:t>
      </w:r>
      <w:r w:rsidR="00F152D3">
        <w:rPr>
          <w:sz w:val="25"/>
          <w:szCs w:val="25"/>
        </w:rPr>
        <w:t xml:space="preserve"> as provided in </w:t>
      </w:r>
      <w:r w:rsidR="00F152D3" w:rsidRPr="008678A6">
        <w:t xml:space="preserve">RCW </w:t>
      </w:r>
      <w:hyperlink r:id="rId9" w:history="1">
        <w:r w:rsidR="00F152D3" w:rsidRPr="007A0C6C">
          <w:t>81.04.405</w:t>
        </w:r>
      </w:hyperlink>
      <w:r w:rsidR="00F43A92" w:rsidRPr="00F43A92">
        <w:rPr>
          <w:sz w:val="25"/>
          <w:szCs w:val="25"/>
        </w:rPr>
        <w:t>.</w:t>
      </w:r>
      <w:r w:rsidR="00E16BA9">
        <w:rPr>
          <w:sz w:val="25"/>
          <w:szCs w:val="25"/>
        </w:rPr>
        <w:t xml:space="preserve">  </w:t>
      </w:r>
      <w:r w:rsidR="00156138">
        <w:rPr>
          <w:sz w:val="25"/>
          <w:szCs w:val="25"/>
        </w:rPr>
        <w:t xml:space="preserve">Even under the Commission’s offer of mitigation for violations cured by May 25, 2012, Quick Move was subject to a penalty of $350.  </w:t>
      </w:r>
      <w:r w:rsidR="00E16BA9">
        <w:rPr>
          <w:sz w:val="25"/>
          <w:szCs w:val="25"/>
        </w:rPr>
        <w:t xml:space="preserve">The Commission </w:t>
      </w:r>
      <w:r w:rsidR="00156138">
        <w:rPr>
          <w:sz w:val="25"/>
          <w:szCs w:val="25"/>
        </w:rPr>
        <w:t xml:space="preserve">nevertheless </w:t>
      </w:r>
      <w:r w:rsidR="00E16BA9">
        <w:rPr>
          <w:sz w:val="25"/>
          <w:szCs w:val="25"/>
        </w:rPr>
        <w:t xml:space="preserve">exercised its discretion </w:t>
      </w:r>
      <w:r w:rsidR="00156138">
        <w:rPr>
          <w:sz w:val="25"/>
          <w:szCs w:val="25"/>
        </w:rPr>
        <w:t>and assessed a penalty of $250 against Quick Move based on the number of business days the company’s filing was late, rather than on the basis of calendar days.</w:t>
      </w:r>
      <w:r w:rsidR="00E16BA9">
        <w:rPr>
          <w:sz w:val="25"/>
          <w:szCs w:val="25"/>
        </w:rPr>
        <w:t xml:space="preserve">  </w:t>
      </w:r>
    </w:p>
    <w:p w:rsidR="003E2C97" w:rsidRDefault="003E2C97" w:rsidP="00AD6FEA">
      <w:pPr>
        <w:spacing w:line="288" w:lineRule="auto"/>
        <w:rPr>
          <w:sz w:val="25"/>
          <w:szCs w:val="25"/>
        </w:rPr>
      </w:pPr>
    </w:p>
    <w:p w:rsidR="00954A80" w:rsidRPr="00801D54" w:rsidRDefault="00954A80" w:rsidP="00AD6FEA">
      <w:pPr>
        <w:spacing w:line="288" w:lineRule="auto"/>
        <w:rPr>
          <w:sz w:val="25"/>
          <w:szCs w:val="25"/>
        </w:rPr>
      </w:pPr>
    </w:p>
    <w:p w:rsidR="003E2C97" w:rsidRPr="00156138" w:rsidRDefault="003E2C97" w:rsidP="00156138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17431C">
        <w:rPr>
          <w:b/>
          <w:bCs/>
          <w:sz w:val="25"/>
          <w:szCs w:val="25"/>
        </w:rPr>
        <w:t>Mitigation Request.</w:t>
      </w:r>
      <w:r w:rsidRPr="0017431C">
        <w:rPr>
          <w:sz w:val="25"/>
          <w:szCs w:val="25"/>
        </w:rPr>
        <w:t xml:space="preserve">  </w:t>
      </w:r>
      <w:r w:rsidR="00156138">
        <w:rPr>
          <w:sz w:val="25"/>
          <w:szCs w:val="25"/>
        </w:rPr>
        <w:t xml:space="preserve">On July 30, 2012, </w:t>
      </w:r>
      <w:r w:rsidR="00156138" w:rsidRPr="00156138">
        <w:t xml:space="preserve">the company filed a form provided by the Commission requesting mitigation of the penalty (Mitigation Request).  In its Mitigation Request, </w:t>
      </w:r>
      <w:r w:rsidR="00156138">
        <w:t>Quick Move</w:t>
      </w:r>
      <w:r w:rsidR="00156138" w:rsidRPr="00156138">
        <w:t xml:space="preserve"> does not dispute that the violation occurred.  </w:t>
      </w:r>
      <w:r w:rsidR="00156138">
        <w:t>The company states that its late filing resulted from misreading information on the Commission’s web site, which led the company to believe the filing deadline was May 15, not May 1</w:t>
      </w:r>
      <w:r w:rsidR="00685C85">
        <w:t>.</w:t>
      </w:r>
      <w:r w:rsidR="00221FBE">
        <w:t xml:space="preserve">  The Mitigation Request states that the company’s late filing was “caused by a simple mistake, and one that will not happen again.”</w:t>
      </w:r>
    </w:p>
    <w:p w:rsidR="003E2C97" w:rsidRDefault="003E2C97" w:rsidP="00AD6FEA">
      <w:pPr>
        <w:pStyle w:val="ListParagraph"/>
        <w:spacing w:line="288" w:lineRule="auto"/>
        <w:rPr>
          <w:sz w:val="25"/>
          <w:szCs w:val="25"/>
        </w:rPr>
      </w:pPr>
    </w:p>
    <w:p w:rsidR="005C1269" w:rsidRPr="005C1269" w:rsidRDefault="003E2C97" w:rsidP="00AD6FEA">
      <w:pPr>
        <w:numPr>
          <w:ilvl w:val="0"/>
          <w:numId w:val="1"/>
        </w:numPr>
        <w:spacing w:line="288" w:lineRule="auto"/>
        <w:ind w:hanging="720"/>
        <w:rPr>
          <w:bCs/>
          <w:sz w:val="25"/>
          <w:szCs w:val="25"/>
        </w:rPr>
      </w:pPr>
      <w:r w:rsidRPr="005C1269">
        <w:rPr>
          <w:b/>
          <w:bCs/>
          <w:sz w:val="25"/>
          <w:szCs w:val="25"/>
        </w:rPr>
        <w:t xml:space="preserve">Commission Staff </w:t>
      </w:r>
      <w:r w:rsidR="00806153" w:rsidRPr="005C1269">
        <w:rPr>
          <w:b/>
          <w:bCs/>
          <w:sz w:val="25"/>
          <w:szCs w:val="25"/>
        </w:rPr>
        <w:t>Support for</w:t>
      </w:r>
      <w:r w:rsidRPr="005C1269">
        <w:rPr>
          <w:b/>
          <w:bCs/>
          <w:sz w:val="25"/>
          <w:szCs w:val="25"/>
        </w:rPr>
        <w:t xml:space="preserve"> </w:t>
      </w:r>
      <w:r w:rsidR="000A4BCA" w:rsidRPr="005C1269">
        <w:rPr>
          <w:b/>
          <w:bCs/>
          <w:sz w:val="25"/>
          <w:szCs w:val="25"/>
        </w:rPr>
        <w:t xml:space="preserve">Partial </w:t>
      </w:r>
      <w:r w:rsidRPr="005C1269">
        <w:rPr>
          <w:b/>
          <w:bCs/>
          <w:sz w:val="25"/>
          <w:szCs w:val="25"/>
        </w:rPr>
        <w:t>Mitigation.</w:t>
      </w:r>
      <w:r w:rsidRPr="005C1269">
        <w:rPr>
          <w:bCs/>
          <w:sz w:val="25"/>
          <w:szCs w:val="25"/>
        </w:rPr>
        <w:t xml:space="preserve">  Commission Staff filed a Response </w:t>
      </w:r>
      <w:r w:rsidR="00806153" w:rsidRPr="005C1269">
        <w:rPr>
          <w:bCs/>
          <w:sz w:val="25"/>
          <w:szCs w:val="25"/>
        </w:rPr>
        <w:t>to</w:t>
      </w:r>
      <w:r w:rsidRPr="005C1269">
        <w:rPr>
          <w:bCs/>
          <w:sz w:val="25"/>
          <w:szCs w:val="25"/>
        </w:rPr>
        <w:t xml:space="preserve"> </w:t>
      </w:r>
      <w:r w:rsidR="005C1269">
        <w:rPr>
          <w:bCs/>
          <w:sz w:val="25"/>
          <w:szCs w:val="25"/>
        </w:rPr>
        <w:t>the Mitigation Request</w:t>
      </w:r>
      <w:r w:rsidRPr="005C1269">
        <w:rPr>
          <w:bCs/>
          <w:sz w:val="25"/>
          <w:szCs w:val="25"/>
        </w:rPr>
        <w:t xml:space="preserve"> on </w:t>
      </w:r>
      <w:r w:rsidR="00221FBE">
        <w:rPr>
          <w:bCs/>
          <w:sz w:val="25"/>
          <w:szCs w:val="25"/>
        </w:rPr>
        <w:t>August 2</w:t>
      </w:r>
      <w:r w:rsidRPr="005C1269">
        <w:rPr>
          <w:bCs/>
          <w:sz w:val="25"/>
          <w:szCs w:val="25"/>
        </w:rPr>
        <w:t>, 201</w:t>
      </w:r>
      <w:r w:rsidR="00806153" w:rsidRPr="005C1269">
        <w:rPr>
          <w:bCs/>
          <w:sz w:val="25"/>
          <w:szCs w:val="25"/>
        </w:rPr>
        <w:t>2</w:t>
      </w:r>
      <w:r w:rsidRPr="005C1269">
        <w:rPr>
          <w:bCs/>
          <w:sz w:val="25"/>
          <w:szCs w:val="25"/>
        </w:rPr>
        <w:t>.</w:t>
      </w:r>
      <w:r w:rsidR="00BA06CD" w:rsidRPr="005C1269">
        <w:rPr>
          <w:bCs/>
          <w:sz w:val="25"/>
          <w:szCs w:val="25"/>
        </w:rPr>
        <w:t xml:space="preserve">  </w:t>
      </w:r>
      <w:r w:rsidR="000A4BCA" w:rsidRPr="000A4BCA">
        <w:t>Staff</w:t>
      </w:r>
      <w:r w:rsidR="00B34F65">
        <w:t xml:space="preserve"> </w:t>
      </w:r>
      <w:r w:rsidR="000A4BCA" w:rsidRPr="000A4BCA">
        <w:t xml:space="preserve">supports mitigating the assessed penalty from </w:t>
      </w:r>
      <w:sdt>
        <w:sdtPr>
          <w:id w:val="919063946"/>
          <w:placeholder>
            <w:docPart w:val="5B06C99348C84F689EDCAC31D0068047"/>
          </w:placeholder>
        </w:sdtPr>
        <w:sdtEndPr/>
        <w:sdtContent>
          <w:r w:rsidR="000A4BCA" w:rsidRPr="000A4BCA">
            <w:t>$2</w:t>
          </w:r>
          <w:r w:rsidR="00221FBE">
            <w:t>50</w:t>
          </w:r>
        </w:sdtContent>
      </w:sdt>
      <w:r w:rsidR="000A4BCA" w:rsidRPr="000A4BCA">
        <w:t xml:space="preserve"> to $</w:t>
      </w:r>
      <w:sdt>
        <w:sdtPr>
          <w:id w:val="-1506047478"/>
          <w:placeholder>
            <w:docPart w:val="5B06C99348C84F689EDCAC31D0068047"/>
          </w:placeholder>
        </w:sdtPr>
        <w:sdtEndPr/>
        <w:sdtContent>
          <w:r w:rsidR="000A4BCA" w:rsidRPr="000A4BCA">
            <w:t>1</w:t>
          </w:r>
          <w:r w:rsidR="00221FBE">
            <w:t>25</w:t>
          </w:r>
        </w:sdtContent>
      </w:sdt>
      <w:r w:rsidR="000A4BCA" w:rsidRPr="000A4BCA">
        <w:t xml:space="preserve"> because this is </w:t>
      </w:r>
      <w:r w:rsidR="00221FBE">
        <w:t>Quick Move’s</w:t>
      </w:r>
      <w:r w:rsidR="000A4BCA" w:rsidRPr="000A4BCA">
        <w:t xml:space="preserve"> first offense.</w:t>
      </w:r>
      <w:r w:rsidR="00221FBE">
        <w:t xml:space="preserve">  Quick Move has been subject to the Commission’s jurisdiction since April 2009.</w:t>
      </w:r>
    </w:p>
    <w:p w:rsidR="005C1269" w:rsidRDefault="005C1269" w:rsidP="00AD6FEA">
      <w:pPr>
        <w:pStyle w:val="ListParagraph"/>
        <w:spacing w:line="288" w:lineRule="auto"/>
        <w:rPr>
          <w:bCs/>
          <w:sz w:val="25"/>
          <w:szCs w:val="25"/>
        </w:rPr>
      </w:pPr>
    </w:p>
    <w:p w:rsidR="00D97A09" w:rsidRDefault="003E2C97" w:rsidP="00D3195F">
      <w:pPr>
        <w:numPr>
          <w:ilvl w:val="0"/>
          <w:numId w:val="1"/>
        </w:numPr>
        <w:tabs>
          <w:tab w:val="clear" w:pos="0"/>
        </w:tabs>
        <w:spacing w:after="200" w:line="276" w:lineRule="auto"/>
        <w:ind w:hanging="720"/>
        <w:contextualSpacing/>
        <w:rPr>
          <w:sz w:val="25"/>
          <w:szCs w:val="25"/>
        </w:rPr>
      </w:pPr>
      <w:r w:rsidRPr="00D3195F">
        <w:rPr>
          <w:b/>
          <w:bCs/>
          <w:sz w:val="25"/>
          <w:szCs w:val="25"/>
        </w:rPr>
        <w:t>Commission De</w:t>
      </w:r>
      <w:r w:rsidR="00267026" w:rsidRPr="00D3195F">
        <w:rPr>
          <w:b/>
          <w:bCs/>
          <w:sz w:val="25"/>
          <w:szCs w:val="25"/>
        </w:rPr>
        <w:t>termination</w:t>
      </w:r>
      <w:r w:rsidRPr="00D3195F">
        <w:rPr>
          <w:b/>
          <w:bCs/>
          <w:sz w:val="25"/>
          <w:szCs w:val="25"/>
        </w:rPr>
        <w:t>.</w:t>
      </w:r>
      <w:r w:rsidRPr="00D3195F">
        <w:rPr>
          <w:sz w:val="25"/>
          <w:szCs w:val="25"/>
        </w:rPr>
        <w:t xml:space="preserve">  The Commission </w:t>
      </w:r>
      <w:r w:rsidR="00267026" w:rsidRPr="00D3195F">
        <w:rPr>
          <w:sz w:val="25"/>
          <w:szCs w:val="25"/>
        </w:rPr>
        <w:t xml:space="preserve">determines that it should </w:t>
      </w:r>
      <w:r w:rsidR="00221FBE" w:rsidRPr="00D3195F">
        <w:rPr>
          <w:sz w:val="25"/>
          <w:szCs w:val="25"/>
        </w:rPr>
        <w:t>deny</w:t>
      </w:r>
      <w:r w:rsidR="00B620D0" w:rsidRPr="00D3195F">
        <w:rPr>
          <w:sz w:val="25"/>
          <w:szCs w:val="25"/>
        </w:rPr>
        <w:t xml:space="preserve"> the </w:t>
      </w:r>
      <w:r w:rsidR="005C1269" w:rsidRPr="00D3195F">
        <w:rPr>
          <w:sz w:val="25"/>
          <w:szCs w:val="25"/>
        </w:rPr>
        <w:t>Mitigation Request</w:t>
      </w:r>
      <w:r w:rsidR="00221FBE" w:rsidRPr="00D3195F">
        <w:rPr>
          <w:sz w:val="25"/>
          <w:szCs w:val="25"/>
        </w:rPr>
        <w:t>.  T</w:t>
      </w:r>
      <w:r w:rsidR="00B620D0" w:rsidRPr="00D3195F">
        <w:rPr>
          <w:sz w:val="25"/>
          <w:szCs w:val="25"/>
        </w:rPr>
        <w:t>his decision is based on the</w:t>
      </w:r>
      <w:r w:rsidR="00666BCF">
        <w:rPr>
          <w:sz w:val="25"/>
          <w:szCs w:val="25"/>
        </w:rPr>
        <w:t xml:space="preserve"> Commission’s</w:t>
      </w:r>
      <w:r w:rsidR="00B620D0" w:rsidRPr="00D3195F">
        <w:rPr>
          <w:sz w:val="25"/>
          <w:szCs w:val="25"/>
        </w:rPr>
        <w:t xml:space="preserve"> </w:t>
      </w:r>
      <w:r w:rsidR="00666BCF">
        <w:rPr>
          <w:sz w:val="25"/>
          <w:szCs w:val="25"/>
        </w:rPr>
        <w:t>judgment</w:t>
      </w:r>
      <w:r w:rsidR="00221FBE" w:rsidRPr="00D3195F">
        <w:rPr>
          <w:sz w:val="25"/>
          <w:szCs w:val="25"/>
        </w:rPr>
        <w:t xml:space="preserve"> that the</w:t>
      </w:r>
      <w:r w:rsidR="00365E25" w:rsidRPr="00D3195F">
        <w:rPr>
          <w:sz w:val="25"/>
          <w:szCs w:val="25"/>
        </w:rPr>
        <w:t xml:space="preserve"> </w:t>
      </w:r>
      <w:r w:rsidR="00221FBE" w:rsidRPr="00D3195F">
        <w:rPr>
          <w:sz w:val="25"/>
          <w:szCs w:val="25"/>
        </w:rPr>
        <w:t xml:space="preserve">$250 penalty assessed </w:t>
      </w:r>
      <w:r w:rsidR="00365E25" w:rsidRPr="00D3195F">
        <w:rPr>
          <w:sz w:val="25"/>
          <w:szCs w:val="25"/>
        </w:rPr>
        <w:t>is a reasonable punitive measure to impose for the company’s violation of WAC</w:t>
      </w:r>
      <w:r w:rsidR="00D3195F">
        <w:rPr>
          <w:sz w:val="25"/>
          <w:szCs w:val="25"/>
        </w:rPr>
        <w:t xml:space="preserve"> </w:t>
      </w:r>
      <w:r w:rsidR="00365E25" w:rsidRPr="00D3195F">
        <w:rPr>
          <w:sz w:val="25"/>
          <w:szCs w:val="25"/>
        </w:rPr>
        <w:t>480-15-480</w:t>
      </w:r>
      <w:r w:rsidR="00E13E08" w:rsidRPr="00D3195F">
        <w:rPr>
          <w:sz w:val="25"/>
          <w:szCs w:val="25"/>
        </w:rPr>
        <w:t>.</w:t>
      </w:r>
      <w:r w:rsidR="00D3195F">
        <w:rPr>
          <w:sz w:val="25"/>
          <w:szCs w:val="25"/>
        </w:rPr>
        <w:t xml:space="preserve">  </w:t>
      </w:r>
      <w:r w:rsidR="00365E25" w:rsidRPr="00D3195F">
        <w:rPr>
          <w:sz w:val="25"/>
          <w:szCs w:val="25"/>
        </w:rPr>
        <w:t xml:space="preserve">While the Commission’s primary goal in taking enforcement actions in the form of penalty assessments is to gain </w:t>
      </w:r>
      <w:r w:rsidR="00666BCF">
        <w:rPr>
          <w:sz w:val="25"/>
          <w:szCs w:val="25"/>
        </w:rPr>
        <w:t xml:space="preserve">current </w:t>
      </w:r>
      <w:r w:rsidR="00365E25" w:rsidRPr="00D3195F">
        <w:rPr>
          <w:sz w:val="25"/>
          <w:szCs w:val="25"/>
        </w:rPr>
        <w:t xml:space="preserve">compliance and promote future compliance, a secondary goal is to impress upon participants that </w:t>
      </w:r>
      <w:r w:rsidR="00614853" w:rsidRPr="00D3195F">
        <w:rPr>
          <w:sz w:val="25"/>
          <w:szCs w:val="25"/>
        </w:rPr>
        <w:t xml:space="preserve">the Commission does not take lightly </w:t>
      </w:r>
      <w:r w:rsidR="00365E25" w:rsidRPr="00D3195F">
        <w:rPr>
          <w:sz w:val="25"/>
          <w:szCs w:val="25"/>
        </w:rPr>
        <w:t>violations</w:t>
      </w:r>
      <w:r w:rsidR="00614853" w:rsidRPr="00D3195F">
        <w:rPr>
          <w:sz w:val="25"/>
          <w:szCs w:val="25"/>
        </w:rPr>
        <w:t xml:space="preserve"> of law related to public safety.  A penalty of $250 reduces by more than 80 percent the maximum penalty for this violation, thus striking a reasonable balance between the two goals of compliance and punishment for </w:t>
      </w:r>
      <w:r w:rsidR="00666BCF">
        <w:rPr>
          <w:sz w:val="25"/>
          <w:szCs w:val="25"/>
        </w:rPr>
        <w:t>this</w:t>
      </w:r>
      <w:r w:rsidR="00614853" w:rsidRPr="00D3195F">
        <w:rPr>
          <w:sz w:val="25"/>
          <w:szCs w:val="25"/>
        </w:rPr>
        <w:t xml:space="preserve"> violation. </w:t>
      </w:r>
      <w:r w:rsidR="00E32C6E" w:rsidRPr="00D3195F">
        <w:rPr>
          <w:sz w:val="25"/>
          <w:szCs w:val="25"/>
        </w:rPr>
        <w:t xml:space="preserve"> </w:t>
      </w:r>
    </w:p>
    <w:p w:rsidR="00D3195F" w:rsidRPr="00D3195F" w:rsidRDefault="00D3195F" w:rsidP="00D3195F">
      <w:pPr>
        <w:spacing w:after="200" w:line="276" w:lineRule="auto"/>
        <w:contextualSpacing/>
        <w:rPr>
          <w:sz w:val="25"/>
          <w:szCs w:val="25"/>
        </w:rPr>
      </w:pPr>
    </w:p>
    <w:p w:rsidR="00267026" w:rsidRPr="00267026" w:rsidRDefault="00267026" w:rsidP="00AD6FEA">
      <w:pPr>
        <w:spacing w:line="288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ORDER</w:t>
      </w:r>
    </w:p>
    <w:p w:rsidR="00267026" w:rsidRPr="00E039CE" w:rsidRDefault="00267026" w:rsidP="00AD6FEA">
      <w:pPr>
        <w:spacing w:line="288" w:lineRule="auto"/>
        <w:rPr>
          <w:sz w:val="25"/>
          <w:szCs w:val="25"/>
        </w:rPr>
      </w:pPr>
    </w:p>
    <w:p w:rsidR="00267026" w:rsidRDefault="00267026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THE COMMISSION ORDERS THAT:</w:t>
      </w:r>
    </w:p>
    <w:p w:rsidR="00267026" w:rsidRDefault="00267026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E63AA2" w:rsidRPr="00D3195F" w:rsidRDefault="00267026" w:rsidP="00AD6FEA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 w:rsidRPr="00D3195F">
        <w:rPr>
          <w:sz w:val="25"/>
          <w:szCs w:val="25"/>
        </w:rPr>
        <w:t>(1)</w:t>
      </w:r>
      <w:r w:rsidR="00AD6FEA" w:rsidRPr="00D3195F">
        <w:rPr>
          <w:sz w:val="25"/>
          <w:szCs w:val="25"/>
        </w:rPr>
        <w:tab/>
      </w:r>
      <w:r w:rsidRPr="00D3195F">
        <w:rPr>
          <w:sz w:val="25"/>
          <w:szCs w:val="25"/>
        </w:rPr>
        <w:t>The penalty of $2</w:t>
      </w:r>
      <w:r w:rsidR="00D3195F" w:rsidRPr="00D3195F">
        <w:rPr>
          <w:sz w:val="25"/>
          <w:szCs w:val="25"/>
        </w:rPr>
        <w:t>50</w:t>
      </w:r>
      <w:r w:rsidRPr="00D3195F">
        <w:rPr>
          <w:sz w:val="25"/>
          <w:szCs w:val="25"/>
        </w:rPr>
        <w:t xml:space="preserve"> assessed against </w:t>
      </w:r>
      <w:r w:rsidR="00D3195F" w:rsidRPr="00D3195F">
        <w:rPr>
          <w:sz w:val="25"/>
          <w:szCs w:val="25"/>
        </w:rPr>
        <w:t>Quick Move Transport, LLC</w:t>
      </w:r>
      <w:r w:rsidRPr="00D3195F">
        <w:rPr>
          <w:sz w:val="25"/>
          <w:szCs w:val="25"/>
        </w:rPr>
        <w:t xml:space="preserve"> on July 24, 2012, is </w:t>
      </w:r>
      <w:r w:rsidR="00E63AA2" w:rsidRPr="00D3195F">
        <w:rPr>
          <w:sz w:val="25"/>
          <w:szCs w:val="25"/>
        </w:rPr>
        <w:t>due and payable to the Commission within 15 days following the date of this Order.</w:t>
      </w:r>
    </w:p>
    <w:p w:rsidR="00954A80" w:rsidRDefault="00954A80">
      <w:p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267026" w:rsidRPr="00267026" w:rsidRDefault="00267026" w:rsidP="00AD6FEA">
      <w:pPr>
        <w:spacing w:line="288" w:lineRule="auto"/>
        <w:rPr>
          <w:sz w:val="25"/>
          <w:szCs w:val="25"/>
        </w:rPr>
      </w:pPr>
    </w:p>
    <w:p w:rsidR="003E2C97" w:rsidRDefault="00AD6FEA" w:rsidP="00AD6FEA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>
        <w:rPr>
          <w:color w:val="000000"/>
          <w:sz w:val="25"/>
          <w:szCs w:val="25"/>
        </w:rPr>
        <w:t>(</w:t>
      </w:r>
      <w:r w:rsidR="00954A80"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ab/>
      </w:r>
      <w:r w:rsidR="005C1269">
        <w:rPr>
          <w:color w:val="000000"/>
          <w:sz w:val="25"/>
          <w:szCs w:val="25"/>
        </w:rPr>
        <w:t xml:space="preserve">The Commission delegates to its </w:t>
      </w:r>
      <w:r w:rsidR="003E2C97">
        <w:rPr>
          <w:color w:val="000000"/>
          <w:sz w:val="25"/>
          <w:szCs w:val="25"/>
        </w:rPr>
        <w:t xml:space="preserve">Secretary authority to enter this Order </w:t>
      </w:r>
      <w:r w:rsidR="003E2C97" w:rsidRPr="00287672">
        <w:rPr>
          <w:bCs/>
          <w:color w:val="000000"/>
          <w:sz w:val="25"/>
          <w:szCs w:val="25"/>
        </w:rPr>
        <w:t>on behalf of the Commissioners</w:t>
      </w:r>
      <w:r w:rsidR="003E2C97">
        <w:rPr>
          <w:bCs/>
          <w:color w:val="000000"/>
          <w:sz w:val="25"/>
          <w:szCs w:val="25"/>
        </w:rPr>
        <w:t xml:space="preserve"> </w:t>
      </w:r>
      <w:r w:rsidR="003E2C97">
        <w:rPr>
          <w:color w:val="000000"/>
          <w:sz w:val="25"/>
          <w:szCs w:val="25"/>
        </w:rPr>
        <w:t>under</w:t>
      </w:r>
      <w:r w:rsidR="003E2C97" w:rsidRPr="00287672">
        <w:rPr>
          <w:color w:val="000000"/>
          <w:sz w:val="25"/>
          <w:szCs w:val="25"/>
        </w:rPr>
        <w:t xml:space="preserve"> WAC</w:t>
      </w:r>
      <w:r w:rsidR="003E2C97">
        <w:rPr>
          <w:sz w:val="25"/>
          <w:szCs w:val="25"/>
        </w:rPr>
        <w:t xml:space="preserve"> 480-07-904(1)(h</w:t>
      </w:r>
      <w:r w:rsidR="003E2C97" w:rsidRPr="00287672">
        <w:rPr>
          <w:sz w:val="25"/>
          <w:szCs w:val="25"/>
        </w:rPr>
        <w:t>)</w:t>
      </w:r>
      <w:r w:rsidR="003E2C97">
        <w:rPr>
          <w:sz w:val="25"/>
          <w:szCs w:val="25"/>
        </w:rPr>
        <w:t>.</w:t>
      </w: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DATED</w:t>
      </w:r>
      <w:r w:rsidRPr="003A7B35">
        <w:rPr>
          <w:sz w:val="25"/>
          <w:szCs w:val="25"/>
        </w:rPr>
        <w:t xml:space="preserve"> at Olympia, Washington, and effective </w:t>
      </w:r>
      <w:r w:rsidR="005C1269">
        <w:rPr>
          <w:sz w:val="25"/>
          <w:szCs w:val="25"/>
        </w:rPr>
        <w:t xml:space="preserve">August </w:t>
      </w:r>
      <w:r w:rsidR="00954A80">
        <w:rPr>
          <w:sz w:val="25"/>
          <w:szCs w:val="25"/>
        </w:rPr>
        <w:t>14</w:t>
      </w:r>
      <w:r>
        <w:rPr>
          <w:sz w:val="25"/>
          <w:szCs w:val="25"/>
        </w:rPr>
        <w:t>, 201</w:t>
      </w:r>
      <w:r w:rsidR="000166E3">
        <w:rPr>
          <w:sz w:val="25"/>
          <w:szCs w:val="25"/>
        </w:rPr>
        <w:t>2</w:t>
      </w:r>
      <w:r w:rsidRPr="003A7B35">
        <w:rPr>
          <w:sz w:val="25"/>
          <w:szCs w:val="25"/>
        </w:rPr>
        <w:t>.</w:t>
      </w:r>
    </w:p>
    <w:p w:rsidR="003E2C97" w:rsidRPr="003A7B35" w:rsidRDefault="003E2C97" w:rsidP="00AD6FEA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jc w:val="center"/>
        <w:rPr>
          <w:sz w:val="25"/>
          <w:szCs w:val="25"/>
        </w:rPr>
      </w:pPr>
      <w:r w:rsidRPr="003A7B35">
        <w:rPr>
          <w:sz w:val="25"/>
          <w:szCs w:val="25"/>
        </w:rPr>
        <w:t>WASHINGTON UTILITIES AND TRANSPORTATION COMMISSION</w:t>
      </w:r>
    </w:p>
    <w:p w:rsidR="003E2C97" w:rsidRPr="003A7B35" w:rsidRDefault="003E2C97" w:rsidP="00AD6FEA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:rsidR="003E2C97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ind w:left="4320"/>
        <w:rPr>
          <w:bCs/>
          <w:sz w:val="25"/>
          <w:szCs w:val="25"/>
        </w:rPr>
      </w:pPr>
      <w:r>
        <w:rPr>
          <w:bCs/>
          <w:sz w:val="25"/>
          <w:szCs w:val="25"/>
        </w:rPr>
        <w:t>DAVID W. DANNER</w:t>
      </w:r>
    </w:p>
    <w:p w:rsidR="003E2C97" w:rsidRDefault="003E2C97" w:rsidP="00AD6FEA">
      <w:pPr>
        <w:spacing w:line="288" w:lineRule="auto"/>
        <w:rPr>
          <w:sz w:val="25"/>
          <w:szCs w:val="25"/>
        </w:rPr>
      </w:pP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>
        <w:rPr>
          <w:sz w:val="25"/>
          <w:szCs w:val="25"/>
        </w:rPr>
        <w:t>Executive Director and Secretary</w:t>
      </w:r>
    </w:p>
    <w:p w:rsidR="003E2C97" w:rsidRDefault="003E2C97" w:rsidP="00AD6FEA">
      <w:pPr>
        <w:spacing w:line="288" w:lineRule="auto"/>
        <w:rPr>
          <w:sz w:val="25"/>
          <w:szCs w:val="25"/>
        </w:rPr>
      </w:pPr>
    </w:p>
    <w:p w:rsidR="00B3599E" w:rsidRDefault="00B3599E" w:rsidP="00B3599E">
      <w:pPr>
        <w:spacing w:line="264" w:lineRule="auto"/>
        <w:rPr>
          <w:sz w:val="25"/>
          <w:szCs w:val="25"/>
        </w:rPr>
      </w:pPr>
    </w:p>
    <w:p w:rsidR="003E2C97" w:rsidRPr="006005B9" w:rsidRDefault="003E2C97" w:rsidP="00B3599E">
      <w:pPr>
        <w:spacing w:line="264" w:lineRule="auto"/>
        <w:rPr>
          <w:rFonts w:ascii="Times New Roman Bold" w:hAnsi="Times New Roman Bold"/>
          <w:b/>
          <w:bCs/>
          <w:sz w:val="25"/>
          <w:szCs w:val="25"/>
        </w:rPr>
      </w:pPr>
      <w:r w:rsidRPr="006972FB">
        <w:rPr>
          <w:b/>
          <w:sz w:val="25"/>
          <w:szCs w:val="25"/>
        </w:rPr>
        <w:t xml:space="preserve">NOTICE TO PARTIES:  </w:t>
      </w:r>
      <w:r>
        <w:rPr>
          <w:b/>
          <w:sz w:val="25"/>
          <w:szCs w:val="25"/>
        </w:rPr>
        <w:t>This is an order delegated to the Executive Secretary for decision.  Under WAC 480-07-904(3), you may seek Commission review of this decision</w:t>
      </w:r>
      <w:r w:rsidRPr="00421B3A">
        <w:rPr>
          <w:b/>
          <w:bCs/>
          <w:sz w:val="25"/>
          <w:szCs w:val="25"/>
        </w:rPr>
        <w:t xml:space="preserve">. </w:t>
      </w:r>
      <w:r>
        <w:rPr>
          <w:b/>
          <w:bCs/>
          <w:sz w:val="25"/>
          <w:szCs w:val="25"/>
        </w:rPr>
        <w:t xml:space="preserve"> In addition to serving you a copy of the decision, the Commission will post on its Internet Web site for at least 14 days a listing of all matters delegated to the Executive Secretary for decision under WAC 480-07-904(1).  You </w:t>
      </w:r>
      <w:r w:rsidRPr="00421B3A">
        <w:rPr>
          <w:b/>
          <w:bCs/>
          <w:sz w:val="25"/>
          <w:szCs w:val="25"/>
        </w:rPr>
        <w:t xml:space="preserve">must file </w:t>
      </w:r>
      <w:r>
        <w:rPr>
          <w:b/>
          <w:bCs/>
          <w:sz w:val="25"/>
          <w:szCs w:val="25"/>
        </w:rPr>
        <w:t>a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request for C</w:t>
      </w:r>
      <w:r w:rsidRPr="00421B3A">
        <w:rPr>
          <w:b/>
          <w:bCs/>
          <w:sz w:val="25"/>
          <w:szCs w:val="25"/>
        </w:rPr>
        <w:t xml:space="preserve">ommission </w:t>
      </w:r>
      <w:r>
        <w:rPr>
          <w:b/>
          <w:bCs/>
          <w:sz w:val="25"/>
          <w:szCs w:val="25"/>
        </w:rPr>
        <w:t>review of this order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no later than fourteen (14) days after </w:t>
      </w:r>
      <w:r w:rsidRPr="00421B3A">
        <w:rPr>
          <w:b/>
          <w:bCs/>
          <w:sz w:val="25"/>
          <w:szCs w:val="25"/>
        </w:rPr>
        <w:t xml:space="preserve">the date </w:t>
      </w:r>
      <w:r>
        <w:rPr>
          <w:b/>
          <w:bCs/>
          <w:sz w:val="25"/>
          <w:szCs w:val="25"/>
        </w:rPr>
        <w:t xml:space="preserve">the decision is posted on the Commission’s Web site.  </w:t>
      </w:r>
      <w:r w:rsidRPr="006005B9">
        <w:rPr>
          <w:rFonts w:ascii="Times New Roman Bold" w:hAnsi="Times New Roman Bold"/>
          <w:b/>
          <w:bCs/>
          <w:sz w:val="25"/>
          <w:szCs w:val="25"/>
        </w:rPr>
        <w:t>The Commission will schedule your request for review for consideration at a regularly scheduled open meeting.  T</w:t>
      </w:r>
      <w:r w:rsidRPr="006005B9">
        <w:rPr>
          <w:rFonts w:ascii="Times New Roman Bold" w:hAnsi="Times New Roman Bold" w:hint="eastAsia"/>
          <w:b/>
          <w:bCs/>
          <w:sz w:val="25"/>
          <w:szCs w:val="25"/>
        </w:rPr>
        <w:t>he</w:t>
      </w:r>
      <w:r w:rsidRPr="006005B9">
        <w:rPr>
          <w:rFonts w:ascii="Times New Roman Bold" w:hAnsi="Times New Roman Bold"/>
          <w:b/>
          <w:bCs/>
          <w:sz w:val="25"/>
          <w:szCs w:val="25"/>
        </w:rPr>
        <w:t xml:space="preserve"> Commission will notify you of the time and place of the open meeting at which the Commission will review the order.</w:t>
      </w:r>
    </w:p>
    <w:p w:rsidR="003E2C97" w:rsidRDefault="003E2C97" w:rsidP="00B3599E">
      <w:pPr>
        <w:spacing w:line="264" w:lineRule="auto"/>
        <w:rPr>
          <w:b/>
          <w:bCs/>
          <w:sz w:val="25"/>
          <w:szCs w:val="25"/>
        </w:rPr>
      </w:pPr>
    </w:p>
    <w:p w:rsidR="003E2C97" w:rsidRPr="005F75C6" w:rsidRDefault="003E2C97" w:rsidP="00B3599E">
      <w:pPr>
        <w:spacing w:line="264" w:lineRule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The C</w:t>
      </w:r>
      <w:r w:rsidRPr="00421B3A">
        <w:rPr>
          <w:b/>
          <w:bCs/>
          <w:sz w:val="25"/>
          <w:szCs w:val="25"/>
        </w:rPr>
        <w:t>ommission will grant a late-filed request for review only on a showing of good cause, including a satisfactory explanation of why the person did no</w:t>
      </w:r>
      <w:r>
        <w:rPr>
          <w:b/>
          <w:bCs/>
          <w:sz w:val="25"/>
          <w:szCs w:val="25"/>
        </w:rPr>
        <w:t>t timely file the request.  A form for late-filed requests is available on the Commission's W</w:t>
      </w:r>
      <w:r w:rsidRPr="00421B3A">
        <w:rPr>
          <w:b/>
          <w:bCs/>
          <w:sz w:val="25"/>
          <w:szCs w:val="25"/>
        </w:rPr>
        <w:t xml:space="preserve">eb site. </w:t>
      </w:r>
    </w:p>
    <w:p w:rsidR="00A729DA" w:rsidRDefault="00A729DA" w:rsidP="00B3599E">
      <w:pPr>
        <w:spacing w:line="264" w:lineRule="auto"/>
      </w:pPr>
    </w:p>
    <w:sectPr w:rsidR="00A729DA" w:rsidSect="00954A80">
      <w:headerReference w:type="default" r:id="rId10"/>
      <w:headerReference w:type="firs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53" w:rsidRDefault="00614853" w:rsidP="003E2C97">
      <w:r>
        <w:separator/>
      </w:r>
    </w:p>
  </w:endnote>
  <w:endnote w:type="continuationSeparator" w:id="0">
    <w:p w:rsidR="00614853" w:rsidRDefault="00614853" w:rsidP="003E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53" w:rsidRDefault="00614853" w:rsidP="003E2C97">
      <w:r>
        <w:separator/>
      </w:r>
    </w:p>
  </w:footnote>
  <w:footnote w:type="continuationSeparator" w:id="0">
    <w:p w:rsidR="00614853" w:rsidRDefault="00614853" w:rsidP="003E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53" w:rsidRPr="00B85B2D" w:rsidRDefault="00614853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</w:t>
    </w:r>
    <w:r w:rsidR="00D3195F">
      <w:rPr>
        <w:b/>
        <w:bCs/>
        <w:sz w:val="20"/>
        <w:szCs w:val="20"/>
      </w:rPr>
      <w:t>120942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4A3C4D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:rsidR="00614853" w:rsidRPr="00B85B2D" w:rsidRDefault="00614853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:rsidR="00614853" w:rsidRPr="00B85B2D" w:rsidRDefault="00614853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53" w:rsidRPr="005A53AE" w:rsidRDefault="00614853" w:rsidP="000A4BCA">
    <w:pPr>
      <w:pStyle w:val="Header"/>
      <w:tabs>
        <w:tab w:val="clear" w:pos="8640"/>
        <w:tab w:val="right" w:pos="84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E05398">
      <w:rPr>
        <w:b/>
        <w:sz w:val="20"/>
        <w:szCs w:val="20"/>
      </w:rPr>
      <w:t>[Service Date August 14, 2012]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97"/>
    <w:rsid w:val="000166E3"/>
    <w:rsid w:val="000A4BCA"/>
    <w:rsid w:val="000F3E4E"/>
    <w:rsid w:val="001423DA"/>
    <w:rsid w:val="00156138"/>
    <w:rsid w:val="00181B5B"/>
    <w:rsid w:val="00221FBE"/>
    <w:rsid w:val="00260481"/>
    <w:rsid w:val="00267026"/>
    <w:rsid w:val="00365C7F"/>
    <w:rsid w:val="00365E25"/>
    <w:rsid w:val="003B0E6B"/>
    <w:rsid w:val="003E2C97"/>
    <w:rsid w:val="004A3C4D"/>
    <w:rsid w:val="00540A08"/>
    <w:rsid w:val="005C1269"/>
    <w:rsid w:val="00614853"/>
    <w:rsid w:val="00666BCF"/>
    <w:rsid w:val="00685C85"/>
    <w:rsid w:val="00695258"/>
    <w:rsid w:val="00781008"/>
    <w:rsid w:val="007C3B22"/>
    <w:rsid w:val="00806153"/>
    <w:rsid w:val="00954A80"/>
    <w:rsid w:val="009A6F01"/>
    <w:rsid w:val="00A729DA"/>
    <w:rsid w:val="00AD6FEA"/>
    <w:rsid w:val="00B13FA4"/>
    <w:rsid w:val="00B34F65"/>
    <w:rsid w:val="00B3599E"/>
    <w:rsid w:val="00B620D0"/>
    <w:rsid w:val="00BA06CD"/>
    <w:rsid w:val="00D3195F"/>
    <w:rsid w:val="00D802BE"/>
    <w:rsid w:val="00D97A09"/>
    <w:rsid w:val="00E039CE"/>
    <w:rsid w:val="00E05398"/>
    <w:rsid w:val="00E13E08"/>
    <w:rsid w:val="00E16BA9"/>
    <w:rsid w:val="00E32C6E"/>
    <w:rsid w:val="00E63AA2"/>
    <w:rsid w:val="00F152D3"/>
    <w:rsid w:val="00F3492B"/>
    <w:rsid w:val="00F43A92"/>
    <w:rsid w:val="00F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ps.leg.wa.gov/RCW/default.aspx?cite=81.04.405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06C99348C84F689EDCAC31D006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B41CF-77B0-4980-A4B7-4C60D340A395}"/>
      </w:docPartPr>
      <w:docPartBody>
        <w:p w:rsidR="00CE7178" w:rsidRDefault="00CE7178" w:rsidP="00CE7178">
          <w:pPr>
            <w:pStyle w:val="5B06C99348C84F689EDCAC31D0068047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BAB65551C9F04C09A1336383E1F1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4D61-731A-4E9A-9214-36204BC6247B}"/>
      </w:docPartPr>
      <w:docPartBody>
        <w:p w:rsidR="00CE7178" w:rsidRDefault="00CE7178" w:rsidP="00CE7178">
          <w:pPr>
            <w:pStyle w:val="BAB65551C9F04C09A1336383E1F195C4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FC5945682D214C76B5DC2C7DD7E2A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49301-90A1-4666-8A92-A66B800432E6}"/>
      </w:docPartPr>
      <w:docPartBody>
        <w:p w:rsidR="00CE7178" w:rsidRDefault="00CE7178" w:rsidP="00CE7178">
          <w:pPr>
            <w:pStyle w:val="FC5945682D214C76B5DC2C7DD7E2A298"/>
          </w:pPr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78"/>
    <w:rsid w:val="00CE7178"/>
    <w:rsid w:val="00F0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819"/>
    <w:rPr>
      <w:color w:val="808080"/>
    </w:rPr>
  </w:style>
  <w:style w:type="paragraph" w:customStyle="1" w:styleId="58C9A331F6CF44A98695ECEC65BAE9F3">
    <w:name w:val="58C9A331F6CF44A98695ECEC65BAE9F3"/>
    <w:rsid w:val="00CE7178"/>
  </w:style>
  <w:style w:type="paragraph" w:customStyle="1" w:styleId="4C2E9EFEBED14EB48FD86C7182DC9AEE">
    <w:name w:val="4C2E9EFEBED14EB48FD86C7182DC9AEE"/>
    <w:rsid w:val="00CE7178"/>
  </w:style>
  <w:style w:type="paragraph" w:customStyle="1" w:styleId="4030F08E47924947B703E5D3A1E3D5EC">
    <w:name w:val="4030F08E47924947B703E5D3A1E3D5EC"/>
    <w:rsid w:val="00CE7178"/>
  </w:style>
  <w:style w:type="paragraph" w:customStyle="1" w:styleId="5B06C99348C84F689EDCAC31D0068047">
    <w:name w:val="5B06C99348C84F689EDCAC31D0068047"/>
    <w:rsid w:val="00CE7178"/>
  </w:style>
  <w:style w:type="paragraph" w:customStyle="1" w:styleId="7600C921DE1545E59CE0F9931DDF154C">
    <w:name w:val="7600C921DE1545E59CE0F9931DDF154C"/>
    <w:rsid w:val="00CE7178"/>
  </w:style>
  <w:style w:type="paragraph" w:customStyle="1" w:styleId="50C38764E10D4209B5F4CC9EA6B47AD8">
    <w:name w:val="50C38764E10D4209B5F4CC9EA6B47AD8"/>
    <w:rsid w:val="00CE7178"/>
  </w:style>
  <w:style w:type="paragraph" w:customStyle="1" w:styleId="5A6D0EBC4CB44175BB0296DC3277FE12">
    <w:name w:val="5A6D0EBC4CB44175BB0296DC3277FE12"/>
    <w:rsid w:val="00CE7178"/>
  </w:style>
  <w:style w:type="paragraph" w:customStyle="1" w:styleId="BAB65551C9F04C09A1336383E1F195C4">
    <w:name w:val="BAB65551C9F04C09A1336383E1F195C4"/>
    <w:rsid w:val="00CE7178"/>
  </w:style>
  <w:style w:type="paragraph" w:customStyle="1" w:styleId="FC5945682D214C76B5DC2C7DD7E2A298">
    <w:name w:val="FC5945682D214C76B5DC2C7DD7E2A298"/>
    <w:rsid w:val="00CE7178"/>
  </w:style>
  <w:style w:type="paragraph" w:customStyle="1" w:styleId="02488ADB376547B7AE233D8A91DDF023">
    <w:name w:val="02488ADB376547B7AE233D8A91DDF023"/>
    <w:rsid w:val="00CE7178"/>
  </w:style>
  <w:style w:type="paragraph" w:customStyle="1" w:styleId="FE958EA66C2E4C7888432C0A876CCC29">
    <w:name w:val="FE958EA66C2E4C7888432C0A876CCC29"/>
    <w:rsid w:val="00CE7178"/>
  </w:style>
  <w:style w:type="paragraph" w:customStyle="1" w:styleId="02B9254049BE4AE19C13C1EEBFDD8B61">
    <w:name w:val="02B9254049BE4AE19C13C1EEBFDD8B61"/>
    <w:rsid w:val="00F05819"/>
  </w:style>
  <w:style w:type="paragraph" w:customStyle="1" w:styleId="487B4D46DA074A50921B54B8E600A824">
    <w:name w:val="487B4D46DA074A50921B54B8E600A824"/>
    <w:rsid w:val="00F058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819"/>
    <w:rPr>
      <w:color w:val="808080"/>
    </w:rPr>
  </w:style>
  <w:style w:type="paragraph" w:customStyle="1" w:styleId="58C9A331F6CF44A98695ECEC65BAE9F3">
    <w:name w:val="58C9A331F6CF44A98695ECEC65BAE9F3"/>
    <w:rsid w:val="00CE7178"/>
  </w:style>
  <w:style w:type="paragraph" w:customStyle="1" w:styleId="4C2E9EFEBED14EB48FD86C7182DC9AEE">
    <w:name w:val="4C2E9EFEBED14EB48FD86C7182DC9AEE"/>
    <w:rsid w:val="00CE7178"/>
  </w:style>
  <w:style w:type="paragraph" w:customStyle="1" w:styleId="4030F08E47924947B703E5D3A1E3D5EC">
    <w:name w:val="4030F08E47924947B703E5D3A1E3D5EC"/>
    <w:rsid w:val="00CE7178"/>
  </w:style>
  <w:style w:type="paragraph" w:customStyle="1" w:styleId="5B06C99348C84F689EDCAC31D0068047">
    <w:name w:val="5B06C99348C84F689EDCAC31D0068047"/>
    <w:rsid w:val="00CE7178"/>
  </w:style>
  <w:style w:type="paragraph" w:customStyle="1" w:styleId="7600C921DE1545E59CE0F9931DDF154C">
    <w:name w:val="7600C921DE1545E59CE0F9931DDF154C"/>
    <w:rsid w:val="00CE7178"/>
  </w:style>
  <w:style w:type="paragraph" w:customStyle="1" w:styleId="50C38764E10D4209B5F4CC9EA6B47AD8">
    <w:name w:val="50C38764E10D4209B5F4CC9EA6B47AD8"/>
    <w:rsid w:val="00CE7178"/>
  </w:style>
  <w:style w:type="paragraph" w:customStyle="1" w:styleId="5A6D0EBC4CB44175BB0296DC3277FE12">
    <w:name w:val="5A6D0EBC4CB44175BB0296DC3277FE12"/>
    <w:rsid w:val="00CE7178"/>
  </w:style>
  <w:style w:type="paragraph" w:customStyle="1" w:styleId="BAB65551C9F04C09A1336383E1F195C4">
    <w:name w:val="BAB65551C9F04C09A1336383E1F195C4"/>
    <w:rsid w:val="00CE7178"/>
  </w:style>
  <w:style w:type="paragraph" w:customStyle="1" w:styleId="FC5945682D214C76B5DC2C7DD7E2A298">
    <w:name w:val="FC5945682D214C76B5DC2C7DD7E2A298"/>
    <w:rsid w:val="00CE7178"/>
  </w:style>
  <w:style w:type="paragraph" w:customStyle="1" w:styleId="02488ADB376547B7AE233D8A91DDF023">
    <w:name w:val="02488ADB376547B7AE233D8A91DDF023"/>
    <w:rsid w:val="00CE7178"/>
  </w:style>
  <w:style w:type="paragraph" w:customStyle="1" w:styleId="FE958EA66C2E4C7888432C0A876CCC29">
    <w:name w:val="FE958EA66C2E4C7888432C0A876CCC29"/>
    <w:rsid w:val="00CE7178"/>
  </w:style>
  <w:style w:type="paragraph" w:customStyle="1" w:styleId="02B9254049BE4AE19C13C1EEBFDD8B61">
    <w:name w:val="02B9254049BE4AE19C13C1EEBFDD8B61"/>
    <w:rsid w:val="00F05819"/>
  </w:style>
  <w:style w:type="paragraph" w:customStyle="1" w:styleId="487B4D46DA074A50921B54B8E600A824">
    <w:name w:val="487B4D46DA074A50921B54B8E600A824"/>
    <w:rsid w:val="00F05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126B414F8F9F459ECCCF5579B0270E" ma:contentTypeVersion="139" ma:contentTypeDescription="" ma:contentTypeScope="" ma:versionID="62faecf4b35217cd9131f552d065bd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2012-06-13T07:00:00+00:00</OpenedDate>
    <Date1 xmlns="dc463f71-b30c-4ab2-9473-d307f9d35888">2012-08-14T07:00:00+00:00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Quick Move Transport, LLC</CaseCompanyNames>
    <DocketNumber xmlns="dc463f71-b30c-4ab2-9473-d307f9d35888">120942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268E2C-9B40-45DC-AE9B-35E4B63CD7D1}"/>
</file>

<file path=customXml/itemProps2.xml><?xml version="1.0" encoding="utf-8"?>
<ds:datastoreItem xmlns:ds="http://schemas.openxmlformats.org/officeDocument/2006/customXml" ds:itemID="{7C8F0141-A918-454C-A079-31F67A5BECF8}"/>
</file>

<file path=customXml/itemProps3.xml><?xml version="1.0" encoding="utf-8"?>
<ds:datastoreItem xmlns:ds="http://schemas.openxmlformats.org/officeDocument/2006/customXml" ds:itemID="{758E1FC4-CA2A-4D8A-BC29-44AC3B143D0A}"/>
</file>

<file path=customXml/itemProps4.xml><?xml version="1.0" encoding="utf-8"?>
<ds:datastoreItem xmlns:ds="http://schemas.openxmlformats.org/officeDocument/2006/customXml" ds:itemID="{97219A36-8F84-40D1-87B7-3616415A7A46}"/>
</file>

<file path=customXml/itemProps5.xml><?xml version="1.0" encoding="utf-8"?>
<ds:datastoreItem xmlns:ds="http://schemas.openxmlformats.org/officeDocument/2006/customXml" ds:itemID="{505BDAE1-9B94-492F-B4D4-16D2383ED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2012-08-14T20:37:00Z</dcterms:created>
  <dcterms:modified xsi:type="dcterms:W3CDTF">2012-08-14T21:48:00Z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0x0101006E56B4D1795A2E4DB2F0B01679ED314A00CE126B414F8F9F459ECCCF5579B0270E</vt:lpwstr>
  </property>
  <property fmtid="{D5CDD505-2E9C-101B-9397-08002B2CF9AE}" pid="3" name="_docset_NoMedatataSyncRequired">
    <vt:lpwstr>False</vt:lpwstr>
  </property>
</Properties>
</file>