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3E2C97" w:rsidRDefault="003E2C97" w:rsidP="00B3599E">
      <w:pPr>
        <w:pStyle w:val="BodyText"/>
        <w:spacing w:line="264" w:lineRule="auto"/>
        <w:rPr>
          <w:sz w:val="25"/>
          <w:szCs w:val="25"/>
        </w:rPr>
      </w:pPr>
    </w:p>
    <w:p w:rsidR="00B3599E" w:rsidRPr="003A7B35" w:rsidRDefault="00B3599E" w:rsidP="00B3599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C3B22" w:rsidRDefault="007C3B22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DF7948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METROPOLITAN MOVERS, INC.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935A43">
              <w:rPr>
                <w:bCs/>
                <w:sz w:val="25"/>
                <w:szCs w:val="25"/>
              </w:rPr>
              <w:t>4</w:t>
            </w:r>
            <w:r w:rsidR="007C3B22">
              <w:rPr>
                <w:bCs/>
                <w:sz w:val="25"/>
                <w:szCs w:val="25"/>
              </w:rPr>
              <w:t>00</w:t>
            </w:r>
            <w:r>
              <w:rPr>
                <w:bCs/>
                <w:sz w:val="25"/>
                <w:szCs w:val="25"/>
              </w:rPr>
              <w:t>.00.</w:t>
            </w:r>
          </w:p>
          <w:p w:rsidR="0082409D" w:rsidRDefault="0082409D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82409D" w:rsidRPr="003A7B35" w:rsidRDefault="0082409D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8B3D09">
              <w:rPr>
                <w:bCs/>
                <w:sz w:val="25"/>
                <w:szCs w:val="25"/>
              </w:rPr>
              <w:t>TV</w:t>
            </w:r>
            <w:r w:rsidR="00511FEC">
              <w:rPr>
                <w:bCs/>
                <w:sz w:val="25"/>
                <w:szCs w:val="25"/>
              </w:rPr>
              <w:t>-120</w:t>
            </w:r>
            <w:r w:rsidR="00600FE0">
              <w:rPr>
                <w:bCs/>
                <w:sz w:val="25"/>
                <w:szCs w:val="25"/>
              </w:rPr>
              <w:t>9</w:t>
            </w:r>
            <w:r w:rsidR="00DF7948">
              <w:rPr>
                <w:bCs/>
                <w:sz w:val="25"/>
                <w:szCs w:val="25"/>
              </w:rPr>
              <w:t>29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82409D" w:rsidRDefault="0082409D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82409D" w:rsidRDefault="0082409D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026C1D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026C1D">
              <w:rPr>
                <w:sz w:val="25"/>
                <w:szCs w:val="25"/>
              </w:rPr>
              <w:t>DENYING MITIGATION</w:t>
            </w:r>
          </w:p>
        </w:tc>
      </w:tr>
    </w:tbl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E13E08" w:rsidRPr="00E13E08" w:rsidRDefault="00E13E0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B3599E">
      <w:pPr>
        <w:spacing w:line="264" w:lineRule="auto"/>
        <w:rPr>
          <w:sz w:val="25"/>
          <w:szCs w:val="25"/>
        </w:rPr>
      </w:pPr>
    </w:p>
    <w:p w:rsidR="00F43A92" w:rsidRDefault="003E2C97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511FEC">
        <w:rPr>
          <w:sz w:val="25"/>
          <w:szCs w:val="25"/>
        </w:rPr>
        <w:t xml:space="preserve">July </w:t>
      </w:r>
      <w:r w:rsidR="00556859">
        <w:rPr>
          <w:sz w:val="25"/>
          <w:szCs w:val="25"/>
        </w:rPr>
        <w:t>2</w:t>
      </w:r>
      <w:r w:rsidR="008A3598">
        <w:rPr>
          <w:sz w:val="25"/>
          <w:szCs w:val="25"/>
        </w:rPr>
        <w:t>4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DF7948">
        <w:rPr>
          <w:sz w:val="25"/>
          <w:szCs w:val="25"/>
        </w:rPr>
        <w:t>4</w:t>
      </w:r>
      <w:r w:rsidRPr="00F43A92">
        <w:rPr>
          <w:sz w:val="25"/>
          <w:szCs w:val="25"/>
        </w:rPr>
        <w:t xml:space="preserve">00 against </w:t>
      </w:r>
      <w:r w:rsidR="00DF7948">
        <w:rPr>
          <w:sz w:val="25"/>
          <w:szCs w:val="25"/>
        </w:rPr>
        <w:t>Metropolitan Movers</w:t>
      </w:r>
      <w:r w:rsidR="008A3598">
        <w:rPr>
          <w:sz w:val="25"/>
          <w:szCs w:val="25"/>
        </w:rPr>
        <w:t>, Inc.</w:t>
      </w:r>
      <w:r w:rsidR="00DF7948">
        <w:rPr>
          <w:sz w:val="25"/>
          <w:szCs w:val="25"/>
        </w:rPr>
        <w:t xml:space="preserve"> (Metropolitan)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511FEC">
        <w:rPr>
          <w:sz w:val="25"/>
          <w:szCs w:val="25"/>
        </w:rPr>
        <w:t>1</w:t>
      </w:r>
      <w:r w:rsidR="00556859">
        <w:rPr>
          <w:sz w:val="25"/>
          <w:szCs w:val="25"/>
        </w:rPr>
        <w:t>5</w:t>
      </w:r>
      <w:r w:rsidRPr="00F43A92">
        <w:rPr>
          <w:sz w:val="25"/>
          <w:szCs w:val="25"/>
        </w:rPr>
        <w:t>-</w:t>
      </w:r>
      <w:r w:rsidR="00556859">
        <w:rPr>
          <w:sz w:val="25"/>
          <w:szCs w:val="25"/>
        </w:rPr>
        <w:t>480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4D4057">
        <w:rPr>
          <w:sz w:val="25"/>
          <w:szCs w:val="25"/>
        </w:rPr>
        <w:t>household goods carriers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</w:p>
    <w:p w:rsidR="00F43A92" w:rsidRDefault="00F43A92" w:rsidP="00AD6FEA">
      <w:pPr>
        <w:spacing w:line="288" w:lineRule="auto"/>
        <w:rPr>
          <w:sz w:val="25"/>
          <w:szCs w:val="25"/>
        </w:rPr>
      </w:pPr>
    </w:p>
    <w:p w:rsidR="00F43A92" w:rsidRDefault="00F43A92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O</w:t>
      </w:r>
      <w:r w:rsidRPr="00F43A92">
        <w:rPr>
          <w:sz w:val="25"/>
          <w:szCs w:val="25"/>
        </w:rPr>
        <w:t xml:space="preserve">n February 29, 2012, the Commission mailed Annual Report forms and Regulatory Fee packets to all regulated </w:t>
      </w:r>
      <w:sdt>
        <w:sdtPr>
          <w:rPr>
            <w:sz w:val="25"/>
            <w:szCs w:val="25"/>
          </w:rPr>
          <w:id w:val="254879471"/>
          <w:placeholder>
            <w:docPart w:val="BAB65551C9F04C09A1336383E1F195C4"/>
          </w:placeholder>
        </w:sdtPr>
        <w:sdtEndPr/>
        <w:sdtContent>
          <w:r w:rsidR="004D4057">
            <w:rPr>
              <w:sz w:val="25"/>
              <w:szCs w:val="25"/>
            </w:rPr>
            <w:t>household goods carriers</w:t>
          </w:r>
        </w:sdtContent>
      </w:sdt>
      <w:r>
        <w:rPr>
          <w:sz w:val="25"/>
          <w:szCs w:val="25"/>
        </w:rPr>
        <w:t xml:space="preserve"> as required by WAC </w:t>
      </w:r>
      <w:r w:rsidR="00511FEC" w:rsidRPr="00511FEC">
        <w:rPr>
          <w:sz w:val="25"/>
          <w:szCs w:val="25"/>
        </w:rPr>
        <w:t>480-</w:t>
      </w:r>
      <w:r w:rsidR="00556859">
        <w:rPr>
          <w:sz w:val="25"/>
          <w:szCs w:val="25"/>
        </w:rPr>
        <w:t>15</w:t>
      </w:r>
      <w:r w:rsidR="00511FEC" w:rsidRPr="00511FEC">
        <w:rPr>
          <w:sz w:val="25"/>
          <w:szCs w:val="25"/>
        </w:rPr>
        <w:t>-</w:t>
      </w:r>
      <w:r w:rsidR="00556859">
        <w:rPr>
          <w:sz w:val="25"/>
          <w:szCs w:val="25"/>
        </w:rPr>
        <w:t>480</w:t>
      </w:r>
      <w:r w:rsidRPr="00F43A92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  <w:r w:rsidRPr="00F43A92">
        <w:rPr>
          <w:sz w:val="25"/>
          <w:szCs w:val="25"/>
        </w:rPr>
        <w:t xml:space="preserve">On May </w:t>
      </w:r>
      <w:sdt>
        <w:sdtPr>
          <w:rPr>
            <w:sz w:val="25"/>
            <w:szCs w:val="25"/>
          </w:rPr>
          <w:id w:val="94452951"/>
          <w:placeholder>
            <w:docPart w:val="FC5945682D214C76B5DC2C7DD7E2A298"/>
          </w:placeholder>
        </w:sdtPr>
        <w:sdtEndPr/>
        <w:sdtContent>
          <w:r w:rsidRPr="00F43A92">
            <w:rPr>
              <w:sz w:val="25"/>
              <w:szCs w:val="25"/>
            </w:rPr>
            <w:t>1</w:t>
          </w:r>
          <w:r w:rsidR="00556859">
            <w:rPr>
              <w:sz w:val="25"/>
              <w:szCs w:val="25"/>
            </w:rPr>
            <w:t>5</w:t>
          </w:r>
        </w:sdtContent>
      </w:sdt>
      <w:r w:rsidRPr="00F43A92">
        <w:rPr>
          <w:sz w:val="25"/>
          <w:szCs w:val="25"/>
        </w:rPr>
        <w:t>, 2012, the Commission mailed a letter to companies that had not yet filed an annual report notifying them that they had incurred, as of that date, a penalty of $</w:t>
      </w:r>
      <w:sdt>
        <w:sdtPr>
          <w:rPr>
            <w:sz w:val="25"/>
            <w:szCs w:val="25"/>
          </w:rPr>
          <w:id w:val="1093822728"/>
          <w:placeholder>
            <w:docPart w:val="FC5945682D214C76B5DC2C7DD7E2A298"/>
          </w:placeholder>
        </w:sdtPr>
        <w:sdtEndPr/>
        <w:sdtContent>
          <w:r w:rsidR="00556859">
            <w:rPr>
              <w:sz w:val="25"/>
              <w:szCs w:val="25"/>
            </w:rPr>
            <w:t>9</w:t>
          </w:r>
          <w:r w:rsidRPr="00F43A92">
            <w:rPr>
              <w:sz w:val="25"/>
              <w:szCs w:val="25"/>
            </w:rPr>
            <w:t>00</w:t>
          </w:r>
        </w:sdtContent>
      </w:sdt>
      <w:r w:rsidRPr="00F43A92">
        <w:rPr>
          <w:sz w:val="25"/>
          <w:szCs w:val="25"/>
        </w:rPr>
        <w:t>. The letter explained that companies who filed their annual reports no later than May 25, 2012</w:t>
      </w:r>
      <w:r w:rsidR="00D97A09">
        <w:rPr>
          <w:sz w:val="25"/>
          <w:szCs w:val="25"/>
        </w:rPr>
        <w:t>,</w:t>
      </w:r>
      <w:r w:rsidRPr="00F43A92">
        <w:rPr>
          <w:sz w:val="25"/>
          <w:szCs w:val="25"/>
        </w:rPr>
        <w:t xml:space="preserve"> would receive mitigated penalties of $25 per day, with an additional $25 per day assessed for each instance in the previous five years that the company received a penalty for filing a late report.</w:t>
      </w:r>
    </w:p>
    <w:p w:rsidR="00F43A92" w:rsidRDefault="00F43A92" w:rsidP="00AD6FEA">
      <w:pPr>
        <w:pStyle w:val="ListParagraph"/>
        <w:spacing w:line="288" w:lineRule="auto"/>
        <w:rPr>
          <w:sz w:val="25"/>
          <w:szCs w:val="25"/>
        </w:rPr>
      </w:pPr>
    </w:p>
    <w:p w:rsidR="003E2C97" w:rsidRPr="00F43A92" w:rsidRDefault="00DF7948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Metropolitan</w:t>
      </w:r>
      <w:r w:rsidR="00F43A92" w:rsidRPr="00F43A92">
        <w:rPr>
          <w:sz w:val="25"/>
          <w:szCs w:val="25"/>
        </w:rPr>
        <w:t xml:space="preserve"> file</w:t>
      </w:r>
      <w:r>
        <w:rPr>
          <w:sz w:val="25"/>
          <w:szCs w:val="25"/>
        </w:rPr>
        <w:t>d</w:t>
      </w:r>
      <w:r w:rsidR="00F43A92" w:rsidRPr="00F43A92">
        <w:rPr>
          <w:sz w:val="25"/>
          <w:szCs w:val="25"/>
        </w:rPr>
        <w:t xml:space="preserve"> its 2011 annual report </w:t>
      </w:r>
      <w:r>
        <w:rPr>
          <w:sz w:val="25"/>
          <w:szCs w:val="25"/>
        </w:rPr>
        <w:t>on May 23</w:t>
      </w:r>
      <w:r w:rsidR="00556859">
        <w:rPr>
          <w:sz w:val="25"/>
          <w:szCs w:val="25"/>
        </w:rPr>
        <w:t>,</w:t>
      </w:r>
      <w:r w:rsidR="00F43A92" w:rsidRPr="00F43A92">
        <w:rPr>
          <w:sz w:val="25"/>
          <w:szCs w:val="25"/>
        </w:rPr>
        <w:t xml:space="preserve"> 2012.  This is </w:t>
      </w:r>
      <w:r>
        <w:rPr>
          <w:sz w:val="25"/>
          <w:szCs w:val="25"/>
        </w:rPr>
        <w:t>22</w:t>
      </w:r>
      <w:r w:rsidR="00F43A92" w:rsidRPr="00F43A92">
        <w:rPr>
          <w:sz w:val="25"/>
          <w:szCs w:val="25"/>
        </w:rPr>
        <w:t xml:space="preserve"> days late, making the company liable for a penalty of up to $</w:t>
      </w:r>
      <w:r>
        <w:rPr>
          <w:sz w:val="25"/>
          <w:szCs w:val="25"/>
        </w:rPr>
        <w:t>2</w:t>
      </w:r>
      <w:r w:rsidR="00F43A92" w:rsidRPr="00F43A92">
        <w:rPr>
          <w:sz w:val="25"/>
          <w:szCs w:val="25"/>
        </w:rPr>
        <w:t>,</w:t>
      </w:r>
      <w:r>
        <w:rPr>
          <w:sz w:val="25"/>
          <w:szCs w:val="25"/>
        </w:rPr>
        <w:t>2</w:t>
      </w:r>
      <w:r w:rsidR="00F43A92" w:rsidRPr="00F43A92">
        <w:rPr>
          <w:sz w:val="25"/>
          <w:szCs w:val="25"/>
        </w:rPr>
        <w:t>00</w:t>
      </w:r>
      <w:r w:rsidR="00F152D3">
        <w:rPr>
          <w:sz w:val="25"/>
          <w:szCs w:val="25"/>
        </w:rPr>
        <w:t xml:space="preserve"> as provided in </w:t>
      </w:r>
      <w:r w:rsidR="00F152D3" w:rsidRPr="008678A6">
        <w:t xml:space="preserve">RCW </w:t>
      </w:r>
      <w:hyperlink r:id="rId9" w:history="1">
        <w:r w:rsidR="00F152D3" w:rsidRPr="007A0C6C">
          <w:t>8</w:t>
        </w:r>
        <w:r w:rsidR="00511FEC">
          <w:t>0</w:t>
        </w:r>
        <w:r w:rsidR="00F152D3" w:rsidRPr="007A0C6C">
          <w:t>.04.405</w:t>
        </w:r>
      </w:hyperlink>
      <w:r w:rsidR="00F43A92" w:rsidRPr="00F43A92">
        <w:rPr>
          <w:sz w:val="25"/>
          <w:szCs w:val="25"/>
        </w:rPr>
        <w:t>.</w:t>
      </w:r>
      <w:r w:rsidR="00E16BA9">
        <w:rPr>
          <w:sz w:val="25"/>
          <w:szCs w:val="25"/>
        </w:rPr>
        <w:t xml:space="preserve">  The Commission, considering the nature of the offense and other factors, exercised its discretion to assess less than the maximum penalty.  </w:t>
      </w:r>
      <w:r>
        <w:rPr>
          <w:sz w:val="25"/>
          <w:szCs w:val="25"/>
        </w:rPr>
        <w:t xml:space="preserve">Under the Commission’s </w:t>
      </w:r>
      <w:r w:rsidRPr="00DF7948">
        <w:rPr>
          <w:sz w:val="25"/>
          <w:szCs w:val="25"/>
        </w:rPr>
        <w:t>May 15, 2012</w:t>
      </w:r>
      <w:r>
        <w:rPr>
          <w:sz w:val="25"/>
          <w:szCs w:val="25"/>
        </w:rPr>
        <w:t>, offer of partial mitigation for violators who filed their annual report by May 25, 2012, t</w:t>
      </w:r>
      <w:r w:rsidR="00E16BA9">
        <w:rPr>
          <w:sz w:val="25"/>
          <w:szCs w:val="25"/>
        </w:rPr>
        <w:t>he Commission assessed a</w:t>
      </w:r>
      <w:r w:rsidR="00D97A09">
        <w:rPr>
          <w:sz w:val="25"/>
          <w:szCs w:val="25"/>
        </w:rPr>
        <w:t xml:space="preserve"> </w:t>
      </w:r>
      <w:r w:rsidR="00E16BA9">
        <w:rPr>
          <w:sz w:val="25"/>
          <w:szCs w:val="25"/>
        </w:rPr>
        <w:t>penalty of $</w:t>
      </w:r>
      <w:r>
        <w:rPr>
          <w:sz w:val="25"/>
          <w:szCs w:val="25"/>
        </w:rPr>
        <w:t>400 against Metropolitan.</w:t>
      </w:r>
    </w:p>
    <w:p w:rsidR="003E2C97" w:rsidRPr="00801D54" w:rsidRDefault="003E2C97" w:rsidP="00AD6FEA">
      <w:pPr>
        <w:spacing w:line="288" w:lineRule="auto"/>
        <w:rPr>
          <w:sz w:val="25"/>
          <w:szCs w:val="25"/>
        </w:rPr>
      </w:pPr>
    </w:p>
    <w:p w:rsidR="003E2C97" w:rsidRPr="00A7481B" w:rsidRDefault="003E2C97" w:rsidP="00BA5069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7431C">
        <w:rPr>
          <w:b/>
          <w:bCs/>
          <w:sz w:val="25"/>
          <w:szCs w:val="25"/>
        </w:rPr>
        <w:lastRenderedPageBreak/>
        <w:t>Mitigation Request.</w:t>
      </w:r>
      <w:r w:rsidRPr="0017431C">
        <w:rPr>
          <w:sz w:val="25"/>
          <w:szCs w:val="25"/>
        </w:rPr>
        <w:t xml:space="preserve">  </w:t>
      </w:r>
      <w:r w:rsidR="00511FEC" w:rsidRPr="00511FEC">
        <w:t xml:space="preserve">On </w:t>
      </w:r>
      <w:r w:rsidR="00026C1D">
        <w:t xml:space="preserve">August </w:t>
      </w:r>
      <w:r w:rsidR="00DF7948">
        <w:t>6</w:t>
      </w:r>
      <w:r w:rsidR="00026C1D">
        <w:t xml:space="preserve">, 2012, </w:t>
      </w:r>
      <w:r w:rsidR="00DF7948">
        <w:t>Metropolitan</w:t>
      </w:r>
      <w:r w:rsidR="00026C1D">
        <w:t xml:space="preserve"> filed a Commission form requesting mitigation</w:t>
      </w:r>
      <w:r w:rsidR="00511FEC" w:rsidRPr="00511FEC">
        <w:t xml:space="preserve"> (Mitigation Request</w:t>
      </w:r>
      <w:r w:rsidR="00D00EEC">
        <w:t>)</w:t>
      </w:r>
      <w:r w:rsidR="00511FEC" w:rsidRPr="00511FEC">
        <w:t xml:space="preserve">.  </w:t>
      </w:r>
      <w:r w:rsidR="00DF7948">
        <w:t>Metropolitan</w:t>
      </w:r>
      <w:r w:rsidR="00556859">
        <w:t xml:space="preserve"> </w:t>
      </w:r>
      <w:r w:rsidR="00511FEC" w:rsidRPr="00511FEC">
        <w:t>does not dispute that the violation occurred.  The company states</w:t>
      </w:r>
      <w:r w:rsidR="00A7481B">
        <w:t>:</w:t>
      </w:r>
    </w:p>
    <w:p w:rsidR="00A7481B" w:rsidRDefault="00A7481B" w:rsidP="00A7481B">
      <w:pPr>
        <w:pStyle w:val="ListParagraph"/>
        <w:rPr>
          <w:sz w:val="25"/>
          <w:szCs w:val="25"/>
        </w:rPr>
      </w:pPr>
    </w:p>
    <w:p w:rsidR="00A7481B" w:rsidRPr="00BA5069" w:rsidRDefault="00D00EEC" w:rsidP="00A7481B">
      <w:pPr>
        <w:spacing w:line="288" w:lineRule="auto"/>
        <w:ind w:left="720" w:right="720"/>
        <w:rPr>
          <w:sz w:val="25"/>
          <w:szCs w:val="25"/>
        </w:rPr>
      </w:pPr>
      <w:r w:rsidRPr="00D00EEC">
        <w:t xml:space="preserve">Due to down-sizing, the person responsible for filing this report is no longer with the company, which resulted in a bit of confusion as to the actual filing deadline date (somehow believed to be May 31), and therefore a delay in the filing of the required annual report. </w:t>
      </w:r>
      <w:r>
        <w:t xml:space="preserve"> </w:t>
      </w:r>
      <w:r w:rsidRPr="00D00EEC">
        <w:t xml:space="preserve">We have since inputted the due dates with instructions and procedures onto our company calendar as a reoccurring event to avoid any recurrence of this incident in the future. </w:t>
      </w:r>
      <w:r>
        <w:t xml:space="preserve">... </w:t>
      </w:r>
      <w:r w:rsidRPr="00D00EEC">
        <w:t xml:space="preserve"> We believe this admitted mistake on our part will not be repeated, and given that we have already paid our regulatory fees of $146.46, we therefore humbly request that this penalty be waived.</w:t>
      </w:r>
    </w:p>
    <w:p w:rsidR="003E2C97" w:rsidRDefault="003E2C97" w:rsidP="00AD6FEA">
      <w:pPr>
        <w:pStyle w:val="ListParagraph"/>
        <w:spacing w:line="288" w:lineRule="auto"/>
        <w:rPr>
          <w:sz w:val="25"/>
          <w:szCs w:val="25"/>
        </w:rPr>
      </w:pPr>
    </w:p>
    <w:p w:rsidR="005C1269" w:rsidRPr="00D00EEC" w:rsidRDefault="003E2C97" w:rsidP="00D00EEC">
      <w:pPr>
        <w:numPr>
          <w:ilvl w:val="0"/>
          <w:numId w:val="1"/>
        </w:numPr>
        <w:spacing w:line="288" w:lineRule="auto"/>
        <w:ind w:hanging="720"/>
      </w:pPr>
      <w:r w:rsidRPr="00D00EEC">
        <w:rPr>
          <w:b/>
          <w:bCs/>
          <w:sz w:val="25"/>
          <w:szCs w:val="25"/>
        </w:rPr>
        <w:t xml:space="preserve">Commission Staff </w:t>
      </w:r>
      <w:r w:rsidR="004D11CF" w:rsidRPr="00D00EEC">
        <w:rPr>
          <w:b/>
          <w:bCs/>
          <w:sz w:val="25"/>
          <w:szCs w:val="25"/>
        </w:rPr>
        <w:t>Opposition to</w:t>
      </w:r>
      <w:r w:rsidR="000A4BCA" w:rsidRPr="00D00EEC">
        <w:rPr>
          <w:b/>
          <w:bCs/>
          <w:sz w:val="25"/>
          <w:szCs w:val="25"/>
        </w:rPr>
        <w:t xml:space="preserve"> </w:t>
      </w:r>
      <w:r w:rsidRPr="00D00EEC">
        <w:rPr>
          <w:b/>
          <w:bCs/>
          <w:sz w:val="25"/>
          <w:szCs w:val="25"/>
        </w:rPr>
        <w:t>Mitigation.</w:t>
      </w:r>
      <w:r w:rsidRPr="00D00EEC">
        <w:rPr>
          <w:bCs/>
          <w:sz w:val="25"/>
          <w:szCs w:val="25"/>
        </w:rPr>
        <w:t xml:space="preserve">  Commission Staff filed a Response </w:t>
      </w:r>
      <w:r w:rsidR="00806153" w:rsidRPr="00D00EEC">
        <w:rPr>
          <w:bCs/>
          <w:sz w:val="25"/>
          <w:szCs w:val="25"/>
        </w:rPr>
        <w:t>to</w:t>
      </w:r>
      <w:r w:rsidRPr="00D00EEC">
        <w:rPr>
          <w:bCs/>
          <w:sz w:val="25"/>
          <w:szCs w:val="25"/>
        </w:rPr>
        <w:t xml:space="preserve"> </w:t>
      </w:r>
      <w:r w:rsidR="005C1269" w:rsidRPr="00D00EEC">
        <w:rPr>
          <w:bCs/>
          <w:sz w:val="25"/>
          <w:szCs w:val="25"/>
        </w:rPr>
        <w:t>the Mitigation Request</w:t>
      </w:r>
      <w:r w:rsidRPr="00D00EEC">
        <w:rPr>
          <w:bCs/>
          <w:sz w:val="25"/>
          <w:szCs w:val="25"/>
        </w:rPr>
        <w:t xml:space="preserve"> on </w:t>
      </w:r>
      <w:r w:rsidR="00BA5069" w:rsidRPr="00D00EEC">
        <w:rPr>
          <w:bCs/>
          <w:sz w:val="25"/>
          <w:szCs w:val="25"/>
        </w:rPr>
        <w:t xml:space="preserve">August </w:t>
      </w:r>
      <w:r w:rsidR="00351920" w:rsidRPr="00D00EEC">
        <w:rPr>
          <w:bCs/>
          <w:sz w:val="25"/>
          <w:szCs w:val="25"/>
        </w:rPr>
        <w:t>10</w:t>
      </w:r>
      <w:r w:rsidRPr="00D00EEC">
        <w:rPr>
          <w:bCs/>
          <w:sz w:val="25"/>
          <w:szCs w:val="25"/>
        </w:rPr>
        <w:t>, 201</w:t>
      </w:r>
      <w:r w:rsidR="00806153" w:rsidRPr="00D00EEC">
        <w:rPr>
          <w:bCs/>
          <w:sz w:val="25"/>
          <w:szCs w:val="25"/>
        </w:rPr>
        <w:t>2</w:t>
      </w:r>
      <w:r w:rsidRPr="00D00EEC">
        <w:rPr>
          <w:bCs/>
          <w:sz w:val="25"/>
          <w:szCs w:val="25"/>
        </w:rPr>
        <w:t>.</w:t>
      </w:r>
      <w:r w:rsidR="00BA06CD" w:rsidRPr="00D00EEC">
        <w:rPr>
          <w:bCs/>
          <w:sz w:val="25"/>
          <w:szCs w:val="25"/>
        </w:rPr>
        <w:t xml:space="preserve">  </w:t>
      </w:r>
      <w:r w:rsidR="00026C1D" w:rsidRPr="00026C1D">
        <w:t xml:space="preserve">Staff opposes mitigating the assessed penalty because this is not </w:t>
      </w:r>
      <w:r w:rsidR="004D11CF">
        <w:t>the company</w:t>
      </w:r>
      <w:r w:rsidR="00026C1D" w:rsidRPr="00026C1D">
        <w:t>’s first offense.</w:t>
      </w:r>
      <w:r w:rsidR="00D00EEC" w:rsidRPr="00D00EEC">
        <w:t xml:space="preserve"> </w:t>
      </w:r>
      <w:r w:rsidR="00D00EEC">
        <w:t xml:space="preserve"> </w:t>
      </w:r>
      <w:r w:rsidR="00D00EEC" w:rsidRPr="00D00EEC">
        <w:fldChar w:fldCharType="begin"/>
      </w:r>
      <w:r w:rsidR="00D00EEC" w:rsidRPr="00D00EEC">
        <w:instrText xml:space="preserve"> REF Text1 \h </w:instrText>
      </w:r>
      <w:r w:rsidR="00D00EEC" w:rsidRPr="00D00EEC">
        <w:fldChar w:fldCharType="separate"/>
      </w:r>
      <w:r w:rsidR="0082409D">
        <w:rPr>
          <w:b/>
          <w:bCs/>
        </w:rPr>
        <w:t xml:space="preserve">Error! Reference source not </w:t>
      </w:r>
      <w:proofErr w:type="spellStart"/>
      <w:r w:rsidR="0082409D">
        <w:rPr>
          <w:b/>
          <w:bCs/>
        </w:rPr>
        <w:t>found.</w:t>
      </w:r>
      <w:r w:rsidR="00D00EEC" w:rsidRPr="00D00EEC">
        <w:fldChar w:fldCharType="end"/>
      </w:r>
      <w:r w:rsidR="00D00EEC" w:rsidRPr="00D00EEC">
        <w:t>has</w:t>
      </w:r>
      <w:proofErr w:type="spellEnd"/>
      <w:r w:rsidR="00D00EEC" w:rsidRPr="00D00EEC">
        <w:t xml:space="preserve"> held permanent household goods authority since January 1999 and received a penalty for filing a delinquent annual report in 2005.  </w:t>
      </w:r>
      <w:r w:rsidR="00D00EEC">
        <w:t xml:space="preserve">Metropolitan </w:t>
      </w:r>
      <w:r w:rsidR="00D00EEC" w:rsidRPr="00D00EEC">
        <w:t>filed its annual</w:t>
      </w:r>
      <w:r w:rsidR="00D00EEC">
        <w:t xml:space="preserve"> report</w:t>
      </w:r>
      <w:r w:rsidR="00D00EEC" w:rsidRPr="00D00EEC">
        <w:t xml:space="preserve"> 16 business days </w:t>
      </w:r>
      <w:r w:rsidR="00D00EEC">
        <w:t>after</w:t>
      </w:r>
      <w:r w:rsidR="00D00EEC" w:rsidRPr="00D00EEC">
        <w:t xml:space="preserve"> the deadline of May 1, 2012. </w:t>
      </w:r>
      <w:r w:rsidR="00D00EEC">
        <w:t xml:space="preserve"> </w:t>
      </w:r>
      <w:r w:rsidR="00D00EEC" w:rsidRPr="00D00EEC">
        <w:t xml:space="preserve">The penalty was </w:t>
      </w:r>
      <w:r w:rsidR="00D00EEC">
        <w:t xml:space="preserve">administratively </w:t>
      </w:r>
      <w:r w:rsidR="00D00EEC" w:rsidRPr="00D00EEC">
        <w:t xml:space="preserve">mitigated from $100 per </w:t>
      </w:r>
      <w:r w:rsidR="00D00EEC">
        <w:t xml:space="preserve">calendar </w:t>
      </w:r>
      <w:r w:rsidR="00D00EEC" w:rsidRPr="00D00EEC">
        <w:t xml:space="preserve">day to $25 per </w:t>
      </w:r>
      <w:r w:rsidR="00D00EEC">
        <w:t xml:space="preserve">business </w:t>
      </w:r>
      <w:r w:rsidR="00D00EEC" w:rsidRPr="00D00EEC">
        <w:t>day for a total of $400.</w:t>
      </w:r>
      <w:r w:rsidR="00D00EEC">
        <w:t xml:space="preserve">  B</w:t>
      </w:r>
      <w:r w:rsidR="00D00EEC" w:rsidRPr="00D00EEC">
        <w:t xml:space="preserve">ased on the company’s delinquent annual report filling in the past, </w:t>
      </w:r>
      <w:r w:rsidR="00D00EEC">
        <w:t>S</w:t>
      </w:r>
      <w:r w:rsidR="00D00EEC" w:rsidRPr="00D00EEC">
        <w:t xml:space="preserve">taff does not support mitigating the assessed penalty further and recommends the </w:t>
      </w:r>
      <w:r w:rsidR="00D00EEC">
        <w:t>company’s Mitigation Request</w:t>
      </w:r>
      <w:r w:rsidR="00D00EEC" w:rsidRPr="00D00EEC">
        <w:t xml:space="preserve"> be denied.</w:t>
      </w:r>
    </w:p>
    <w:p w:rsidR="005C1269" w:rsidRDefault="005C1269" w:rsidP="00AD6FEA">
      <w:pPr>
        <w:pStyle w:val="ListParagraph"/>
        <w:spacing w:line="288" w:lineRule="auto"/>
        <w:rPr>
          <w:bCs/>
          <w:sz w:val="25"/>
          <w:szCs w:val="25"/>
        </w:rPr>
      </w:pPr>
    </w:p>
    <w:p w:rsidR="006327D4" w:rsidRDefault="003E2C97" w:rsidP="00D00EEC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6327D4">
        <w:rPr>
          <w:b/>
          <w:bCs/>
          <w:sz w:val="25"/>
          <w:szCs w:val="25"/>
        </w:rPr>
        <w:t>Commission De</w:t>
      </w:r>
      <w:r w:rsidR="00267026" w:rsidRPr="006327D4">
        <w:rPr>
          <w:b/>
          <w:bCs/>
          <w:sz w:val="25"/>
          <w:szCs w:val="25"/>
        </w:rPr>
        <w:t>termination</w:t>
      </w:r>
      <w:r w:rsidRPr="006327D4">
        <w:rPr>
          <w:b/>
          <w:bCs/>
          <w:sz w:val="25"/>
          <w:szCs w:val="25"/>
        </w:rPr>
        <w:t>.</w:t>
      </w:r>
      <w:r w:rsidRPr="006327D4">
        <w:rPr>
          <w:sz w:val="25"/>
          <w:szCs w:val="25"/>
        </w:rPr>
        <w:t xml:space="preserve">  </w:t>
      </w:r>
      <w:r w:rsidR="00026C1D" w:rsidRPr="006327D4">
        <w:rPr>
          <w:sz w:val="25"/>
          <w:szCs w:val="25"/>
        </w:rPr>
        <w:t>The Commission determines that it should deny the Mitigation Request consistent with Staff’s recommendation</w:t>
      </w:r>
      <w:r w:rsidR="008D33A7" w:rsidRPr="006327D4">
        <w:rPr>
          <w:sz w:val="25"/>
          <w:szCs w:val="25"/>
        </w:rPr>
        <w:t>.</w:t>
      </w:r>
      <w:r w:rsidR="000315FA" w:rsidRPr="006327D4">
        <w:rPr>
          <w:sz w:val="25"/>
          <w:szCs w:val="25"/>
        </w:rPr>
        <w:t xml:space="preserve">  </w:t>
      </w:r>
      <w:r w:rsidR="00D00EEC" w:rsidRPr="00D00EEC">
        <w:rPr>
          <w:sz w:val="25"/>
          <w:szCs w:val="25"/>
        </w:rPr>
        <w:t>This decision is based on the fact that the $</w:t>
      </w:r>
      <w:r w:rsidR="00D00EEC">
        <w:rPr>
          <w:sz w:val="25"/>
          <w:szCs w:val="25"/>
        </w:rPr>
        <w:t>40</w:t>
      </w:r>
      <w:r w:rsidR="00D00EEC" w:rsidRPr="00D00EEC">
        <w:rPr>
          <w:sz w:val="25"/>
          <w:szCs w:val="25"/>
        </w:rPr>
        <w:t>0 penalty assessed is a reasonable punitive measure to impose for the company’s violation of WAC 480-15-480.  While the Commission’s primary goal in taking enforcement actions in the form of penalty assessments is to gain compliance and promote future compliance, a secondary goal is to impress upon participants that the Commission does not take lightly violations of law related to public safety.  A penalty of $</w:t>
      </w:r>
      <w:r w:rsidR="00D00EEC">
        <w:rPr>
          <w:sz w:val="25"/>
          <w:szCs w:val="25"/>
        </w:rPr>
        <w:t>40</w:t>
      </w:r>
      <w:r w:rsidR="00D00EEC" w:rsidRPr="00D00EEC">
        <w:rPr>
          <w:sz w:val="25"/>
          <w:szCs w:val="25"/>
        </w:rPr>
        <w:t>0 reduces by more than 80 percent the maximum penalty for this violation, thus striking a reasonable balance between the two goals of compliance and punishment for a violation.</w:t>
      </w:r>
    </w:p>
    <w:p w:rsidR="00D97A09" w:rsidRPr="00BA5069" w:rsidRDefault="00E32C6E" w:rsidP="008D33A7">
      <w:pPr>
        <w:spacing w:line="288" w:lineRule="auto"/>
        <w:rPr>
          <w:sz w:val="25"/>
          <w:szCs w:val="25"/>
        </w:rPr>
      </w:pPr>
      <w:r w:rsidRPr="00BA5069">
        <w:rPr>
          <w:sz w:val="25"/>
          <w:szCs w:val="25"/>
        </w:rPr>
        <w:t xml:space="preserve"> </w:t>
      </w:r>
    </w:p>
    <w:p w:rsidR="00267026" w:rsidRPr="00267026" w:rsidRDefault="00267026" w:rsidP="00B90F28">
      <w:pPr>
        <w:keepNext/>
        <w:keepLines/>
        <w:spacing w:line="288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lastRenderedPageBreak/>
        <w:t>ORDER</w:t>
      </w:r>
    </w:p>
    <w:p w:rsidR="00267026" w:rsidRPr="00E039CE" w:rsidRDefault="00267026" w:rsidP="00B90F28">
      <w:pPr>
        <w:keepNext/>
        <w:keepLines/>
        <w:spacing w:line="288" w:lineRule="auto"/>
        <w:rPr>
          <w:sz w:val="25"/>
          <w:szCs w:val="25"/>
        </w:rPr>
      </w:pPr>
    </w:p>
    <w:p w:rsidR="00267026" w:rsidRDefault="00267026" w:rsidP="00B90F28">
      <w:pPr>
        <w:keepNext/>
        <w:keepLines/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E63AA2" w:rsidRPr="008D33A7" w:rsidRDefault="00267026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 w:rsidRPr="008D33A7">
        <w:rPr>
          <w:sz w:val="25"/>
          <w:szCs w:val="25"/>
        </w:rPr>
        <w:t>(1)</w:t>
      </w:r>
      <w:r w:rsidR="00AD6FEA" w:rsidRPr="008D33A7">
        <w:rPr>
          <w:sz w:val="25"/>
          <w:szCs w:val="25"/>
        </w:rPr>
        <w:tab/>
      </w:r>
      <w:r w:rsidRPr="008D33A7">
        <w:rPr>
          <w:sz w:val="25"/>
          <w:szCs w:val="25"/>
        </w:rPr>
        <w:t>The penalty of $</w:t>
      </w:r>
      <w:r w:rsidR="002252FD">
        <w:rPr>
          <w:sz w:val="25"/>
          <w:szCs w:val="25"/>
        </w:rPr>
        <w:t>400</w:t>
      </w:r>
      <w:r w:rsidRPr="008D33A7">
        <w:rPr>
          <w:sz w:val="25"/>
          <w:szCs w:val="25"/>
        </w:rPr>
        <w:t xml:space="preserve"> assessed against </w:t>
      </w:r>
      <w:r w:rsidR="00DF7948">
        <w:rPr>
          <w:sz w:val="25"/>
          <w:szCs w:val="25"/>
        </w:rPr>
        <w:t>Metropolitan Movers</w:t>
      </w:r>
      <w:r w:rsidR="008A3598" w:rsidRPr="008D33A7">
        <w:rPr>
          <w:sz w:val="25"/>
          <w:szCs w:val="25"/>
        </w:rPr>
        <w:t>, Inc.</w:t>
      </w:r>
      <w:r w:rsidRPr="008D33A7">
        <w:rPr>
          <w:sz w:val="25"/>
          <w:szCs w:val="25"/>
        </w:rPr>
        <w:t xml:space="preserve">, on July </w:t>
      </w:r>
      <w:r w:rsidR="00A7481B" w:rsidRPr="008D33A7">
        <w:rPr>
          <w:sz w:val="25"/>
          <w:szCs w:val="25"/>
        </w:rPr>
        <w:t>2</w:t>
      </w:r>
      <w:r w:rsidR="002252FD">
        <w:rPr>
          <w:sz w:val="25"/>
          <w:szCs w:val="25"/>
        </w:rPr>
        <w:t>4</w:t>
      </w:r>
      <w:r w:rsidRPr="008D33A7">
        <w:rPr>
          <w:sz w:val="25"/>
          <w:szCs w:val="25"/>
        </w:rPr>
        <w:t xml:space="preserve">, 2012, is </w:t>
      </w:r>
      <w:r w:rsidR="00E63AA2" w:rsidRPr="008D33A7">
        <w:rPr>
          <w:sz w:val="25"/>
          <w:szCs w:val="25"/>
        </w:rPr>
        <w:t>due and payable to the Commission within 15 days following the date of this Order.</w:t>
      </w:r>
    </w:p>
    <w:p w:rsidR="00267026" w:rsidRPr="00267026" w:rsidRDefault="00267026" w:rsidP="00AD6FEA">
      <w:pPr>
        <w:spacing w:line="288" w:lineRule="auto"/>
        <w:rPr>
          <w:sz w:val="25"/>
          <w:szCs w:val="25"/>
        </w:rPr>
      </w:pPr>
    </w:p>
    <w:p w:rsidR="003E2C97" w:rsidRDefault="00AD6FEA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935A43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5C1269">
        <w:rPr>
          <w:sz w:val="25"/>
          <w:szCs w:val="25"/>
        </w:rPr>
        <w:t xml:space="preserve">August </w:t>
      </w:r>
      <w:r w:rsidR="0082409D">
        <w:rPr>
          <w:sz w:val="25"/>
          <w:szCs w:val="25"/>
        </w:rPr>
        <w:t>17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3E2C97" w:rsidRPr="006005B9" w:rsidRDefault="003E2C97" w:rsidP="00B3599E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B3599E">
      <w:pPr>
        <w:spacing w:line="264" w:lineRule="auto"/>
        <w:rPr>
          <w:b/>
          <w:bCs/>
          <w:sz w:val="25"/>
          <w:szCs w:val="25"/>
        </w:rPr>
      </w:pPr>
    </w:p>
    <w:p w:rsidR="003E2C97" w:rsidRPr="005F75C6" w:rsidRDefault="003E2C97" w:rsidP="00B3599E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p w:rsidR="00A729DA" w:rsidRDefault="00A729DA" w:rsidP="00B3599E">
      <w:pPr>
        <w:spacing w:line="264" w:lineRule="auto"/>
      </w:pPr>
    </w:p>
    <w:sectPr w:rsidR="00A729DA" w:rsidSect="00B3599E">
      <w:headerReference w:type="default" r:id="rId10"/>
      <w:headerReference w:type="firs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EC" w:rsidRDefault="00D00EEC" w:rsidP="003E2C97">
      <w:r>
        <w:separator/>
      </w:r>
    </w:p>
  </w:endnote>
  <w:endnote w:type="continuationSeparator" w:id="0">
    <w:p w:rsidR="00D00EEC" w:rsidRDefault="00D00EEC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EC" w:rsidRDefault="00D00EEC" w:rsidP="003E2C97">
      <w:r>
        <w:separator/>
      </w:r>
    </w:p>
  </w:footnote>
  <w:footnote w:type="continuationSeparator" w:id="0">
    <w:p w:rsidR="00D00EEC" w:rsidRDefault="00D00EEC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EC" w:rsidRPr="00B85B2D" w:rsidRDefault="00D00EEC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TV-120929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4C11F0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D00EEC" w:rsidRPr="00B85B2D" w:rsidRDefault="00D00EEC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D00EEC" w:rsidRPr="00B85B2D" w:rsidRDefault="00D00EEC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EC" w:rsidRPr="005A53AE" w:rsidRDefault="00D00EEC" w:rsidP="00ED1F45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 w:rsidR="00ED1F45">
      <w:rPr>
        <w:b/>
        <w:sz w:val="20"/>
        <w:szCs w:val="20"/>
      </w:rPr>
      <w:t>[Service Date August 17, 2012]</w:t>
    </w:r>
    <w:r w:rsidR="00ED1F45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585B"/>
    <w:rsid w:val="000166E3"/>
    <w:rsid w:val="00026C1D"/>
    <w:rsid w:val="000315FA"/>
    <w:rsid w:val="000A4BCA"/>
    <w:rsid w:val="000F3E4E"/>
    <w:rsid w:val="001423DA"/>
    <w:rsid w:val="00181B5B"/>
    <w:rsid w:val="002252FD"/>
    <w:rsid w:val="00260481"/>
    <w:rsid w:val="00267026"/>
    <w:rsid w:val="00351920"/>
    <w:rsid w:val="003B0E6B"/>
    <w:rsid w:val="003E2C97"/>
    <w:rsid w:val="004C11F0"/>
    <w:rsid w:val="004D11CF"/>
    <w:rsid w:val="004D4057"/>
    <w:rsid w:val="00511FEC"/>
    <w:rsid w:val="00540A08"/>
    <w:rsid w:val="00556859"/>
    <w:rsid w:val="005C1269"/>
    <w:rsid w:val="00600FE0"/>
    <w:rsid w:val="006327D4"/>
    <w:rsid w:val="00685C85"/>
    <w:rsid w:val="00695258"/>
    <w:rsid w:val="00741427"/>
    <w:rsid w:val="00781008"/>
    <w:rsid w:val="007C3B22"/>
    <w:rsid w:val="00806153"/>
    <w:rsid w:val="0082409D"/>
    <w:rsid w:val="008A3598"/>
    <w:rsid w:val="008B3D09"/>
    <w:rsid w:val="008D33A7"/>
    <w:rsid w:val="00935A43"/>
    <w:rsid w:val="00A729DA"/>
    <w:rsid w:val="00A7481B"/>
    <w:rsid w:val="00AA453D"/>
    <w:rsid w:val="00AD6FEA"/>
    <w:rsid w:val="00B13FA4"/>
    <w:rsid w:val="00B34F65"/>
    <w:rsid w:val="00B3599E"/>
    <w:rsid w:val="00B620D0"/>
    <w:rsid w:val="00B90F28"/>
    <w:rsid w:val="00BA06CD"/>
    <w:rsid w:val="00BA5069"/>
    <w:rsid w:val="00D00EEC"/>
    <w:rsid w:val="00D802BE"/>
    <w:rsid w:val="00D97A09"/>
    <w:rsid w:val="00DF7948"/>
    <w:rsid w:val="00E039CE"/>
    <w:rsid w:val="00E13E08"/>
    <w:rsid w:val="00E16BA9"/>
    <w:rsid w:val="00E32C6E"/>
    <w:rsid w:val="00E63AA2"/>
    <w:rsid w:val="00E71AD7"/>
    <w:rsid w:val="00EA5363"/>
    <w:rsid w:val="00ED1F45"/>
    <w:rsid w:val="00F152D3"/>
    <w:rsid w:val="00F3492B"/>
    <w:rsid w:val="00F43A9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s.leg.wa.gov/RCW/default.aspx?cite=81.04.40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B65551C9F04C09A1336383E1F1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4D61-731A-4E9A-9214-36204BC6247B}"/>
      </w:docPartPr>
      <w:docPartBody>
        <w:p w:rsidR="00CE7178" w:rsidRDefault="00CE7178" w:rsidP="00CE7178">
          <w:pPr>
            <w:pStyle w:val="BAB65551C9F04C09A1336383E1F195C4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FC5945682D214C76B5DC2C7DD7E2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9301-90A1-4666-8A92-A66B800432E6}"/>
      </w:docPartPr>
      <w:docPartBody>
        <w:p w:rsidR="00CE7178" w:rsidRDefault="00CE7178" w:rsidP="00CE7178">
          <w:pPr>
            <w:pStyle w:val="FC5945682D214C76B5DC2C7DD7E2A298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78"/>
    <w:rsid w:val="000F5D53"/>
    <w:rsid w:val="004D11CC"/>
    <w:rsid w:val="008B1301"/>
    <w:rsid w:val="00CE7178"/>
    <w:rsid w:val="00D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78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78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C045CC85745243B6E559890A6A5BA9" ma:contentTypeVersion="139" ma:contentTypeDescription="" ma:contentTypeScope="" ma:versionID="462774891a654e74e318e598799a4e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2012-06-13T07:00:00+00:00</OpenedDate>
    <Date1 xmlns="dc463f71-b30c-4ab2-9473-d307f9d35888">2012-08-17T07:00:00+00:00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Metropolitan Movers, Inc.</CaseCompanyNames>
    <DocketNumber xmlns="dc463f71-b30c-4ab2-9473-d307f9d35888">120929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0F4525-85E5-4DC2-BF20-EC3A74073303}"/>
</file>

<file path=customXml/itemProps2.xml><?xml version="1.0" encoding="utf-8"?>
<ds:datastoreItem xmlns:ds="http://schemas.openxmlformats.org/officeDocument/2006/customXml" ds:itemID="{719C50E5-3AB9-43B2-B604-9A5332168BF1}"/>
</file>

<file path=customXml/itemProps3.xml><?xml version="1.0" encoding="utf-8"?>
<ds:datastoreItem xmlns:ds="http://schemas.openxmlformats.org/officeDocument/2006/customXml" ds:itemID="{BD37F552-A373-4BD8-8E16-694350708DCA}"/>
</file>

<file path=customXml/itemProps4.xml><?xml version="1.0" encoding="utf-8"?>
<ds:datastoreItem xmlns:ds="http://schemas.openxmlformats.org/officeDocument/2006/customXml" ds:itemID="{35E658DC-32C6-45F5-BC57-8EE34517D34B}"/>
</file>

<file path=customXml/itemProps5.xml><?xml version="1.0" encoding="utf-8"?>
<ds:datastoreItem xmlns:ds="http://schemas.openxmlformats.org/officeDocument/2006/customXml" ds:itemID="{7A817AC5-D869-4065-882C-913CB6BF9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2012-08-17T18:56:00Z</dcterms:created>
  <dcterms:modified xsi:type="dcterms:W3CDTF">2012-08-17T21:24:00Z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0x0101006E56B4D1795A2E4DB2F0B01679ED314A0058C045CC85745243B6E559890A6A5BA9</vt:lpwstr>
  </property>
  <property fmtid="{D5CDD505-2E9C-101B-9397-08002B2CF9AE}" pid="3" name="_docset_NoMedatataSyncRequired">
    <vt:lpwstr>False</vt:lpwstr>
  </property>
</Properties>
</file>