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D813" w14:textId="77777777" w:rsidR="00A77C63" w:rsidRPr="00AD4D61" w:rsidRDefault="00A77C63" w:rsidP="00A77C63">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July 12, 2012</w:t>
      </w:r>
    </w:p>
    <w:p w14:paraId="3ED6D814" w14:textId="63F08215" w:rsidR="00A77C63" w:rsidRPr="00AD4D61" w:rsidRDefault="00A77C63" w:rsidP="00A77C63">
      <w:pPr>
        <w:ind w:left="2160" w:hanging="2160"/>
        <w:rPr>
          <w:rFonts w:ascii="Times New Roman" w:hAnsi="Times New Roman"/>
        </w:rPr>
      </w:pPr>
      <w:r w:rsidRPr="00AD4D61">
        <w:rPr>
          <w:rFonts w:ascii="Times New Roman" w:hAnsi="Times New Roman"/>
        </w:rPr>
        <w:t>Item Number</w:t>
      </w:r>
      <w:r w:rsidR="00506A51">
        <w:rPr>
          <w:rFonts w:ascii="Times New Roman" w:hAnsi="Times New Roman"/>
        </w:rPr>
        <w:t>s</w:t>
      </w:r>
      <w:r w:rsidRPr="00AD4D61">
        <w:rPr>
          <w:rFonts w:ascii="Times New Roman" w:hAnsi="Times New Roman"/>
        </w:rPr>
        <w:t>:</w:t>
      </w:r>
      <w:r w:rsidRPr="00AD4D61">
        <w:rPr>
          <w:rFonts w:ascii="Times New Roman" w:hAnsi="Times New Roman"/>
        </w:rPr>
        <w:tab/>
      </w:r>
      <w:r w:rsidR="007B3234">
        <w:rPr>
          <w:rFonts w:ascii="Times New Roman" w:hAnsi="Times New Roman"/>
        </w:rPr>
        <w:t>A2 and A3</w:t>
      </w:r>
    </w:p>
    <w:p w14:paraId="3ED6D815" w14:textId="77777777" w:rsidR="00A77C63" w:rsidRPr="00AD4D61" w:rsidRDefault="00A77C63" w:rsidP="00A77C63">
      <w:pPr>
        <w:rPr>
          <w:rFonts w:ascii="Times New Roman" w:hAnsi="Times New Roman"/>
        </w:rPr>
      </w:pPr>
    </w:p>
    <w:p w14:paraId="3ED6D816" w14:textId="77777777" w:rsidR="00A77C63" w:rsidRPr="00AD4D61" w:rsidRDefault="00A77C63" w:rsidP="00A77C63">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UE-120805 and UG-120806</w:t>
      </w:r>
    </w:p>
    <w:p w14:paraId="3ED6D817" w14:textId="77777777" w:rsidR="00A77C63" w:rsidRPr="00AD4D61" w:rsidRDefault="00A77C63" w:rsidP="00A77C63">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3ED6D818" w14:textId="77777777" w:rsidR="00A77C63" w:rsidRPr="00AD4D61" w:rsidRDefault="00A77C63" w:rsidP="00A77C63">
      <w:pPr>
        <w:rPr>
          <w:rFonts w:ascii="Times New Roman" w:hAnsi="Times New Roman"/>
        </w:rPr>
      </w:pPr>
    </w:p>
    <w:p w14:paraId="3ED6D819" w14:textId="77777777" w:rsidR="00A77C63" w:rsidRPr="00AD4D61" w:rsidRDefault="00A77C63" w:rsidP="00A77C63">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3ED6D81A" w14:textId="77777777" w:rsidR="00A77C63" w:rsidRDefault="00A77C63" w:rsidP="00A77C63">
      <w:pPr>
        <w:ind w:left="1440" w:firstLine="720"/>
        <w:rPr>
          <w:rFonts w:ascii="Times New Roman" w:hAnsi="Times New Roman"/>
        </w:rPr>
      </w:pPr>
      <w:r>
        <w:rPr>
          <w:rFonts w:ascii="Times New Roman" w:hAnsi="Times New Roman"/>
        </w:rPr>
        <w:t>Chris McGuire, Regulatory Analyst</w:t>
      </w:r>
    </w:p>
    <w:p w14:paraId="3ED6D81C" w14:textId="77777777" w:rsidR="00A77C63" w:rsidRPr="00AD4D61" w:rsidRDefault="00A77C63" w:rsidP="00A77C63">
      <w:pPr>
        <w:rPr>
          <w:rFonts w:ascii="Times New Roman" w:hAnsi="Times New Roman"/>
          <w:b/>
          <w:bCs/>
          <w:u w:val="single"/>
        </w:rPr>
      </w:pPr>
      <w:r w:rsidRPr="00AD4D61">
        <w:rPr>
          <w:rFonts w:ascii="Times New Roman" w:hAnsi="Times New Roman"/>
          <w:b/>
          <w:bCs/>
          <w:u w:val="single"/>
        </w:rPr>
        <w:t>Recommendation</w:t>
      </w:r>
    </w:p>
    <w:p w14:paraId="3ED6D81D" w14:textId="77777777" w:rsidR="00A77C63" w:rsidRDefault="00A77C63" w:rsidP="00A77C63">
      <w:pPr>
        <w:rPr>
          <w:rFonts w:ascii="Times New Roman" w:hAnsi="Times New Roman"/>
        </w:rPr>
      </w:pPr>
    </w:p>
    <w:p w14:paraId="3ED6D81E" w14:textId="049076DA" w:rsidR="00A77C63" w:rsidRPr="00AD4D61" w:rsidRDefault="00A77C63" w:rsidP="00A77C63">
      <w:pPr>
        <w:rPr>
          <w:rFonts w:ascii="Times New Roman" w:hAnsi="Times New Roman"/>
        </w:rPr>
      </w:pPr>
      <w:r>
        <w:rPr>
          <w:rFonts w:ascii="Times New Roman" w:hAnsi="Times New Roman"/>
        </w:rPr>
        <w:t>Issue a Complaint and Order suspending the revised tariff</w:t>
      </w:r>
      <w:r w:rsidR="0097385E">
        <w:rPr>
          <w:rFonts w:ascii="Times New Roman" w:hAnsi="Times New Roman"/>
        </w:rPr>
        <w:t xml:space="preserve"> filed in Dockets UE-120805 and UG-120806</w:t>
      </w:r>
      <w:r>
        <w:rPr>
          <w:rFonts w:ascii="Times New Roman" w:hAnsi="Times New Roman"/>
        </w:rPr>
        <w:t>.</w:t>
      </w:r>
    </w:p>
    <w:p w14:paraId="3ED6D81F" w14:textId="77777777" w:rsidR="00A77C63" w:rsidRDefault="00A77C63" w:rsidP="00A77C63">
      <w:pPr>
        <w:rPr>
          <w:rFonts w:ascii="Times New Roman" w:hAnsi="Times New Roman"/>
          <w:b/>
          <w:u w:val="single"/>
        </w:rPr>
      </w:pPr>
    </w:p>
    <w:p w14:paraId="3ED6D820" w14:textId="77777777" w:rsidR="00A77C63" w:rsidRPr="00AD4D61" w:rsidRDefault="00A77C63" w:rsidP="00A77C63">
      <w:pPr>
        <w:rPr>
          <w:rFonts w:ascii="Times New Roman" w:hAnsi="Times New Roman"/>
          <w:b/>
          <w:u w:val="single"/>
        </w:rPr>
      </w:pPr>
      <w:r>
        <w:rPr>
          <w:rFonts w:ascii="Times New Roman" w:hAnsi="Times New Roman"/>
          <w:b/>
          <w:u w:val="single"/>
        </w:rPr>
        <w:t>Background</w:t>
      </w:r>
    </w:p>
    <w:p w14:paraId="3ED6D821" w14:textId="77777777" w:rsidR="00A77C63" w:rsidRDefault="00A77C63" w:rsidP="00A77C63">
      <w:pPr>
        <w:rPr>
          <w:rFonts w:ascii="Times New Roman" w:hAnsi="Times New Roman"/>
        </w:rPr>
      </w:pPr>
    </w:p>
    <w:p w14:paraId="3ED6D822" w14:textId="77777777" w:rsidR="00A77C63" w:rsidRDefault="00A77C63" w:rsidP="00A77C63">
      <w:pPr>
        <w:rPr>
          <w:rFonts w:ascii="Times New Roman" w:hAnsi="Times New Roman"/>
        </w:rPr>
      </w:pPr>
      <w:r>
        <w:rPr>
          <w:rFonts w:ascii="Times New Roman" w:hAnsi="Times New Roman"/>
        </w:rPr>
        <w:t>On June 1, 2012, Puget Sound Energy (PSE) filed a petition with the Washington Utilities and Transportation Commi</w:t>
      </w:r>
      <w:r w:rsidR="00F330F8">
        <w:rPr>
          <w:rFonts w:ascii="Times New Roman" w:hAnsi="Times New Roman"/>
        </w:rPr>
        <w:t>ssion (commission) to revise</w:t>
      </w:r>
      <w:r>
        <w:rPr>
          <w:rFonts w:ascii="Times New Roman" w:hAnsi="Times New Roman"/>
        </w:rPr>
        <w:t xml:space="preserve"> WN U-60, Tariff G for electric service along with a companion petition to revise WN U-2 for natural gas service. The petitions request the approval of the following tariff sheets:</w:t>
      </w:r>
    </w:p>
    <w:p w14:paraId="3ED6D823" w14:textId="77777777" w:rsidR="00A77C63" w:rsidRDefault="00A77C63" w:rsidP="00A77C63">
      <w:pPr>
        <w:rPr>
          <w:rFonts w:ascii="Times New Roman" w:hAnsi="Times New Roman"/>
        </w:rPr>
      </w:pPr>
    </w:p>
    <w:p w14:paraId="3ED6D824" w14:textId="77777777" w:rsidR="00A77C63" w:rsidRDefault="00A77C63" w:rsidP="00A77C63">
      <w:pPr>
        <w:rPr>
          <w:rFonts w:ascii="Times New Roman" w:hAnsi="Times New Roman"/>
        </w:rPr>
      </w:pPr>
      <w:r>
        <w:rPr>
          <w:rFonts w:ascii="Times New Roman" w:hAnsi="Times New Roman"/>
        </w:rPr>
        <w:t>WN U-60, Tariff G for electric service</w:t>
      </w:r>
    </w:p>
    <w:p w14:paraId="3ED6D825" w14:textId="77777777" w:rsidR="00A77C63" w:rsidRDefault="00A77C63" w:rsidP="00A77C63">
      <w:pPr>
        <w:rPr>
          <w:rFonts w:ascii="Times New Roman" w:hAnsi="Times New Roman"/>
        </w:rPr>
      </w:pPr>
      <w:r>
        <w:rPr>
          <w:rFonts w:ascii="Times New Roman" w:hAnsi="Times New Roman"/>
        </w:rPr>
        <w:t>3</w:t>
      </w:r>
      <w:r w:rsidRPr="00BE52B2">
        <w:rPr>
          <w:rFonts w:ascii="Times New Roman" w:hAnsi="Times New Roman"/>
          <w:vertAlign w:val="superscript"/>
        </w:rPr>
        <w:t>rd</w:t>
      </w:r>
      <w:r>
        <w:rPr>
          <w:rFonts w:ascii="Times New Roman" w:hAnsi="Times New Roman"/>
        </w:rPr>
        <w:t xml:space="preserve"> Revision of Sheet No. 80-a</w:t>
      </w:r>
      <w:r>
        <w:rPr>
          <w:rFonts w:ascii="Times New Roman" w:hAnsi="Times New Roman"/>
        </w:rPr>
        <w:tab/>
        <w:t>-General Rules and Provisions (Continued)</w:t>
      </w:r>
    </w:p>
    <w:p w14:paraId="3ED6D826" w14:textId="77777777" w:rsidR="00A77C63" w:rsidRDefault="00A77C63" w:rsidP="00A77C63">
      <w:pPr>
        <w:rPr>
          <w:rFonts w:ascii="Times New Roman" w:hAnsi="Times New Roman"/>
        </w:rPr>
      </w:pPr>
      <w:r>
        <w:rPr>
          <w:rFonts w:ascii="Times New Roman" w:hAnsi="Times New Roman"/>
        </w:rPr>
        <w:t>87</w:t>
      </w:r>
      <w:r w:rsidRPr="00BE52B2">
        <w:rPr>
          <w:rFonts w:ascii="Times New Roman" w:hAnsi="Times New Roman"/>
          <w:vertAlign w:val="superscript"/>
        </w:rPr>
        <w:t>th</w:t>
      </w:r>
      <w:r>
        <w:rPr>
          <w:rFonts w:ascii="Times New Roman" w:hAnsi="Times New Roman"/>
        </w:rPr>
        <w:t xml:space="preserve"> Revision of Sheet No. 81 </w:t>
      </w:r>
      <w:r>
        <w:rPr>
          <w:rFonts w:ascii="Times New Roman" w:hAnsi="Times New Roman"/>
        </w:rPr>
        <w:tab/>
        <w:t>-Tax Adjustment</w:t>
      </w:r>
    </w:p>
    <w:p w14:paraId="3ED6D827" w14:textId="77777777" w:rsidR="00A77C63" w:rsidRDefault="00A77C63" w:rsidP="00A77C63">
      <w:pPr>
        <w:rPr>
          <w:rFonts w:ascii="Times New Roman" w:hAnsi="Times New Roman"/>
        </w:rPr>
      </w:pPr>
      <w:r>
        <w:rPr>
          <w:rFonts w:ascii="Times New Roman" w:hAnsi="Times New Roman"/>
        </w:rPr>
        <w:t>93</w:t>
      </w:r>
      <w:r w:rsidRPr="00BE52B2">
        <w:rPr>
          <w:rFonts w:ascii="Times New Roman" w:hAnsi="Times New Roman"/>
          <w:vertAlign w:val="superscript"/>
        </w:rPr>
        <w:t>rd</w:t>
      </w:r>
      <w:r>
        <w:rPr>
          <w:rFonts w:ascii="Times New Roman" w:hAnsi="Times New Roman"/>
        </w:rPr>
        <w:t xml:space="preserve"> Revision of Sheet No. 81-a</w:t>
      </w:r>
      <w:r>
        <w:rPr>
          <w:rFonts w:ascii="Times New Roman" w:hAnsi="Times New Roman"/>
        </w:rPr>
        <w:tab/>
        <w:t>-Tax Adjustment (Continued)</w:t>
      </w:r>
    </w:p>
    <w:p w14:paraId="3ED6D828" w14:textId="77777777" w:rsidR="00A77C63" w:rsidRDefault="00A77C63" w:rsidP="00A77C63">
      <w:pPr>
        <w:rPr>
          <w:rFonts w:ascii="Times New Roman" w:hAnsi="Times New Roman"/>
        </w:rPr>
      </w:pPr>
      <w:r>
        <w:rPr>
          <w:rFonts w:ascii="Times New Roman" w:hAnsi="Times New Roman"/>
        </w:rPr>
        <w:t>14</w:t>
      </w:r>
      <w:r w:rsidRPr="00BE52B2">
        <w:rPr>
          <w:rFonts w:ascii="Times New Roman" w:hAnsi="Times New Roman"/>
          <w:vertAlign w:val="superscript"/>
        </w:rPr>
        <w:t>th</w:t>
      </w:r>
      <w:r>
        <w:rPr>
          <w:rFonts w:ascii="Times New Roman" w:hAnsi="Times New Roman"/>
        </w:rPr>
        <w:t xml:space="preserve"> Revision of Sheet No. 81-b</w:t>
      </w:r>
      <w:r>
        <w:rPr>
          <w:rFonts w:ascii="Times New Roman" w:hAnsi="Times New Roman"/>
        </w:rPr>
        <w:tab/>
        <w:t>-Tax Adjustment (Continued)</w:t>
      </w:r>
    </w:p>
    <w:p w14:paraId="3ED6D829" w14:textId="51C12AF9" w:rsidR="00A77C63" w:rsidRDefault="00A77C63" w:rsidP="00A77C63">
      <w:pPr>
        <w:rPr>
          <w:rFonts w:ascii="Times New Roman" w:hAnsi="Times New Roman"/>
        </w:rPr>
      </w:pPr>
      <w:r>
        <w:rPr>
          <w:rFonts w:ascii="Times New Roman" w:hAnsi="Times New Roman"/>
        </w:rPr>
        <w:t>8</w:t>
      </w:r>
      <w:r w:rsidRPr="00BE52B2">
        <w:rPr>
          <w:rFonts w:ascii="Times New Roman" w:hAnsi="Times New Roman"/>
          <w:vertAlign w:val="superscript"/>
        </w:rPr>
        <w:t>th</w:t>
      </w:r>
      <w:r>
        <w:rPr>
          <w:rFonts w:ascii="Times New Roman" w:hAnsi="Times New Roman"/>
        </w:rPr>
        <w:t xml:space="preserve"> Revision of Sheet No</w:t>
      </w:r>
      <w:r w:rsidR="000402EB">
        <w:rPr>
          <w:rFonts w:ascii="Times New Roman" w:hAnsi="Times New Roman"/>
        </w:rPr>
        <w:t>.</w:t>
      </w:r>
      <w:r>
        <w:rPr>
          <w:rFonts w:ascii="Times New Roman" w:hAnsi="Times New Roman"/>
        </w:rPr>
        <w:t xml:space="preserve"> </w:t>
      </w:r>
      <w:r w:rsidR="0097385E">
        <w:rPr>
          <w:rFonts w:ascii="Times New Roman" w:hAnsi="Times New Roman"/>
        </w:rPr>
        <w:t>81-c</w:t>
      </w:r>
      <w:r>
        <w:rPr>
          <w:rFonts w:ascii="Times New Roman" w:hAnsi="Times New Roman"/>
        </w:rPr>
        <w:tab/>
        <w:t>-Tax Adjustment (Continued)</w:t>
      </w:r>
    </w:p>
    <w:p w14:paraId="3ED6D82A" w14:textId="77777777" w:rsidR="00A77C63" w:rsidRDefault="00A77C63" w:rsidP="00A77C63">
      <w:pPr>
        <w:rPr>
          <w:rFonts w:ascii="Times New Roman" w:hAnsi="Times New Roman"/>
        </w:rPr>
      </w:pPr>
    </w:p>
    <w:p w14:paraId="3ED6D82B" w14:textId="77777777" w:rsidR="00A77C63" w:rsidRDefault="00A77C63" w:rsidP="00A77C63">
      <w:pPr>
        <w:rPr>
          <w:rFonts w:ascii="Times New Roman" w:hAnsi="Times New Roman"/>
        </w:rPr>
      </w:pPr>
      <w:r>
        <w:rPr>
          <w:rFonts w:ascii="Times New Roman" w:hAnsi="Times New Roman"/>
        </w:rPr>
        <w:t>WN U-2 for natural gas service</w:t>
      </w:r>
    </w:p>
    <w:p w14:paraId="3ED6D82C" w14:textId="77777777" w:rsidR="00A77C63" w:rsidRDefault="00A77C63" w:rsidP="00A77C63">
      <w:pPr>
        <w:rPr>
          <w:rFonts w:ascii="Times New Roman" w:hAnsi="Times New Roman"/>
        </w:rPr>
      </w:pPr>
      <w:r>
        <w:rPr>
          <w:rFonts w:ascii="Times New Roman" w:hAnsi="Times New Roman"/>
        </w:rPr>
        <w:t>112</w:t>
      </w:r>
      <w:r w:rsidRPr="00BE52B2">
        <w:rPr>
          <w:rFonts w:ascii="Times New Roman" w:hAnsi="Times New Roman"/>
          <w:vertAlign w:val="superscript"/>
        </w:rPr>
        <w:t>th</w:t>
      </w:r>
      <w:r>
        <w:rPr>
          <w:rFonts w:ascii="Times New Roman" w:hAnsi="Times New Roman"/>
        </w:rPr>
        <w:t xml:space="preserve"> Revision of Sheet No. 101</w:t>
      </w:r>
      <w:r>
        <w:rPr>
          <w:rFonts w:ascii="Times New Roman" w:hAnsi="Times New Roman"/>
        </w:rPr>
        <w:tab/>
        <w:t>-Natural Gas Schedule No. 1, Tax Adjustment</w:t>
      </w:r>
    </w:p>
    <w:p w14:paraId="3ED6D82D" w14:textId="7C8A7496" w:rsidR="00A77C63" w:rsidRDefault="00A77C63" w:rsidP="00A77C63">
      <w:pPr>
        <w:rPr>
          <w:rFonts w:ascii="Times New Roman" w:hAnsi="Times New Roman"/>
        </w:rPr>
      </w:pPr>
      <w:r>
        <w:rPr>
          <w:rFonts w:ascii="Times New Roman" w:hAnsi="Times New Roman"/>
        </w:rPr>
        <w:t>142</w:t>
      </w:r>
      <w:r w:rsidRPr="00BE52B2">
        <w:rPr>
          <w:rFonts w:ascii="Times New Roman" w:hAnsi="Times New Roman"/>
          <w:vertAlign w:val="superscript"/>
        </w:rPr>
        <w:t>nd</w:t>
      </w:r>
      <w:r w:rsidR="00381446">
        <w:rPr>
          <w:rFonts w:ascii="Times New Roman" w:hAnsi="Times New Roman"/>
        </w:rPr>
        <w:t xml:space="preserve"> Revision of Sheet No.</w:t>
      </w:r>
      <w:r>
        <w:rPr>
          <w:rFonts w:ascii="Times New Roman" w:hAnsi="Times New Roman"/>
        </w:rPr>
        <w:t xml:space="preserve"> 101-A</w:t>
      </w:r>
      <w:r>
        <w:rPr>
          <w:rFonts w:ascii="Times New Roman" w:hAnsi="Times New Roman"/>
        </w:rPr>
        <w:tab/>
        <w:t>-Natural Gas Schedule No. 1, Tax Adjustment (Continued)</w:t>
      </w:r>
    </w:p>
    <w:p w14:paraId="3ED6D82E" w14:textId="128F8EC8" w:rsidR="00A77C63" w:rsidRDefault="00A77C63" w:rsidP="00A77C63">
      <w:pPr>
        <w:rPr>
          <w:rFonts w:ascii="Times New Roman" w:hAnsi="Times New Roman"/>
        </w:rPr>
      </w:pPr>
      <w:r>
        <w:rPr>
          <w:rFonts w:ascii="Times New Roman" w:hAnsi="Times New Roman"/>
        </w:rPr>
        <w:t>20</w:t>
      </w:r>
      <w:r w:rsidRPr="00BE52B2">
        <w:rPr>
          <w:rFonts w:ascii="Times New Roman" w:hAnsi="Times New Roman"/>
          <w:vertAlign w:val="superscript"/>
        </w:rPr>
        <w:t>th</w:t>
      </w:r>
      <w:r w:rsidR="00381446">
        <w:rPr>
          <w:rFonts w:ascii="Times New Roman" w:hAnsi="Times New Roman"/>
        </w:rPr>
        <w:t xml:space="preserve"> Revision of Sheet No.</w:t>
      </w:r>
      <w:r>
        <w:rPr>
          <w:rFonts w:ascii="Times New Roman" w:hAnsi="Times New Roman"/>
        </w:rPr>
        <w:t xml:space="preserve"> 101-B</w:t>
      </w:r>
      <w:r>
        <w:rPr>
          <w:rFonts w:ascii="Times New Roman" w:hAnsi="Times New Roman"/>
        </w:rPr>
        <w:tab/>
        <w:t>-Natural Gas Schedule No. 1, Tax Adjustment (Continued)</w:t>
      </w:r>
    </w:p>
    <w:p w14:paraId="3ED6D82F" w14:textId="77777777" w:rsidR="00A77C63" w:rsidRDefault="00A77C63" w:rsidP="00A77C63">
      <w:pPr>
        <w:rPr>
          <w:rFonts w:ascii="Times New Roman" w:hAnsi="Times New Roman"/>
        </w:rPr>
      </w:pPr>
      <w:r>
        <w:rPr>
          <w:rFonts w:ascii="Times New Roman" w:hAnsi="Times New Roman"/>
        </w:rPr>
        <w:t>6</w:t>
      </w:r>
      <w:r w:rsidRPr="00BE52B2">
        <w:rPr>
          <w:rFonts w:ascii="Times New Roman" w:hAnsi="Times New Roman"/>
          <w:vertAlign w:val="superscript"/>
        </w:rPr>
        <w:t>th</w:t>
      </w:r>
      <w:r>
        <w:rPr>
          <w:rFonts w:ascii="Times New Roman" w:hAnsi="Times New Roman"/>
        </w:rPr>
        <w:t xml:space="preserve"> Revision of Sheet No. 101-C</w:t>
      </w:r>
      <w:r>
        <w:rPr>
          <w:rFonts w:ascii="Times New Roman" w:hAnsi="Times New Roman"/>
        </w:rPr>
        <w:tab/>
        <w:t>-Natural Gas Schedule No. 1, Tax Adjustment (Continued)</w:t>
      </w:r>
    </w:p>
    <w:p w14:paraId="3ED6D830" w14:textId="77777777" w:rsidR="00A77C63" w:rsidRDefault="00A77C63" w:rsidP="00A77C63">
      <w:pPr>
        <w:rPr>
          <w:rFonts w:ascii="Times New Roman" w:hAnsi="Times New Roman"/>
        </w:rPr>
      </w:pPr>
      <w:r>
        <w:rPr>
          <w:rFonts w:ascii="Times New Roman" w:hAnsi="Times New Roman"/>
        </w:rPr>
        <w:t xml:space="preserve"> </w:t>
      </w:r>
      <w:r>
        <w:rPr>
          <w:rFonts w:ascii="Times New Roman" w:hAnsi="Times New Roman"/>
        </w:rPr>
        <w:tab/>
      </w:r>
    </w:p>
    <w:p w14:paraId="3ED6D831" w14:textId="77777777" w:rsidR="00A77C63" w:rsidRDefault="00A77C63" w:rsidP="00A77C63">
      <w:pPr>
        <w:rPr>
          <w:rFonts w:ascii="Times New Roman" w:hAnsi="Times New Roman"/>
        </w:rPr>
      </w:pPr>
      <w:r>
        <w:rPr>
          <w:rFonts w:ascii="Times New Roman" w:hAnsi="Times New Roman"/>
        </w:rPr>
        <w:t xml:space="preserve">All revised tariff sheets have an effective date of July 13, 2012.  </w:t>
      </w:r>
    </w:p>
    <w:p w14:paraId="3ED6D832" w14:textId="77777777" w:rsidR="00A77C63" w:rsidRDefault="00A77C63" w:rsidP="00A77C63">
      <w:pPr>
        <w:rPr>
          <w:rFonts w:ascii="Times New Roman" w:hAnsi="Times New Roman"/>
        </w:rPr>
      </w:pPr>
    </w:p>
    <w:p w14:paraId="3ED6D833" w14:textId="77777777" w:rsidR="00A77C63" w:rsidRDefault="00A77C63" w:rsidP="00A77C63">
      <w:pPr>
        <w:rPr>
          <w:rFonts w:ascii="Times New Roman" w:hAnsi="Times New Roman"/>
        </w:rPr>
      </w:pPr>
      <w:r>
        <w:rPr>
          <w:rFonts w:ascii="Times New Roman" w:hAnsi="Times New Roman"/>
        </w:rPr>
        <w:t xml:space="preserve">Approval of these filings would allow PSE to: </w:t>
      </w:r>
    </w:p>
    <w:p w14:paraId="3ED6D834" w14:textId="77777777" w:rsidR="00A77C63" w:rsidRPr="00A524B8" w:rsidRDefault="00A77C63" w:rsidP="00A524B8">
      <w:pPr>
        <w:pStyle w:val="ListParagraph"/>
        <w:numPr>
          <w:ilvl w:val="0"/>
          <w:numId w:val="1"/>
        </w:numPr>
        <w:rPr>
          <w:rFonts w:ascii="Times New Roman" w:hAnsi="Times New Roman"/>
          <w:sz w:val="24"/>
          <w:szCs w:val="24"/>
        </w:rPr>
      </w:pPr>
      <w:r w:rsidRPr="009B624A">
        <w:rPr>
          <w:rFonts w:ascii="Times New Roman" w:hAnsi="Times New Roman"/>
          <w:sz w:val="24"/>
          <w:szCs w:val="24"/>
        </w:rPr>
        <w:t>Pass</w:t>
      </w:r>
      <w:r>
        <w:rPr>
          <w:rFonts w:ascii="Times New Roman" w:hAnsi="Times New Roman"/>
          <w:sz w:val="24"/>
          <w:szCs w:val="24"/>
        </w:rPr>
        <w:t xml:space="preserve"> </w:t>
      </w:r>
      <w:r w:rsidRPr="009B624A">
        <w:rPr>
          <w:rFonts w:ascii="Times New Roman" w:hAnsi="Times New Roman"/>
          <w:sz w:val="24"/>
          <w:szCs w:val="24"/>
        </w:rPr>
        <w:t xml:space="preserve">through </w:t>
      </w:r>
      <w:r>
        <w:rPr>
          <w:rFonts w:ascii="Times New Roman" w:hAnsi="Times New Roman"/>
          <w:sz w:val="24"/>
          <w:szCs w:val="24"/>
        </w:rPr>
        <w:t xml:space="preserve">tax </w:t>
      </w:r>
      <w:r w:rsidRPr="009B624A">
        <w:rPr>
          <w:rFonts w:ascii="Times New Roman" w:hAnsi="Times New Roman"/>
          <w:sz w:val="24"/>
          <w:szCs w:val="24"/>
        </w:rPr>
        <w:t>assessments and other related fees</w:t>
      </w:r>
      <w:r>
        <w:rPr>
          <w:rFonts w:ascii="Times New Roman" w:hAnsi="Times New Roman"/>
          <w:sz w:val="24"/>
          <w:szCs w:val="24"/>
        </w:rPr>
        <w:t xml:space="preserve"> to ratepayers within the taxing jurisdiction including those resulting from</w:t>
      </w:r>
      <w:r w:rsidR="00A524B8">
        <w:rPr>
          <w:rFonts w:ascii="Times New Roman" w:hAnsi="Times New Roman"/>
          <w:sz w:val="24"/>
          <w:szCs w:val="24"/>
        </w:rPr>
        <w:t xml:space="preserve"> “difference(s)</w:t>
      </w:r>
      <w:r w:rsidRPr="00A524B8">
        <w:rPr>
          <w:rFonts w:ascii="Times New Roman" w:hAnsi="Times New Roman"/>
          <w:sz w:val="24"/>
          <w:szCs w:val="24"/>
        </w:rPr>
        <w:t xml:space="preserve"> of interpretation [which arise] between PSE and the taxing jurisdiction as to the meaning or application of a tax,”</w:t>
      </w:r>
      <w:r w:rsidRPr="009B624A">
        <w:rPr>
          <w:rStyle w:val="FootnoteReference"/>
          <w:rFonts w:ascii="Times New Roman" w:hAnsi="Times New Roman"/>
          <w:sz w:val="24"/>
          <w:szCs w:val="24"/>
        </w:rPr>
        <w:footnoteReference w:id="1"/>
      </w:r>
      <w:r w:rsidR="002F4018">
        <w:rPr>
          <w:rFonts w:ascii="Times New Roman" w:hAnsi="Times New Roman"/>
          <w:sz w:val="24"/>
          <w:szCs w:val="24"/>
        </w:rPr>
        <w:t xml:space="preserve"> </w:t>
      </w:r>
      <w:r w:rsidRPr="00A524B8">
        <w:rPr>
          <w:rFonts w:ascii="Times New Roman" w:hAnsi="Times New Roman"/>
          <w:sz w:val="24"/>
          <w:szCs w:val="24"/>
        </w:rPr>
        <w:t xml:space="preserve"> </w:t>
      </w:r>
    </w:p>
    <w:p w14:paraId="3ED6D835" w14:textId="7A9A7F53" w:rsidR="00A77C63"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t xml:space="preserve">Determine, </w:t>
      </w:r>
      <w:r w:rsidR="00F330F8">
        <w:rPr>
          <w:rFonts w:ascii="Times New Roman" w:hAnsi="Times New Roman"/>
          <w:sz w:val="24"/>
          <w:szCs w:val="24"/>
        </w:rPr>
        <w:t xml:space="preserve">at </w:t>
      </w:r>
      <w:r w:rsidR="0097385E">
        <w:rPr>
          <w:rFonts w:ascii="Times New Roman" w:hAnsi="Times New Roman"/>
          <w:sz w:val="24"/>
          <w:szCs w:val="24"/>
        </w:rPr>
        <w:t>PSE’s</w:t>
      </w:r>
      <w:r w:rsidR="00F330F8">
        <w:rPr>
          <w:rFonts w:ascii="Times New Roman" w:hAnsi="Times New Roman"/>
          <w:sz w:val="24"/>
          <w:szCs w:val="24"/>
        </w:rPr>
        <w:t xml:space="preserve"> discretion</w:t>
      </w:r>
      <w:r>
        <w:rPr>
          <w:rFonts w:ascii="Times New Roman" w:hAnsi="Times New Roman"/>
          <w:sz w:val="24"/>
          <w:szCs w:val="24"/>
        </w:rPr>
        <w:t>, the pass-through period of tax assessments and other related fees “over a one to six months period…in order to avoid the addition of carrying costs</w:t>
      </w:r>
      <w:r w:rsidR="004D1972">
        <w:rPr>
          <w:rFonts w:ascii="Times New Roman" w:hAnsi="Times New Roman"/>
          <w:sz w:val="24"/>
          <w:szCs w:val="24"/>
        </w:rPr>
        <w:t>,</w:t>
      </w:r>
      <w:r>
        <w:rPr>
          <w:rFonts w:ascii="Times New Roman" w:hAnsi="Times New Roman"/>
          <w:sz w:val="24"/>
          <w:szCs w:val="24"/>
        </w:rPr>
        <w:t>”</w:t>
      </w:r>
      <w:r>
        <w:rPr>
          <w:rStyle w:val="FootnoteReference"/>
          <w:rFonts w:ascii="Times New Roman" w:hAnsi="Times New Roman"/>
          <w:sz w:val="24"/>
          <w:szCs w:val="24"/>
        </w:rPr>
        <w:footnoteReference w:id="2"/>
      </w:r>
      <w:r w:rsidR="002F4018">
        <w:rPr>
          <w:rFonts w:ascii="Times New Roman" w:hAnsi="Times New Roman"/>
          <w:sz w:val="24"/>
          <w:szCs w:val="24"/>
        </w:rPr>
        <w:t xml:space="preserve"> </w:t>
      </w:r>
    </w:p>
    <w:p w14:paraId="3ED6D836" w14:textId="77777777" w:rsidR="00A77C63"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t>Remove “exclusions” from the electric tariff sheet for Schedule 81, and</w:t>
      </w:r>
    </w:p>
    <w:p w14:paraId="3ED6D837" w14:textId="77777777" w:rsidR="00A77C63" w:rsidRPr="0086412A" w:rsidRDefault="00A77C63" w:rsidP="00A77C63">
      <w:pPr>
        <w:pStyle w:val="ListParagraph"/>
        <w:numPr>
          <w:ilvl w:val="0"/>
          <w:numId w:val="1"/>
        </w:numPr>
        <w:rPr>
          <w:rFonts w:ascii="Times New Roman" w:hAnsi="Times New Roman"/>
          <w:sz w:val="24"/>
          <w:szCs w:val="24"/>
        </w:rPr>
      </w:pPr>
      <w:r>
        <w:rPr>
          <w:rFonts w:ascii="Times New Roman" w:hAnsi="Times New Roman"/>
          <w:sz w:val="24"/>
          <w:szCs w:val="24"/>
        </w:rPr>
        <w:lastRenderedPageBreak/>
        <w:t>Include clarifying language regarding the availability of the “utility tax credit…to eligible customers who take service within Indian County…from the date of eligibility (when the Company receives the necessary documentation) forward.”</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3ED6D838" w14:textId="77777777" w:rsidR="00A77C63" w:rsidRDefault="00A77C63" w:rsidP="00A77C63">
      <w:pPr>
        <w:rPr>
          <w:rFonts w:ascii="Times New Roman" w:hAnsi="Times New Roman"/>
        </w:rPr>
      </w:pPr>
    </w:p>
    <w:p w14:paraId="3ED6D839" w14:textId="77777777" w:rsidR="004C374C" w:rsidRDefault="004C374C" w:rsidP="004C374C">
      <w:pPr>
        <w:rPr>
          <w:rFonts w:ascii="Times New Roman" w:hAnsi="Times New Roman"/>
        </w:rPr>
      </w:pPr>
      <w:r>
        <w:rPr>
          <w:rFonts w:ascii="Times New Roman" w:hAnsi="Times New Roman"/>
        </w:rPr>
        <w:t xml:space="preserve">1999: Redmond Decision.  </w:t>
      </w:r>
    </w:p>
    <w:p w14:paraId="3ED6D83A" w14:textId="77777777" w:rsidR="004C374C" w:rsidRDefault="004C374C" w:rsidP="004C374C">
      <w:pPr>
        <w:rPr>
          <w:rFonts w:ascii="Times New Roman" w:hAnsi="Times New Roman"/>
        </w:rPr>
      </w:pPr>
    </w:p>
    <w:p w14:paraId="3ED6D83B" w14:textId="200A5C04" w:rsidR="004C374C" w:rsidRDefault="004C374C" w:rsidP="004C374C">
      <w:pPr>
        <w:rPr>
          <w:rFonts w:ascii="Times New Roman" w:hAnsi="Times New Roman"/>
        </w:rPr>
      </w:pPr>
      <w:r>
        <w:rPr>
          <w:rFonts w:ascii="Times New Roman" w:hAnsi="Times New Roman"/>
        </w:rPr>
        <w:t xml:space="preserve">City of Redmond audited PSE and found that “PSE did not include the amount customers paid to cover the tax in its ‘gross income’ and thus did not pay the five percent utility tax on it” (a practice known as grossing-up). PSE paid, under protest, the additional assessment levied by Redmond and then went to court for a refund plus interest, claiming that it had properly excluded money collected from customers in its determination of “gross income.” Courts ruled </w:t>
      </w:r>
      <w:r w:rsidR="00A524B8">
        <w:rPr>
          <w:rFonts w:ascii="Times New Roman" w:hAnsi="Times New Roman"/>
        </w:rPr>
        <w:t xml:space="preserve">in favor of PSE stating </w:t>
      </w:r>
      <w:r>
        <w:rPr>
          <w:rFonts w:ascii="Times New Roman" w:hAnsi="Times New Roman"/>
        </w:rPr>
        <w:t>that the city’s ordinance was ambiguous regarding “gross income” and “if there is any doubt about the meaning of a tax ordinance, it must be construed most strongly against the taxing authority and in favor of the taxpayer.”</w:t>
      </w:r>
      <w:r w:rsidR="00BD322E">
        <w:rPr>
          <w:rStyle w:val="FootnoteReference"/>
          <w:rFonts w:ascii="Times New Roman" w:hAnsi="Times New Roman"/>
        </w:rPr>
        <w:footnoteReference w:id="4"/>
      </w:r>
    </w:p>
    <w:p w14:paraId="3ED6D83C" w14:textId="77777777" w:rsidR="004C374C" w:rsidRDefault="004C374C" w:rsidP="004C374C">
      <w:pPr>
        <w:rPr>
          <w:rFonts w:ascii="Times New Roman" w:hAnsi="Times New Roman"/>
        </w:rPr>
      </w:pPr>
    </w:p>
    <w:p w14:paraId="3ED6D83D" w14:textId="77777777" w:rsidR="004C374C" w:rsidRDefault="004C374C" w:rsidP="004C374C">
      <w:pPr>
        <w:rPr>
          <w:rFonts w:ascii="Times New Roman" w:hAnsi="Times New Roman"/>
        </w:rPr>
      </w:pPr>
      <w:r>
        <w:rPr>
          <w:rFonts w:ascii="Times New Roman" w:hAnsi="Times New Roman"/>
        </w:rPr>
        <w:t>2011: Bellingham Decision.</w:t>
      </w:r>
    </w:p>
    <w:p w14:paraId="3ED6D83E" w14:textId="77777777" w:rsidR="004C374C" w:rsidRDefault="004C374C" w:rsidP="004C374C">
      <w:pPr>
        <w:rPr>
          <w:rFonts w:ascii="Times New Roman" w:hAnsi="Times New Roman"/>
        </w:rPr>
      </w:pPr>
    </w:p>
    <w:p w14:paraId="3ED6D83F" w14:textId="296E368B" w:rsidR="004C374C" w:rsidRDefault="004C374C" w:rsidP="004C374C">
      <w:pPr>
        <w:rPr>
          <w:rFonts w:ascii="Times New Roman" w:hAnsi="Times New Roman"/>
        </w:rPr>
      </w:pPr>
      <w:r>
        <w:rPr>
          <w:rFonts w:ascii="Times New Roman" w:hAnsi="Times New Roman"/>
        </w:rPr>
        <w:t xml:space="preserve">A routine audit of PSE </w:t>
      </w:r>
      <w:r w:rsidR="00F531E7">
        <w:rPr>
          <w:rFonts w:ascii="Times New Roman" w:hAnsi="Times New Roman"/>
        </w:rPr>
        <w:t xml:space="preserve">by the </w:t>
      </w:r>
      <w:r w:rsidR="00381446">
        <w:rPr>
          <w:rFonts w:ascii="Times New Roman" w:hAnsi="Times New Roman"/>
        </w:rPr>
        <w:t>c</w:t>
      </w:r>
      <w:r w:rsidR="00F531E7">
        <w:rPr>
          <w:rFonts w:ascii="Times New Roman" w:hAnsi="Times New Roman"/>
        </w:rPr>
        <w:t xml:space="preserve">ity of Bellingham </w:t>
      </w:r>
      <w:r>
        <w:rPr>
          <w:rFonts w:ascii="Times New Roman" w:hAnsi="Times New Roman"/>
        </w:rPr>
        <w:t>for 2004-2008 led to additiona</w:t>
      </w:r>
      <w:r w:rsidR="004D1972">
        <w:rPr>
          <w:rFonts w:ascii="Times New Roman" w:hAnsi="Times New Roman"/>
        </w:rPr>
        <w:t>l assessed tax and penalties.</w:t>
      </w:r>
      <w:r>
        <w:rPr>
          <w:rFonts w:ascii="Times New Roman" w:hAnsi="Times New Roman"/>
        </w:rPr>
        <w:t xml:space="preserve"> Again, PSE paid the assessments and penalties under protest and brought the case to court where they eventually lost after appeal. </w:t>
      </w:r>
      <w:r w:rsidR="007842D3">
        <w:rPr>
          <w:rFonts w:ascii="Times New Roman" w:hAnsi="Times New Roman"/>
        </w:rPr>
        <w:t xml:space="preserve">The </w:t>
      </w:r>
      <w:r>
        <w:rPr>
          <w:rFonts w:ascii="Times New Roman" w:hAnsi="Times New Roman"/>
        </w:rPr>
        <w:t xml:space="preserve">Bellingham </w:t>
      </w:r>
      <w:r w:rsidR="007842D3">
        <w:rPr>
          <w:rFonts w:ascii="Times New Roman" w:hAnsi="Times New Roman"/>
        </w:rPr>
        <w:t xml:space="preserve">Decision effectively </w:t>
      </w:r>
      <w:r w:rsidR="00A524B8">
        <w:rPr>
          <w:rFonts w:ascii="Times New Roman" w:hAnsi="Times New Roman"/>
        </w:rPr>
        <w:t xml:space="preserve">made the opposite </w:t>
      </w:r>
      <w:r w:rsidR="00F531E7">
        <w:rPr>
          <w:rFonts w:ascii="Times New Roman" w:hAnsi="Times New Roman"/>
        </w:rPr>
        <w:t xml:space="preserve">determination </w:t>
      </w:r>
      <w:r w:rsidR="00A524B8">
        <w:rPr>
          <w:rFonts w:ascii="Times New Roman" w:hAnsi="Times New Roman"/>
        </w:rPr>
        <w:t>regarding grossing-up</w:t>
      </w:r>
      <w:r w:rsidR="00FC18C7">
        <w:rPr>
          <w:rFonts w:ascii="Times New Roman" w:hAnsi="Times New Roman"/>
        </w:rPr>
        <w:t xml:space="preserve"> </w:t>
      </w:r>
      <w:r w:rsidR="00F531E7">
        <w:rPr>
          <w:rFonts w:ascii="Times New Roman" w:hAnsi="Times New Roman"/>
        </w:rPr>
        <w:t xml:space="preserve">as </w:t>
      </w:r>
      <w:r w:rsidR="00FC18C7">
        <w:rPr>
          <w:rFonts w:ascii="Times New Roman" w:hAnsi="Times New Roman"/>
        </w:rPr>
        <w:t>compared to</w:t>
      </w:r>
      <w:r w:rsidR="00A524B8">
        <w:rPr>
          <w:rFonts w:ascii="Times New Roman" w:hAnsi="Times New Roman"/>
        </w:rPr>
        <w:t xml:space="preserve"> the</w:t>
      </w:r>
      <w:r w:rsidR="004D1972">
        <w:rPr>
          <w:rFonts w:ascii="Times New Roman" w:hAnsi="Times New Roman"/>
        </w:rPr>
        <w:t xml:space="preserve"> Redmond Decision. </w:t>
      </w:r>
      <w:r w:rsidR="007842D3">
        <w:rPr>
          <w:rFonts w:ascii="Times New Roman" w:hAnsi="Times New Roman"/>
        </w:rPr>
        <w:t xml:space="preserve">The Court of Appeals of Washington ruled </w:t>
      </w:r>
      <w:r>
        <w:rPr>
          <w:rFonts w:ascii="Times New Roman" w:hAnsi="Times New Roman"/>
        </w:rPr>
        <w:t>that “the utility tax imposed here is simply one of PSE’s operating expenses” and therefore should have been included in the c</w:t>
      </w:r>
      <w:r w:rsidR="004D1972">
        <w:rPr>
          <w:rFonts w:ascii="Times New Roman" w:hAnsi="Times New Roman"/>
        </w:rPr>
        <w:t xml:space="preserve">alculation for “gross income.” </w:t>
      </w:r>
      <w:r>
        <w:rPr>
          <w:rFonts w:ascii="Times New Roman" w:hAnsi="Times New Roman"/>
        </w:rPr>
        <w:t xml:space="preserve">The Bellingham Decision also stated </w:t>
      </w:r>
      <w:r w:rsidR="007842D3">
        <w:rPr>
          <w:rFonts w:ascii="Times New Roman" w:hAnsi="Times New Roman"/>
        </w:rPr>
        <w:t xml:space="preserve">that the “City Utility Tax </w:t>
      </w:r>
      <w:r>
        <w:rPr>
          <w:rFonts w:ascii="Times New Roman" w:hAnsi="Times New Roman"/>
        </w:rPr>
        <w:t>applied to traditional non-taxed utility services and to non-utility services.” The additional “assessment against PSE [was] in the amount of $919,663.11 – consisting of $680,316.76 in city utility tax</w:t>
      </w:r>
      <w:r w:rsidR="004D1972">
        <w:rPr>
          <w:rFonts w:ascii="Times New Roman" w:hAnsi="Times New Roman"/>
        </w:rPr>
        <w:t xml:space="preserve"> and $239,345.35 in penalties. </w:t>
      </w:r>
      <w:r>
        <w:rPr>
          <w:rFonts w:ascii="Times New Roman" w:hAnsi="Times New Roman"/>
        </w:rPr>
        <w:t>The assessment was based upon the city’s determination that certain revenue upon which PSE had paid city B &amp; O tax was, instead, properly subject to city utility tax</w:t>
      </w:r>
      <w:r w:rsidR="00381446" w:rsidRPr="00381446">
        <w:rPr>
          <w:rFonts w:ascii="Times New Roman" w:hAnsi="Times New Roman"/>
        </w:rPr>
        <w:t>,</w:t>
      </w:r>
      <w:r w:rsidRPr="00381446">
        <w:rPr>
          <w:rFonts w:ascii="Times New Roman" w:hAnsi="Times New Roman"/>
        </w:rPr>
        <w:t>”</w:t>
      </w:r>
      <w:r w:rsidRPr="00381446">
        <w:rPr>
          <w:rStyle w:val="FootnoteReference"/>
          <w:rFonts w:ascii="Times New Roman" w:hAnsi="Times New Roman"/>
        </w:rPr>
        <w:footnoteReference w:id="5"/>
      </w:r>
      <w:r w:rsidR="00381446" w:rsidRPr="00381446">
        <w:rPr>
          <w:rFonts w:ascii="Times New Roman" w:hAnsi="Times New Roman"/>
        </w:rPr>
        <w:t xml:space="preserve"> </w:t>
      </w:r>
      <w:r w:rsidR="005821BB">
        <w:rPr>
          <w:rFonts w:ascii="Times New Roman" w:hAnsi="Times New Roman"/>
        </w:rPr>
        <w:t xml:space="preserve">and that PSE has neglected to pay </w:t>
      </w:r>
      <w:r w:rsidR="00381446" w:rsidRPr="00381446">
        <w:rPr>
          <w:rFonts w:ascii="Times New Roman" w:hAnsi="Times New Roman"/>
        </w:rPr>
        <w:t>“city tax on service related activities, and city tax on retail sales.”</w:t>
      </w:r>
      <w:r w:rsidR="00381446" w:rsidRPr="00381446">
        <w:rPr>
          <w:rStyle w:val="FootnoteReference"/>
          <w:rFonts w:ascii="Times New Roman" w:hAnsi="Times New Roman"/>
        </w:rPr>
        <w:footnoteReference w:id="6"/>
      </w:r>
      <w:r w:rsidR="00381446" w:rsidRPr="00381446">
        <w:rPr>
          <w:rFonts w:ascii="Times New Roman" w:hAnsi="Times New Roman"/>
        </w:rPr>
        <w:t xml:space="preserve"> Hoping that Bellingham would rule in PSE’s favor, PSE continued to pay contested taxes and assessments without passing through the costs to consumers.  The total amount uncollected by PSE as a result of the Bellingham Decision is $1,633,662</w:t>
      </w:r>
      <w:r w:rsidR="00146A12">
        <w:rPr>
          <w:rFonts w:ascii="Times New Roman" w:hAnsi="Times New Roman"/>
        </w:rPr>
        <w:t xml:space="preserve"> as of the end of 2011</w:t>
      </w:r>
      <w:r w:rsidR="00381446" w:rsidRPr="00381446">
        <w:rPr>
          <w:rFonts w:ascii="Times New Roman" w:hAnsi="Times New Roman"/>
        </w:rPr>
        <w:t>.</w:t>
      </w:r>
      <w:r w:rsidR="00381446" w:rsidRPr="00381446">
        <w:rPr>
          <w:rStyle w:val="FootnoteReference"/>
          <w:rFonts w:ascii="Times New Roman" w:hAnsi="Times New Roman"/>
        </w:rPr>
        <w:footnoteReference w:id="7"/>
      </w:r>
      <w:r w:rsidRPr="00381446">
        <w:rPr>
          <w:rFonts w:ascii="Times New Roman" w:hAnsi="Times New Roman"/>
        </w:rPr>
        <w:t xml:space="preserve">     </w:t>
      </w:r>
    </w:p>
    <w:p w14:paraId="3ED6D840" w14:textId="77777777" w:rsidR="004C374C" w:rsidRPr="00AD4D61" w:rsidRDefault="004C374C" w:rsidP="00A77C63">
      <w:pPr>
        <w:rPr>
          <w:rFonts w:ascii="Times New Roman" w:hAnsi="Times New Roman"/>
        </w:rPr>
      </w:pPr>
    </w:p>
    <w:p w14:paraId="3ED6D842" w14:textId="240469A1" w:rsidR="00A524B8" w:rsidRDefault="004C374C" w:rsidP="00A77C63">
      <w:pPr>
        <w:rPr>
          <w:rFonts w:ascii="Times New Roman" w:hAnsi="Times New Roman"/>
        </w:rPr>
      </w:pPr>
      <w:r>
        <w:rPr>
          <w:rFonts w:ascii="Times New Roman" w:hAnsi="Times New Roman"/>
        </w:rPr>
        <w:t>Since 2011, five municipa</w:t>
      </w:r>
      <w:r w:rsidR="00D74A92">
        <w:rPr>
          <w:rFonts w:ascii="Times New Roman" w:hAnsi="Times New Roman"/>
        </w:rPr>
        <w:t xml:space="preserve">lities have </w:t>
      </w:r>
      <w:r>
        <w:rPr>
          <w:rFonts w:ascii="Times New Roman" w:hAnsi="Times New Roman"/>
        </w:rPr>
        <w:t>contacted PSE indicating that they now interpret their ordinance in the same manner as the Bellingham Decision.</w:t>
      </w:r>
      <w:r>
        <w:rPr>
          <w:rStyle w:val="FootnoteReference"/>
          <w:rFonts w:ascii="Times New Roman" w:hAnsi="Times New Roman"/>
        </w:rPr>
        <w:footnoteReference w:id="8"/>
      </w:r>
      <w:r w:rsidR="004D1972">
        <w:rPr>
          <w:rFonts w:ascii="Times New Roman" w:hAnsi="Times New Roman"/>
        </w:rPr>
        <w:t xml:space="preserve"> </w:t>
      </w:r>
      <w:r w:rsidR="00A77C63">
        <w:rPr>
          <w:rFonts w:ascii="Times New Roman" w:hAnsi="Times New Roman"/>
        </w:rPr>
        <w:t>PSE currently operates in 107 cities.</w:t>
      </w:r>
      <w:r w:rsidR="00A77C63">
        <w:rPr>
          <w:rStyle w:val="FootnoteReference"/>
          <w:rFonts w:ascii="Times New Roman" w:hAnsi="Times New Roman"/>
        </w:rPr>
        <w:footnoteReference w:id="9"/>
      </w:r>
      <w:r w:rsidR="005821BB">
        <w:rPr>
          <w:rFonts w:ascii="Times New Roman" w:hAnsi="Times New Roman"/>
        </w:rPr>
        <w:t xml:space="preserve">  </w:t>
      </w:r>
    </w:p>
    <w:p w14:paraId="3ED6D843" w14:textId="77777777" w:rsidR="00A77C63" w:rsidRPr="008E4B3E" w:rsidRDefault="00A77C63" w:rsidP="00A77C63">
      <w:pPr>
        <w:rPr>
          <w:rFonts w:ascii="Times New Roman" w:hAnsi="Times New Roman"/>
        </w:rPr>
      </w:pPr>
      <w:r>
        <w:rPr>
          <w:rFonts w:ascii="Times New Roman" w:hAnsi="Times New Roman"/>
          <w:b/>
          <w:u w:val="single"/>
        </w:rPr>
        <w:lastRenderedPageBreak/>
        <w:t>Discussion</w:t>
      </w:r>
    </w:p>
    <w:p w14:paraId="3ED6D845" w14:textId="77777777" w:rsidR="007842D3" w:rsidRDefault="007842D3" w:rsidP="00A77C63">
      <w:pPr>
        <w:rPr>
          <w:rFonts w:ascii="Times New Roman" w:hAnsi="Times New Roman"/>
          <w:u w:val="single"/>
        </w:rPr>
      </w:pPr>
    </w:p>
    <w:p w14:paraId="0238E65C" w14:textId="5854FCB6" w:rsidR="000402EB" w:rsidRDefault="00F531E7" w:rsidP="00337B21">
      <w:pPr>
        <w:rPr>
          <w:rFonts w:ascii="Times New Roman" w:hAnsi="Times New Roman"/>
        </w:rPr>
      </w:pPr>
      <w:r w:rsidRPr="000402EB">
        <w:rPr>
          <w:rFonts w:ascii="Times New Roman" w:hAnsi="Times New Roman"/>
        </w:rPr>
        <w:t xml:space="preserve">Staff has </w:t>
      </w:r>
      <w:r w:rsidR="000402EB" w:rsidRPr="000402EB">
        <w:rPr>
          <w:rFonts w:ascii="Times New Roman" w:hAnsi="Times New Roman"/>
        </w:rPr>
        <w:t xml:space="preserve">four </w:t>
      </w:r>
      <w:r w:rsidRPr="000402EB">
        <w:rPr>
          <w:rFonts w:ascii="Times New Roman" w:hAnsi="Times New Roman"/>
        </w:rPr>
        <w:t>concerns with the filing</w:t>
      </w:r>
      <w:r w:rsidR="005821BB">
        <w:rPr>
          <w:rFonts w:ascii="Times New Roman" w:hAnsi="Times New Roman"/>
        </w:rPr>
        <w:t>s</w:t>
      </w:r>
      <w:r w:rsidRPr="000402EB">
        <w:rPr>
          <w:rFonts w:ascii="Times New Roman" w:hAnsi="Times New Roman"/>
        </w:rPr>
        <w:t xml:space="preserve">. </w:t>
      </w:r>
    </w:p>
    <w:p w14:paraId="3A720518" w14:textId="77777777" w:rsidR="000402EB" w:rsidRDefault="000402EB" w:rsidP="00337B21">
      <w:pPr>
        <w:rPr>
          <w:rFonts w:ascii="Times New Roman" w:hAnsi="Times New Roman"/>
        </w:rPr>
      </w:pPr>
    </w:p>
    <w:p w14:paraId="3ED6D847" w14:textId="3CEBEEE6" w:rsidR="009521B0" w:rsidRPr="000402EB" w:rsidRDefault="00F531E7" w:rsidP="00337B21">
      <w:pPr>
        <w:rPr>
          <w:rFonts w:ascii="Times New Roman" w:hAnsi="Times New Roman"/>
          <w:u w:val="single"/>
        </w:rPr>
      </w:pPr>
      <w:r w:rsidRPr="000402EB">
        <w:rPr>
          <w:rFonts w:ascii="Times New Roman" w:hAnsi="Times New Roman"/>
          <w:u w:val="single"/>
        </w:rPr>
        <w:t>First, t</w:t>
      </w:r>
      <w:r w:rsidR="007842D3" w:rsidRPr="000402EB">
        <w:rPr>
          <w:rFonts w:ascii="Times New Roman" w:hAnsi="Times New Roman"/>
          <w:u w:val="single"/>
        </w:rPr>
        <w:t xml:space="preserve">he proposed language </w:t>
      </w:r>
      <w:r w:rsidR="009521B0" w:rsidRPr="000402EB">
        <w:rPr>
          <w:rFonts w:ascii="Times New Roman" w:hAnsi="Times New Roman"/>
          <w:u w:val="single"/>
        </w:rPr>
        <w:t xml:space="preserve">under “Timing of Collection,” on the Eighth Revision of Sheet No. 81-c, </w:t>
      </w:r>
      <w:r w:rsidRPr="000402EB">
        <w:rPr>
          <w:rFonts w:ascii="Times New Roman" w:hAnsi="Times New Roman"/>
          <w:u w:val="single"/>
        </w:rPr>
        <w:t xml:space="preserve">seemingly </w:t>
      </w:r>
      <w:r w:rsidR="004D1972" w:rsidRPr="000402EB">
        <w:rPr>
          <w:rFonts w:ascii="Times New Roman" w:hAnsi="Times New Roman"/>
          <w:u w:val="single"/>
        </w:rPr>
        <w:t xml:space="preserve">transfers </w:t>
      </w:r>
      <w:r w:rsidRPr="000402EB">
        <w:rPr>
          <w:rFonts w:ascii="Times New Roman" w:hAnsi="Times New Roman"/>
          <w:u w:val="single"/>
        </w:rPr>
        <w:t xml:space="preserve">to the company </w:t>
      </w:r>
      <w:r w:rsidR="004D1972" w:rsidRPr="000402EB">
        <w:rPr>
          <w:rFonts w:ascii="Times New Roman" w:hAnsi="Times New Roman"/>
          <w:u w:val="single"/>
        </w:rPr>
        <w:t xml:space="preserve">authority </w:t>
      </w:r>
      <w:r w:rsidR="007842D3" w:rsidRPr="000402EB">
        <w:rPr>
          <w:rFonts w:ascii="Times New Roman" w:hAnsi="Times New Roman"/>
          <w:u w:val="single"/>
        </w:rPr>
        <w:t>which pro</w:t>
      </w:r>
      <w:bookmarkStart w:id="1" w:name="rcw80.28.020"/>
      <w:r w:rsidR="004D1972" w:rsidRPr="000402EB">
        <w:rPr>
          <w:rFonts w:ascii="Times New Roman" w:hAnsi="Times New Roman"/>
          <w:u w:val="single"/>
        </w:rPr>
        <w:t>perly belongs to the c</w:t>
      </w:r>
      <w:r w:rsidR="00337B21" w:rsidRPr="000402EB">
        <w:rPr>
          <w:rFonts w:ascii="Times New Roman" w:hAnsi="Times New Roman"/>
          <w:u w:val="single"/>
        </w:rPr>
        <w:t>ommission</w:t>
      </w:r>
    </w:p>
    <w:p w14:paraId="5222A64E" w14:textId="77777777" w:rsidR="009879D3" w:rsidRDefault="009879D3" w:rsidP="00337B21">
      <w:pPr>
        <w:rPr>
          <w:rFonts w:ascii="Times New Roman" w:hAnsi="Times New Roman"/>
        </w:rPr>
      </w:pPr>
    </w:p>
    <w:p w14:paraId="3ED6D848" w14:textId="74B8D8BD" w:rsidR="009521B0" w:rsidRDefault="009521B0" w:rsidP="00337B21">
      <w:pPr>
        <w:rPr>
          <w:rFonts w:ascii="Times New Roman" w:hAnsi="Times New Roman"/>
        </w:rPr>
      </w:pPr>
      <w:r>
        <w:rPr>
          <w:rFonts w:ascii="Times New Roman" w:hAnsi="Times New Roman"/>
        </w:rPr>
        <w:t>The proposed language states that</w:t>
      </w:r>
      <w:r w:rsidR="006A34B7">
        <w:rPr>
          <w:rFonts w:ascii="Times New Roman" w:hAnsi="Times New Roman"/>
        </w:rPr>
        <w:t>:</w:t>
      </w:r>
      <w:r>
        <w:rPr>
          <w:rFonts w:ascii="Times New Roman" w:hAnsi="Times New Roman"/>
        </w:rPr>
        <w:t xml:space="preserve"> </w:t>
      </w:r>
    </w:p>
    <w:p w14:paraId="3ED6D849" w14:textId="77777777" w:rsidR="009521B0" w:rsidRDefault="009521B0" w:rsidP="00337B21">
      <w:pPr>
        <w:rPr>
          <w:rFonts w:ascii="Times New Roman" w:hAnsi="Times New Roman"/>
        </w:rPr>
      </w:pPr>
    </w:p>
    <w:p w14:paraId="3ED6D84A" w14:textId="223907D8" w:rsidR="009521B0" w:rsidRDefault="009521B0" w:rsidP="009521B0">
      <w:pPr>
        <w:ind w:left="720"/>
        <w:rPr>
          <w:rFonts w:ascii="Times New Roman" w:hAnsi="Times New Roman"/>
        </w:rPr>
      </w:pPr>
      <w:r>
        <w:rPr>
          <w:rFonts w:ascii="Times New Roman" w:hAnsi="Times New Roman"/>
        </w:rPr>
        <w:t>When the Company has paid tax assessments or other related charges for past periods to a taxing jurisdiction the Company will determine the appropriate time period and rate over which to adjust rates to recover the amount of such tax assessments or other related charges im</w:t>
      </w:r>
      <w:r w:rsidR="009879D3">
        <w:rPr>
          <w:rFonts w:ascii="Times New Roman" w:hAnsi="Times New Roman"/>
        </w:rPr>
        <w:t>posed by a taxing jurisdiction.</w:t>
      </w:r>
      <w:r>
        <w:rPr>
          <w:rStyle w:val="FootnoteReference"/>
          <w:rFonts w:ascii="Times New Roman" w:hAnsi="Times New Roman"/>
        </w:rPr>
        <w:footnoteReference w:id="10"/>
      </w:r>
      <w:r>
        <w:rPr>
          <w:rFonts w:ascii="Times New Roman" w:hAnsi="Times New Roman"/>
        </w:rPr>
        <w:t xml:space="preserve"> </w:t>
      </w:r>
    </w:p>
    <w:p w14:paraId="3ED6D84B" w14:textId="77777777" w:rsidR="009521B0" w:rsidRDefault="009521B0" w:rsidP="00337B21">
      <w:pPr>
        <w:rPr>
          <w:rFonts w:ascii="Times New Roman" w:hAnsi="Times New Roman"/>
        </w:rPr>
      </w:pPr>
    </w:p>
    <w:p w14:paraId="3ED6D84C" w14:textId="37FE46FE" w:rsidR="009D2BA0" w:rsidRPr="00337B21" w:rsidRDefault="00337B21" w:rsidP="00337B21">
      <w:pPr>
        <w:rPr>
          <w:rFonts w:ascii="Times New Roman" w:hAnsi="Times New Roman"/>
          <w:u w:val="single"/>
        </w:rPr>
      </w:pPr>
      <w:r>
        <w:rPr>
          <w:rFonts w:ascii="Times New Roman" w:hAnsi="Times New Roman"/>
        </w:rPr>
        <w:t xml:space="preserve">As stated in </w:t>
      </w:r>
      <w:r>
        <w:t>R</w:t>
      </w:r>
      <w:r w:rsidR="009D2BA0" w:rsidRPr="009D2BA0">
        <w:rPr>
          <w:rFonts w:ascii="Times New Roman" w:hAnsi="Times New Roman"/>
        </w:rPr>
        <w:t>CW 80.28.020</w:t>
      </w:r>
      <w:r>
        <w:rPr>
          <w:rFonts w:ascii="Times New Roman" w:hAnsi="Times New Roman"/>
        </w:rPr>
        <w:t>, “whenever the commission shall find…</w:t>
      </w:r>
      <w:r w:rsidR="009D2BA0" w:rsidRPr="009D2BA0">
        <w:rPr>
          <w:rFonts w:ascii="Times New Roman" w:hAnsi="Times New Roman"/>
        </w:rPr>
        <w:t>that such rates or charges are insufficient to yield a reasonable compensation for the service rendered, the commission shall determine the just, reasonable, or sufficient rates, charges, regulations, practices or contracts to be thereafter observed and in force, and shall fix the same by order.</w:t>
      </w:r>
      <w:r w:rsidR="004D1972">
        <w:rPr>
          <w:rFonts w:ascii="Times New Roman" w:hAnsi="Times New Roman"/>
        </w:rPr>
        <w:t>” Therefore, if the c</w:t>
      </w:r>
      <w:r>
        <w:rPr>
          <w:rFonts w:ascii="Times New Roman" w:hAnsi="Times New Roman"/>
        </w:rPr>
        <w:t>ompany incurs costs for which they are not currently receiving reasonable compensation, it is for the commission to determine the appropriate method of recovery</w:t>
      </w:r>
      <w:r w:rsidR="004D1972">
        <w:rPr>
          <w:rFonts w:ascii="Times New Roman" w:hAnsi="Times New Roman"/>
        </w:rPr>
        <w:t xml:space="preserve"> and not the c</w:t>
      </w:r>
      <w:r>
        <w:rPr>
          <w:rFonts w:ascii="Times New Roman" w:hAnsi="Times New Roman"/>
        </w:rPr>
        <w:t xml:space="preserve">ompany. </w:t>
      </w:r>
      <w:r w:rsidR="009D2BA0" w:rsidRPr="009D2BA0">
        <w:rPr>
          <w:rFonts w:ascii="Times New Roman" w:hAnsi="Times New Roman"/>
        </w:rPr>
        <w:t xml:space="preserve"> </w:t>
      </w:r>
    </w:p>
    <w:bookmarkEnd w:id="1"/>
    <w:p w14:paraId="3ED6D84D" w14:textId="77777777" w:rsidR="007842D3" w:rsidRPr="007842D3" w:rsidRDefault="007842D3" w:rsidP="00A77C63">
      <w:pPr>
        <w:rPr>
          <w:rFonts w:ascii="Times New Roman" w:hAnsi="Times New Roman"/>
        </w:rPr>
      </w:pPr>
    </w:p>
    <w:p w14:paraId="41CB9DFE" w14:textId="461FEF0D" w:rsidR="000402EB" w:rsidRDefault="00F531E7" w:rsidP="00D649E7">
      <w:pPr>
        <w:rPr>
          <w:rFonts w:ascii="Times New Roman" w:hAnsi="Times New Roman"/>
          <w:u w:val="single"/>
        </w:rPr>
      </w:pPr>
      <w:r w:rsidRPr="000402EB">
        <w:rPr>
          <w:rFonts w:ascii="Times New Roman" w:hAnsi="Times New Roman"/>
          <w:u w:val="single"/>
        </w:rPr>
        <w:t xml:space="preserve">Second, </w:t>
      </w:r>
      <w:r w:rsidR="00070AC5" w:rsidRPr="000402EB">
        <w:rPr>
          <w:rFonts w:ascii="Times New Roman" w:hAnsi="Times New Roman"/>
          <w:u w:val="single"/>
        </w:rPr>
        <w:t xml:space="preserve">proposed language </w:t>
      </w:r>
      <w:r w:rsidR="009521B0" w:rsidRPr="000402EB">
        <w:rPr>
          <w:rFonts w:ascii="Times New Roman" w:hAnsi="Times New Roman"/>
          <w:u w:val="single"/>
        </w:rPr>
        <w:t>under the heading “</w:t>
      </w:r>
      <w:r w:rsidR="009879D3">
        <w:rPr>
          <w:rFonts w:ascii="Times New Roman" w:hAnsi="Times New Roman"/>
          <w:u w:val="single"/>
        </w:rPr>
        <w:t>Timing of Collections,” on the Eighth R</w:t>
      </w:r>
      <w:r w:rsidR="009521B0" w:rsidRPr="000402EB">
        <w:rPr>
          <w:rFonts w:ascii="Times New Roman" w:hAnsi="Times New Roman"/>
          <w:u w:val="single"/>
        </w:rPr>
        <w:t xml:space="preserve">evision of Sheet No. 80-C, </w:t>
      </w:r>
      <w:r w:rsidR="007842D3" w:rsidRPr="000402EB">
        <w:rPr>
          <w:rFonts w:ascii="Times New Roman" w:hAnsi="Times New Roman"/>
          <w:u w:val="single"/>
        </w:rPr>
        <w:t>constitutes</w:t>
      </w:r>
      <w:r w:rsidR="002909BE" w:rsidRPr="000402EB">
        <w:rPr>
          <w:rFonts w:ascii="Times New Roman" w:hAnsi="Times New Roman"/>
          <w:u w:val="single"/>
        </w:rPr>
        <w:t xml:space="preserve"> retroactive rate </w:t>
      </w:r>
      <w:r w:rsidR="00070AC5" w:rsidRPr="000402EB">
        <w:rPr>
          <w:rFonts w:ascii="Times New Roman" w:hAnsi="Times New Roman"/>
          <w:u w:val="single"/>
        </w:rPr>
        <w:t>making</w:t>
      </w:r>
    </w:p>
    <w:p w14:paraId="1652DD59" w14:textId="77777777" w:rsidR="009879D3" w:rsidRDefault="009879D3" w:rsidP="00D649E7">
      <w:pPr>
        <w:rPr>
          <w:rFonts w:ascii="Times New Roman" w:hAnsi="Times New Roman"/>
        </w:rPr>
      </w:pPr>
    </w:p>
    <w:p w14:paraId="3ED6D84F" w14:textId="3B78F91B" w:rsidR="00D649E7" w:rsidRDefault="00214F52" w:rsidP="00D649E7">
      <w:pPr>
        <w:rPr>
          <w:rFonts w:ascii="Times New Roman" w:hAnsi="Times New Roman"/>
        </w:rPr>
      </w:pPr>
      <w:r>
        <w:rPr>
          <w:rFonts w:ascii="Times New Roman" w:hAnsi="Times New Roman"/>
        </w:rPr>
        <w:t>The languag</w:t>
      </w:r>
      <w:r w:rsidR="004D1972">
        <w:rPr>
          <w:rFonts w:ascii="Times New Roman" w:hAnsi="Times New Roman"/>
        </w:rPr>
        <w:t>e specifically states that the c</w:t>
      </w:r>
      <w:r>
        <w:rPr>
          <w:rFonts w:ascii="Times New Roman" w:hAnsi="Times New Roman"/>
        </w:rPr>
        <w:t>ompany intends to collect monies from ratepayers to cover charges “</w:t>
      </w:r>
      <w:r w:rsidR="00D649E7">
        <w:rPr>
          <w:rFonts w:ascii="Times New Roman" w:hAnsi="Times New Roman"/>
        </w:rPr>
        <w:t xml:space="preserve">when the Company has paid tax assessments or other related charges </w:t>
      </w:r>
      <w:r>
        <w:rPr>
          <w:rFonts w:ascii="Times New Roman" w:hAnsi="Times New Roman"/>
        </w:rPr>
        <w:t>for past periods</w:t>
      </w:r>
      <w:r w:rsidR="00D649E7">
        <w:rPr>
          <w:rFonts w:ascii="Times New Roman" w:hAnsi="Times New Roman"/>
        </w:rPr>
        <w:t>.</w:t>
      </w:r>
      <w:r>
        <w:rPr>
          <w:rFonts w:ascii="Times New Roman" w:hAnsi="Times New Roman"/>
        </w:rPr>
        <w:t>”</w:t>
      </w:r>
      <w:r>
        <w:rPr>
          <w:rStyle w:val="FootnoteReference"/>
          <w:rFonts w:ascii="Times New Roman" w:hAnsi="Times New Roman"/>
        </w:rPr>
        <w:footnoteReference w:id="11"/>
      </w:r>
      <w:r w:rsidR="00D649E7">
        <w:rPr>
          <w:rFonts w:ascii="Times New Roman" w:hAnsi="Times New Roman"/>
        </w:rPr>
        <w:t xml:space="preserve"> </w:t>
      </w:r>
      <w:r>
        <w:rPr>
          <w:rFonts w:ascii="Times New Roman" w:hAnsi="Times New Roman"/>
        </w:rPr>
        <w:t xml:space="preserve">This is the very definition of retroactive rate making offered in </w:t>
      </w:r>
      <w:r w:rsidRPr="002909BE">
        <w:rPr>
          <w:rFonts w:ascii="Times New Roman" w:hAnsi="Times New Roman"/>
        </w:rPr>
        <w:t xml:space="preserve">WUTC v. US WEST </w:t>
      </w:r>
      <w:r w:rsidRPr="002909BE">
        <w:rPr>
          <w:rFonts w:ascii="Times New Roman" w:hAnsi="Times New Roman"/>
          <w:i/>
        </w:rPr>
        <w:t>Communication, Inc.</w:t>
      </w:r>
      <w:r w:rsidRPr="002909BE">
        <w:rPr>
          <w:rFonts w:ascii="Times New Roman" w:hAnsi="Times New Roman"/>
        </w:rPr>
        <w:t xml:space="preserve"> Docket No. UT-970010, Second S</w:t>
      </w:r>
      <w:r w:rsidR="00D649E7">
        <w:rPr>
          <w:rFonts w:ascii="Times New Roman" w:hAnsi="Times New Roman"/>
        </w:rPr>
        <w:t>upp. Order at 10 (Nov. 7, 1997): “</w:t>
      </w:r>
      <w:r w:rsidR="004D1972">
        <w:rPr>
          <w:rFonts w:ascii="Times New Roman" w:hAnsi="Times New Roman"/>
        </w:rPr>
        <w:t>[r</w:t>
      </w:r>
      <w:r w:rsidR="002909BE" w:rsidRPr="00214F52">
        <w:rPr>
          <w:rFonts w:ascii="Times New Roman" w:hAnsi="Times New Roman"/>
        </w:rPr>
        <w:t>etroactive rate making involve</w:t>
      </w:r>
      <w:r w:rsidR="009521B0">
        <w:rPr>
          <w:rFonts w:ascii="Times New Roman" w:hAnsi="Times New Roman"/>
        </w:rPr>
        <w:t>s</w:t>
      </w:r>
      <w:r w:rsidR="002909BE" w:rsidRPr="00214F52">
        <w:rPr>
          <w:rFonts w:ascii="Times New Roman" w:hAnsi="Times New Roman"/>
        </w:rPr>
        <w:t>] surcharges or ordered refunds applied to rates which had been previously paid, an additional charge applied after the service was provided or consumer.</w:t>
      </w:r>
      <w:r w:rsidR="00D649E7">
        <w:rPr>
          <w:rFonts w:ascii="Times New Roman" w:hAnsi="Times New Roman"/>
        </w:rPr>
        <w:t>”</w:t>
      </w:r>
      <w:r w:rsidR="00D649E7" w:rsidRPr="00D649E7">
        <w:rPr>
          <w:rStyle w:val="FootnoteReference"/>
          <w:rFonts w:ascii="Times New Roman" w:hAnsi="Times New Roman"/>
        </w:rPr>
        <w:t xml:space="preserve"> </w:t>
      </w:r>
      <w:r w:rsidR="00D649E7" w:rsidRPr="00654983">
        <w:rPr>
          <w:rStyle w:val="FootnoteReference"/>
          <w:rFonts w:ascii="Times New Roman" w:hAnsi="Times New Roman"/>
        </w:rPr>
        <w:footnoteReference w:id="12"/>
      </w:r>
      <w:r w:rsidR="00D649E7" w:rsidRPr="00214F52">
        <w:rPr>
          <w:rFonts w:ascii="Times New Roman" w:hAnsi="Times New Roman"/>
        </w:rPr>
        <w:t xml:space="preserve"> </w:t>
      </w:r>
    </w:p>
    <w:p w14:paraId="3ED6D850" w14:textId="77777777" w:rsidR="00D649E7" w:rsidRDefault="00D649E7" w:rsidP="00D649E7">
      <w:pPr>
        <w:rPr>
          <w:rFonts w:ascii="Times New Roman" w:hAnsi="Times New Roman"/>
        </w:rPr>
      </w:pPr>
    </w:p>
    <w:p w14:paraId="3ED6D851" w14:textId="7685A2AC" w:rsidR="002909BE" w:rsidRDefault="00D649E7" w:rsidP="00D649E7">
      <w:pPr>
        <w:rPr>
          <w:rFonts w:ascii="Times New Roman" w:hAnsi="Times New Roman"/>
        </w:rPr>
      </w:pPr>
      <w:r>
        <w:rPr>
          <w:rFonts w:ascii="Times New Roman" w:hAnsi="Times New Roman"/>
        </w:rPr>
        <w:t xml:space="preserve">WUTC v. US WEST </w:t>
      </w:r>
      <w:r>
        <w:rPr>
          <w:rFonts w:ascii="Times New Roman" w:hAnsi="Times New Roman"/>
          <w:i/>
        </w:rPr>
        <w:t>Communication, Inc.</w:t>
      </w:r>
      <w:r w:rsidR="009521B0">
        <w:rPr>
          <w:rFonts w:ascii="Times New Roman" w:hAnsi="Times New Roman"/>
        </w:rPr>
        <w:t xml:space="preserve"> </w:t>
      </w:r>
      <w:r>
        <w:rPr>
          <w:rFonts w:ascii="Times New Roman" w:hAnsi="Times New Roman"/>
        </w:rPr>
        <w:t>provides an argument against allowing retroactive rate making as “t</w:t>
      </w:r>
      <w:r w:rsidR="002909BE" w:rsidRPr="00214F52">
        <w:rPr>
          <w:rFonts w:ascii="Times New Roman" w:hAnsi="Times New Roman"/>
        </w:rPr>
        <w:t xml:space="preserve">he evil in retroactive rate making as thus understood is that the consumer has no opportunity </w:t>
      </w:r>
      <w:r w:rsidR="00913966">
        <w:rPr>
          <w:rFonts w:ascii="Times New Roman" w:hAnsi="Times New Roman"/>
        </w:rPr>
        <w:t xml:space="preserve">prior </w:t>
      </w:r>
      <w:r w:rsidR="002909BE" w:rsidRPr="00214F52">
        <w:rPr>
          <w:rFonts w:ascii="Times New Roman" w:hAnsi="Times New Roman"/>
        </w:rPr>
        <w:t xml:space="preserve">to receiving </w:t>
      </w:r>
      <w:r w:rsidR="00913966">
        <w:rPr>
          <w:rFonts w:ascii="Times New Roman" w:hAnsi="Times New Roman"/>
        </w:rPr>
        <w:t>or consuming</w:t>
      </w:r>
      <w:r w:rsidR="002909BE" w:rsidRPr="00214F52">
        <w:rPr>
          <w:rFonts w:ascii="Times New Roman" w:hAnsi="Times New Roman"/>
        </w:rPr>
        <w:t xml:space="preserve"> the service to learn what the rate is or to participate in the proce</w:t>
      </w:r>
      <w:r w:rsidR="004D1972">
        <w:rPr>
          <w:rFonts w:ascii="Times New Roman" w:hAnsi="Times New Roman"/>
        </w:rPr>
        <w:t>eding by which the rate is set.</w:t>
      </w:r>
      <w:r w:rsidR="002909BE" w:rsidRPr="00214F52">
        <w:rPr>
          <w:rFonts w:ascii="Times New Roman" w:hAnsi="Times New Roman"/>
        </w:rPr>
        <w:t xml:space="preserve"> The Commission agrees that retroactive rate making, </w:t>
      </w:r>
      <w:r w:rsidR="002909BE" w:rsidRPr="00214F52">
        <w:rPr>
          <w:rFonts w:ascii="Times New Roman" w:hAnsi="Times New Roman"/>
        </w:rPr>
        <w:lastRenderedPageBreak/>
        <w:t>as thus understood, is extremely poor public policy and is illegal under the statutes of Washington State as a rate applied to a service without prior notice and review.</w:t>
      </w:r>
      <w:r>
        <w:rPr>
          <w:rFonts w:ascii="Times New Roman" w:hAnsi="Times New Roman"/>
        </w:rPr>
        <w:t>”</w:t>
      </w:r>
      <w:r w:rsidRPr="00D649E7">
        <w:rPr>
          <w:rStyle w:val="FootnoteReference"/>
          <w:rFonts w:ascii="Times New Roman" w:hAnsi="Times New Roman"/>
        </w:rPr>
        <w:t xml:space="preserve"> </w:t>
      </w:r>
      <w:r w:rsidRPr="00654983">
        <w:rPr>
          <w:rStyle w:val="FootnoteReference"/>
          <w:rFonts w:ascii="Times New Roman" w:hAnsi="Times New Roman"/>
        </w:rPr>
        <w:footnoteReference w:id="13"/>
      </w:r>
      <w:r w:rsidR="009521B0">
        <w:rPr>
          <w:rFonts w:ascii="Times New Roman" w:hAnsi="Times New Roman"/>
        </w:rPr>
        <w:t xml:space="preserve"> The current tariffs do not provide prior notice or review for customers.</w:t>
      </w:r>
    </w:p>
    <w:p w14:paraId="3ED6D854" w14:textId="77777777" w:rsidR="007842D3" w:rsidRDefault="007842D3" w:rsidP="007842D3">
      <w:pPr>
        <w:rPr>
          <w:rFonts w:ascii="Times New Roman" w:hAnsi="Times New Roman"/>
        </w:rPr>
      </w:pPr>
    </w:p>
    <w:p w14:paraId="3ED6D855" w14:textId="6CE75871" w:rsidR="00070AC5" w:rsidRDefault="0060388C" w:rsidP="00A77C63">
      <w:pPr>
        <w:rPr>
          <w:rFonts w:ascii="Times New Roman" w:hAnsi="Times New Roman"/>
          <w:u w:val="single"/>
        </w:rPr>
      </w:pPr>
      <w:r>
        <w:rPr>
          <w:rFonts w:ascii="Times New Roman" w:hAnsi="Times New Roman"/>
          <w:u w:val="single"/>
        </w:rPr>
        <w:t xml:space="preserve">Third, </w:t>
      </w:r>
      <w:r w:rsidR="000402EB">
        <w:rPr>
          <w:rFonts w:ascii="Times New Roman" w:hAnsi="Times New Roman"/>
          <w:u w:val="single"/>
        </w:rPr>
        <w:t>the</w:t>
      </w:r>
      <w:r w:rsidR="00070AC5">
        <w:rPr>
          <w:rFonts w:ascii="Times New Roman" w:hAnsi="Times New Roman"/>
          <w:u w:val="single"/>
        </w:rPr>
        <w:t xml:space="preserve"> language proposed in the tariff filings</w:t>
      </w:r>
      <w:r w:rsidR="00E47313">
        <w:rPr>
          <w:rFonts w:ascii="Times New Roman" w:hAnsi="Times New Roman"/>
          <w:u w:val="single"/>
        </w:rPr>
        <w:t xml:space="preserve"> is too vague</w:t>
      </w:r>
    </w:p>
    <w:p w14:paraId="04025F1A" w14:textId="77777777" w:rsidR="009879D3" w:rsidRDefault="009879D3" w:rsidP="00337B21">
      <w:pPr>
        <w:rPr>
          <w:rFonts w:ascii="Times New Roman" w:hAnsi="Times New Roman"/>
        </w:rPr>
      </w:pPr>
    </w:p>
    <w:p w14:paraId="3ED6D856" w14:textId="7EF2CEF8" w:rsidR="00070AC5" w:rsidRPr="00337B21" w:rsidRDefault="00337B21" w:rsidP="00337B21">
      <w:pPr>
        <w:rPr>
          <w:rFonts w:ascii="Times New Roman" w:hAnsi="Times New Roman"/>
          <w:u w:val="single"/>
        </w:rPr>
      </w:pPr>
      <w:r>
        <w:rPr>
          <w:rFonts w:ascii="Times New Roman" w:hAnsi="Times New Roman"/>
        </w:rPr>
        <w:t>I</w:t>
      </w:r>
      <w:r w:rsidR="009879D3">
        <w:rPr>
          <w:rFonts w:ascii="Times New Roman" w:hAnsi="Times New Roman"/>
        </w:rPr>
        <w:t>n the T</w:t>
      </w:r>
      <w:r w:rsidR="009D2BA0" w:rsidRPr="00337B21">
        <w:rPr>
          <w:rFonts w:ascii="Times New Roman" w:hAnsi="Times New Roman"/>
        </w:rPr>
        <w:t xml:space="preserve">hird </w:t>
      </w:r>
      <w:r w:rsidR="009879D3">
        <w:rPr>
          <w:rFonts w:ascii="Times New Roman" w:hAnsi="Times New Roman"/>
        </w:rPr>
        <w:t>R</w:t>
      </w:r>
      <w:r w:rsidR="009D2BA0" w:rsidRPr="00337B21">
        <w:rPr>
          <w:rFonts w:ascii="Times New Roman" w:hAnsi="Times New Roman"/>
        </w:rPr>
        <w:t xml:space="preserve">evision of Sheet No, 80-a, under Tax Adjustment, the proposed language </w:t>
      </w:r>
      <w:r w:rsidRPr="00337B21">
        <w:rPr>
          <w:rFonts w:ascii="Times New Roman" w:hAnsi="Times New Roman"/>
        </w:rPr>
        <w:t xml:space="preserve">has </w:t>
      </w:r>
      <w:r w:rsidR="005821BB">
        <w:rPr>
          <w:rFonts w:ascii="Times New Roman" w:hAnsi="Times New Roman"/>
        </w:rPr>
        <w:t xml:space="preserve">the effect of broadening the company’s ability to recover municipal taxes to also </w:t>
      </w:r>
      <w:r w:rsidRPr="00337B21">
        <w:rPr>
          <w:rFonts w:ascii="Times New Roman" w:hAnsi="Times New Roman"/>
        </w:rPr>
        <w:t>include any “assessment or other charge related thereto</w:t>
      </w:r>
      <w:r w:rsidR="00D649E7">
        <w:rPr>
          <w:rFonts w:ascii="Times New Roman" w:hAnsi="Times New Roman"/>
        </w:rPr>
        <w:t>.</w:t>
      </w:r>
      <w:r w:rsidRPr="00337B21">
        <w:rPr>
          <w:rFonts w:ascii="Times New Roman" w:hAnsi="Times New Roman"/>
        </w:rPr>
        <w:t>”</w:t>
      </w:r>
      <w:r w:rsidR="00D649E7">
        <w:rPr>
          <w:rFonts w:ascii="Times New Roman" w:hAnsi="Times New Roman"/>
        </w:rPr>
        <w:t xml:space="preserve"> This broadening is cause for concern as the new language could allow for the recovery of costs </w:t>
      </w:r>
      <w:r w:rsidR="004D1972">
        <w:rPr>
          <w:rFonts w:ascii="Times New Roman" w:hAnsi="Times New Roman"/>
        </w:rPr>
        <w:t>the c</w:t>
      </w:r>
      <w:r w:rsidRPr="00337B21">
        <w:rPr>
          <w:rFonts w:ascii="Times New Roman" w:hAnsi="Times New Roman"/>
        </w:rPr>
        <w:t>ommission may wish to exclude</w:t>
      </w:r>
      <w:r w:rsidR="006A34B7">
        <w:rPr>
          <w:rFonts w:ascii="Times New Roman" w:hAnsi="Times New Roman"/>
        </w:rPr>
        <w:t xml:space="preserve"> such as</w:t>
      </w:r>
      <w:r w:rsidRPr="00337B21">
        <w:rPr>
          <w:rFonts w:ascii="Times New Roman" w:hAnsi="Times New Roman"/>
        </w:rPr>
        <w:t xml:space="preserve"> penalties. </w:t>
      </w:r>
    </w:p>
    <w:p w14:paraId="3ED6D857" w14:textId="77777777" w:rsidR="00070AC5" w:rsidRDefault="00070AC5" w:rsidP="00A77C63">
      <w:pPr>
        <w:rPr>
          <w:rFonts w:ascii="Times New Roman" w:hAnsi="Times New Roman"/>
          <w:u w:val="single"/>
        </w:rPr>
      </w:pPr>
    </w:p>
    <w:p w14:paraId="3ED6D858" w14:textId="029794CC" w:rsidR="00070AC5" w:rsidRDefault="0060388C" w:rsidP="00A77C63">
      <w:pPr>
        <w:rPr>
          <w:rFonts w:ascii="Times New Roman" w:hAnsi="Times New Roman"/>
          <w:u w:val="single"/>
        </w:rPr>
      </w:pPr>
      <w:r>
        <w:rPr>
          <w:rFonts w:ascii="Times New Roman" w:hAnsi="Times New Roman"/>
          <w:u w:val="single"/>
        </w:rPr>
        <w:t>And fourth, t</w:t>
      </w:r>
      <w:r w:rsidR="00070AC5">
        <w:rPr>
          <w:rFonts w:ascii="Times New Roman" w:hAnsi="Times New Roman"/>
          <w:u w:val="single"/>
        </w:rPr>
        <w:t>he</w:t>
      </w:r>
      <w:r w:rsidR="00381446">
        <w:rPr>
          <w:rFonts w:ascii="Times New Roman" w:hAnsi="Times New Roman"/>
          <w:u w:val="single"/>
        </w:rPr>
        <w:t xml:space="preserve"> remove of “exclusions” </w:t>
      </w:r>
      <w:r w:rsidR="00070AC5">
        <w:rPr>
          <w:rFonts w:ascii="Times New Roman" w:hAnsi="Times New Roman"/>
          <w:u w:val="single"/>
        </w:rPr>
        <w:t>from the tariff sheets will make it unclear if a customer’s bill properly reflects qualifying exemptions</w:t>
      </w:r>
    </w:p>
    <w:p w14:paraId="6A070BA9" w14:textId="77777777" w:rsidR="009879D3" w:rsidRDefault="009879D3" w:rsidP="003B158B">
      <w:pPr>
        <w:rPr>
          <w:rFonts w:ascii="Times New Roman" w:hAnsi="Times New Roman"/>
        </w:rPr>
      </w:pPr>
    </w:p>
    <w:p w14:paraId="3ED6D85A" w14:textId="5BBE9AA9" w:rsidR="003B158B" w:rsidRPr="00AD4D61" w:rsidRDefault="003B158B" w:rsidP="003B158B">
      <w:pPr>
        <w:rPr>
          <w:rFonts w:ascii="Times New Roman" w:hAnsi="Times New Roman"/>
        </w:rPr>
      </w:pPr>
      <w:r>
        <w:rPr>
          <w:rFonts w:ascii="Times New Roman" w:hAnsi="Times New Roman"/>
        </w:rPr>
        <w:t>The proposed changes</w:t>
      </w:r>
      <w:r w:rsidR="00D649E7">
        <w:rPr>
          <w:rFonts w:ascii="Times New Roman" w:hAnsi="Times New Roman"/>
        </w:rPr>
        <w:t xml:space="preserve"> to </w:t>
      </w:r>
      <w:r>
        <w:rPr>
          <w:rFonts w:ascii="Times New Roman" w:hAnsi="Times New Roman"/>
        </w:rPr>
        <w:t>the Ninety-Second Revision of Sheet No. 81-a, the Fourteenth Revision of Sheet No. 81-b, and the Eighth Revision of Sheet No, 81-c remove “exclusions” from the electric serv</w:t>
      </w:r>
      <w:r w:rsidR="004D1972">
        <w:rPr>
          <w:rFonts w:ascii="Times New Roman" w:hAnsi="Times New Roman"/>
        </w:rPr>
        <w:t xml:space="preserve">ice tariff sheets in entirety. </w:t>
      </w:r>
      <w:r>
        <w:rPr>
          <w:rFonts w:ascii="Times New Roman" w:hAnsi="Times New Roman"/>
        </w:rPr>
        <w:t>The removal of “exclusions” is problematic as customers will no longer be able to calculate their bill from tariff sheets alone, but will have to contact their municipality to see if their bill should reflect exclusion</w:t>
      </w:r>
      <w:r w:rsidR="004D1972">
        <w:rPr>
          <w:rFonts w:ascii="Times New Roman" w:hAnsi="Times New Roman"/>
        </w:rPr>
        <w:t xml:space="preserve">s for which they may qualify. </w:t>
      </w:r>
      <w:r>
        <w:rPr>
          <w:rFonts w:ascii="Times New Roman" w:hAnsi="Times New Roman"/>
        </w:rPr>
        <w:t>Furthermore, the tariff filings will provide no indicati</w:t>
      </w:r>
      <w:r w:rsidR="004D1972">
        <w:rPr>
          <w:rFonts w:ascii="Times New Roman" w:hAnsi="Times New Roman"/>
        </w:rPr>
        <w:t xml:space="preserve">on that exclusions even exist. </w:t>
      </w:r>
      <w:r>
        <w:rPr>
          <w:rFonts w:ascii="Times New Roman" w:hAnsi="Times New Roman"/>
        </w:rPr>
        <w:t xml:space="preserve">Given that tariffs are a contract for service, all terms of the contract should be included.     </w:t>
      </w:r>
    </w:p>
    <w:p w14:paraId="3ED6D85B" w14:textId="77777777" w:rsidR="00070AC5" w:rsidRPr="007F252C" w:rsidRDefault="00070AC5" w:rsidP="00A77C63">
      <w:pPr>
        <w:rPr>
          <w:rFonts w:ascii="Times New Roman" w:hAnsi="Times New Roman"/>
          <w:u w:val="single"/>
        </w:rPr>
      </w:pPr>
    </w:p>
    <w:p w14:paraId="3ED6D85C" w14:textId="77777777" w:rsidR="00A77C63" w:rsidRPr="00AD4D61" w:rsidRDefault="00A77C63" w:rsidP="00A77C63">
      <w:pPr>
        <w:rPr>
          <w:rFonts w:ascii="Times New Roman" w:hAnsi="Times New Roman"/>
          <w:b/>
          <w:u w:val="single"/>
        </w:rPr>
      </w:pPr>
      <w:r w:rsidRPr="00AD4D61">
        <w:rPr>
          <w:rFonts w:ascii="Times New Roman" w:hAnsi="Times New Roman"/>
          <w:b/>
          <w:u w:val="single"/>
        </w:rPr>
        <w:t>Conclusion</w:t>
      </w:r>
    </w:p>
    <w:p w14:paraId="3ED6D85D" w14:textId="77777777" w:rsidR="00A77C63" w:rsidRDefault="00A77C63" w:rsidP="00A77C63">
      <w:pPr>
        <w:rPr>
          <w:rFonts w:ascii="Times New Roman" w:hAnsi="Times New Roman"/>
        </w:rPr>
      </w:pPr>
    </w:p>
    <w:p w14:paraId="521EAC8A" w14:textId="77777777" w:rsidR="0060388C" w:rsidRPr="00AD4D61" w:rsidRDefault="0060388C" w:rsidP="0060388C">
      <w:pPr>
        <w:rPr>
          <w:rFonts w:ascii="Times New Roman" w:hAnsi="Times New Roman"/>
        </w:rPr>
      </w:pPr>
      <w:r>
        <w:rPr>
          <w:rFonts w:ascii="Times New Roman" w:hAnsi="Times New Roman"/>
        </w:rPr>
        <w:t>Issue a Complaint and Order suspending the revised tariff filed in Dockets UE-120805 and UG-120806.</w:t>
      </w:r>
    </w:p>
    <w:p w14:paraId="3ED6D85F" w14:textId="77777777" w:rsidR="00A77C63" w:rsidRDefault="00A77C63" w:rsidP="00A77C63">
      <w:pPr>
        <w:rPr>
          <w:rFonts w:ascii="Times New Roman" w:hAnsi="Times New Roman"/>
        </w:rPr>
      </w:pPr>
    </w:p>
    <w:p w14:paraId="3ED6D860" w14:textId="77777777" w:rsidR="00A77C63" w:rsidRDefault="00A77C63" w:rsidP="00A77C63">
      <w:pPr>
        <w:rPr>
          <w:rFonts w:ascii="Times New Roman" w:hAnsi="Times New Roman"/>
        </w:rPr>
      </w:pPr>
    </w:p>
    <w:p w14:paraId="3ED6D861" w14:textId="77777777" w:rsidR="002C039A" w:rsidRPr="00AD3312" w:rsidRDefault="002C039A" w:rsidP="00AD3312">
      <w:pPr>
        <w:rPr>
          <w:rFonts w:ascii="Times New Roman" w:hAnsi="Times New Roman"/>
        </w:rPr>
      </w:pPr>
    </w:p>
    <w:sectPr w:rsidR="002C039A" w:rsidRPr="00AD3312">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D864" w14:textId="77777777" w:rsidR="005821BB" w:rsidRDefault="005821BB" w:rsidP="00A77C63">
      <w:r>
        <w:separator/>
      </w:r>
    </w:p>
  </w:endnote>
  <w:endnote w:type="continuationSeparator" w:id="0">
    <w:p w14:paraId="3ED6D865" w14:textId="77777777" w:rsidR="005821BB" w:rsidRDefault="005821BB"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D862" w14:textId="77777777" w:rsidR="005821BB" w:rsidRDefault="005821BB" w:rsidP="00A77C63">
      <w:r>
        <w:separator/>
      </w:r>
    </w:p>
  </w:footnote>
  <w:footnote w:type="continuationSeparator" w:id="0">
    <w:p w14:paraId="3ED6D863" w14:textId="77777777" w:rsidR="005821BB" w:rsidRDefault="005821BB" w:rsidP="00A77C63">
      <w:r>
        <w:continuationSeparator/>
      </w:r>
    </w:p>
  </w:footnote>
  <w:footnote w:id="1">
    <w:p w14:paraId="3ED6D86B"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1</w:t>
      </w:r>
      <w:r w:rsidRPr="0075021D">
        <w:t>.</w:t>
      </w:r>
    </w:p>
  </w:footnote>
  <w:footnote w:id="2">
    <w:p w14:paraId="3ED6D86C" w14:textId="77777777" w:rsidR="005821BB" w:rsidRDefault="005821BB" w:rsidP="00A77C63">
      <w:pPr>
        <w:pStyle w:val="FootnoteText"/>
      </w:pPr>
      <w:r>
        <w:rPr>
          <w:rStyle w:val="FootnoteReference"/>
        </w:rPr>
        <w:footnoteRef/>
      </w:r>
      <w:r>
        <w:t xml:space="preserve"> Id., p. 2</w:t>
      </w:r>
      <w:r w:rsidRPr="0075021D">
        <w:t>.</w:t>
      </w:r>
    </w:p>
  </w:footnote>
  <w:footnote w:id="3">
    <w:p w14:paraId="3ED6D86D"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2</w:t>
      </w:r>
      <w:r w:rsidRPr="0075021D">
        <w:t>.</w:t>
      </w:r>
    </w:p>
  </w:footnote>
  <w:footnote w:id="4">
    <w:p w14:paraId="3ED6D86E" w14:textId="22FE49A7" w:rsidR="005821BB" w:rsidRDefault="005821BB">
      <w:pPr>
        <w:pStyle w:val="FootnoteText"/>
      </w:pPr>
      <w:r>
        <w:rPr>
          <w:rStyle w:val="FootnoteReference"/>
        </w:rPr>
        <w:footnoteRef/>
      </w:r>
      <w:r>
        <w:t xml:space="preserve"> Puget Sound Energy Inc. v. City of Redmond, Court of Appeals’ Clerk’s Office, No. 44004-7-I, 2-11 (1999).</w:t>
      </w:r>
    </w:p>
  </w:footnote>
  <w:footnote w:id="5">
    <w:p w14:paraId="3ED6D86F" w14:textId="77777777" w:rsidR="005821BB" w:rsidRDefault="005821BB">
      <w:pPr>
        <w:pStyle w:val="FootnoteText"/>
      </w:pPr>
      <w:r>
        <w:rPr>
          <w:rStyle w:val="FootnoteReference"/>
        </w:rPr>
        <w:footnoteRef/>
      </w:r>
      <w:r>
        <w:t xml:space="preserve"> Puget Sound Energy Inc. v. City of Bellingham Finance Department, FindLaw, No. 65928-6-I, 1-3 (2011). </w:t>
      </w:r>
    </w:p>
  </w:footnote>
  <w:footnote w:id="6">
    <w:p w14:paraId="78EEE114" w14:textId="1BCBF3FA" w:rsidR="005821BB" w:rsidRDefault="005821BB">
      <w:pPr>
        <w:pStyle w:val="FootnoteText"/>
      </w:pPr>
      <w:r>
        <w:rPr>
          <w:rStyle w:val="FootnoteReference"/>
        </w:rPr>
        <w:footnoteRef/>
      </w:r>
      <w:r>
        <w:t xml:space="preserve"> Email from Lynn Logen, Tariff Consultant, Puget Sound Energy, to Kendra White, Regulatory Analyst, Washington Utilities and Transportation Commission (June 13, 2012, 16:18 PST) (on file with recipient).</w:t>
      </w:r>
    </w:p>
  </w:footnote>
  <w:footnote w:id="7">
    <w:p w14:paraId="231694A7" w14:textId="5276649A" w:rsidR="005821BB" w:rsidRDefault="005821BB">
      <w:pPr>
        <w:pStyle w:val="FootnoteText"/>
      </w:pPr>
      <w:r>
        <w:rPr>
          <w:rStyle w:val="FootnoteReference"/>
        </w:rPr>
        <w:footnoteRef/>
      </w:r>
      <w:r>
        <w:t xml:space="preserve"> Id., (July 3, 2012, 14:58 PST) (on file with recipient)</w:t>
      </w:r>
    </w:p>
  </w:footnote>
  <w:footnote w:id="8">
    <w:p w14:paraId="3ED6D870" w14:textId="3551A039" w:rsidR="005821BB" w:rsidRDefault="005821BB">
      <w:pPr>
        <w:pStyle w:val="FootnoteText"/>
      </w:pPr>
      <w:r>
        <w:rPr>
          <w:rStyle w:val="FootnoteReference"/>
        </w:rPr>
        <w:footnoteRef/>
      </w:r>
      <w:r>
        <w:t xml:space="preserve"> Id., (June 13, 2012, 13:38 PST) (on file with recipient).</w:t>
      </w:r>
    </w:p>
  </w:footnote>
  <w:footnote w:id="9">
    <w:p w14:paraId="3ED6D871" w14:textId="77777777" w:rsidR="005821BB" w:rsidRDefault="005821BB" w:rsidP="00A77C63">
      <w:pPr>
        <w:pStyle w:val="FootnoteText"/>
      </w:pPr>
      <w:r>
        <w:rPr>
          <w:rStyle w:val="FootnoteReference"/>
        </w:rPr>
        <w:footnoteRef/>
      </w:r>
      <w:r>
        <w:t xml:space="preserve"> Docket UE-120806</w:t>
      </w:r>
      <w:r w:rsidRPr="0075021D">
        <w:t xml:space="preserve">, June 1, 2012, Cover </w:t>
      </w:r>
      <w:r>
        <w:t>letter to Mr. David Danner, p. 1</w:t>
      </w:r>
      <w:r w:rsidRPr="0075021D">
        <w:t>.</w:t>
      </w:r>
    </w:p>
  </w:footnote>
  <w:footnote w:id="10">
    <w:p w14:paraId="3ED6D872" w14:textId="77777777" w:rsidR="005821BB" w:rsidRDefault="005821BB">
      <w:pPr>
        <w:pStyle w:val="FootnoteText"/>
      </w:pPr>
      <w:r>
        <w:rPr>
          <w:rStyle w:val="FootnoteReference"/>
        </w:rPr>
        <w:footnoteRef/>
      </w:r>
      <w:r>
        <w:t xml:space="preserve"> Docket UE-120806</w:t>
      </w:r>
      <w:r w:rsidRPr="0075021D">
        <w:t>, June 1, 2012,</w:t>
      </w:r>
      <w:r>
        <w:t xml:space="preserve"> Eighth Revision of Sheet No. 81-c</w:t>
      </w:r>
      <w:r w:rsidRPr="0075021D">
        <w:t>.</w:t>
      </w:r>
    </w:p>
  </w:footnote>
  <w:footnote w:id="11">
    <w:p w14:paraId="3ED6D873" w14:textId="77777777" w:rsidR="005821BB" w:rsidRDefault="005821BB">
      <w:pPr>
        <w:pStyle w:val="FootnoteText"/>
      </w:pPr>
      <w:r>
        <w:rPr>
          <w:rStyle w:val="FootnoteReference"/>
        </w:rPr>
        <w:footnoteRef/>
      </w:r>
      <w:r>
        <w:t xml:space="preserve"> Id,</w:t>
      </w:r>
      <w:r w:rsidRPr="0075021D">
        <w:t>.</w:t>
      </w:r>
    </w:p>
  </w:footnote>
  <w:footnote w:id="12">
    <w:p w14:paraId="3ED6D874" w14:textId="77777777" w:rsidR="005821BB" w:rsidRDefault="005821BB" w:rsidP="00D649E7">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 w:id="13">
    <w:p w14:paraId="3ED6D875" w14:textId="77777777" w:rsidR="005821BB" w:rsidRDefault="005821BB" w:rsidP="00D649E7">
      <w:pPr>
        <w:pStyle w:val="FootnoteText"/>
      </w:pPr>
      <w:r>
        <w:rPr>
          <w:rStyle w:val="FootnoteReference"/>
        </w:rPr>
        <w:footnoteRef/>
      </w:r>
      <w:r>
        <w:t xml:space="preserve"> </w:t>
      </w:r>
      <w:r w:rsidRPr="002909BE">
        <w:t xml:space="preserve">UTC v. PSE, Docket UE-010410, Order at 2 (Nov. 9, 2001) which cites WUTC v. US WEST </w:t>
      </w:r>
      <w:r w:rsidRPr="002909BE">
        <w:rPr>
          <w:i/>
        </w:rPr>
        <w:t>Communication, Inc.</w:t>
      </w:r>
      <w:r w:rsidRPr="002909BE">
        <w:t xml:space="preserve"> Docket No. UT-970010, Second Supp. Order at 10 (Nov. 7,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D866" w14:textId="5CCCC20F" w:rsidR="005821BB" w:rsidRPr="00777586" w:rsidRDefault="005821BB">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UE-120805 and UG-120806</w:t>
    </w:r>
  </w:p>
  <w:p w14:paraId="3ED6D867" w14:textId="77777777" w:rsidR="005821BB" w:rsidRPr="00777586" w:rsidRDefault="005821BB">
    <w:pPr>
      <w:pStyle w:val="Header"/>
      <w:rPr>
        <w:rFonts w:ascii="Times New Roman" w:hAnsi="Times New Roman"/>
        <w:sz w:val="20"/>
        <w:szCs w:val="20"/>
      </w:rPr>
    </w:pPr>
    <w:r>
      <w:rPr>
        <w:rFonts w:ascii="Times New Roman" w:hAnsi="Times New Roman"/>
        <w:sz w:val="20"/>
        <w:szCs w:val="20"/>
      </w:rPr>
      <w:t>July 12, 2012</w:t>
    </w:r>
  </w:p>
  <w:p w14:paraId="3ED6D868" w14:textId="77777777" w:rsidR="005821BB" w:rsidRPr="00777586" w:rsidRDefault="005821BB">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E4391A">
      <w:rPr>
        <w:rStyle w:val="PageNumber"/>
        <w:rFonts w:ascii="Times New Roman" w:hAnsi="Times New Roman"/>
        <w:noProof/>
        <w:sz w:val="20"/>
        <w:szCs w:val="20"/>
      </w:rPr>
      <w:t>4</w:t>
    </w:r>
    <w:r w:rsidRPr="00777586">
      <w:rPr>
        <w:rStyle w:val="PageNumber"/>
        <w:rFonts w:ascii="Times New Roman" w:hAnsi="Times New Roman"/>
        <w:sz w:val="20"/>
        <w:szCs w:val="20"/>
      </w:rPr>
      <w:fldChar w:fldCharType="end"/>
    </w:r>
  </w:p>
  <w:p w14:paraId="3ED6D869" w14:textId="77777777" w:rsidR="005821BB" w:rsidRDefault="005821BB">
    <w:pPr>
      <w:pStyle w:val="Header"/>
      <w:rPr>
        <w:rStyle w:val="PageNumber"/>
        <w:sz w:val="20"/>
      </w:rPr>
    </w:pPr>
  </w:p>
  <w:p w14:paraId="3ED6D86A" w14:textId="77777777" w:rsidR="005821BB" w:rsidRDefault="005821B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B0E"/>
    <w:multiLevelType w:val="hybridMultilevel"/>
    <w:tmpl w:val="75E0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C99"/>
    <w:multiLevelType w:val="hybridMultilevel"/>
    <w:tmpl w:val="4982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E1E02"/>
    <w:multiLevelType w:val="hybridMultilevel"/>
    <w:tmpl w:val="E28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63"/>
    <w:rsid w:val="000402EB"/>
    <w:rsid w:val="00070AC5"/>
    <w:rsid w:val="00097D9F"/>
    <w:rsid w:val="000E640C"/>
    <w:rsid w:val="00146A12"/>
    <w:rsid w:val="001C5AB1"/>
    <w:rsid w:val="001E1D7A"/>
    <w:rsid w:val="00214F52"/>
    <w:rsid w:val="002909BE"/>
    <w:rsid w:val="002C039A"/>
    <w:rsid w:val="002F4018"/>
    <w:rsid w:val="00337B21"/>
    <w:rsid w:val="00381446"/>
    <w:rsid w:val="003B158B"/>
    <w:rsid w:val="004C374C"/>
    <w:rsid w:val="004D1972"/>
    <w:rsid w:val="005016B2"/>
    <w:rsid w:val="00506A51"/>
    <w:rsid w:val="00552600"/>
    <w:rsid w:val="005821BB"/>
    <w:rsid w:val="005A6C74"/>
    <w:rsid w:val="0060388C"/>
    <w:rsid w:val="00654983"/>
    <w:rsid w:val="00672F7B"/>
    <w:rsid w:val="006A34B7"/>
    <w:rsid w:val="006A41EE"/>
    <w:rsid w:val="0076794E"/>
    <w:rsid w:val="007842D3"/>
    <w:rsid w:val="0079543B"/>
    <w:rsid w:val="007B3234"/>
    <w:rsid w:val="00913966"/>
    <w:rsid w:val="009521B0"/>
    <w:rsid w:val="00971A78"/>
    <w:rsid w:val="0097385E"/>
    <w:rsid w:val="009879D3"/>
    <w:rsid w:val="009D2BA0"/>
    <w:rsid w:val="00A524B8"/>
    <w:rsid w:val="00A77C63"/>
    <w:rsid w:val="00A84C2A"/>
    <w:rsid w:val="00AC3B5F"/>
    <w:rsid w:val="00AD3312"/>
    <w:rsid w:val="00AE273E"/>
    <w:rsid w:val="00B13041"/>
    <w:rsid w:val="00BB35F4"/>
    <w:rsid w:val="00BD322E"/>
    <w:rsid w:val="00BF3FEC"/>
    <w:rsid w:val="00CD496B"/>
    <w:rsid w:val="00CD657F"/>
    <w:rsid w:val="00D649E7"/>
    <w:rsid w:val="00D74A92"/>
    <w:rsid w:val="00DA1B86"/>
    <w:rsid w:val="00DD2A47"/>
    <w:rsid w:val="00E4391A"/>
    <w:rsid w:val="00E47313"/>
    <w:rsid w:val="00F21B68"/>
    <w:rsid w:val="00F330F8"/>
    <w:rsid w:val="00F531E7"/>
    <w:rsid w:val="00F64AC6"/>
    <w:rsid w:val="00F90C8A"/>
    <w:rsid w:val="00FC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760009">
      <w:bodyDiv w:val="1"/>
      <w:marLeft w:val="0"/>
      <w:marRight w:val="0"/>
      <w:marTop w:val="0"/>
      <w:marBottom w:val="0"/>
      <w:divBdr>
        <w:top w:val="none" w:sz="0" w:space="0" w:color="auto"/>
        <w:left w:val="none" w:sz="0" w:space="0" w:color="auto"/>
        <w:bottom w:val="none" w:sz="0" w:space="0" w:color="auto"/>
        <w:right w:val="none" w:sz="0" w:space="0" w:color="auto"/>
      </w:divBdr>
      <w:divsChild>
        <w:div w:id="813330157">
          <w:marLeft w:val="0"/>
          <w:marRight w:val="0"/>
          <w:marTop w:val="0"/>
          <w:marBottom w:val="0"/>
          <w:divBdr>
            <w:top w:val="none" w:sz="0" w:space="0" w:color="auto"/>
            <w:left w:val="none" w:sz="0" w:space="0" w:color="auto"/>
            <w:bottom w:val="none" w:sz="0" w:space="0" w:color="auto"/>
            <w:right w:val="none" w:sz="0" w:space="0" w:color="auto"/>
          </w:divBdr>
          <w:divsChild>
            <w:div w:id="193832530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2012-06-01T07:00:00+00:00</OpenedDate>
    <Date1 xmlns="dc463f71-b30c-4ab2-9473-d307f9d35888">2012-07-12T07:00:00+00:00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255ADD7835BE4890424191AC018CA2" ma:contentTypeVersion="139" ma:contentTypeDescription="" ma:contentTypeScope="" ma:versionID="bd2330cb67ac50417f90de4916f17a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86FA7-C0BA-4B18-BF15-2CD577D31D5F}"/>
</file>

<file path=customXml/itemProps2.xml><?xml version="1.0" encoding="utf-8"?>
<ds:datastoreItem xmlns:ds="http://schemas.openxmlformats.org/officeDocument/2006/customXml" ds:itemID="{B5AA0CC1-D6AB-40C7-9A96-4E3952771A12}"/>
</file>

<file path=customXml/itemProps3.xml><?xml version="1.0" encoding="utf-8"?>
<ds:datastoreItem xmlns:ds="http://schemas.openxmlformats.org/officeDocument/2006/customXml" ds:itemID="{AA130D30-B7C6-4202-92EA-4114135D7EB1}"/>
</file>

<file path=customXml/itemProps4.xml><?xml version="1.0" encoding="utf-8"?>
<ds:datastoreItem xmlns:ds="http://schemas.openxmlformats.org/officeDocument/2006/customXml" ds:itemID="{F8C1D7B8-5999-43E2-9BA5-83F0EFB1FD54}"/>
</file>

<file path=customXml/itemProps5.xml><?xml version="1.0" encoding="utf-8"?>
<ds:datastoreItem xmlns:ds="http://schemas.openxmlformats.org/officeDocument/2006/customXml" ds:itemID="{D3F4B36F-4F62-4C94-898D-6D9C423B020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White</dc:creator>
  <cp:lastModifiedBy>Taliaferro, Catherine (UTC)</cp:lastModifiedBy>
  <cp:revision>2</cp:revision>
  <dcterms:created xsi:type="dcterms:W3CDTF">2012-07-09T22:43:00Z</dcterms:created>
  <dcterms:modified xsi:type="dcterms:W3CDTF">2012-07-09T22:43:00Z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0x0101006E56B4D1795A2E4DB2F0B01679ED314A00D6255ADD7835BE4890424191AC018CA2</vt:lpwstr>
  </property>
  <property fmtid="{D5CDD505-2E9C-101B-9397-08002B2CF9AE}" pid="3" name="_docset_NoMedatataSyncRequired">
    <vt:lpwstr>False</vt:lpwstr>
  </property>
</Properties>
</file>