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7ED8F" w14:textId="2E8C323D" w:rsidR="00046A19" w:rsidRDefault="00046A19" w:rsidP="00046A19">
      <w:bookmarkStart w:id="0" w:name="_GoBack"/>
      <w:bookmarkEnd w:id="0"/>
      <w:r w:rsidRPr="00EB4CE3">
        <w:t xml:space="preserve">Agenda Date: </w:t>
      </w:r>
      <w:r w:rsidRPr="00EB4CE3">
        <w:tab/>
      </w:r>
      <w:r w:rsidRPr="00EB4CE3">
        <w:tab/>
      </w:r>
      <w:r w:rsidR="000B6B1A">
        <w:t>August 25</w:t>
      </w:r>
      <w:r w:rsidRPr="00EB4CE3">
        <w:t xml:space="preserve">, </w:t>
      </w:r>
      <w:r>
        <w:t>2011</w:t>
      </w:r>
      <w:r>
        <w:tab/>
      </w:r>
      <w:r>
        <w:tab/>
      </w:r>
    </w:p>
    <w:p w14:paraId="6707ED90" w14:textId="5C256513" w:rsidR="00046A19" w:rsidRDefault="00046A19" w:rsidP="00046A19">
      <w:r w:rsidRPr="00EB4CE3">
        <w:t>Item Number:</w:t>
      </w:r>
      <w:r w:rsidRPr="00EB4CE3">
        <w:tab/>
      </w:r>
      <w:r w:rsidRPr="00EB4CE3">
        <w:tab/>
      </w:r>
      <w:r w:rsidR="00EA46AD">
        <w:t>A2</w:t>
      </w:r>
    </w:p>
    <w:p w14:paraId="6707ED91" w14:textId="77777777" w:rsidR="000B6B1A" w:rsidRPr="00EB4CE3" w:rsidRDefault="000B6B1A" w:rsidP="00046A19"/>
    <w:p w14:paraId="6707ED92" w14:textId="77777777" w:rsidR="00046A19" w:rsidRPr="00EB4CE3" w:rsidRDefault="00046A19" w:rsidP="00046A19">
      <w:r w:rsidRPr="00EB4CE3">
        <w:t xml:space="preserve">Docket: </w:t>
      </w:r>
      <w:r w:rsidRPr="00EB4CE3">
        <w:tab/>
      </w:r>
      <w:r w:rsidRPr="00EB4CE3">
        <w:tab/>
        <w:t>UW-</w:t>
      </w:r>
      <w:r w:rsidR="000B6B1A">
        <w:t>111399</w:t>
      </w:r>
    </w:p>
    <w:p w14:paraId="6707ED93" w14:textId="77777777" w:rsidR="00046A19" w:rsidRPr="00EB4CE3" w:rsidRDefault="00046A19" w:rsidP="00046A19">
      <w:r w:rsidRPr="00EB4CE3">
        <w:t>Company Name:</w:t>
      </w:r>
      <w:r w:rsidRPr="00EB4CE3">
        <w:tab/>
      </w:r>
      <w:r>
        <w:t>Rainier View Water Co., Inc.</w:t>
      </w:r>
    </w:p>
    <w:p w14:paraId="6707ED94" w14:textId="77777777" w:rsidR="00046A19" w:rsidRPr="00EB4CE3" w:rsidRDefault="00046A19" w:rsidP="00046A19"/>
    <w:p w14:paraId="6707ED95" w14:textId="77777777" w:rsidR="00046A19" w:rsidRDefault="00046A19" w:rsidP="00046A19">
      <w:r>
        <w:t xml:space="preserve">Staff: </w:t>
      </w:r>
      <w:r>
        <w:tab/>
      </w:r>
      <w:r>
        <w:tab/>
      </w:r>
      <w:r>
        <w:tab/>
        <w:t>Amy White</w:t>
      </w:r>
      <w:r w:rsidRPr="00EB4CE3">
        <w:t>, Regulatory Analyst</w:t>
      </w:r>
    </w:p>
    <w:p w14:paraId="6707ED96" w14:textId="77777777" w:rsidR="00046A19" w:rsidRPr="00EB4CE3" w:rsidRDefault="00B14F10" w:rsidP="00046A19">
      <w:pPr>
        <w:ind w:left="1440" w:firstLine="720"/>
      </w:pPr>
      <w:r>
        <w:t>Pam Smith</w:t>
      </w:r>
      <w:r w:rsidR="00046A19" w:rsidRPr="00EB4CE3">
        <w:t>, Consumer Protection Staff</w:t>
      </w:r>
    </w:p>
    <w:p w14:paraId="6707ED97" w14:textId="77777777" w:rsidR="00046A19" w:rsidRPr="00EB4CE3" w:rsidRDefault="00046A19" w:rsidP="00046A19"/>
    <w:p w14:paraId="6707ED98" w14:textId="77777777" w:rsidR="00046A19" w:rsidRPr="00935AF2" w:rsidRDefault="00046A19" w:rsidP="00046A19">
      <w:pPr>
        <w:rPr>
          <w:b/>
          <w:u w:val="single"/>
        </w:rPr>
      </w:pPr>
      <w:r w:rsidRPr="00935AF2">
        <w:rPr>
          <w:b/>
          <w:u w:val="single"/>
        </w:rPr>
        <w:t>Recommendation</w:t>
      </w:r>
    </w:p>
    <w:p w14:paraId="6707ED99" w14:textId="77777777" w:rsidR="00046A19" w:rsidRDefault="00046A19" w:rsidP="00046A19">
      <w:pPr>
        <w:widowControl w:val="0"/>
        <w:autoSpaceDE w:val="0"/>
        <w:autoSpaceDN w:val="0"/>
        <w:adjustRightInd w:val="0"/>
        <w:rPr>
          <w:rFonts w:eastAsia="Times New Roman"/>
          <w:color w:val="000000"/>
          <w:lang w:bidi="ar-SA"/>
        </w:rPr>
      </w:pPr>
    </w:p>
    <w:p w14:paraId="6707ED9A" w14:textId="54D7F995" w:rsidR="00046A19" w:rsidRDefault="000B6B1A" w:rsidP="00046A19">
      <w:pPr>
        <w:widowControl w:val="0"/>
        <w:autoSpaceDE w:val="0"/>
        <w:autoSpaceDN w:val="0"/>
        <w:adjustRightInd w:val="0"/>
        <w:rPr>
          <w:color w:val="000000"/>
          <w:lang w:bidi="ar-SA"/>
        </w:rPr>
      </w:pPr>
      <w:r w:rsidRPr="000B6B1A">
        <w:rPr>
          <w:color w:val="000000"/>
          <w:lang w:bidi="ar-SA"/>
        </w:rPr>
        <w:t xml:space="preserve">Issue a Complaint and Order </w:t>
      </w:r>
      <w:r>
        <w:rPr>
          <w:color w:val="000000"/>
          <w:lang w:bidi="ar-SA"/>
        </w:rPr>
        <w:t>Suspending the tariff revision</w:t>
      </w:r>
      <w:r w:rsidR="0001140F">
        <w:rPr>
          <w:color w:val="000000"/>
          <w:lang w:bidi="ar-SA"/>
        </w:rPr>
        <w:t>s</w:t>
      </w:r>
      <w:r>
        <w:rPr>
          <w:color w:val="000000"/>
          <w:lang w:bidi="ar-SA"/>
        </w:rPr>
        <w:t xml:space="preserve"> filed by Rainier View Water Co., Inc., on August 1, 2011. </w:t>
      </w:r>
    </w:p>
    <w:p w14:paraId="6707ED9B" w14:textId="77777777" w:rsidR="000B6B1A" w:rsidRPr="000B6B1A" w:rsidRDefault="000B6B1A" w:rsidP="00046A19">
      <w:pPr>
        <w:widowControl w:val="0"/>
        <w:autoSpaceDE w:val="0"/>
        <w:autoSpaceDN w:val="0"/>
        <w:adjustRightInd w:val="0"/>
        <w:rPr>
          <w:color w:val="000000"/>
          <w:lang w:bidi="ar-SA"/>
        </w:rPr>
      </w:pPr>
    </w:p>
    <w:p w14:paraId="6707ED9C" w14:textId="2A2673D9" w:rsidR="00046A19" w:rsidRPr="00935AF2" w:rsidRDefault="00046A19" w:rsidP="00046A19">
      <w:pPr>
        <w:rPr>
          <w:b/>
          <w:u w:val="single"/>
        </w:rPr>
      </w:pPr>
      <w:r w:rsidRPr="00935AF2">
        <w:rPr>
          <w:b/>
          <w:u w:val="single"/>
        </w:rPr>
        <w:t>Discussion</w:t>
      </w:r>
    </w:p>
    <w:p w14:paraId="76AD25D1" w14:textId="77777777" w:rsidR="00D157A4" w:rsidRPr="00EB4CE3" w:rsidRDefault="00D157A4" w:rsidP="00046A19"/>
    <w:p w14:paraId="6707ED9E" w14:textId="3669C57A" w:rsidR="00046A19" w:rsidRDefault="00046A19" w:rsidP="00BC0903">
      <w:pPr>
        <w:spacing w:line="288" w:lineRule="auto"/>
      </w:pPr>
      <w:r w:rsidRPr="0058267C">
        <w:rPr>
          <w:color w:val="000000"/>
        </w:rPr>
        <w:t xml:space="preserve">On </w:t>
      </w:r>
      <w:r w:rsidR="000B6B1A" w:rsidRPr="0058267C">
        <w:rPr>
          <w:color w:val="000000"/>
        </w:rPr>
        <w:t>August 1</w:t>
      </w:r>
      <w:r w:rsidRPr="0058267C">
        <w:rPr>
          <w:color w:val="000000"/>
        </w:rPr>
        <w:t>, 2011</w:t>
      </w:r>
      <w:r w:rsidR="00527C58" w:rsidRPr="0058267C">
        <w:rPr>
          <w:color w:val="000000"/>
        </w:rPr>
        <w:t>, Rainier</w:t>
      </w:r>
      <w:r>
        <w:t xml:space="preserve"> View Water Co., Inc., (Rainier View or company), filed tariff revisions </w:t>
      </w:r>
      <w:r w:rsidR="000B6B1A">
        <w:t xml:space="preserve">increasing general rates. The increase would general approximately $537,000 </w:t>
      </w:r>
      <w:r w:rsidR="0005104E">
        <w:t xml:space="preserve">(12.3 percent) </w:t>
      </w:r>
      <w:r w:rsidR="000B6B1A">
        <w:t>in additional annual revenue</w:t>
      </w:r>
      <w:r>
        <w:t xml:space="preserve">. The stated effective date is </w:t>
      </w:r>
      <w:r w:rsidR="000B6B1A">
        <w:t>September 1</w:t>
      </w:r>
      <w:r>
        <w:t xml:space="preserve">, 2011. The filing was prompted by </w:t>
      </w:r>
      <w:r w:rsidR="000B6B1A">
        <w:t>costs for company operations exceeding revenues.</w:t>
      </w:r>
      <w:r w:rsidR="0058267C">
        <w:t xml:space="preserve"> </w:t>
      </w:r>
      <w:r w:rsidR="0058267C" w:rsidRPr="0058267C">
        <w:rPr>
          <w:bCs/>
        </w:rPr>
        <w:t xml:space="preserve">It proposes to increase base rate amounts and useage block rates for both residential and non-residential </w:t>
      </w:r>
      <w:r w:rsidR="002D390A">
        <w:rPr>
          <w:bCs/>
        </w:rPr>
        <w:t>customers</w:t>
      </w:r>
      <w:r w:rsidR="0058267C" w:rsidRPr="0058267C">
        <w:rPr>
          <w:bCs/>
        </w:rPr>
        <w:t xml:space="preserve"> while maintaining the same useage block sizes</w:t>
      </w:r>
      <w:r w:rsidR="0058267C" w:rsidRPr="00FC682A">
        <w:t>.</w:t>
      </w:r>
      <w:r w:rsidR="0058267C">
        <w:t xml:space="preserve"> </w:t>
      </w:r>
      <w:r w:rsidRPr="00CD2C06">
        <w:t xml:space="preserve">The company serves </w:t>
      </w:r>
      <w:r w:rsidR="0005104E">
        <w:t>approximately</w:t>
      </w:r>
      <w:r>
        <w:t xml:space="preserve"> 16,</w:t>
      </w:r>
      <w:r w:rsidR="00D157A4">
        <w:t>500</w:t>
      </w:r>
      <w:r>
        <w:t xml:space="preserve"> residential</w:t>
      </w:r>
      <w:r w:rsidR="0058267C">
        <w:t xml:space="preserve">, </w:t>
      </w:r>
      <w:r>
        <w:t>upsize meter</w:t>
      </w:r>
      <w:r w:rsidR="0058267C">
        <w:t>, and non-residential</w:t>
      </w:r>
      <w:r>
        <w:t xml:space="preserve"> customers in Pierce </w:t>
      </w:r>
      <w:r w:rsidR="004322C3">
        <w:t xml:space="preserve">and Kitsap </w:t>
      </w:r>
      <w:r>
        <w:t>County.</w:t>
      </w:r>
    </w:p>
    <w:p w14:paraId="6707ED9F" w14:textId="77777777" w:rsidR="00046A19" w:rsidRDefault="00046A19" w:rsidP="00046A19">
      <w:pPr>
        <w:pStyle w:val="NoSpacing"/>
      </w:pPr>
    </w:p>
    <w:p w14:paraId="6707EDA0" w14:textId="77777777" w:rsidR="00640061" w:rsidRDefault="00640061" w:rsidP="006400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auto"/>
        <w:rPr>
          <w:rFonts w:eastAsia="Times New Roman"/>
          <w:b/>
          <w:u w:val="single"/>
          <w:lang w:bidi="ar-SA"/>
        </w:rPr>
      </w:pPr>
      <w:r w:rsidRPr="00A8749C">
        <w:rPr>
          <w:rFonts w:eastAsia="Times New Roman"/>
          <w:b/>
          <w:u w:val="single"/>
          <w:lang w:bidi="ar-SA"/>
        </w:rPr>
        <w:t xml:space="preserve">Customer Comments </w:t>
      </w:r>
    </w:p>
    <w:p w14:paraId="6707EDA1" w14:textId="77777777" w:rsidR="00640061" w:rsidRPr="00E20CCF" w:rsidRDefault="00640061" w:rsidP="00BC0903">
      <w:pPr>
        <w:pStyle w:val="ListParagraph"/>
        <w:spacing w:after="0"/>
        <w:ind w:left="0"/>
        <w:rPr>
          <w:rFonts w:ascii="Times New Roman" w:hAnsi="Times New Roman"/>
          <w:b/>
          <w:sz w:val="24"/>
          <w:szCs w:val="24"/>
          <w:u w:val="single"/>
        </w:rPr>
      </w:pPr>
      <w:r w:rsidRPr="00E20CCF">
        <w:rPr>
          <w:rFonts w:ascii="Times New Roman" w:hAnsi="Times New Roman"/>
          <w:sz w:val="24"/>
          <w:szCs w:val="24"/>
        </w:rPr>
        <w:t>On August 1, 2011, the company notified its customers of the proposed rate increase by mail. T</w:t>
      </w:r>
      <w:r w:rsidR="00B14F10">
        <w:rPr>
          <w:rFonts w:ascii="Times New Roman" w:hAnsi="Times New Roman"/>
          <w:sz w:val="24"/>
          <w:szCs w:val="24"/>
        </w:rPr>
        <w:t>hirteen</w:t>
      </w:r>
      <w:r w:rsidRPr="00E20CCF">
        <w:rPr>
          <w:rFonts w:ascii="Times New Roman" w:hAnsi="Times New Roman"/>
          <w:sz w:val="24"/>
          <w:szCs w:val="24"/>
        </w:rPr>
        <w:t xml:space="preserve"> comments have been received to date; all are opposed to the proposed increase. Customers </w:t>
      </w:r>
      <w:r>
        <w:rPr>
          <w:rFonts w:ascii="Times New Roman" w:hAnsi="Times New Roman"/>
          <w:sz w:val="24"/>
          <w:szCs w:val="24"/>
        </w:rPr>
        <w:t>were</w:t>
      </w:r>
      <w:r w:rsidRPr="00E20CCF">
        <w:rPr>
          <w:rFonts w:ascii="Times New Roman" w:hAnsi="Times New Roman"/>
          <w:sz w:val="24"/>
          <w:szCs w:val="24"/>
        </w:rPr>
        <w:t xml:space="preserve"> notified that they may access documents pertinent to this rate case </w:t>
      </w:r>
      <w:r>
        <w:rPr>
          <w:rFonts w:ascii="Times New Roman" w:hAnsi="Times New Roman"/>
          <w:sz w:val="24"/>
          <w:szCs w:val="24"/>
        </w:rPr>
        <w:t>on the commission’s website</w:t>
      </w:r>
      <w:r w:rsidRPr="00E20CCF">
        <w:rPr>
          <w:rFonts w:ascii="Times New Roman" w:hAnsi="Times New Roman"/>
          <w:sz w:val="24"/>
          <w:szCs w:val="24"/>
        </w:rPr>
        <w:t xml:space="preserve">, and that they may contact </w:t>
      </w:r>
      <w:r w:rsidR="00B14F10">
        <w:rPr>
          <w:rFonts w:ascii="Times New Roman" w:hAnsi="Times New Roman"/>
          <w:sz w:val="24"/>
          <w:szCs w:val="24"/>
        </w:rPr>
        <w:t>Pam Smith</w:t>
      </w:r>
      <w:r w:rsidRPr="00E20CCF">
        <w:rPr>
          <w:rFonts w:ascii="Times New Roman" w:hAnsi="Times New Roman"/>
          <w:sz w:val="24"/>
          <w:szCs w:val="24"/>
        </w:rPr>
        <w:t xml:space="preserve"> at 1-888-333-WUTC (9882) or </w:t>
      </w:r>
      <w:hyperlink r:id="rId11" w:history="1">
        <w:r w:rsidR="00B14F10" w:rsidRPr="007919F5">
          <w:rPr>
            <w:rStyle w:val="Hyperlink"/>
            <w:rFonts w:ascii="Times New Roman" w:hAnsi="Times New Roman"/>
            <w:sz w:val="24"/>
            <w:szCs w:val="24"/>
          </w:rPr>
          <w:t>psmith@utc.wa.gov</w:t>
        </w:r>
      </w:hyperlink>
      <w:r w:rsidRPr="00E20CCF">
        <w:rPr>
          <w:rFonts w:ascii="Times New Roman" w:hAnsi="Times New Roman"/>
          <w:sz w:val="24"/>
          <w:szCs w:val="24"/>
        </w:rPr>
        <w:t xml:space="preserve"> with questions or concerns.</w:t>
      </w:r>
    </w:p>
    <w:p w14:paraId="6707EDA2" w14:textId="77777777" w:rsidR="00640061" w:rsidRPr="00E20CCF" w:rsidRDefault="00640061" w:rsidP="00640061"/>
    <w:p w14:paraId="6707EDA3" w14:textId="77777777" w:rsidR="00640061" w:rsidRPr="00E20CCF" w:rsidRDefault="00640061" w:rsidP="00640061">
      <w:pPr>
        <w:rPr>
          <w:b/>
        </w:rPr>
      </w:pPr>
      <w:r w:rsidRPr="00E20CCF">
        <w:rPr>
          <w:b/>
        </w:rPr>
        <w:t>Service Quality</w:t>
      </w:r>
    </w:p>
    <w:p w14:paraId="6707EDA4" w14:textId="77777777" w:rsidR="00640061" w:rsidRPr="00E20CCF" w:rsidRDefault="00640061" w:rsidP="00BC0903">
      <w:pPr>
        <w:numPr>
          <w:ilvl w:val="0"/>
          <w:numId w:val="1"/>
        </w:numPr>
        <w:spacing w:line="276" w:lineRule="auto"/>
      </w:pPr>
      <w:r w:rsidRPr="00E20CCF">
        <w:t xml:space="preserve">One customer stated that the company should not be allowed a rate increase when it provides </w:t>
      </w:r>
      <w:r>
        <w:t xml:space="preserve">poor quality </w:t>
      </w:r>
      <w:r w:rsidRPr="00E20CCF">
        <w:t>water.</w:t>
      </w:r>
    </w:p>
    <w:p w14:paraId="6707EDA5" w14:textId="77777777" w:rsidR="00640061" w:rsidRPr="00E20CCF" w:rsidRDefault="00640061" w:rsidP="00640061"/>
    <w:p w14:paraId="6707EDA6" w14:textId="77777777" w:rsidR="00640061" w:rsidRPr="00E20CCF" w:rsidRDefault="00640061" w:rsidP="00BC0903">
      <w:pPr>
        <w:spacing w:line="276" w:lineRule="auto"/>
        <w:ind w:left="720"/>
        <w:rPr>
          <w:b/>
        </w:rPr>
      </w:pPr>
      <w:r w:rsidRPr="00E20CCF">
        <w:rPr>
          <w:b/>
        </w:rPr>
        <w:t>Staff Response</w:t>
      </w:r>
    </w:p>
    <w:p w14:paraId="6707EDA7" w14:textId="77777777" w:rsidR="00640061" w:rsidRPr="00E20CCF" w:rsidRDefault="00640061" w:rsidP="00BC0903">
      <w:pPr>
        <w:spacing w:line="276" w:lineRule="auto"/>
        <w:ind w:left="720"/>
      </w:pPr>
      <w:r w:rsidRPr="00E20CCF">
        <w:t>Staff contacted Washington Department of Health (DOH)</w:t>
      </w:r>
      <w:r>
        <w:t xml:space="preserve"> who </w:t>
      </w:r>
      <w:r w:rsidRPr="00E20CCF">
        <w:t>explained that th</w:t>
      </w:r>
      <w:r>
        <w:t>e</w:t>
      </w:r>
      <w:r w:rsidRPr="00E20CCF">
        <w:t xml:space="preserve"> customer’s system has experienced occasions in which iron and/or manganese has caused the water to have an unpleasant look, smell or taste. These types of deposits are not harmful to human health. DOH </w:t>
      </w:r>
      <w:r>
        <w:t xml:space="preserve">further </w:t>
      </w:r>
      <w:r w:rsidRPr="00E20CCF">
        <w:t xml:space="preserve">explained that iron and manganese issues are common in water systems in Pierce County. </w:t>
      </w:r>
    </w:p>
    <w:p w14:paraId="6707EDA8" w14:textId="77777777" w:rsidR="00640061" w:rsidRPr="00E20CCF" w:rsidRDefault="00640061" w:rsidP="00BC0903">
      <w:pPr>
        <w:spacing w:line="276" w:lineRule="auto"/>
        <w:ind w:left="720"/>
      </w:pPr>
    </w:p>
    <w:p w14:paraId="6707EDA9" w14:textId="77777777" w:rsidR="00640061" w:rsidRPr="00E20CCF" w:rsidRDefault="00640061" w:rsidP="00BC0903">
      <w:pPr>
        <w:spacing w:line="276" w:lineRule="auto"/>
        <w:ind w:left="720"/>
      </w:pPr>
      <w:r w:rsidRPr="00E20CCF">
        <w:lastRenderedPageBreak/>
        <w:t>Staff inquired with the company and learned that it is working on designing an iron and manganese removal system. The company said it hopes to have the system on line by next summer.</w:t>
      </w:r>
      <w:r>
        <w:t xml:space="preserve"> Staff advised the customer of these findings.</w:t>
      </w:r>
    </w:p>
    <w:p w14:paraId="6707EDAA" w14:textId="77777777" w:rsidR="00640061" w:rsidRPr="00E20CCF" w:rsidRDefault="00640061" w:rsidP="00BC0903">
      <w:pPr>
        <w:spacing w:line="276" w:lineRule="auto"/>
        <w:ind w:left="720"/>
      </w:pPr>
    </w:p>
    <w:p w14:paraId="6707EDAB" w14:textId="77777777" w:rsidR="00640061" w:rsidRPr="00E20CCF" w:rsidRDefault="00640061" w:rsidP="00BC0903">
      <w:pPr>
        <w:numPr>
          <w:ilvl w:val="0"/>
          <w:numId w:val="1"/>
        </w:numPr>
        <w:spacing w:line="276" w:lineRule="auto"/>
      </w:pPr>
      <w:r w:rsidRPr="00E20CCF">
        <w:t xml:space="preserve">One customer says the company should not get the </w:t>
      </w:r>
      <w:r>
        <w:t xml:space="preserve">requested </w:t>
      </w:r>
      <w:r w:rsidRPr="00E20CCF">
        <w:t xml:space="preserve">increase because </w:t>
      </w:r>
      <w:r>
        <w:t xml:space="preserve">the company </w:t>
      </w:r>
      <w:r w:rsidRPr="00E20CCF">
        <w:t>will not increase water pressure to his neighborhood.</w:t>
      </w:r>
    </w:p>
    <w:p w14:paraId="6707EDAC" w14:textId="77777777" w:rsidR="00640061" w:rsidRPr="00E20CCF" w:rsidRDefault="00640061" w:rsidP="00BC0903">
      <w:pPr>
        <w:spacing w:line="276" w:lineRule="auto"/>
      </w:pPr>
    </w:p>
    <w:p w14:paraId="6707EDAD" w14:textId="77777777" w:rsidR="00640061" w:rsidRPr="00E20CCF" w:rsidRDefault="00640061" w:rsidP="00BC0903">
      <w:pPr>
        <w:spacing w:line="276" w:lineRule="auto"/>
        <w:ind w:left="720"/>
        <w:rPr>
          <w:b/>
        </w:rPr>
      </w:pPr>
      <w:r w:rsidRPr="00E20CCF">
        <w:rPr>
          <w:b/>
        </w:rPr>
        <w:t>Staff Response</w:t>
      </w:r>
    </w:p>
    <w:p w14:paraId="6707EDAE" w14:textId="11AC9AF6" w:rsidR="00640061" w:rsidRPr="00E20CCF" w:rsidRDefault="00640061" w:rsidP="00BC0903">
      <w:pPr>
        <w:spacing w:line="276" w:lineRule="auto"/>
        <w:ind w:left="720"/>
      </w:pPr>
      <w:r w:rsidRPr="00E20CCF">
        <w:t xml:space="preserve">Staff asked the company </w:t>
      </w:r>
      <w:r>
        <w:t xml:space="preserve">about </w:t>
      </w:r>
      <w:r w:rsidRPr="00E20CCF">
        <w:t xml:space="preserve">requests from this customer’s neighborhood for increased pressure. The company stated that the pressure </w:t>
      </w:r>
      <w:r>
        <w:t>has tested from</w:t>
      </w:r>
      <w:r w:rsidRPr="00E20CCF">
        <w:t xml:space="preserve"> 47 to 54 </w:t>
      </w:r>
      <w:r w:rsidR="00D157A4">
        <w:t>pounds per square inch (PSI)</w:t>
      </w:r>
      <w:r w:rsidRPr="00E20CCF">
        <w:t xml:space="preserve"> at the property lines in this neighborhood which exceed the DOH requirement of 30 </w:t>
      </w:r>
      <w:r w:rsidR="00D157A4">
        <w:t>PSI</w:t>
      </w:r>
      <w:r w:rsidRPr="00E20CCF">
        <w:t>. The company explained to the customers that they will need to provide their own booster system if they want higher water pressure.</w:t>
      </w:r>
    </w:p>
    <w:p w14:paraId="6707EDAF" w14:textId="77777777" w:rsidR="00640061" w:rsidRPr="00E20CCF" w:rsidRDefault="00640061" w:rsidP="00640061">
      <w:pPr>
        <w:ind w:left="720"/>
      </w:pPr>
    </w:p>
    <w:p w14:paraId="6707EDB0" w14:textId="77777777" w:rsidR="00640061" w:rsidRPr="00E20CCF" w:rsidRDefault="00640061" w:rsidP="00640061">
      <w:pPr>
        <w:rPr>
          <w:b/>
        </w:rPr>
      </w:pPr>
      <w:r w:rsidRPr="00E20CCF">
        <w:rPr>
          <w:b/>
        </w:rPr>
        <w:t>General Comments</w:t>
      </w:r>
    </w:p>
    <w:p w14:paraId="6707EDB1" w14:textId="7CC7FF30" w:rsidR="00640061" w:rsidRPr="00E20CCF" w:rsidRDefault="00640061" w:rsidP="00BC0903">
      <w:pPr>
        <w:numPr>
          <w:ilvl w:val="0"/>
          <w:numId w:val="1"/>
        </w:numPr>
        <w:spacing w:line="276" w:lineRule="auto"/>
        <w:rPr>
          <w:b/>
        </w:rPr>
      </w:pPr>
      <w:r w:rsidRPr="00E20CCF">
        <w:t xml:space="preserve">Three customers commented that customers should not have to pay more </w:t>
      </w:r>
      <w:r>
        <w:t xml:space="preserve">just </w:t>
      </w:r>
      <w:r w:rsidRPr="00E20CCF">
        <w:t xml:space="preserve">because the 2010 increase did not result in the expected level of revenue. One customer also mentioned that the past year was very wet so usage was likely down from previous years, and adds that customers have conserved water as the company requested. These factors </w:t>
      </w:r>
      <w:r>
        <w:t xml:space="preserve">plus </w:t>
      </w:r>
      <w:r w:rsidRPr="00E20CCF">
        <w:t>the condition of our economy are the reasons the customers oppos</w:t>
      </w:r>
      <w:r>
        <w:t>e</w:t>
      </w:r>
      <w:r w:rsidRPr="00E20CCF">
        <w:t xml:space="preserve"> th</w:t>
      </w:r>
      <w:r>
        <w:t>e requested</w:t>
      </w:r>
      <w:r w:rsidRPr="00E20CCF">
        <w:t xml:space="preserve"> increase.</w:t>
      </w:r>
    </w:p>
    <w:p w14:paraId="6707EDB2" w14:textId="77777777" w:rsidR="00640061" w:rsidRPr="00E20CCF" w:rsidRDefault="00640061" w:rsidP="00BC0903">
      <w:pPr>
        <w:spacing w:line="276" w:lineRule="auto"/>
      </w:pPr>
    </w:p>
    <w:p w14:paraId="6707EDB3" w14:textId="77777777" w:rsidR="00640061" w:rsidRPr="00E20CCF" w:rsidRDefault="00640061" w:rsidP="00BC0903">
      <w:pPr>
        <w:numPr>
          <w:ilvl w:val="0"/>
          <w:numId w:val="1"/>
        </w:numPr>
        <w:spacing w:line="276" w:lineRule="auto"/>
        <w:rPr>
          <w:b/>
        </w:rPr>
      </w:pPr>
      <w:r w:rsidRPr="00E20CCF">
        <w:t>Six comments mentioned the hardship th</w:t>
      </w:r>
      <w:r>
        <w:t>e</w:t>
      </w:r>
      <w:r w:rsidRPr="00E20CCF">
        <w:t xml:space="preserve"> increase w</w:t>
      </w:r>
      <w:r>
        <w:t>ill</w:t>
      </w:r>
      <w:r w:rsidRPr="00E20CCF">
        <w:t xml:space="preserve"> create because of the current condition of our country’s economy. The frequency of the company’s requests for higher rates is mentioned in four complaints. Most of </w:t>
      </w:r>
      <w:r>
        <w:t>the</w:t>
      </w:r>
      <w:r w:rsidRPr="00E20CCF">
        <w:t xml:space="preserve"> comment</w:t>
      </w:r>
      <w:r>
        <w:t>s</w:t>
      </w:r>
      <w:r w:rsidRPr="00E20CCF">
        <w:t xml:space="preserve"> mention </w:t>
      </w:r>
      <w:r>
        <w:t xml:space="preserve">that </w:t>
      </w:r>
      <w:r w:rsidRPr="00E20CCF">
        <w:t>they cannot afford the proposed increase.</w:t>
      </w:r>
    </w:p>
    <w:p w14:paraId="6707EDB4" w14:textId="77777777" w:rsidR="00640061" w:rsidRPr="00E20CCF" w:rsidRDefault="00640061" w:rsidP="00BC0903">
      <w:pPr>
        <w:pStyle w:val="ListParagraph"/>
        <w:rPr>
          <w:rFonts w:ascii="Times New Roman" w:hAnsi="Times New Roman"/>
          <w:b/>
          <w:sz w:val="24"/>
          <w:szCs w:val="24"/>
        </w:rPr>
      </w:pPr>
    </w:p>
    <w:p w14:paraId="6707EDB5" w14:textId="77777777" w:rsidR="00640061" w:rsidRPr="00E20CCF" w:rsidRDefault="00640061" w:rsidP="00BC0903">
      <w:pPr>
        <w:pStyle w:val="ListParagraph"/>
        <w:spacing w:after="0"/>
        <w:rPr>
          <w:rFonts w:ascii="Times New Roman" w:hAnsi="Times New Roman"/>
          <w:b/>
          <w:sz w:val="24"/>
          <w:szCs w:val="24"/>
        </w:rPr>
      </w:pPr>
      <w:r w:rsidRPr="00E20CCF">
        <w:rPr>
          <w:rFonts w:ascii="Times New Roman" w:hAnsi="Times New Roman"/>
          <w:b/>
          <w:sz w:val="24"/>
          <w:szCs w:val="24"/>
        </w:rPr>
        <w:t>Staff response</w:t>
      </w:r>
    </w:p>
    <w:p w14:paraId="6707EDB6" w14:textId="77777777" w:rsidR="00640061" w:rsidRPr="00E20CCF" w:rsidRDefault="00640061" w:rsidP="00BC0903">
      <w:pPr>
        <w:spacing w:line="276" w:lineRule="auto"/>
        <w:ind w:left="720"/>
      </w:pPr>
      <w:r w:rsidRPr="00E20CCF">
        <w:t>Customers were advised that state law requires rates to be fair, just, reasonable and sufficient to allow the company to recover reasonable operating expenses and the opportunity to earn a reasonable return on investment. Regulatory staff reviews filings to ensure that all rates and fees are appropriate.</w:t>
      </w:r>
    </w:p>
    <w:p w14:paraId="6707EDB7" w14:textId="77777777" w:rsidR="00640061" w:rsidRPr="00E20CCF" w:rsidRDefault="00640061" w:rsidP="00BC0903">
      <w:pPr>
        <w:spacing w:line="276" w:lineRule="auto"/>
        <w:ind w:left="720"/>
      </w:pPr>
    </w:p>
    <w:p w14:paraId="07CDA0A5" w14:textId="769896C8" w:rsidR="00BE1B5B" w:rsidRPr="00BF601A" w:rsidRDefault="00BE1B5B" w:rsidP="00BE1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rPr>
          <w:rFonts w:eastAsia="Times New Roman"/>
          <w:lang w:bidi="ar-SA"/>
        </w:rPr>
        <w:t>Using the proposed rates, a</w:t>
      </w:r>
      <w:r w:rsidR="00640061">
        <w:rPr>
          <w:rFonts w:eastAsia="Times New Roman"/>
          <w:lang w:bidi="ar-SA"/>
        </w:rPr>
        <w:t xml:space="preserve"> customer using 9</w:t>
      </w:r>
      <w:r w:rsidR="00477A98">
        <w:rPr>
          <w:rFonts w:eastAsia="Times New Roman"/>
          <w:lang w:bidi="ar-SA"/>
        </w:rPr>
        <w:t>25</w:t>
      </w:r>
      <w:r w:rsidR="00640061" w:rsidRPr="0080117F">
        <w:rPr>
          <w:rFonts w:eastAsia="Times New Roman"/>
          <w:lang w:bidi="ar-SA"/>
        </w:rPr>
        <w:t xml:space="preserve"> cubic feet of water per month (the calculated company-wide average</w:t>
      </w:r>
      <w:r w:rsidR="00477A98">
        <w:rPr>
          <w:rFonts w:eastAsia="Times New Roman"/>
          <w:lang w:bidi="ar-SA"/>
        </w:rPr>
        <w:t>)</w:t>
      </w:r>
      <w:r w:rsidR="00640061" w:rsidRPr="0080117F">
        <w:rPr>
          <w:rFonts w:eastAsia="Times New Roman"/>
          <w:lang w:bidi="ar-SA"/>
        </w:rPr>
        <w:t xml:space="preserve"> </w:t>
      </w:r>
      <w:r w:rsidR="00640061" w:rsidRPr="009553EB">
        <w:rPr>
          <w:rFonts w:eastAsia="Times New Roman"/>
          <w:lang w:bidi="ar-SA"/>
        </w:rPr>
        <w:t>would pay $</w:t>
      </w:r>
      <w:r w:rsidR="00006D5A" w:rsidRPr="009553EB">
        <w:rPr>
          <w:rFonts w:eastAsia="Times New Roman"/>
          <w:lang w:bidi="ar-SA"/>
        </w:rPr>
        <w:t>2.5</w:t>
      </w:r>
      <w:r w:rsidR="00477A98" w:rsidRPr="009553EB">
        <w:rPr>
          <w:rFonts w:eastAsia="Times New Roman"/>
          <w:lang w:bidi="ar-SA"/>
        </w:rPr>
        <w:t>3</w:t>
      </w:r>
      <w:r w:rsidR="00640061" w:rsidRPr="009553EB">
        <w:rPr>
          <w:rFonts w:eastAsia="Times New Roman"/>
          <w:lang w:bidi="ar-SA"/>
        </w:rPr>
        <w:t xml:space="preserve"> (</w:t>
      </w:r>
      <w:r w:rsidR="00006D5A" w:rsidRPr="009553EB">
        <w:rPr>
          <w:rFonts w:eastAsia="Times New Roman"/>
          <w:lang w:bidi="ar-SA"/>
        </w:rPr>
        <w:t>12</w:t>
      </w:r>
      <w:r w:rsidR="00640061" w:rsidRPr="009553EB">
        <w:rPr>
          <w:rFonts w:eastAsia="Times New Roman"/>
          <w:lang w:bidi="ar-SA"/>
        </w:rPr>
        <w:t>.</w:t>
      </w:r>
      <w:r w:rsidR="00477A98" w:rsidRPr="009553EB">
        <w:rPr>
          <w:rFonts w:eastAsia="Times New Roman"/>
          <w:lang w:bidi="ar-SA"/>
        </w:rPr>
        <w:t>5</w:t>
      </w:r>
      <w:r w:rsidR="00640061" w:rsidRPr="009553EB">
        <w:rPr>
          <w:rFonts w:eastAsia="Times New Roman"/>
          <w:lang w:bidi="ar-SA"/>
        </w:rPr>
        <w:t xml:space="preserve"> percent)</w:t>
      </w:r>
      <w:r w:rsidR="00640061" w:rsidRPr="0080117F">
        <w:rPr>
          <w:rFonts w:eastAsia="Times New Roman"/>
          <w:lang w:bidi="ar-SA"/>
        </w:rPr>
        <w:t xml:space="preserve"> more </w:t>
      </w:r>
      <w:r w:rsidR="00640061">
        <w:rPr>
          <w:rFonts w:eastAsia="Times New Roman"/>
          <w:lang w:bidi="ar-SA"/>
        </w:rPr>
        <w:t>than</w:t>
      </w:r>
      <w:r w:rsidR="00640061" w:rsidRPr="0080117F">
        <w:rPr>
          <w:rFonts w:eastAsia="Times New Roman"/>
          <w:lang w:bidi="ar-SA"/>
        </w:rPr>
        <w:t xml:space="preserve"> the </w:t>
      </w:r>
      <w:r w:rsidR="00640061">
        <w:rPr>
          <w:rFonts w:eastAsia="Times New Roman"/>
          <w:lang w:bidi="ar-SA"/>
        </w:rPr>
        <w:t>current</w:t>
      </w:r>
      <w:r w:rsidR="00640061" w:rsidRPr="0080117F">
        <w:rPr>
          <w:rFonts w:eastAsia="Times New Roman"/>
          <w:lang w:bidi="ar-SA"/>
        </w:rPr>
        <w:t xml:space="preserve"> rates (see “Average Bill Comparison” table below).</w:t>
      </w:r>
      <w:r w:rsidRPr="00BE1B5B">
        <w:t xml:space="preserve"> </w:t>
      </w:r>
      <w:r w:rsidRPr="006E4410">
        <w:t>Current</w:t>
      </w:r>
      <w:r w:rsidRPr="00BF601A">
        <w:t xml:space="preserve"> and proposed rates are shown below</w:t>
      </w:r>
      <w:r>
        <w:t xml:space="preserve"> for the general rate increase</w:t>
      </w:r>
      <w:r w:rsidRPr="00BF601A">
        <w:t>.</w:t>
      </w:r>
    </w:p>
    <w:p w14:paraId="6707EDBA" w14:textId="30DC810E" w:rsidR="00D157A4" w:rsidRDefault="00D157A4" w:rsidP="00BC09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eastAsia="Times New Roman"/>
          <w:lang w:bidi="ar-SA"/>
        </w:rPr>
      </w:pPr>
    </w:p>
    <w:p w14:paraId="063A494C" w14:textId="77777777" w:rsidR="00BE1B5B" w:rsidRDefault="00BE1B5B" w:rsidP="00BC09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eastAsia="Times New Roman"/>
          <w:lang w:bidi="ar-SA"/>
        </w:rPr>
      </w:pPr>
    </w:p>
    <w:p w14:paraId="6707EDBC" w14:textId="56DD6360" w:rsidR="00640061" w:rsidRDefault="00640061" w:rsidP="00C60230">
      <w:pPr>
        <w:spacing w:after="200" w:line="276" w:lineRule="auto"/>
        <w:jc w:val="center"/>
        <w:rPr>
          <w:b/>
          <w:u w:val="single"/>
        </w:rPr>
      </w:pPr>
      <w:r w:rsidRPr="00450175">
        <w:rPr>
          <w:b/>
          <w:u w:val="single"/>
        </w:rPr>
        <w:lastRenderedPageBreak/>
        <w:t>Rate Comparison</w:t>
      </w:r>
    </w:p>
    <w:p w14:paraId="6707EDBD" w14:textId="77777777" w:rsidR="00640061" w:rsidRDefault="00640061" w:rsidP="00640061">
      <w:pPr>
        <w:jc w:val="center"/>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8"/>
        <w:gridCol w:w="2461"/>
        <w:gridCol w:w="2967"/>
      </w:tblGrid>
      <w:tr w:rsidR="00640061" w:rsidRPr="009270B9" w14:paraId="6707EDC1" w14:textId="77777777" w:rsidTr="00B14F10">
        <w:tc>
          <w:tcPr>
            <w:tcW w:w="2166" w:type="pct"/>
          </w:tcPr>
          <w:p w14:paraId="6707EDBE" w14:textId="77777777" w:rsidR="00640061" w:rsidRPr="009270B9" w:rsidRDefault="00640061" w:rsidP="00B14F10">
            <w:pPr>
              <w:keepNext/>
              <w:widowControl w:val="0"/>
              <w:autoSpaceDE w:val="0"/>
              <w:autoSpaceDN w:val="0"/>
              <w:adjustRightInd w:val="0"/>
              <w:jc w:val="center"/>
              <w:outlineLvl w:val="0"/>
              <w:rPr>
                <w:rFonts w:eastAsia="Times New Roman"/>
                <w:b/>
                <w:lang w:bidi="ar-SA"/>
              </w:rPr>
            </w:pPr>
            <w:r w:rsidRPr="009270B9">
              <w:rPr>
                <w:rFonts w:eastAsia="Times New Roman"/>
                <w:b/>
                <w:lang w:bidi="ar-SA"/>
              </w:rPr>
              <w:t>Monthly Rate</w:t>
            </w:r>
            <w:r>
              <w:rPr>
                <w:rFonts w:eastAsia="Times New Roman"/>
                <w:b/>
                <w:lang w:bidi="ar-SA"/>
              </w:rPr>
              <w:t>*</w:t>
            </w:r>
          </w:p>
        </w:tc>
        <w:tc>
          <w:tcPr>
            <w:tcW w:w="1285" w:type="pct"/>
            <w:vAlign w:val="center"/>
          </w:tcPr>
          <w:p w14:paraId="6707EDBF" w14:textId="77777777" w:rsidR="00640061" w:rsidRPr="009270B9" w:rsidRDefault="00640061" w:rsidP="00B14F10">
            <w:pPr>
              <w:widowControl w:val="0"/>
              <w:autoSpaceDE w:val="0"/>
              <w:autoSpaceDN w:val="0"/>
              <w:adjustRightInd w:val="0"/>
              <w:jc w:val="center"/>
              <w:rPr>
                <w:rFonts w:eastAsia="Times New Roman"/>
                <w:b/>
                <w:lang w:bidi="ar-SA"/>
              </w:rPr>
            </w:pPr>
            <w:r w:rsidRPr="009270B9">
              <w:rPr>
                <w:rFonts w:eastAsia="Times New Roman"/>
                <w:b/>
                <w:lang w:bidi="ar-SA"/>
              </w:rPr>
              <w:t>Current Rate</w:t>
            </w:r>
          </w:p>
        </w:tc>
        <w:tc>
          <w:tcPr>
            <w:tcW w:w="1549" w:type="pct"/>
          </w:tcPr>
          <w:p w14:paraId="6707EDC0" w14:textId="77777777" w:rsidR="00640061" w:rsidRPr="009270B9" w:rsidRDefault="00640061" w:rsidP="00B14F10">
            <w:pPr>
              <w:widowControl w:val="0"/>
              <w:autoSpaceDE w:val="0"/>
              <w:autoSpaceDN w:val="0"/>
              <w:adjustRightInd w:val="0"/>
              <w:jc w:val="center"/>
              <w:rPr>
                <w:rFonts w:eastAsia="Times New Roman"/>
                <w:b/>
                <w:lang w:bidi="ar-SA"/>
              </w:rPr>
            </w:pPr>
            <w:r w:rsidRPr="009270B9">
              <w:rPr>
                <w:rFonts w:eastAsia="Times New Roman"/>
                <w:b/>
                <w:lang w:bidi="ar-SA"/>
              </w:rPr>
              <w:t>Proposed Rate</w:t>
            </w:r>
          </w:p>
        </w:tc>
      </w:tr>
      <w:tr w:rsidR="00BE627B" w:rsidRPr="009270B9" w14:paraId="6707EDC5" w14:textId="77777777" w:rsidTr="00B14F10">
        <w:tc>
          <w:tcPr>
            <w:tcW w:w="2166" w:type="pct"/>
          </w:tcPr>
          <w:p w14:paraId="6707EDC2" w14:textId="77777777" w:rsidR="00BE627B" w:rsidRPr="00BE627B" w:rsidRDefault="00BE627B" w:rsidP="00B14F10">
            <w:pPr>
              <w:keepNext/>
              <w:widowControl w:val="0"/>
              <w:autoSpaceDE w:val="0"/>
              <w:autoSpaceDN w:val="0"/>
              <w:adjustRightInd w:val="0"/>
              <w:outlineLvl w:val="0"/>
              <w:rPr>
                <w:rFonts w:eastAsia="Times New Roman"/>
                <w:b/>
                <w:lang w:bidi="ar-SA"/>
              </w:rPr>
            </w:pPr>
            <w:r w:rsidRPr="00BE627B">
              <w:rPr>
                <w:rFonts w:eastAsia="Times New Roman"/>
                <w:b/>
                <w:lang w:bidi="ar-SA"/>
              </w:rPr>
              <w:t>Residential Metered Rate Service</w:t>
            </w:r>
          </w:p>
        </w:tc>
        <w:tc>
          <w:tcPr>
            <w:tcW w:w="1285" w:type="pct"/>
          </w:tcPr>
          <w:p w14:paraId="6707EDC3" w14:textId="77777777" w:rsidR="00BE627B" w:rsidRPr="009270B9" w:rsidRDefault="00BE627B" w:rsidP="00B14F10">
            <w:pPr>
              <w:widowControl w:val="0"/>
              <w:autoSpaceDE w:val="0"/>
              <w:autoSpaceDN w:val="0"/>
              <w:adjustRightInd w:val="0"/>
              <w:jc w:val="center"/>
              <w:rPr>
                <w:rFonts w:eastAsia="Times New Roman"/>
                <w:lang w:bidi="ar-SA"/>
              </w:rPr>
            </w:pPr>
          </w:p>
        </w:tc>
        <w:tc>
          <w:tcPr>
            <w:tcW w:w="1549" w:type="pct"/>
          </w:tcPr>
          <w:p w14:paraId="6707EDC4" w14:textId="77777777" w:rsidR="00BE627B" w:rsidRPr="009270B9" w:rsidRDefault="00BE627B" w:rsidP="00B14F10">
            <w:pPr>
              <w:widowControl w:val="0"/>
              <w:autoSpaceDE w:val="0"/>
              <w:autoSpaceDN w:val="0"/>
              <w:adjustRightInd w:val="0"/>
              <w:jc w:val="center"/>
              <w:rPr>
                <w:rFonts w:eastAsia="Times New Roman"/>
                <w:lang w:bidi="ar-SA"/>
              </w:rPr>
            </w:pPr>
          </w:p>
        </w:tc>
      </w:tr>
      <w:tr w:rsidR="00BE627B" w:rsidRPr="009270B9" w14:paraId="6707EDC9" w14:textId="77777777" w:rsidTr="00B14F10">
        <w:tc>
          <w:tcPr>
            <w:tcW w:w="2166" w:type="pct"/>
          </w:tcPr>
          <w:p w14:paraId="6707EDC6" w14:textId="0F37E271" w:rsidR="00BE627B" w:rsidRPr="009270B9" w:rsidRDefault="00BE627B" w:rsidP="0001140F">
            <w:pPr>
              <w:keepNext/>
              <w:widowControl w:val="0"/>
              <w:autoSpaceDE w:val="0"/>
              <w:autoSpaceDN w:val="0"/>
              <w:adjustRightInd w:val="0"/>
              <w:outlineLvl w:val="0"/>
              <w:rPr>
                <w:rFonts w:eastAsia="Times New Roman"/>
                <w:lang w:bidi="ar-SA"/>
              </w:rPr>
            </w:pPr>
            <w:r>
              <w:rPr>
                <w:rFonts w:eastAsia="Times New Roman"/>
                <w:lang w:bidi="ar-SA"/>
              </w:rPr>
              <w:t>Base Rate (3/4</w:t>
            </w:r>
            <w:r w:rsidR="0001140F">
              <w:rPr>
                <w:rFonts w:eastAsia="Times New Roman"/>
                <w:lang w:bidi="ar-SA"/>
              </w:rPr>
              <w:t>-</w:t>
            </w:r>
            <w:r w:rsidRPr="009270B9">
              <w:rPr>
                <w:rFonts w:eastAsia="Times New Roman"/>
                <w:lang w:bidi="ar-SA"/>
              </w:rPr>
              <w:t>inch meter)</w:t>
            </w:r>
            <w:r w:rsidR="00A31E63">
              <w:rPr>
                <w:rFonts w:eastAsia="Times New Roman"/>
                <w:lang w:bidi="ar-SA"/>
              </w:rPr>
              <w:t xml:space="preserve"> </w:t>
            </w:r>
          </w:p>
        </w:tc>
        <w:tc>
          <w:tcPr>
            <w:tcW w:w="1285" w:type="pct"/>
          </w:tcPr>
          <w:p w14:paraId="6707EDC7" w14:textId="77777777" w:rsidR="00BE627B" w:rsidRPr="009270B9" w:rsidRDefault="00BE627B" w:rsidP="00B14F10">
            <w:pPr>
              <w:widowControl w:val="0"/>
              <w:autoSpaceDE w:val="0"/>
              <w:autoSpaceDN w:val="0"/>
              <w:adjustRightInd w:val="0"/>
              <w:jc w:val="center"/>
              <w:rPr>
                <w:rFonts w:eastAsia="Times New Roman"/>
                <w:lang w:bidi="ar-SA"/>
              </w:rPr>
            </w:pPr>
            <w:r>
              <w:rPr>
                <w:rFonts w:eastAsia="Times New Roman"/>
                <w:lang w:bidi="ar-SA"/>
              </w:rPr>
              <w:t>$12.22</w:t>
            </w:r>
          </w:p>
        </w:tc>
        <w:tc>
          <w:tcPr>
            <w:tcW w:w="1549" w:type="pct"/>
          </w:tcPr>
          <w:p w14:paraId="6707EDC8" w14:textId="77777777" w:rsidR="00BE627B" w:rsidRPr="009270B9" w:rsidRDefault="00BE627B" w:rsidP="00B14F10">
            <w:pPr>
              <w:widowControl w:val="0"/>
              <w:autoSpaceDE w:val="0"/>
              <w:autoSpaceDN w:val="0"/>
              <w:adjustRightInd w:val="0"/>
              <w:jc w:val="center"/>
              <w:rPr>
                <w:rFonts w:eastAsia="Times New Roman"/>
                <w:lang w:bidi="ar-SA"/>
              </w:rPr>
            </w:pPr>
            <w:r>
              <w:rPr>
                <w:rFonts w:eastAsia="Times New Roman"/>
                <w:lang w:bidi="ar-SA"/>
              </w:rPr>
              <w:t>$13.90</w:t>
            </w:r>
          </w:p>
        </w:tc>
      </w:tr>
      <w:tr w:rsidR="00BE627B" w:rsidRPr="009270B9" w14:paraId="6707EDCD" w14:textId="77777777" w:rsidTr="00B14F10">
        <w:tc>
          <w:tcPr>
            <w:tcW w:w="2166" w:type="pct"/>
          </w:tcPr>
          <w:p w14:paraId="6707EDCA" w14:textId="77777777" w:rsidR="00BE627B" w:rsidRPr="009270B9" w:rsidRDefault="00BE627B" w:rsidP="00B14F10">
            <w:pPr>
              <w:widowControl w:val="0"/>
              <w:autoSpaceDE w:val="0"/>
              <w:autoSpaceDN w:val="0"/>
              <w:adjustRightInd w:val="0"/>
              <w:rPr>
                <w:rFonts w:eastAsia="Times New Roman"/>
                <w:lang w:bidi="ar-SA"/>
              </w:rPr>
            </w:pPr>
            <w:r w:rsidRPr="009270B9">
              <w:rPr>
                <w:rFonts w:eastAsia="Times New Roman"/>
                <w:lang w:bidi="ar-SA"/>
              </w:rPr>
              <w:t xml:space="preserve">0 – </w:t>
            </w:r>
            <w:r>
              <w:rPr>
                <w:rFonts w:eastAsia="Times New Roman"/>
                <w:lang w:bidi="ar-SA"/>
              </w:rPr>
              <w:t>6</w:t>
            </w:r>
            <w:r w:rsidRPr="009270B9">
              <w:rPr>
                <w:rFonts w:eastAsia="Times New Roman"/>
                <w:lang w:bidi="ar-SA"/>
              </w:rPr>
              <w:t>00 Cubic Feet</w:t>
            </w:r>
          </w:p>
        </w:tc>
        <w:tc>
          <w:tcPr>
            <w:tcW w:w="1285" w:type="pct"/>
          </w:tcPr>
          <w:p w14:paraId="6707EDCB" w14:textId="77777777" w:rsidR="00BE627B" w:rsidRPr="009270B9" w:rsidRDefault="00BE627B" w:rsidP="00B14F10">
            <w:pPr>
              <w:widowControl w:val="0"/>
              <w:autoSpaceDE w:val="0"/>
              <w:autoSpaceDN w:val="0"/>
              <w:adjustRightInd w:val="0"/>
              <w:jc w:val="center"/>
              <w:rPr>
                <w:rFonts w:eastAsia="Times New Roman"/>
                <w:lang w:bidi="ar-SA"/>
              </w:rPr>
            </w:pPr>
            <w:r>
              <w:rPr>
                <w:rFonts w:eastAsia="Times New Roman"/>
                <w:lang w:bidi="ar-SA"/>
              </w:rPr>
              <w:t>$.85</w:t>
            </w:r>
          </w:p>
        </w:tc>
        <w:tc>
          <w:tcPr>
            <w:tcW w:w="1549" w:type="pct"/>
          </w:tcPr>
          <w:p w14:paraId="6707EDCC" w14:textId="77777777" w:rsidR="00BE627B" w:rsidRPr="009270B9" w:rsidRDefault="00BE627B" w:rsidP="00B14F10">
            <w:pPr>
              <w:widowControl w:val="0"/>
              <w:autoSpaceDE w:val="0"/>
              <w:autoSpaceDN w:val="0"/>
              <w:adjustRightInd w:val="0"/>
              <w:jc w:val="center"/>
              <w:rPr>
                <w:rFonts w:eastAsia="Times New Roman"/>
                <w:lang w:bidi="ar-SA"/>
              </w:rPr>
            </w:pPr>
            <w:r>
              <w:rPr>
                <w:rFonts w:eastAsia="Times New Roman"/>
                <w:lang w:bidi="ar-SA"/>
              </w:rPr>
              <w:t>$.95</w:t>
            </w:r>
          </w:p>
        </w:tc>
      </w:tr>
      <w:tr w:rsidR="00BE627B" w:rsidRPr="009270B9" w14:paraId="6707EDD1" w14:textId="77777777" w:rsidTr="00B14F10">
        <w:tc>
          <w:tcPr>
            <w:tcW w:w="2166" w:type="pct"/>
          </w:tcPr>
          <w:p w14:paraId="6707EDCE" w14:textId="77777777" w:rsidR="00BE627B" w:rsidRPr="009270B9" w:rsidRDefault="00BE627B" w:rsidP="00B14F10">
            <w:pPr>
              <w:widowControl w:val="0"/>
              <w:autoSpaceDE w:val="0"/>
              <w:autoSpaceDN w:val="0"/>
              <w:adjustRightInd w:val="0"/>
              <w:rPr>
                <w:rFonts w:eastAsia="Times New Roman"/>
                <w:lang w:bidi="ar-SA"/>
              </w:rPr>
            </w:pPr>
            <w:r>
              <w:rPr>
                <w:rFonts w:eastAsia="Times New Roman"/>
                <w:lang w:bidi="ar-SA"/>
              </w:rPr>
              <w:t>601</w:t>
            </w:r>
            <w:r w:rsidRPr="009270B9">
              <w:rPr>
                <w:rFonts w:eastAsia="Times New Roman"/>
                <w:lang w:bidi="ar-SA"/>
              </w:rPr>
              <w:t xml:space="preserve"> – </w:t>
            </w:r>
            <w:r>
              <w:rPr>
                <w:rFonts w:eastAsia="Times New Roman"/>
                <w:lang w:bidi="ar-SA"/>
              </w:rPr>
              <w:t>3,0</w:t>
            </w:r>
            <w:r w:rsidRPr="009270B9">
              <w:rPr>
                <w:rFonts w:eastAsia="Times New Roman"/>
                <w:lang w:bidi="ar-SA"/>
              </w:rPr>
              <w:t>00 Cubic Feet</w:t>
            </w:r>
          </w:p>
        </w:tc>
        <w:tc>
          <w:tcPr>
            <w:tcW w:w="1285" w:type="pct"/>
          </w:tcPr>
          <w:p w14:paraId="6707EDCF" w14:textId="77777777" w:rsidR="00BE627B" w:rsidRPr="009270B9" w:rsidRDefault="00BE627B" w:rsidP="00B14F10">
            <w:pPr>
              <w:widowControl w:val="0"/>
              <w:autoSpaceDE w:val="0"/>
              <w:autoSpaceDN w:val="0"/>
              <w:adjustRightInd w:val="0"/>
              <w:jc w:val="center"/>
              <w:rPr>
                <w:rFonts w:eastAsia="Times New Roman"/>
                <w:lang w:bidi="ar-SA"/>
              </w:rPr>
            </w:pPr>
            <w:r w:rsidRPr="009270B9">
              <w:rPr>
                <w:rFonts w:eastAsia="Times New Roman"/>
                <w:lang w:bidi="ar-SA"/>
              </w:rPr>
              <w:t>$.</w:t>
            </w:r>
            <w:r>
              <w:rPr>
                <w:rFonts w:eastAsia="Times New Roman"/>
                <w:lang w:bidi="ar-SA"/>
              </w:rPr>
              <w:t>91</w:t>
            </w:r>
          </w:p>
        </w:tc>
        <w:tc>
          <w:tcPr>
            <w:tcW w:w="1549" w:type="pct"/>
          </w:tcPr>
          <w:p w14:paraId="6707EDD0" w14:textId="77777777" w:rsidR="00BE627B" w:rsidRPr="009270B9" w:rsidRDefault="00BE627B" w:rsidP="00B14F10">
            <w:pPr>
              <w:widowControl w:val="0"/>
              <w:autoSpaceDE w:val="0"/>
              <w:autoSpaceDN w:val="0"/>
              <w:adjustRightInd w:val="0"/>
              <w:jc w:val="center"/>
              <w:rPr>
                <w:rFonts w:eastAsia="Times New Roman"/>
                <w:lang w:bidi="ar-SA"/>
              </w:rPr>
            </w:pPr>
            <w:r>
              <w:rPr>
                <w:rFonts w:eastAsia="Times New Roman"/>
                <w:lang w:bidi="ar-SA"/>
              </w:rPr>
              <w:t>$1.00</w:t>
            </w:r>
          </w:p>
        </w:tc>
      </w:tr>
      <w:tr w:rsidR="00BE627B" w:rsidRPr="009270B9" w14:paraId="6707EDD5" w14:textId="77777777" w:rsidTr="00B14F10">
        <w:tc>
          <w:tcPr>
            <w:tcW w:w="2166" w:type="pct"/>
          </w:tcPr>
          <w:p w14:paraId="6707EDD2" w14:textId="77777777" w:rsidR="00BE627B" w:rsidRPr="009270B9" w:rsidRDefault="00BE627B" w:rsidP="00B14F10">
            <w:pPr>
              <w:widowControl w:val="0"/>
              <w:autoSpaceDE w:val="0"/>
              <w:autoSpaceDN w:val="0"/>
              <w:adjustRightInd w:val="0"/>
              <w:rPr>
                <w:rFonts w:eastAsia="Times New Roman"/>
                <w:lang w:bidi="ar-SA"/>
              </w:rPr>
            </w:pPr>
            <w:r w:rsidRPr="009270B9">
              <w:rPr>
                <w:rFonts w:eastAsia="Times New Roman"/>
                <w:lang w:bidi="ar-SA"/>
              </w:rPr>
              <w:t xml:space="preserve">Over </w:t>
            </w:r>
            <w:r>
              <w:rPr>
                <w:rFonts w:eastAsia="Times New Roman"/>
                <w:lang w:bidi="ar-SA"/>
              </w:rPr>
              <w:t>3,</w:t>
            </w:r>
            <w:r w:rsidRPr="009270B9">
              <w:rPr>
                <w:rFonts w:eastAsia="Times New Roman"/>
                <w:lang w:bidi="ar-SA"/>
              </w:rPr>
              <w:t>00</w:t>
            </w:r>
            <w:r>
              <w:rPr>
                <w:rFonts w:eastAsia="Times New Roman"/>
                <w:lang w:bidi="ar-SA"/>
              </w:rPr>
              <w:t>0</w:t>
            </w:r>
            <w:r w:rsidRPr="009270B9">
              <w:rPr>
                <w:rFonts w:eastAsia="Times New Roman"/>
                <w:lang w:bidi="ar-SA"/>
              </w:rPr>
              <w:t xml:space="preserve"> Cubic Feet</w:t>
            </w:r>
          </w:p>
        </w:tc>
        <w:tc>
          <w:tcPr>
            <w:tcW w:w="1285" w:type="pct"/>
          </w:tcPr>
          <w:p w14:paraId="6707EDD3" w14:textId="77777777" w:rsidR="00BE627B" w:rsidRPr="009270B9" w:rsidRDefault="00BE627B" w:rsidP="00B14F10">
            <w:pPr>
              <w:widowControl w:val="0"/>
              <w:autoSpaceDE w:val="0"/>
              <w:autoSpaceDN w:val="0"/>
              <w:adjustRightInd w:val="0"/>
              <w:jc w:val="center"/>
              <w:rPr>
                <w:rFonts w:eastAsia="Times New Roman"/>
                <w:lang w:bidi="ar-SA"/>
              </w:rPr>
            </w:pPr>
            <w:r w:rsidRPr="009270B9">
              <w:rPr>
                <w:rFonts w:eastAsia="Times New Roman"/>
                <w:lang w:bidi="ar-SA"/>
              </w:rPr>
              <w:t>$</w:t>
            </w:r>
            <w:r>
              <w:rPr>
                <w:rFonts w:eastAsia="Times New Roman"/>
                <w:lang w:bidi="ar-SA"/>
              </w:rPr>
              <w:t>5.00</w:t>
            </w:r>
          </w:p>
        </w:tc>
        <w:tc>
          <w:tcPr>
            <w:tcW w:w="1549" w:type="pct"/>
          </w:tcPr>
          <w:p w14:paraId="6707EDD4" w14:textId="77777777" w:rsidR="00BE627B" w:rsidRPr="009270B9" w:rsidRDefault="00BE627B" w:rsidP="00B14F10">
            <w:pPr>
              <w:widowControl w:val="0"/>
              <w:autoSpaceDE w:val="0"/>
              <w:autoSpaceDN w:val="0"/>
              <w:adjustRightInd w:val="0"/>
              <w:jc w:val="center"/>
              <w:rPr>
                <w:rFonts w:eastAsia="Times New Roman"/>
                <w:lang w:bidi="ar-SA"/>
              </w:rPr>
            </w:pPr>
            <w:r>
              <w:rPr>
                <w:rFonts w:eastAsia="Times New Roman"/>
                <w:lang w:bidi="ar-SA"/>
              </w:rPr>
              <w:t>$5.00</w:t>
            </w:r>
          </w:p>
        </w:tc>
      </w:tr>
      <w:tr w:rsidR="00BE627B" w:rsidRPr="009270B9" w14:paraId="6707EDD9" w14:textId="77777777" w:rsidTr="00B14F10">
        <w:tc>
          <w:tcPr>
            <w:tcW w:w="2166" w:type="pct"/>
          </w:tcPr>
          <w:p w14:paraId="6707EDD6" w14:textId="77777777" w:rsidR="00BE627B" w:rsidRPr="009270B9" w:rsidRDefault="00BE627B" w:rsidP="00B14F10">
            <w:pPr>
              <w:widowControl w:val="0"/>
              <w:autoSpaceDE w:val="0"/>
              <w:autoSpaceDN w:val="0"/>
              <w:adjustRightInd w:val="0"/>
              <w:rPr>
                <w:rFonts w:eastAsia="Times New Roman"/>
                <w:lang w:bidi="ar-SA"/>
              </w:rPr>
            </w:pPr>
          </w:p>
        </w:tc>
        <w:tc>
          <w:tcPr>
            <w:tcW w:w="1285" w:type="pct"/>
          </w:tcPr>
          <w:p w14:paraId="6707EDD7" w14:textId="77777777" w:rsidR="00BE627B" w:rsidRPr="009270B9" w:rsidRDefault="00BE627B" w:rsidP="00B14F10">
            <w:pPr>
              <w:widowControl w:val="0"/>
              <w:autoSpaceDE w:val="0"/>
              <w:autoSpaceDN w:val="0"/>
              <w:adjustRightInd w:val="0"/>
              <w:jc w:val="center"/>
              <w:rPr>
                <w:rFonts w:eastAsia="Times New Roman"/>
                <w:lang w:bidi="ar-SA"/>
              </w:rPr>
            </w:pPr>
          </w:p>
        </w:tc>
        <w:tc>
          <w:tcPr>
            <w:tcW w:w="1549" w:type="pct"/>
          </w:tcPr>
          <w:p w14:paraId="6707EDD8" w14:textId="77777777" w:rsidR="00BE627B" w:rsidRPr="009270B9" w:rsidRDefault="00BE627B" w:rsidP="00B14F10">
            <w:pPr>
              <w:widowControl w:val="0"/>
              <w:autoSpaceDE w:val="0"/>
              <w:autoSpaceDN w:val="0"/>
              <w:adjustRightInd w:val="0"/>
              <w:jc w:val="center"/>
              <w:rPr>
                <w:rFonts w:eastAsia="Times New Roman"/>
                <w:lang w:bidi="ar-SA"/>
              </w:rPr>
            </w:pPr>
          </w:p>
        </w:tc>
      </w:tr>
      <w:tr w:rsidR="00BE627B" w:rsidRPr="009270B9" w14:paraId="6707EDDD" w14:textId="77777777" w:rsidTr="00B14F10">
        <w:tc>
          <w:tcPr>
            <w:tcW w:w="2166" w:type="pct"/>
          </w:tcPr>
          <w:p w14:paraId="6707EDDA" w14:textId="77777777" w:rsidR="00BE627B" w:rsidRPr="009270B9" w:rsidRDefault="00BE627B" w:rsidP="00A31E63">
            <w:pPr>
              <w:keepNext/>
              <w:widowControl w:val="0"/>
              <w:autoSpaceDE w:val="0"/>
              <w:autoSpaceDN w:val="0"/>
              <w:adjustRightInd w:val="0"/>
              <w:outlineLvl w:val="0"/>
              <w:rPr>
                <w:rFonts w:eastAsia="Times New Roman"/>
                <w:lang w:bidi="ar-SA"/>
              </w:rPr>
            </w:pPr>
            <w:r w:rsidRPr="009270B9">
              <w:rPr>
                <w:rFonts w:eastAsia="Times New Roman"/>
                <w:lang w:bidi="ar-SA"/>
              </w:rPr>
              <w:t>Base Rate (1-inch meter)</w:t>
            </w:r>
            <w:r>
              <w:rPr>
                <w:rFonts w:eastAsia="Times New Roman"/>
                <w:lang w:bidi="ar-SA"/>
              </w:rPr>
              <w:t xml:space="preserve"> </w:t>
            </w:r>
          </w:p>
        </w:tc>
        <w:tc>
          <w:tcPr>
            <w:tcW w:w="1285" w:type="pct"/>
          </w:tcPr>
          <w:p w14:paraId="6707EDDB" w14:textId="77777777" w:rsidR="00BE627B" w:rsidRPr="009270B9" w:rsidRDefault="00BE627B" w:rsidP="00B14F10">
            <w:pPr>
              <w:widowControl w:val="0"/>
              <w:autoSpaceDE w:val="0"/>
              <w:autoSpaceDN w:val="0"/>
              <w:adjustRightInd w:val="0"/>
              <w:jc w:val="center"/>
              <w:rPr>
                <w:rFonts w:eastAsia="Times New Roman"/>
                <w:lang w:bidi="ar-SA"/>
              </w:rPr>
            </w:pPr>
            <w:r>
              <w:rPr>
                <w:rFonts w:eastAsia="Times New Roman"/>
                <w:lang w:bidi="ar-SA"/>
              </w:rPr>
              <w:t>$15.11</w:t>
            </w:r>
          </w:p>
        </w:tc>
        <w:tc>
          <w:tcPr>
            <w:tcW w:w="1549" w:type="pct"/>
          </w:tcPr>
          <w:p w14:paraId="6707EDDC" w14:textId="77777777" w:rsidR="00BE627B" w:rsidRPr="009270B9" w:rsidRDefault="00A31E63" w:rsidP="00B14F10">
            <w:pPr>
              <w:widowControl w:val="0"/>
              <w:autoSpaceDE w:val="0"/>
              <w:autoSpaceDN w:val="0"/>
              <w:adjustRightInd w:val="0"/>
              <w:jc w:val="center"/>
              <w:rPr>
                <w:rFonts w:eastAsia="Times New Roman"/>
                <w:lang w:bidi="ar-SA"/>
              </w:rPr>
            </w:pPr>
            <w:r>
              <w:rPr>
                <w:rFonts w:eastAsia="Times New Roman"/>
                <w:lang w:bidi="ar-SA"/>
              </w:rPr>
              <w:t>$17.75</w:t>
            </w:r>
          </w:p>
        </w:tc>
      </w:tr>
      <w:tr w:rsidR="00A31E63" w:rsidRPr="009270B9" w14:paraId="6707EDE1" w14:textId="77777777" w:rsidTr="00B14F10">
        <w:tc>
          <w:tcPr>
            <w:tcW w:w="2166" w:type="pct"/>
          </w:tcPr>
          <w:p w14:paraId="6707EDDE" w14:textId="77777777" w:rsidR="00A31E63" w:rsidRPr="009270B9" w:rsidRDefault="00A31E63" w:rsidP="00B14F10">
            <w:pPr>
              <w:widowControl w:val="0"/>
              <w:autoSpaceDE w:val="0"/>
              <w:autoSpaceDN w:val="0"/>
              <w:adjustRightInd w:val="0"/>
              <w:rPr>
                <w:rFonts w:eastAsia="Times New Roman"/>
                <w:lang w:bidi="ar-SA"/>
              </w:rPr>
            </w:pPr>
            <w:r w:rsidRPr="009270B9">
              <w:rPr>
                <w:rFonts w:eastAsia="Times New Roman"/>
                <w:lang w:bidi="ar-SA"/>
              </w:rPr>
              <w:t xml:space="preserve">0 – </w:t>
            </w:r>
            <w:r>
              <w:rPr>
                <w:rFonts w:eastAsia="Times New Roman"/>
                <w:lang w:bidi="ar-SA"/>
              </w:rPr>
              <w:t>1,5</w:t>
            </w:r>
            <w:r w:rsidRPr="009270B9">
              <w:rPr>
                <w:rFonts w:eastAsia="Times New Roman"/>
                <w:lang w:bidi="ar-SA"/>
              </w:rPr>
              <w:t>00 Cubic Feet</w:t>
            </w:r>
          </w:p>
        </w:tc>
        <w:tc>
          <w:tcPr>
            <w:tcW w:w="1285" w:type="pct"/>
          </w:tcPr>
          <w:p w14:paraId="6707EDDF" w14:textId="77777777" w:rsidR="00A31E63" w:rsidRPr="009270B9" w:rsidRDefault="00A31E63" w:rsidP="00B14F10">
            <w:pPr>
              <w:widowControl w:val="0"/>
              <w:autoSpaceDE w:val="0"/>
              <w:autoSpaceDN w:val="0"/>
              <w:adjustRightInd w:val="0"/>
              <w:jc w:val="center"/>
              <w:rPr>
                <w:rFonts w:eastAsia="Times New Roman"/>
                <w:lang w:bidi="ar-SA"/>
              </w:rPr>
            </w:pPr>
            <w:r>
              <w:rPr>
                <w:rFonts w:eastAsia="Times New Roman"/>
                <w:lang w:bidi="ar-SA"/>
              </w:rPr>
              <w:t>$.85</w:t>
            </w:r>
          </w:p>
        </w:tc>
        <w:tc>
          <w:tcPr>
            <w:tcW w:w="1549" w:type="pct"/>
          </w:tcPr>
          <w:p w14:paraId="6707EDE0" w14:textId="77777777" w:rsidR="00A31E63" w:rsidRPr="009270B9" w:rsidRDefault="00A31E63" w:rsidP="00B14F10">
            <w:pPr>
              <w:widowControl w:val="0"/>
              <w:autoSpaceDE w:val="0"/>
              <w:autoSpaceDN w:val="0"/>
              <w:adjustRightInd w:val="0"/>
              <w:jc w:val="center"/>
              <w:rPr>
                <w:rFonts w:eastAsia="Times New Roman"/>
                <w:lang w:bidi="ar-SA"/>
              </w:rPr>
            </w:pPr>
            <w:r>
              <w:rPr>
                <w:rFonts w:eastAsia="Times New Roman"/>
                <w:lang w:bidi="ar-SA"/>
              </w:rPr>
              <w:t>$.95</w:t>
            </w:r>
          </w:p>
        </w:tc>
      </w:tr>
      <w:tr w:rsidR="00A31E63" w:rsidRPr="009270B9" w14:paraId="6707EDE5" w14:textId="77777777" w:rsidTr="00B14F10">
        <w:tc>
          <w:tcPr>
            <w:tcW w:w="2166" w:type="pct"/>
          </w:tcPr>
          <w:p w14:paraId="6707EDE2" w14:textId="77777777" w:rsidR="00A31E63" w:rsidRPr="009270B9" w:rsidRDefault="00A31E63" w:rsidP="00A31E63">
            <w:pPr>
              <w:widowControl w:val="0"/>
              <w:autoSpaceDE w:val="0"/>
              <w:autoSpaceDN w:val="0"/>
              <w:adjustRightInd w:val="0"/>
              <w:rPr>
                <w:rFonts w:eastAsia="Times New Roman"/>
                <w:lang w:bidi="ar-SA"/>
              </w:rPr>
            </w:pPr>
            <w:r>
              <w:rPr>
                <w:rFonts w:eastAsia="Times New Roman"/>
                <w:lang w:bidi="ar-SA"/>
              </w:rPr>
              <w:t>1,501</w:t>
            </w:r>
            <w:r w:rsidRPr="009270B9">
              <w:rPr>
                <w:rFonts w:eastAsia="Times New Roman"/>
                <w:lang w:bidi="ar-SA"/>
              </w:rPr>
              <w:t xml:space="preserve"> – </w:t>
            </w:r>
            <w:r>
              <w:rPr>
                <w:rFonts w:eastAsia="Times New Roman"/>
                <w:lang w:bidi="ar-SA"/>
              </w:rPr>
              <w:t>7,5</w:t>
            </w:r>
            <w:r w:rsidRPr="009270B9">
              <w:rPr>
                <w:rFonts w:eastAsia="Times New Roman"/>
                <w:lang w:bidi="ar-SA"/>
              </w:rPr>
              <w:t>0</w:t>
            </w:r>
            <w:r>
              <w:rPr>
                <w:rFonts w:eastAsia="Times New Roman"/>
                <w:lang w:bidi="ar-SA"/>
              </w:rPr>
              <w:t>0</w:t>
            </w:r>
            <w:r w:rsidRPr="009270B9">
              <w:rPr>
                <w:rFonts w:eastAsia="Times New Roman"/>
                <w:lang w:bidi="ar-SA"/>
              </w:rPr>
              <w:t xml:space="preserve"> Cubic Feet</w:t>
            </w:r>
          </w:p>
        </w:tc>
        <w:tc>
          <w:tcPr>
            <w:tcW w:w="1285" w:type="pct"/>
          </w:tcPr>
          <w:p w14:paraId="6707EDE3" w14:textId="77777777" w:rsidR="00A31E63" w:rsidRPr="009270B9" w:rsidRDefault="00A31E63" w:rsidP="00B14F10">
            <w:pPr>
              <w:widowControl w:val="0"/>
              <w:autoSpaceDE w:val="0"/>
              <w:autoSpaceDN w:val="0"/>
              <w:adjustRightInd w:val="0"/>
              <w:jc w:val="center"/>
              <w:rPr>
                <w:rFonts w:eastAsia="Times New Roman"/>
                <w:lang w:bidi="ar-SA"/>
              </w:rPr>
            </w:pPr>
            <w:r w:rsidRPr="009270B9">
              <w:rPr>
                <w:rFonts w:eastAsia="Times New Roman"/>
                <w:lang w:bidi="ar-SA"/>
              </w:rPr>
              <w:t>$.</w:t>
            </w:r>
            <w:r>
              <w:rPr>
                <w:rFonts w:eastAsia="Times New Roman"/>
                <w:lang w:bidi="ar-SA"/>
              </w:rPr>
              <w:t>91</w:t>
            </w:r>
          </w:p>
        </w:tc>
        <w:tc>
          <w:tcPr>
            <w:tcW w:w="1549" w:type="pct"/>
          </w:tcPr>
          <w:p w14:paraId="6707EDE4" w14:textId="77777777" w:rsidR="00A31E63" w:rsidRPr="009270B9" w:rsidRDefault="00A31E63" w:rsidP="00B14F10">
            <w:pPr>
              <w:widowControl w:val="0"/>
              <w:autoSpaceDE w:val="0"/>
              <w:autoSpaceDN w:val="0"/>
              <w:adjustRightInd w:val="0"/>
              <w:jc w:val="center"/>
              <w:rPr>
                <w:rFonts w:eastAsia="Times New Roman"/>
                <w:lang w:bidi="ar-SA"/>
              </w:rPr>
            </w:pPr>
            <w:r>
              <w:rPr>
                <w:rFonts w:eastAsia="Times New Roman"/>
                <w:lang w:bidi="ar-SA"/>
              </w:rPr>
              <w:t>$1.00</w:t>
            </w:r>
          </w:p>
        </w:tc>
      </w:tr>
      <w:tr w:rsidR="00A31E63" w:rsidRPr="009270B9" w14:paraId="6707EDE9" w14:textId="77777777" w:rsidTr="00B14F10">
        <w:tc>
          <w:tcPr>
            <w:tcW w:w="2166" w:type="pct"/>
          </w:tcPr>
          <w:p w14:paraId="6707EDE6" w14:textId="77777777" w:rsidR="00A31E63" w:rsidRPr="009270B9" w:rsidRDefault="00A31E63" w:rsidP="00A31E63">
            <w:pPr>
              <w:widowControl w:val="0"/>
              <w:autoSpaceDE w:val="0"/>
              <w:autoSpaceDN w:val="0"/>
              <w:adjustRightInd w:val="0"/>
              <w:rPr>
                <w:rFonts w:eastAsia="Times New Roman"/>
                <w:lang w:bidi="ar-SA"/>
              </w:rPr>
            </w:pPr>
            <w:r w:rsidRPr="009270B9">
              <w:rPr>
                <w:rFonts w:eastAsia="Times New Roman"/>
                <w:lang w:bidi="ar-SA"/>
              </w:rPr>
              <w:t xml:space="preserve">Over </w:t>
            </w:r>
            <w:r>
              <w:rPr>
                <w:rFonts w:eastAsia="Times New Roman"/>
                <w:lang w:bidi="ar-SA"/>
              </w:rPr>
              <w:t>7,5</w:t>
            </w:r>
            <w:r w:rsidRPr="009270B9">
              <w:rPr>
                <w:rFonts w:eastAsia="Times New Roman"/>
                <w:lang w:bidi="ar-SA"/>
              </w:rPr>
              <w:t>0</w:t>
            </w:r>
            <w:r>
              <w:rPr>
                <w:rFonts w:eastAsia="Times New Roman"/>
                <w:lang w:bidi="ar-SA"/>
              </w:rPr>
              <w:t>0</w:t>
            </w:r>
            <w:r w:rsidRPr="009270B9">
              <w:rPr>
                <w:rFonts w:eastAsia="Times New Roman"/>
                <w:lang w:bidi="ar-SA"/>
              </w:rPr>
              <w:t xml:space="preserve"> Cubic Feet</w:t>
            </w:r>
          </w:p>
        </w:tc>
        <w:tc>
          <w:tcPr>
            <w:tcW w:w="1285" w:type="pct"/>
          </w:tcPr>
          <w:p w14:paraId="6707EDE7" w14:textId="77777777" w:rsidR="00A31E63" w:rsidRPr="009270B9" w:rsidRDefault="00A31E63" w:rsidP="00B14F10">
            <w:pPr>
              <w:widowControl w:val="0"/>
              <w:autoSpaceDE w:val="0"/>
              <w:autoSpaceDN w:val="0"/>
              <w:adjustRightInd w:val="0"/>
              <w:jc w:val="center"/>
              <w:rPr>
                <w:rFonts w:eastAsia="Times New Roman"/>
                <w:lang w:bidi="ar-SA"/>
              </w:rPr>
            </w:pPr>
            <w:r w:rsidRPr="009270B9">
              <w:rPr>
                <w:rFonts w:eastAsia="Times New Roman"/>
                <w:lang w:bidi="ar-SA"/>
              </w:rPr>
              <w:t>$</w:t>
            </w:r>
            <w:r>
              <w:rPr>
                <w:rFonts w:eastAsia="Times New Roman"/>
                <w:lang w:bidi="ar-SA"/>
              </w:rPr>
              <w:t>5.00</w:t>
            </w:r>
          </w:p>
        </w:tc>
        <w:tc>
          <w:tcPr>
            <w:tcW w:w="1549" w:type="pct"/>
          </w:tcPr>
          <w:p w14:paraId="6707EDE8" w14:textId="77777777" w:rsidR="00A31E63" w:rsidRPr="009270B9" w:rsidRDefault="00A31E63" w:rsidP="00B14F10">
            <w:pPr>
              <w:widowControl w:val="0"/>
              <w:autoSpaceDE w:val="0"/>
              <w:autoSpaceDN w:val="0"/>
              <w:adjustRightInd w:val="0"/>
              <w:jc w:val="center"/>
              <w:rPr>
                <w:rFonts w:eastAsia="Times New Roman"/>
                <w:lang w:bidi="ar-SA"/>
              </w:rPr>
            </w:pPr>
            <w:r>
              <w:rPr>
                <w:rFonts w:eastAsia="Times New Roman"/>
                <w:lang w:bidi="ar-SA"/>
              </w:rPr>
              <w:t>$5.00</w:t>
            </w:r>
          </w:p>
        </w:tc>
      </w:tr>
      <w:tr w:rsidR="00A31E63" w:rsidRPr="009270B9" w14:paraId="6707EDED" w14:textId="77777777" w:rsidTr="00B14F10">
        <w:tc>
          <w:tcPr>
            <w:tcW w:w="2166" w:type="pct"/>
          </w:tcPr>
          <w:p w14:paraId="6707EDEA" w14:textId="77777777" w:rsidR="00A31E63" w:rsidRPr="009270B9" w:rsidRDefault="00A31E63" w:rsidP="00B14F10">
            <w:pPr>
              <w:widowControl w:val="0"/>
              <w:autoSpaceDE w:val="0"/>
              <w:autoSpaceDN w:val="0"/>
              <w:adjustRightInd w:val="0"/>
              <w:rPr>
                <w:rFonts w:eastAsia="Times New Roman"/>
                <w:lang w:bidi="ar-SA"/>
              </w:rPr>
            </w:pPr>
          </w:p>
        </w:tc>
        <w:tc>
          <w:tcPr>
            <w:tcW w:w="1285" w:type="pct"/>
          </w:tcPr>
          <w:p w14:paraId="6707EDEB" w14:textId="77777777" w:rsidR="00A31E63" w:rsidRPr="009270B9" w:rsidRDefault="00A31E63" w:rsidP="00B14F10">
            <w:pPr>
              <w:widowControl w:val="0"/>
              <w:autoSpaceDE w:val="0"/>
              <w:autoSpaceDN w:val="0"/>
              <w:adjustRightInd w:val="0"/>
              <w:jc w:val="center"/>
              <w:rPr>
                <w:rFonts w:eastAsia="Times New Roman"/>
                <w:lang w:bidi="ar-SA"/>
              </w:rPr>
            </w:pPr>
          </w:p>
        </w:tc>
        <w:tc>
          <w:tcPr>
            <w:tcW w:w="1549" w:type="pct"/>
          </w:tcPr>
          <w:p w14:paraId="6707EDEC" w14:textId="77777777" w:rsidR="00A31E63" w:rsidRPr="009270B9" w:rsidRDefault="00A31E63" w:rsidP="00B14F10">
            <w:pPr>
              <w:widowControl w:val="0"/>
              <w:autoSpaceDE w:val="0"/>
              <w:autoSpaceDN w:val="0"/>
              <w:adjustRightInd w:val="0"/>
              <w:jc w:val="center"/>
              <w:rPr>
                <w:rFonts w:eastAsia="Times New Roman"/>
                <w:lang w:bidi="ar-SA"/>
              </w:rPr>
            </w:pPr>
          </w:p>
        </w:tc>
      </w:tr>
      <w:tr w:rsidR="00A31E63" w:rsidRPr="009270B9" w14:paraId="6707EDF1" w14:textId="77777777" w:rsidTr="00B14F10">
        <w:tc>
          <w:tcPr>
            <w:tcW w:w="2166" w:type="pct"/>
          </w:tcPr>
          <w:p w14:paraId="6707EDEE" w14:textId="77777777" w:rsidR="00A31E63" w:rsidRPr="009270B9" w:rsidRDefault="00A31E63" w:rsidP="00B14F10">
            <w:pPr>
              <w:widowControl w:val="0"/>
              <w:autoSpaceDE w:val="0"/>
              <w:autoSpaceDN w:val="0"/>
              <w:adjustRightInd w:val="0"/>
              <w:rPr>
                <w:rFonts w:eastAsia="Times New Roman"/>
                <w:lang w:bidi="ar-SA"/>
              </w:rPr>
            </w:pPr>
            <w:r>
              <w:rPr>
                <w:rFonts w:eastAsia="Times New Roman"/>
                <w:b/>
                <w:lang w:bidi="ar-SA"/>
              </w:rPr>
              <w:t>Non-</w:t>
            </w:r>
            <w:r w:rsidRPr="00BE627B">
              <w:rPr>
                <w:rFonts w:eastAsia="Times New Roman"/>
                <w:b/>
                <w:lang w:bidi="ar-SA"/>
              </w:rPr>
              <w:t>Residential Metered Rate Service</w:t>
            </w:r>
          </w:p>
        </w:tc>
        <w:tc>
          <w:tcPr>
            <w:tcW w:w="1285" w:type="pct"/>
          </w:tcPr>
          <w:p w14:paraId="6707EDEF" w14:textId="77777777" w:rsidR="00A31E63" w:rsidRPr="009270B9" w:rsidRDefault="00A31E63" w:rsidP="00B14F10">
            <w:pPr>
              <w:widowControl w:val="0"/>
              <w:autoSpaceDE w:val="0"/>
              <w:autoSpaceDN w:val="0"/>
              <w:adjustRightInd w:val="0"/>
              <w:jc w:val="center"/>
              <w:rPr>
                <w:rFonts w:eastAsia="Times New Roman"/>
                <w:lang w:bidi="ar-SA"/>
              </w:rPr>
            </w:pPr>
          </w:p>
        </w:tc>
        <w:tc>
          <w:tcPr>
            <w:tcW w:w="1549" w:type="pct"/>
          </w:tcPr>
          <w:p w14:paraId="6707EDF0" w14:textId="77777777" w:rsidR="00A31E63" w:rsidRPr="009270B9" w:rsidRDefault="00A31E63" w:rsidP="00B14F10">
            <w:pPr>
              <w:widowControl w:val="0"/>
              <w:autoSpaceDE w:val="0"/>
              <w:autoSpaceDN w:val="0"/>
              <w:adjustRightInd w:val="0"/>
              <w:jc w:val="center"/>
              <w:rPr>
                <w:rFonts w:eastAsia="Times New Roman"/>
                <w:lang w:bidi="ar-SA"/>
              </w:rPr>
            </w:pPr>
          </w:p>
        </w:tc>
      </w:tr>
      <w:tr w:rsidR="00A31E63" w:rsidRPr="009270B9" w14:paraId="6707EDF5" w14:textId="77777777" w:rsidTr="00B14F10">
        <w:tc>
          <w:tcPr>
            <w:tcW w:w="2166" w:type="pct"/>
          </w:tcPr>
          <w:p w14:paraId="6707EDF2" w14:textId="77777777" w:rsidR="00A31E63" w:rsidRPr="009270B9" w:rsidRDefault="00A31E63" w:rsidP="00B14F10">
            <w:pPr>
              <w:keepNext/>
              <w:widowControl w:val="0"/>
              <w:autoSpaceDE w:val="0"/>
              <w:autoSpaceDN w:val="0"/>
              <w:adjustRightInd w:val="0"/>
              <w:outlineLvl w:val="0"/>
              <w:rPr>
                <w:rFonts w:eastAsia="Times New Roman"/>
                <w:lang w:bidi="ar-SA"/>
              </w:rPr>
            </w:pPr>
            <w:r w:rsidRPr="009270B9">
              <w:rPr>
                <w:rFonts w:eastAsia="Times New Roman"/>
                <w:lang w:bidi="ar-SA"/>
              </w:rPr>
              <w:t>Base Rate (1-inch meter)</w:t>
            </w:r>
            <w:r>
              <w:rPr>
                <w:rFonts w:eastAsia="Times New Roman"/>
                <w:lang w:bidi="ar-SA"/>
              </w:rPr>
              <w:t xml:space="preserve"> </w:t>
            </w:r>
          </w:p>
        </w:tc>
        <w:tc>
          <w:tcPr>
            <w:tcW w:w="1285" w:type="pct"/>
          </w:tcPr>
          <w:p w14:paraId="6707EDF3" w14:textId="77777777" w:rsidR="00A31E63" w:rsidRPr="009270B9" w:rsidRDefault="00A31E63" w:rsidP="00A31E63">
            <w:pPr>
              <w:widowControl w:val="0"/>
              <w:autoSpaceDE w:val="0"/>
              <w:autoSpaceDN w:val="0"/>
              <w:adjustRightInd w:val="0"/>
              <w:jc w:val="center"/>
              <w:rPr>
                <w:rFonts w:eastAsia="Times New Roman"/>
                <w:lang w:bidi="ar-SA"/>
              </w:rPr>
            </w:pPr>
            <w:r w:rsidRPr="009270B9">
              <w:rPr>
                <w:rFonts w:eastAsia="Times New Roman"/>
                <w:lang w:bidi="ar-SA"/>
              </w:rPr>
              <w:t>$</w:t>
            </w:r>
            <w:r>
              <w:rPr>
                <w:rFonts w:eastAsia="Times New Roman"/>
                <w:lang w:bidi="ar-SA"/>
              </w:rPr>
              <w:t>12.13</w:t>
            </w:r>
          </w:p>
        </w:tc>
        <w:tc>
          <w:tcPr>
            <w:tcW w:w="1549" w:type="pct"/>
          </w:tcPr>
          <w:p w14:paraId="6707EDF4" w14:textId="77777777" w:rsidR="00A31E63" w:rsidRPr="009270B9" w:rsidRDefault="00A31E63" w:rsidP="00A31E63">
            <w:pPr>
              <w:widowControl w:val="0"/>
              <w:autoSpaceDE w:val="0"/>
              <w:autoSpaceDN w:val="0"/>
              <w:adjustRightInd w:val="0"/>
              <w:jc w:val="center"/>
              <w:rPr>
                <w:rFonts w:eastAsia="Times New Roman"/>
                <w:lang w:bidi="ar-SA"/>
              </w:rPr>
            </w:pPr>
            <w:r>
              <w:rPr>
                <w:rFonts w:eastAsia="Times New Roman"/>
                <w:lang w:bidi="ar-SA"/>
              </w:rPr>
              <w:t>$17.75</w:t>
            </w:r>
          </w:p>
        </w:tc>
      </w:tr>
      <w:tr w:rsidR="00A31E63" w:rsidRPr="009270B9" w14:paraId="6707EDF9" w14:textId="77777777" w:rsidTr="00B14F10">
        <w:tc>
          <w:tcPr>
            <w:tcW w:w="2166" w:type="pct"/>
          </w:tcPr>
          <w:p w14:paraId="6707EDF6" w14:textId="77777777" w:rsidR="00A31E63" w:rsidRPr="009270B9" w:rsidRDefault="00A31E63" w:rsidP="00B14F10">
            <w:pPr>
              <w:widowControl w:val="0"/>
              <w:autoSpaceDE w:val="0"/>
              <w:autoSpaceDN w:val="0"/>
              <w:adjustRightInd w:val="0"/>
              <w:rPr>
                <w:rFonts w:eastAsia="Times New Roman"/>
                <w:lang w:bidi="ar-SA"/>
              </w:rPr>
            </w:pPr>
            <w:r w:rsidRPr="009270B9">
              <w:rPr>
                <w:rFonts w:eastAsia="Times New Roman"/>
                <w:lang w:bidi="ar-SA"/>
              </w:rPr>
              <w:t xml:space="preserve">0 – </w:t>
            </w:r>
            <w:r>
              <w:rPr>
                <w:rFonts w:eastAsia="Times New Roman"/>
                <w:lang w:bidi="ar-SA"/>
              </w:rPr>
              <w:t>1,5</w:t>
            </w:r>
            <w:r w:rsidRPr="009270B9">
              <w:rPr>
                <w:rFonts w:eastAsia="Times New Roman"/>
                <w:lang w:bidi="ar-SA"/>
              </w:rPr>
              <w:t>00 Cubic Feet</w:t>
            </w:r>
          </w:p>
        </w:tc>
        <w:tc>
          <w:tcPr>
            <w:tcW w:w="1285" w:type="pct"/>
          </w:tcPr>
          <w:p w14:paraId="6707EDF7" w14:textId="77777777" w:rsidR="00A31E63" w:rsidRPr="009270B9" w:rsidRDefault="00A31E63" w:rsidP="00B14F10">
            <w:pPr>
              <w:widowControl w:val="0"/>
              <w:autoSpaceDE w:val="0"/>
              <w:autoSpaceDN w:val="0"/>
              <w:adjustRightInd w:val="0"/>
              <w:jc w:val="center"/>
              <w:rPr>
                <w:rFonts w:eastAsia="Times New Roman"/>
                <w:lang w:bidi="ar-SA"/>
              </w:rPr>
            </w:pPr>
            <w:r>
              <w:rPr>
                <w:rFonts w:eastAsia="Times New Roman"/>
                <w:lang w:bidi="ar-SA"/>
              </w:rPr>
              <w:t>$.85</w:t>
            </w:r>
          </w:p>
        </w:tc>
        <w:tc>
          <w:tcPr>
            <w:tcW w:w="1549" w:type="pct"/>
          </w:tcPr>
          <w:p w14:paraId="6707EDF8" w14:textId="77777777" w:rsidR="00A31E63" w:rsidRPr="009270B9" w:rsidRDefault="00A31E63" w:rsidP="00B14F10">
            <w:pPr>
              <w:widowControl w:val="0"/>
              <w:autoSpaceDE w:val="0"/>
              <w:autoSpaceDN w:val="0"/>
              <w:adjustRightInd w:val="0"/>
              <w:jc w:val="center"/>
              <w:rPr>
                <w:rFonts w:eastAsia="Times New Roman"/>
                <w:lang w:bidi="ar-SA"/>
              </w:rPr>
            </w:pPr>
            <w:r w:rsidRPr="009270B9">
              <w:rPr>
                <w:rFonts w:eastAsia="Times New Roman"/>
                <w:lang w:bidi="ar-SA"/>
              </w:rPr>
              <w:t>$</w:t>
            </w:r>
            <w:r>
              <w:rPr>
                <w:rFonts w:eastAsia="Times New Roman"/>
                <w:lang w:bidi="ar-SA"/>
              </w:rPr>
              <w:t>.95</w:t>
            </w:r>
          </w:p>
        </w:tc>
      </w:tr>
      <w:tr w:rsidR="00A31E63" w:rsidRPr="009270B9" w14:paraId="6707EDFD" w14:textId="77777777" w:rsidTr="00B14F10">
        <w:tc>
          <w:tcPr>
            <w:tcW w:w="2166" w:type="pct"/>
          </w:tcPr>
          <w:p w14:paraId="6707EDFA" w14:textId="77777777" w:rsidR="00A31E63" w:rsidRPr="009270B9" w:rsidRDefault="00A31E63" w:rsidP="00A31E63">
            <w:pPr>
              <w:widowControl w:val="0"/>
              <w:autoSpaceDE w:val="0"/>
              <w:autoSpaceDN w:val="0"/>
              <w:adjustRightInd w:val="0"/>
              <w:rPr>
                <w:rFonts w:eastAsia="Times New Roman"/>
                <w:lang w:bidi="ar-SA"/>
              </w:rPr>
            </w:pPr>
            <w:r>
              <w:rPr>
                <w:rFonts w:eastAsia="Times New Roman"/>
                <w:lang w:bidi="ar-SA"/>
              </w:rPr>
              <w:t>1,501</w:t>
            </w:r>
            <w:r w:rsidRPr="009270B9">
              <w:rPr>
                <w:rFonts w:eastAsia="Times New Roman"/>
                <w:lang w:bidi="ar-SA"/>
              </w:rPr>
              <w:t xml:space="preserve"> – </w:t>
            </w:r>
            <w:r>
              <w:rPr>
                <w:rFonts w:eastAsia="Times New Roman"/>
                <w:lang w:bidi="ar-SA"/>
              </w:rPr>
              <w:t>7,5</w:t>
            </w:r>
            <w:r w:rsidRPr="009270B9">
              <w:rPr>
                <w:rFonts w:eastAsia="Times New Roman"/>
                <w:lang w:bidi="ar-SA"/>
              </w:rPr>
              <w:t>0</w:t>
            </w:r>
            <w:r>
              <w:rPr>
                <w:rFonts w:eastAsia="Times New Roman"/>
                <w:lang w:bidi="ar-SA"/>
              </w:rPr>
              <w:t>0</w:t>
            </w:r>
            <w:r w:rsidRPr="009270B9">
              <w:rPr>
                <w:rFonts w:eastAsia="Times New Roman"/>
                <w:lang w:bidi="ar-SA"/>
              </w:rPr>
              <w:t xml:space="preserve"> Cubic Feet</w:t>
            </w:r>
          </w:p>
        </w:tc>
        <w:tc>
          <w:tcPr>
            <w:tcW w:w="1285" w:type="pct"/>
          </w:tcPr>
          <w:p w14:paraId="6707EDFB" w14:textId="77777777" w:rsidR="00A31E63" w:rsidRPr="009270B9" w:rsidRDefault="00A31E63" w:rsidP="00B14F10">
            <w:pPr>
              <w:widowControl w:val="0"/>
              <w:autoSpaceDE w:val="0"/>
              <w:autoSpaceDN w:val="0"/>
              <w:adjustRightInd w:val="0"/>
              <w:jc w:val="center"/>
              <w:rPr>
                <w:rFonts w:eastAsia="Times New Roman"/>
                <w:lang w:bidi="ar-SA"/>
              </w:rPr>
            </w:pPr>
            <w:r>
              <w:rPr>
                <w:rFonts w:eastAsia="Times New Roman"/>
                <w:lang w:bidi="ar-SA"/>
              </w:rPr>
              <w:t>$1.10</w:t>
            </w:r>
          </w:p>
        </w:tc>
        <w:tc>
          <w:tcPr>
            <w:tcW w:w="1549" w:type="pct"/>
          </w:tcPr>
          <w:p w14:paraId="6707EDFC" w14:textId="77777777" w:rsidR="00A31E63" w:rsidRPr="009270B9" w:rsidRDefault="00A31E63" w:rsidP="00B14F10">
            <w:pPr>
              <w:widowControl w:val="0"/>
              <w:autoSpaceDE w:val="0"/>
              <w:autoSpaceDN w:val="0"/>
              <w:adjustRightInd w:val="0"/>
              <w:jc w:val="center"/>
              <w:rPr>
                <w:rFonts w:eastAsia="Times New Roman"/>
                <w:lang w:bidi="ar-SA"/>
              </w:rPr>
            </w:pPr>
            <w:r w:rsidRPr="009270B9">
              <w:rPr>
                <w:rFonts w:eastAsia="Times New Roman"/>
                <w:lang w:bidi="ar-SA"/>
              </w:rPr>
              <w:t>$</w:t>
            </w:r>
            <w:r>
              <w:rPr>
                <w:rFonts w:eastAsia="Times New Roman"/>
                <w:lang w:bidi="ar-SA"/>
              </w:rPr>
              <w:t>1.25</w:t>
            </w:r>
          </w:p>
        </w:tc>
      </w:tr>
      <w:tr w:rsidR="00A31E63" w:rsidRPr="009270B9" w14:paraId="6707EE01" w14:textId="77777777" w:rsidTr="00B14F10">
        <w:tc>
          <w:tcPr>
            <w:tcW w:w="2166" w:type="pct"/>
          </w:tcPr>
          <w:p w14:paraId="6707EDFE" w14:textId="77777777" w:rsidR="00A31E63" w:rsidRPr="009270B9" w:rsidRDefault="00A31E63" w:rsidP="00A31E63">
            <w:pPr>
              <w:widowControl w:val="0"/>
              <w:autoSpaceDE w:val="0"/>
              <w:autoSpaceDN w:val="0"/>
              <w:adjustRightInd w:val="0"/>
              <w:rPr>
                <w:rFonts w:eastAsia="Times New Roman"/>
                <w:lang w:bidi="ar-SA"/>
              </w:rPr>
            </w:pPr>
            <w:r w:rsidRPr="009270B9">
              <w:rPr>
                <w:rFonts w:eastAsia="Times New Roman"/>
                <w:lang w:bidi="ar-SA"/>
              </w:rPr>
              <w:t xml:space="preserve">Over </w:t>
            </w:r>
            <w:r>
              <w:rPr>
                <w:rFonts w:eastAsia="Times New Roman"/>
                <w:lang w:bidi="ar-SA"/>
              </w:rPr>
              <w:t>7,5</w:t>
            </w:r>
            <w:r w:rsidRPr="009270B9">
              <w:rPr>
                <w:rFonts w:eastAsia="Times New Roman"/>
                <w:lang w:bidi="ar-SA"/>
              </w:rPr>
              <w:t>0</w:t>
            </w:r>
            <w:r>
              <w:rPr>
                <w:rFonts w:eastAsia="Times New Roman"/>
                <w:lang w:bidi="ar-SA"/>
              </w:rPr>
              <w:t>0</w:t>
            </w:r>
            <w:r w:rsidRPr="009270B9">
              <w:rPr>
                <w:rFonts w:eastAsia="Times New Roman"/>
                <w:lang w:bidi="ar-SA"/>
              </w:rPr>
              <w:t xml:space="preserve"> Cubic Feet</w:t>
            </w:r>
          </w:p>
        </w:tc>
        <w:tc>
          <w:tcPr>
            <w:tcW w:w="1285" w:type="pct"/>
          </w:tcPr>
          <w:p w14:paraId="6707EDFF" w14:textId="77777777" w:rsidR="00A31E63" w:rsidRPr="009270B9" w:rsidRDefault="00A31E63" w:rsidP="00B14F10">
            <w:pPr>
              <w:widowControl w:val="0"/>
              <w:autoSpaceDE w:val="0"/>
              <w:autoSpaceDN w:val="0"/>
              <w:adjustRightInd w:val="0"/>
              <w:jc w:val="center"/>
              <w:rPr>
                <w:rFonts w:eastAsia="Times New Roman"/>
                <w:lang w:bidi="ar-SA"/>
              </w:rPr>
            </w:pPr>
            <w:r w:rsidRPr="009270B9">
              <w:rPr>
                <w:rFonts w:eastAsia="Times New Roman"/>
                <w:lang w:bidi="ar-SA"/>
              </w:rPr>
              <w:t>$</w:t>
            </w:r>
            <w:r>
              <w:rPr>
                <w:rFonts w:eastAsia="Times New Roman"/>
                <w:lang w:bidi="ar-SA"/>
              </w:rPr>
              <w:t>1.36</w:t>
            </w:r>
          </w:p>
        </w:tc>
        <w:tc>
          <w:tcPr>
            <w:tcW w:w="1549" w:type="pct"/>
          </w:tcPr>
          <w:p w14:paraId="6707EE00" w14:textId="77777777" w:rsidR="00A31E63" w:rsidRPr="009270B9" w:rsidRDefault="00A31E63" w:rsidP="00B14F10">
            <w:pPr>
              <w:widowControl w:val="0"/>
              <w:autoSpaceDE w:val="0"/>
              <w:autoSpaceDN w:val="0"/>
              <w:adjustRightInd w:val="0"/>
              <w:jc w:val="center"/>
              <w:rPr>
                <w:rFonts w:eastAsia="Times New Roman"/>
                <w:lang w:bidi="ar-SA"/>
              </w:rPr>
            </w:pPr>
            <w:r>
              <w:rPr>
                <w:rFonts w:eastAsia="Times New Roman"/>
                <w:lang w:bidi="ar-SA"/>
              </w:rPr>
              <w:t>$1.50</w:t>
            </w:r>
          </w:p>
        </w:tc>
      </w:tr>
    </w:tbl>
    <w:p w14:paraId="6707EE02" w14:textId="77777777" w:rsidR="00640061" w:rsidRDefault="00640061" w:rsidP="006400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5" w:lineRule="auto"/>
        <w:rPr>
          <w:rFonts w:eastAsia="Times New Roman"/>
          <w:lang w:bidi="ar-SA"/>
        </w:rPr>
      </w:pPr>
    </w:p>
    <w:p w14:paraId="6707EE03" w14:textId="77777777" w:rsidR="00640061" w:rsidRPr="00C873CD" w:rsidRDefault="00640061" w:rsidP="006400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5" w:lineRule="auto"/>
        <w:rPr>
          <w:rFonts w:eastAsia="Times New Roman"/>
          <w:sz w:val="22"/>
          <w:szCs w:val="22"/>
          <w:lang w:bidi="ar-SA"/>
        </w:rPr>
      </w:pPr>
      <w:r w:rsidRPr="00C873CD">
        <w:rPr>
          <w:rFonts w:eastAsia="Times New Roman"/>
          <w:sz w:val="22"/>
          <w:szCs w:val="22"/>
          <w:lang w:bidi="ar-SA"/>
        </w:rPr>
        <w:t>* Other upsize meter rates are also changed and available in the proposed tariff.</w:t>
      </w:r>
    </w:p>
    <w:p w14:paraId="6707EE04" w14:textId="77777777" w:rsidR="00640061" w:rsidRPr="00C873CD" w:rsidRDefault="00640061" w:rsidP="006400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5" w:lineRule="auto"/>
        <w:rPr>
          <w:rFonts w:eastAsia="Times New Roman"/>
          <w:sz w:val="22"/>
          <w:szCs w:val="22"/>
          <w:lang w:bidi="ar-SA"/>
        </w:rPr>
      </w:pPr>
    </w:p>
    <w:p w14:paraId="6707EE05" w14:textId="77777777" w:rsidR="00A46C58" w:rsidRDefault="00A46C58" w:rsidP="00640061">
      <w:pPr>
        <w:jc w:val="center"/>
        <w:rPr>
          <w:rFonts w:eastAsia="Times New Roman"/>
          <w:b/>
          <w:u w:val="single"/>
          <w:lang w:bidi="ar-SA"/>
        </w:rPr>
      </w:pPr>
    </w:p>
    <w:p w14:paraId="6707EE06" w14:textId="77777777" w:rsidR="00640061" w:rsidRPr="009270B9" w:rsidRDefault="00640061" w:rsidP="00640061">
      <w:pPr>
        <w:jc w:val="center"/>
        <w:rPr>
          <w:rFonts w:eastAsia="Times New Roman"/>
          <w:b/>
          <w:u w:val="single"/>
          <w:lang w:bidi="ar-SA"/>
        </w:rPr>
      </w:pPr>
      <w:r w:rsidRPr="009270B9">
        <w:rPr>
          <w:rFonts w:eastAsia="Times New Roman"/>
          <w:b/>
          <w:u w:val="single"/>
          <w:lang w:bidi="ar-SA"/>
        </w:rPr>
        <w:t>Average Bill Comparison</w:t>
      </w:r>
    </w:p>
    <w:p w14:paraId="6707EE07" w14:textId="77777777" w:rsidR="00640061" w:rsidRPr="009270B9" w:rsidRDefault="00640061" w:rsidP="006400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5" w:lineRule="auto"/>
        <w:rPr>
          <w:rFonts w:eastAsia="Times New Roman"/>
          <w:lang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3"/>
        <w:gridCol w:w="2538"/>
        <w:gridCol w:w="2865"/>
      </w:tblGrid>
      <w:tr w:rsidR="00640061" w:rsidRPr="009270B9" w14:paraId="6707EE0E" w14:textId="77777777" w:rsidTr="00B14F10">
        <w:tc>
          <w:tcPr>
            <w:tcW w:w="2179" w:type="pct"/>
          </w:tcPr>
          <w:p w14:paraId="6707EE08" w14:textId="77777777" w:rsidR="00640061" w:rsidRPr="009270B9" w:rsidRDefault="00640061" w:rsidP="00B14F10">
            <w:pPr>
              <w:keepNext/>
              <w:widowControl w:val="0"/>
              <w:autoSpaceDE w:val="0"/>
              <w:autoSpaceDN w:val="0"/>
              <w:adjustRightInd w:val="0"/>
              <w:jc w:val="center"/>
              <w:outlineLvl w:val="0"/>
              <w:rPr>
                <w:rFonts w:eastAsia="Times New Roman"/>
                <w:b/>
                <w:lang w:bidi="ar-SA"/>
              </w:rPr>
            </w:pPr>
            <w:r w:rsidRPr="009270B9">
              <w:rPr>
                <w:rFonts w:eastAsia="Times New Roman"/>
                <w:b/>
                <w:lang w:bidi="ar-SA"/>
              </w:rPr>
              <w:t xml:space="preserve">Average Monthly </w:t>
            </w:r>
            <w:r w:rsidR="00006D5A">
              <w:rPr>
                <w:rFonts w:eastAsia="Times New Roman"/>
                <w:b/>
                <w:lang w:bidi="ar-SA"/>
              </w:rPr>
              <w:t>Useage</w:t>
            </w:r>
          </w:p>
          <w:p w14:paraId="6707EE09" w14:textId="10BEE340" w:rsidR="00640061" w:rsidRPr="009270B9" w:rsidRDefault="00640061" w:rsidP="00B14F10">
            <w:pPr>
              <w:keepNext/>
              <w:widowControl w:val="0"/>
              <w:autoSpaceDE w:val="0"/>
              <w:autoSpaceDN w:val="0"/>
              <w:adjustRightInd w:val="0"/>
              <w:jc w:val="center"/>
              <w:outlineLvl w:val="0"/>
              <w:rPr>
                <w:rFonts w:eastAsia="Times New Roman"/>
                <w:b/>
                <w:lang w:bidi="ar-SA"/>
              </w:rPr>
            </w:pPr>
            <w:r>
              <w:rPr>
                <w:rFonts w:eastAsia="Times New Roman"/>
                <w:b/>
                <w:lang w:bidi="ar-SA"/>
              </w:rPr>
              <w:t>9</w:t>
            </w:r>
            <w:r w:rsidR="00477A98">
              <w:rPr>
                <w:rFonts w:eastAsia="Times New Roman"/>
                <w:b/>
                <w:lang w:bidi="ar-SA"/>
              </w:rPr>
              <w:t>25</w:t>
            </w:r>
            <w:r w:rsidRPr="009270B9">
              <w:rPr>
                <w:rFonts w:eastAsia="Times New Roman"/>
                <w:b/>
                <w:lang w:bidi="ar-SA"/>
              </w:rPr>
              <w:t xml:space="preserve"> cubic feet</w:t>
            </w:r>
          </w:p>
        </w:tc>
        <w:tc>
          <w:tcPr>
            <w:tcW w:w="1325" w:type="pct"/>
            <w:vAlign w:val="center"/>
          </w:tcPr>
          <w:p w14:paraId="6707EE0A" w14:textId="77777777" w:rsidR="00640061" w:rsidRPr="009270B9" w:rsidRDefault="00640061" w:rsidP="00B14F10">
            <w:pPr>
              <w:widowControl w:val="0"/>
              <w:autoSpaceDE w:val="0"/>
              <w:autoSpaceDN w:val="0"/>
              <w:adjustRightInd w:val="0"/>
              <w:jc w:val="center"/>
              <w:rPr>
                <w:rFonts w:eastAsia="Times New Roman"/>
                <w:b/>
                <w:lang w:bidi="ar-SA"/>
              </w:rPr>
            </w:pPr>
          </w:p>
          <w:p w14:paraId="6707EE0B" w14:textId="77777777" w:rsidR="00640061" w:rsidRPr="009270B9" w:rsidRDefault="00640061" w:rsidP="00B14F10">
            <w:pPr>
              <w:widowControl w:val="0"/>
              <w:autoSpaceDE w:val="0"/>
              <w:autoSpaceDN w:val="0"/>
              <w:adjustRightInd w:val="0"/>
              <w:jc w:val="center"/>
              <w:rPr>
                <w:rFonts w:eastAsia="Times New Roman"/>
                <w:b/>
                <w:lang w:bidi="ar-SA"/>
              </w:rPr>
            </w:pPr>
            <w:r w:rsidRPr="009270B9">
              <w:rPr>
                <w:rFonts w:eastAsia="Times New Roman"/>
                <w:b/>
                <w:lang w:bidi="ar-SA"/>
              </w:rPr>
              <w:t>Current Rate</w:t>
            </w:r>
          </w:p>
        </w:tc>
        <w:tc>
          <w:tcPr>
            <w:tcW w:w="1496" w:type="pct"/>
          </w:tcPr>
          <w:p w14:paraId="6707EE0C" w14:textId="77777777" w:rsidR="00640061" w:rsidRPr="009270B9" w:rsidRDefault="00640061" w:rsidP="00B14F10">
            <w:pPr>
              <w:widowControl w:val="0"/>
              <w:autoSpaceDE w:val="0"/>
              <w:autoSpaceDN w:val="0"/>
              <w:adjustRightInd w:val="0"/>
              <w:jc w:val="center"/>
              <w:rPr>
                <w:rFonts w:eastAsia="Times New Roman"/>
                <w:b/>
                <w:lang w:bidi="ar-SA"/>
              </w:rPr>
            </w:pPr>
          </w:p>
          <w:p w14:paraId="6707EE0D" w14:textId="77777777" w:rsidR="00640061" w:rsidRPr="009270B9" w:rsidRDefault="00640061" w:rsidP="00B14F10">
            <w:pPr>
              <w:widowControl w:val="0"/>
              <w:autoSpaceDE w:val="0"/>
              <w:autoSpaceDN w:val="0"/>
              <w:adjustRightInd w:val="0"/>
              <w:jc w:val="center"/>
              <w:rPr>
                <w:rFonts w:eastAsia="Times New Roman"/>
                <w:b/>
                <w:lang w:bidi="ar-SA"/>
              </w:rPr>
            </w:pPr>
            <w:r w:rsidRPr="009270B9">
              <w:rPr>
                <w:rFonts w:eastAsia="Times New Roman"/>
                <w:b/>
                <w:lang w:bidi="ar-SA"/>
              </w:rPr>
              <w:t>Proposed Rate</w:t>
            </w:r>
          </w:p>
        </w:tc>
      </w:tr>
      <w:tr w:rsidR="00B26B2D" w:rsidRPr="009270B9" w14:paraId="6707EE12" w14:textId="77777777" w:rsidTr="00B14F10">
        <w:tc>
          <w:tcPr>
            <w:tcW w:w="2179" w:type="pct"/>
          </w:tcPr>
          <w:p w14:paraId="6707EE0F" w14:textId="6DF6BCE6" w:rsidR="00B26B2D" w:rsidRPr="009270B9" w:rsidRDefault="00B26B2D" w:rsidP="0001140F">
            <w:pPr>
              <w:keepNext/>
              <w:widowControl w:val="0"/>
              <w:autoSpaceDE w:val="0"/>
              <w:autoSpaceDN w:val="0"/>
              <w:adjustRightInd w:val="0"/>
              <w:outlineLvl w:val="0"/>
              <w:rPr>
                <w:rFonts w:eastAsia="Times New Roman"/>
                <w:lang w:bidi="ar-SA"/>
              </w:rPr>
            </w:pPr>
            <w:r>
              <w:rPr>
                <w:rFonts w:eastAsia="Times New Roman"/>
                <w:lang w:bidi="ar-SA"/>
              </w:rPr>
              <w:t>Base Rate (3/4</w:t>
            </w:r>
            <w:r w:rsidR="0001140F">
              <w:rPr>
                <w:rFonts w:eastAsia="Times New Roman"/>
                <w:lang w:bidi="ar-SA"/>
              </w:rPr>
              <w:t>-</w:t>
            </w:r>
            <w:r w:rsidRPr="009270B9">
              <w:rPr>
                <w:rFonts w:eastAsia="Times New Roman"/>
                <w:lang w:bidi="ar-SA"/>
              </w:rPr>
              <w:t>inch meter)</w:t>
            </w:r>
          </w:p>
        </w:tc>
        <w:tc>
          <w:tcPr>
            <w:tcW w:w="1325" w:type="pct"/>
          </w:tcPr>
          <w:p w14:paraId="6707EE10" w14:textId="77777777" w:rsidR="00B26B2D" w:rsidRPr="009270B9" w:rsidRDefault="00B26B2D" w:rsidP="00B14F10">
            <w:pPr>
              <w:widowControl w:val="0"/>
              <w:autoSpaceDE w:val="0"/>
              <w:autoSpaceDN w:val="0"/>
              <w:adjustRightInd w:val="0"/>
              <w:jc w:val="center"/>
              <w:rPr>
                <w:rFonts w:eastAsia="Times New Roman"/>
                <w:lang w:bidi="ar-SA"/>
              </w:rPr>
            </w:pPr>
            <w:r>
              <w:rPr>
                <w:rFonts w:eastAsia="Times New Roman"/>
                <w:lang w:bidi="ar-SA"/>
              </w:rPr>
              <w:t>$12.22</w:t>
            </w:r>
          </w:p>
        </w:tc>
        <w:tc>
          <w:tcPr>
            <w:tcW w:w="1496" w:type="pct"/>
          </w:tcPr>
          <w:p w14:paraId="6707EE11" w14:textId="77777777" w:rsidR="00B26B2D" w:rsidRPr="009553EB" w:rsidRDefault="00B26B2D" w:rsidP="00B14F10">
            <w:pPr>
              <w:widowControl w:val="0"/>
              <w:autoSpaceDE w:val="0"/>
              <w:autoSpaceDN w:val="0"/>
              <w:adjustRightInd w:val="0"/>
              <w:jc w:val="center"/>
              <w:rPr>
                <w:rFonts w:eastAsia="Times New Roman"/>
                <w:lang w:bidi="ar-SA"/>
              </w:rPr>
            </w:pPr>
            <w:r w:rsidRPr="009553EB">
              <w:rPr>
                <w:rFonts w:eastAsia="Times New Roman"/>
                <w:lang w:bidi="ar-SA"/>
              </w:rPr>
              <w:t>$13.90</w:t>
            </w:r>
          </w:p>
        </w:tc>
      </w:tr>
      <w:tr w:rsidR="00B26B2D" w:rsidRPr="009270B9" w14:paraId="6707EE16" w14:textId="77777777" w:rsidTr="00B14F10">
        <w:tc>
          <w:tcPr>
            <w:tcW w:w="2179" w:type="pct"/>
          </w:tcPr>
          <w:p w14:paraId="6707EE13" w14:textId="77777777" w:rsidR="00B26B2D" w:rsidRPr="009270B9" w:rsidRDefault="00B26B2D" w:rsidP="00B14F10">
            <w:pPr>
              <w:widowControl w:val="0"/>
              <w:autoSpaceDE w:val="0"/>
              <w:autoSpaceDN w:val="0"/>
              <w:adjustRightInd w:val="0"/>
              <w:rPr>
                <w:rFonts w:eastAsia="Times New Roman"/>
                <w:lang w:bidi="ar-SA"/>
              </w:rPr>
            </w:pPr>
            <w:r>
              <w:rPr>
                <w:rFonts w:eastAsia="Times New Roman"/>
                <w:lang w:bidi="ar-SA"/>
              </w:rPr>
              <w:t>0 - 600 cubic feet</w:t>
            </w:r>
          </w:p>
        </w:tc>
        <w:tc>
          <w:tcPr>
            <w:tcW w:w="1325" w:type="pct"/>
          </w:tcPr>
          <w:p w14:paraId="6707EE14" w14:textId="77777777" w:rsidR="00B26B2D" w:rsidRPr="009270B9" w:rsidRDefault="00B26B2D" w:rsidP="00B14F10">
            <w:pPr>
              <w:widowControl w:val="0"/>
              <w:autoSpaceDE w:val="0"/>
              <w:autoSpaceDN w:val="0"/>
              <w:adjustRightInd w:val="0"/>
              <w:jc w:val="center"/>
              <w:rPr>
                <w:rFonts w:eastAsia="Times New Roman"/>
                <w:lang w:bidi="ar-SA"/>
              </w:rPr>
            </w:pPr>
            <w:r>
              <w:rPr>
                <w:rFonts w:eastAsia="Times New Roman"/>
                <w:lang w:bidi="ar-SA"/>
              </w:rPr>
              <w:t>$5.10</w:t>
            </w:r>
          </w:p>
        </w:tc>
        <w:tc>
          <w:tcPr>
            <w:tcW w:w="1496" w:type="pct"/>
          </w:tcPr>
          <w:p w14:paraId="6707EE15" w14:textId="77777777" w:rsidR="00B26B2D" w:rsidRPr="009553EB" w:rsidRDefault="00B26B2D" w:rsidP="00B14F10">
            <w:pPr>
              <w:widowControl w:val="0"/>
              <w:autoSpaceDE w:val="0"/>
              <w:autoSpaceDN w:val="0"/>
              <w:adjustRightInd w:val="0"/>
              <w:jc w:val="center"/>
              <w:rPr>
                <w:rFonts w:eastAsia="Times New Roman"/>
                <w:lang w:bidi="ar-SA"/>
              </w:rPr>
            </w:pPr>
            <w:r w:rsidRPr="009553EB">
              <w:rPr>
                <w:rFonts w:eastAsia="Times New Roman"/>
                <w:lang w:bidi="ar-SA"/>
              </w:rPr>
              <w:t>$5.70</w:t>
            </w:r>
          </w:p>
        </w:tc>
      </w:tr>
      <w:tr w:rsidR="00B26B2D" w:rsidRPr="009270B9" w14:paraId="6707EE1A" w14:textId="77777777" w:rsidTr="00B14F10">
        <w:tc>
          <w:tcPr>
            <w:tcW w:w="2179" w:type="pct"/>
          </w:tcPr>
          <w:p w14:paraId="6707EE17" w14:textId="77777777" w:rsidR="00B26B2D" w:rsidRPr="009270B9" w:rsidRDefault="00B26B2D" w:rsidP="00B26B2D">
            <w:pPr>
              <w:widowControl w:val="0"/>
              <w:autoSpaceDE w:val="0"/>
              <w:autoSpaceDN w:val="0"/>
              <w:adjustRightInd w:val="0"/>
              <w:rPr>
                <w:rFonts w:eastAsia="Times New Roman"/>
                <w:lang w:bidi="ar-SA"/>
              </w:rPr>
            </w:pPr>
            <w:r>
              <w:rPr>
                <w:rFonts w:eastAsia="Times New Roman"/>
                <w:lang w:bidi="ar-SA"/>
              </w:rPr>
              <w:t>601 - 930 cubic feet</w:t>
            </w:r>
          </w:p>
        </w:tc>
        <w:tc>
          <w:tcPr>
            <w:tcW w:w="1325" w:type="pct"/>
          </w:tcPr>
          <w:p w14:paraId="6707EE18" w14:textId="77777777" w:rsidR="00B26B2D" w:rsidRPr="009270B9" w:rsidRDefault="00B26B2D" w:rsidP="00B14F10">
            <w:pPr>
              <w:widowControl w:val="0"/>
              <w:autoSpaceDE w:val="0"/>
              <w:autoSpaceDN w:val="0"/>
              <w:adjustRightInd w:val="0"/>
              <w:jc w:val="center"/>
              <w:rPr>
                <w:rFonts w:eastAsia="Times New Roman"/>
                <w:lang w:bidi="ar-SA"/>
              </w:rPr>
            </w:pPr>
            <w:r>
              <w:rPr>
                <w:rFonts w:eastAsia="Times New Roman"/>
                <w:lang w:bidi="ar-SA"/>
              </w:rPr>
              <w:t>$3.00</w:t>
            </w:r>
          </w:p>
        </w:tc>
        <w:tc>
          <w:tcPr>
            <w:tcW w:w="1496" w:type="pct"/>
          </w:tcPr>
          <w:p w14:paraId="6707EE19" w14:textId="0620DA28" w:rsidR="00B26B2D" w:rsidRPr="009553EB" w:rsidRDefault="00B26B2D" w:rsidP="00B14F10">
            <w:pPr>
              <w:widowControl w:val="0"/>
              <w:autoSpaceDE w:val="0"/>
              <w:autoSpaceDN w:val="0"/>
              <w:adjustRightInd w:val="0"/>
              <w:jc w:val="center"/>
              <w:rPr>
                <w:rFonts w:eastAsia="Times New Roman"/>
                <w:lang w:bidi="ar-SA"/>
              </w:rPr>
            </w:pPr>
            <w:r w:rsidRPr="009553EB">
              <w:rPr>
                <w:rFonts w:eastAsia="Times New Roman"/>
                <w:lang w:bidi="ar-SA"/>
              </w:rPr>
              <w:t>$3.</w:t>
            </w:r>
            <w:r w:rsidR="00477A98">
              <w:rPr>
                <w:rFonts w:eastAsia="Times New Roman"/>
                <w:lang w:bidi="ar-SA"/>
              </w:rPr>
              <w:t>25</w:t>
            </w:r>
          </w:p>
        </w:tc>
      </w:tr>
      <w:tr w:rsidR="00B26B2D" w:rsidRPr="009270B9" w14:paraId="6707EE1E" w14:textId="77777777" w:rsidTr="00B14F10">
        <w:tc>
          <w:tcPr>
            <w:tcW w:w="2179" w:type="pct"/>
          </w:tcPr>
          <w:p w14:paraId="6707EE1B" w14:textId="77777777" w:rsidR="00B26B2D" w:rsidRPr="009270B9" w:rsidRDefault="00B26B2D" w:rsidP="00B14F10">
            <w:pPr>
              <w:widowControl w:val="0"/>
              <w:autoSpaceDE w:val="0"/>
              <w:autoSpaceDN w:val="0"/>
              <w:adjustRightInd w:val="0"/>
              <w:rPr>
                <w:rFonts w:eastAsia="Times New Roman"/>
                <w:lang w:bidi="ar-SA"/>
              </w:rPr>
            </w:pPr>
            <w:r w:rsidRPr="009270B9">
              <w:rPr>
                <w:rFonts w:eastAsia="Times New Roman"/>
                <w:lang w:bidi="ar-SA"/>
              </w:rPr>
              <w:t>Average Monthly Bill</w:t>
            </w:r>
          </w:p>
        </w:tc>
        <w:tc>
          <w:tcPr>
            <w:tcW w:w="1325" w:type="pct"/>
          </w:tcPr>
          <w:p w14:paraId="6707EE1C" w14:textId="77777777" w:rsidR="00B26B2D" w:rsidRDefault="00B26B2D" w:rsidP="00B14F10">
            <w:pPr>
              <w:widowControl w:val="0"/>
              <w:autoSpaceDE w:val="0"/>
              <w:autoSpaceDN w:val="0"/>
              <w:adjustRightInd w:val="0"/>
              <w:jc w:val="center"/>
              <w:rPr>
                <w:rFonts w:eastAsia="Times New Roman"/>
                <w:lang w:bidi="ar-SA"/>
              </w:rPr>
            </w:pPr>
            <w:r>
              <w:rPr>
                <w:rFonts w:eastAsia="Times New Roman"/>
                <w:lang w:bidi="ar-SA"/>
              </w:rPr>
              <w:t>$20.32</w:t>
            </w:r>
          </w:p>
        </w:tc>
        <w:tc>
          <w:tcPr>
            <w:tcW w:w="1496" w:type="pct"/>
          </w:tcPr>
          <w:p w14:paraId="6707EE1D" w14:textId="355DE415" w:rsidR="00B26B2D" w:rsidRPr="009553EB" w:rsidRDefault="00B26B2D" w:rsidP="00B14F10">
            <w:pPr>
              <w:widowControl w:val="0"/>
              <w:autoSpaceDE w:val="0"/>
              <w:autoSpaceDN w:val="0"/>
              <w:adjustRightInd w:val="0"/>
              <w:jc w:val="center"/>
              <w:rPr>
                <w:rFonts w:eastAsia="Times New Roman"/>
                <w:lang w:bidi="ar-SA"/>
              </w:rPr>
            </w:pPr>
            <w:r w:rsidRPr="009553EB">
              <w:rPr>
                <w:rFonts w:eastAsia="Times New Roman"/>
                <w:lang w:bidi="ar-SA"/>
              </w:rPr>
              <w:t>$22.</w:t>
            </w:r>
            <w:r w:rsidR="00477A98">
              <w:rPr>
                <w:rFonts w:eastAsia="Times New Roman"/>
                <w:lang w:bidi="ar-SA"/>
              </w:rPr>
              <w:t>85</w:t>
            </w:r>
          </w:p>
        </w:tc>
      </w:tr>
      <w:tr w:rsidR="00B26B2D" w:rsidRPr="009270B9" w14:paraId="6707EE22" w14:textId="77777777" w:rsidTr="00B14F10">
        <w:tc>
          <w:tcPr>
            <w:tcW w:w="2179" w:type="pct"/>
          </w:tcPr>
          <w:p w14:paraId="6707EE1F" w14:textId="77777777" w:rsidR="00B26B2D" w:rsidRPr="009270B9" w:rsidRDefault="00B26B2D" w:rsidP="00B14F10">
            <w:pPr>
              <w:widowControl w:val="0"/>
              <w:autoSpaceDE w:val="0"/>
              <w:autoSpaceDN w:val="0"/>
              <w:adjustRightInd w:val="0"/>
              <w:rPr>
                <w:rFonts w:eastAsia="Times New Roman"/>
                <w:lang w:bidi="ar-SA"/>
              </w:rPr>
            </w:pPr>
            <w:r w:rsidRPr="007C07AE">
              <w:t>Increase From Current Rates</w:t>
            </w:r>
          </w:p>
        </w:tc>
        <w:tc>
          <w:tcPr>
            <w:tcW w:w="1325" w:type="pct"/>
          </w:tcPr>
          <w:p w14:paraId="6707EE20" w14:textId="354532A5" w:rsidR="00B26B2D" w:rsidRDefault="00477A98" w:rsidP="00B14F10">
            <w:pPr>
              <w:widowControl w:val="0"/>
              <w:autoSpaceDE w:val="0"/>
              <w:autoSpaceDN w:val="0"/>
              <w:adjustRightInd w:val="0"/>
              <w:jc w:val="center"/>
              <w:rPr>
                <w:rFonts w:eastAsia="Times New Roman"/>
                <w:lang w:bidi="ar-SA"/>
              </w:rPr>
            </w:pPr>
            <w:r>
              <w:rPr>
                <w:rFonts w:eastAsia="Times New Roman"/>
                <w:lang w:bidi="ar-SA"/>
              </w:rPr>
              <w:t>$2.53</w:t>
            </w:r>
          </w:p>
        </w:tc>
        <w:tc>
          <w:tcPr>
            <w:tcW w:w="1496" w:type="pct"/>
          </w:tcPr>
          <w:p w14:paraId="6707EE21" w14:textId="6E03D244" w:rsidR="00B26B2D" w:rsidRPr="009553EB" w:rsidRDefault="00006D5A" w:rsidP="00477A98">
            <w:pPr>
              <w:widowControl w:val="0"/>
              <w:autoSpaceDE w:val="0"/>
              <w:autoSpaceDN w:val="0"/>
              <w:adjustRightInd w:val="0"/>
              <w:jc w:val="center"/>
              <w:rPr>
                <w:rFonts w:eastAsia="Times New Roman"/>
                <w:lang w:bidi="ar-SA"/>
              </w:rPr>
            </w:pPr>
            <w:r w:rsidRPr="009553EB">
              <w:rPr>
                <w:rFonts w:eastAsia="Times New Roman"/>
                <w:lang w:bidi="ar-SA"/>
              </w:rPr>
              <w:t>12.</w:t>
            </w:r>
            <w:r w:rsidR="00477A98">
              <w:rPr>
                <w:rFonts w:eastAsia="Times New Roman"/>
                <w:lang w:bidi="ar-SA"/>
              </w:rPr>
              <w:t>5</w:t>
            </w:r>
            <w:r w:rsidR="00B26B2D" w:rsidRPr="009553EB">
              <w:rPr>
                <w:rFonts w:eastAsia="Times New Roman"/>
                <w:lang w:bidi="ar-SA"/>
              </w:rPr>
              <w:t>%</w:t>
            </w:r>
          </w:p>
        </w:tc>
      </w:tr>
    </w:tbl>
    <w:p w14:paraId="6707EE23" w14:textId="77777777" w:rsidR="00640061" w:rsidRDefault="00640061" w:rsidP="006400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707EE24" w14:textId="4099ED95" w:rsidR="00BE627B" w:rsidRPr="00AE389D" w:rsidRDefault="00BE627B" w:rsidP="00BC09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eastAsia="Times New Roman"/>
          <w:lang w:bidi="ar-SA"/>
        </w:rPr>
      </w:pPr>
      <w:r w:rsidRPr="00AE389D">
        <w:rPr>
          <w:rFonts w:eastAsia="Times New Roman"/>
          <w:lang w:bidi="ar-SA"/>
        </w:rPr>
        <w:t xml:space="preserve">Commission staff has not completed its review of the company’s supporting financial documents, books and records. </w:t>
      </w:r>
      <w:r w:rsidR="003C699C">
        <w:rPr>
          <w:rFonts w:eastAsia="Times New Roman"/>
          <w:lang w:bidi="ar-SA"/>
        </w:rPr>
        <w:t xml:space="preserve">The company responded </w:t>
      </w:r>
      <w:r w:rsidR="00477A98">
        <w:rPr>
          <w:rFonts w:eastAsia="Times New Roman"/>
          <w:lang w:bidi="ar-SA"/>
        </w:rPr>
        <w:t xml:space="preserve">electronically </w:t>
      </w:r>
      <w:r w:rsidR="003C699C">
        <w:rPr>
          <w:rFonts w:eastAsia="Times New Roman"/>
          <w:lang w:bidi="ar-SA"/>
        </w:rPr>
        <w:t xml:space="preserve">to outstanding data requests on August 16 </w:t>
      </w:r>
      <w:r w:rsidR="00477A98">
        <w:rPr>
          <w:rFonts w:eastAsia="Times New Roman"/>
          <w:lang w:bidi="ar-SA"/>
        </w:rPr>
        <w:t xml:space="preserve">with hard copy exhibits to follow </w:t>
      </w:r>
      <w:r w:rsidR="003C699C">
        <w:rPr>
          <w:rFonts w:eastAsia="Times New Roman"/>
          <w:lang w:bidi="ar-SA"/>
        </w:rPr>
        <w:t xml:space="preserve">and staff </w:t>
      </w:r>
      <w:r w:rsidR="00BC0903">
        <w:rPr>
          <w:rFonts w:eastAsia="Times New Roman"/>
          <w:lang w:bidi="ar-SA"/>
        </w:rPr>
        <w:t xml:space="preserve">has not yet completed our </w:t>
      </w:r>
      <w:r w:rsidR="003C699C">
        <w:rPr>
          <w:rFonts w:eastAsia="Times New Roman"/>
          <w:lang w:bidi="ar-SA"/>
        </w:rPr>
        <w:t xml:space="preserve">review. </w:t>
      </w:r>
      <w:r w:rsidRPr="00AE389D">
        <w:rPr>
          <w:rFonts w:eastAsia="Times New Roman"/>
          <w:lang w:bidi="ar-SA"/>
        </w:rPr>
        <w:t xml:space="preserve">Therefore, the company has not </w:t>
      </w:r>
      <w:r w:rsidR="00006D5A">
        <w:rPr>
          <w:rFonts w:eastAsia="Times New Roman"/>
          <w:lang w:bidi="ar-SA"/>
        </w:rPr>
        <w:t xml:space="preserve">yet </w:t>
      </w:r>
      <w:r w:rsidRPr="00AE389D">
        <w:rPr>
          <w:rFonts w:eastAsia="Times New Roman"/>
          <w:lang w:bidi="ar-SA"/>
        </w:rPr>
        <w:t>demonstrated that the proposed rates are fair,</w:t>
      </w:r>
      <w:r w:rsidR="008A5118">
        <w:rPr>
          <w:rFonts w:eastAsia="Times New Roman"/>
          <w:lang w:bidi="ar-SA"/>
        </w:rPr>
        <w:t xml:space="preserve"> </w:t>
      </w:r>
      <w:r w:rsidRPr="00AE389D">
        <w:rPr>
          <w:rFonts w:eastAsia="Times New Roman"/>
          <w:lang w:bidi="ar-SA"/>
        </w:rPr>
        <w:t>just, reasonable and sufficient.</w:t>
      </w:r>
    </w:p>
    <w:p w14:paraId="6707EE25" w14:textId="77777777" w:rsidR="00BE627B" w:rsidRPr="00EB4CE3" w:rsidRDefault="00BE627B" w:rsidP="00BE627B"/>
    <w:p w14:paraId="6707EE26" w14:textId="77777777" w:rsidR="00046A19" w:rsidRDefault="00046A19" w:rsidP="00046A19">
      <w:pPr>
        <w:rPr>
          <w:b/>
          <w:u w:val="single"/>
        </w:rPr>
      </w:pPr>
      <w:r w:rsidRPr="00935AF2">
        <w:rPr>
          <w:b/>
          <w:u w:val="single"/>
        </w:rPr>
        <w:t xml:space="preserve">Conclusion </w:t>
      </w:r>
    </w:p>
    <w:p w14:paraId="6707EE27" w14:textId="77777777" w:rsidR="00046A19" w:rsidRDefault="00046A19" w:rsidP="00046A19">
      <w:pPr>
        <w:widowControl w:val="0"/>
        <w:autoSpaceDE w:val="0"/>
        <w:autoSpaceDN w:val="0"/>
        <w:adjustRightInd w:val="0"/>
        <w:rPr>
          <w:rFonts w:eastAsia="Times New Roman"/>
          <w:color w:val="000000"/>
          <w:lang w:bidi="ar-SA"/>
        </w:rPr>
      </w:pPr>
    </w:p>
    <w:p w14:paraId="6707EE2A" w14:textId="5393C2A5" w:rsidR="002C039A" w:rsidRPr="00046A19" w:rsidRDefault="00BE627B" w:rsidP="003C699C">
      <w:r>
        <w:rPr>
          <w:color w:val="000000"/>
          <w:lang w:bidi="ar-SA"/>
        </w:rPr>
        <w:t>I</w:t>
      </w:r>
      <w:r w:rsidR="000B6B1A" w:rsidRPr="000B6B1A">
        <w:rPr>
          <w:color w:val="000000"/>
          <w:lang w:bidi="ar-SA"/>
        </w:rPr>
        <w:t xml:space="preserve">ssue a Complaint and Order </w:t>
      </w:r>
      <w:r w:rsidR="000B6B1A">
        <w:rPr>
          <w:color w:val="000000"/>
          <w:lang w:bidi="ar-SA"/>
        </w:rPr>
        <w:t>Suspending the tariff revision</w:t>
      </w:r>
      <w:r w:rsidR="0001140F">
        <w:rPr>
          <w:color w:val="000000"/>
          <w:lang w:bidi="ar-SA"/>
        </w:rPr>
        <w:t>s</w:t>
      </w:r>
      <w:r w:rsidR="000B6B1A">
        <w:rPr>
          <w:color w:val="000000"/>
          <w:lang w:bidi="ar-SA"/>
        </w:rPr>
        <w:t xml:space="preserve"> filed by Rainier View Water Co., Inc., on August 1, 2011. </w:t>
      </w:r>
    </w:p>
    <w:sectPr w:rsidR="002C039A" w:rsidRPr="00046A19" w:rsidSect="001E2713">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07EE2D" w14:textId="77777777" w:rsidR="00C60230" w:rsidRDefault="00C60230" w:rsidP="00E5657A">
      <w:r>
        <w:separator/>
      </w:r>
    </w:p>
  </w:endnote>
  <w:endnote w:type="continuationSeparator" w:id="0">
    <w:p w14:paraId="6707EE2E" w14:textId="77777777" w:rsidR="00C60230" w:rsidRDefault="00C60230" w:rsidP="00E56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07EE2B" w14:textId="77777777" w:rsidR="00C60230" w:rsidRDefault="00C60230" w:rsidP="00E5657A">
      <w:r>
        <w:separator/>
      </w:r>
    </w:p>
  </w:footnote>
  <w:footnote w:type="continuationSeparator" w:id="0">
    <w:p w14:paraId="6707EE2C" w14:textId="77777777" w:rsidR="00C60230" w:rsidRDefault="00C60230" w:rsidP="00E565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7EE2F" w14:textId="77777777" w:rsidR="00C60230" w:rsidRPr="00296F3B" w:rsidRDefault="00C60230" w:rsidP="001E2713">
    <w:pPr>
      <w:pStyle w:val="Header"/>
      <w:rPr>
        <w:sz w:val="20"/>
        <w:szCs w:val="20"/>
      </w:rPr>
    </w:pPr>
    <w:r w:rsidRPr="00296F3B">
      <w:rPr>
        <w:sz w:val="20"/>
        <w:szCs w:val="20"/>
      </w:rPr>
      <w:t>Docket UW-1</w:t>
    </w:r>
    <w:r>
      <w:rPr>
        <w:sz w:val="20"/>
        <w:szCs w:val="20"/>
      </w:rPr>
      <w:t>11399</w:t>
    </w:r>
  </w:p>
  <w:p w14:paraId="6707EE30" w14:textId="77777777" w:rsidR="00C60230" w:rsidRPr="00296F3B" w:rsidRDefault="00C60230" w:rsidP="001E2713">
    <w:pPr>
      <w:pStyle w:val="Header"/>
      <w:rPr>
        <w:sz w:val="20"/>
        <w:szCs w:val="20"/>
      </w:rPr>
    </w:pPr>
    <w:r>
      <w:rPr>
        <w:sz w:val="20"/>
        <w:szCs w:val="20"/>
      </w:rPr>
      <w:t>August 25</w:t>
    </w:r>
    <w:r w:rsidRPr="00296F3B">
      <w:rPr>
        <w:sz w:val="20"/>
        <w:szCs w:val="20"/>
      </w:rPr>
      <w:t xml:space="preserve">, </w:t>
    </w:r>
    <w:r>
      <w:rPr>
        <w:sz w:val="20"/>
        <w:szCs w:val="20"/>
      </w:rPr>
      <w:t>2011</w:t>
    </w:r>
  </w:p>
  <w:p w14:paraId="6707EE31" w14:textId="77777777" w:rsidR="00C60230" w:rsidRDefault="00C60230" w:rsidP="001E2713">
    <w:pPr>
      <w:pStyle w:val="Header"/>
      <w:rPr>
        <w:sz w:val="20"/>
        <w:szCs w:val="20"/>
      </w:rPr>
    </w:pPr>
    <w:r w:rsidRPr="00296F3B">
      <w:rPr>
        <w:sz w:val="20"/>
        <w:szCs w:val="20"/>
      </w:rPr>
      <w:t xml:space="preserve">Page </w:t>
    </w:r>
    <w:r w:rsidRPr="00296F3B">
      <w:rPr>
        <w:sz w:val="20"/>
        <w:szCs w:val="20"/>
      </w:rPr>
      <w:fldChar w:fldCharType="begin"/>
    </w:r>
    <w:r w:rsidRPr="00296F3B">
      <w:rPr>
        <w:sz w:val="20"/>
        <w:szCs w:val="20"/>
      </w:rPr>
      <w:instrText xml:space="preserve"> PAGE   \* MERGEFORMAT </w:instrText>
    </w:r>
    <w:r w:rsidRPr="00296F3B">
      <w:rPr>
        <w:sz w:val="20"/>
        <w:szCs w:val="20"/>
      </w:rPr>
      <w:fldChar w:fldCharType="separate"/>
    </w:r>
    <w:r w:rsidR="00A4610A">
      <w:rPr>
        <w:noProof/>
        <w:sz w:val="20"/>
        <w:szCs w:val="20"/>
      </w:rPr>
      <w:t>3</w:t>
    </w:r>
    <w:r w:rsidRPr="00296F3B">
      <w:rPr>
        <w:sz w:val="20"/>
        <w:szCs w:val="20"/>
      </w:rPr>
      <w:fldChar w:fldCharType="end"/>
    </w:r>
  </w:p>
  <w:p w14:paraId="6707EE32" w14:textId="77777777" w:rsidR="00C60230" w:rsidRPr="00296F3B" w:rsidRDefault="00C60230" w:rsidP="001E2713">
    <w:pPr>
      <w:pStyle w:val="Header"/>
      <w:rPr>
        <w:sz w:val="20"/>
        <w:szCs w:val="20"/>
      </w:rPr>
    </w:pPr>
  </w:p>
  <w:p w14:paraId="6707EE33" w14:textId="77777777" w:rsidR="00C60230" w:rsidRDefault="00C60230" w:rsidP="001E27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62299"/>
    <w:multiLevelType w:val="hybridMultilevel"/>
    <w:tmpl w:val="BF34BA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A551D0"/>
    <w:multiLevelType w:val="hybridMultilevel"/>
    <w:tmpl w:val="C53878AA"/>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A19"/>
    <w:rsid w:val="00006D5A"/>
    <w:rsid w:val="0001140F"/>
    <w:rsid w:val="00046A19"/>
    <w:rsid w:val="0005104E"/>
    <w:rsid w:val="000B6B1A"/>
    <w:rsid w:val="000D2500"/>
    <w:rsid w:val="000D37C4"/>
    <w:rsid w:val="000E640C"/>
    <w:rsid w:val="00140595"/>
    <w:rsid w:val="00182A1D"/>
    <w:rsid w:val="001954F2"/>
    <w:rsid w:val="001C5AB1"/>
    <w:rsid w:val="001C6E68"/>
    <w:rsid w:val="001E1D7A"/>
    <w:rsid w:val="001E2713"/>
    <w:rsid w:val="00225208"/>
    <w:rsid w:val="00272E16"/>
    <w:rsid w:val="002C039A"/>
    <w:rsid w:val="002D390A"/>
    <w:rsid w:val="00323AED"/>
    <w:rsid w:val="0035584C"/>
    <w:rsid w:val="003B6BE1"/>
    <w:rsid w:val="003C699C"/>
    <w:rsid w:val="0040784B"/>
    <w:rsid w:val="004322C3"/>
    <w:rsid w:val="004518CD"/>
    <w:rsid w:val="004676B0"/>
    <w:rsid w:val="00477A98"/>
    <w:rsid w:val="00485438"/>
    <w:rsid w:val="00495488"/>
    <w:rsid w:val="0050769C"/>
    <w:rsid w:val="00527C58"/>
    <w:rsid w:val="00543717"/>
    <w:rsid w:val="00552600"/>
    <w:rsid w:val="00554747"/>
    <w:rsid w:val="00577E5D"/>
    <w:rsid w:val="0058267C"/>
    <w:rsid w:val="005A343E"/>
    <w:rsid w:val="005A6C74"/>
    <w:rsid w:val="00621606"/>
    <w:rsid w:val="0062310E"/>
    <w:rsid w:val="00637B69"/>
    <w:rsid w:val="00640061"/>
    <w:rsid w:val="00672F7B"/>
    <w:rsid w:val="006A41EE"/>
    <w:rsid w:val="006A53A7"/>
    <w:rsid w:val="006D7A58"/>
    <w:rsid w:val="006F41DA"/>
    <w:rsid w:val="00700919"/>
    <w:rsid w:val="00717FD6"/>
    <w:rsid w:val="0072504A"/>
    <w:rsid w:val="00742F7F"/>
    <w:rsid w:val="007458F8"/>
    <w:rsid w:val="00793227"/>
    <w:rsid w:val="00794D57"/>
    <w:rsid w:val="007D2573"/>
    <w:rsid w:val="00817FF7"/>
    <w:rsid w:val="00822FD1"/>
    <w:rsid w:val="00870BB6"/>
    <w:rsid w:val="008A4BE5"/>
    <w:rsid w:val="008A5118"/>
    <w:rsid w:val="008B7991"/>
    <w:rsid w:val="0093429A"/>
    <w:rsid w:val="009553EB"/>
    <w:rsid w:val="00963EDA"/>
    <w:rsid w:val="00964470"/>
    <w:rsid w:val="009A47E4"/>
    <w:rsid w:val="009B0311"/>
    <w:rsid w:val="009B79A8"/>
    <w:rsid w:val="00A31E63"/>
    <w:rsid w:val="00A4610A"/>
    <w:rsid w:val="00A46C58"/>
    <w:rsid w:val="00A61F9F"/>
    <w:rsid w:val="00A77CD8"/>
    <w:rsid w:val="00A80CB3"/>
    <w:rsid w:val="00A84C2A"/>
    <w:rsid w:val="00AA7F14"/>
    <w:rsid w:val="00AC0E4A"/>
    <w:rsid w:val="00AD3312"/>
    <w:rsid w:val="00AE273E"/>
    <w:rsid w:val="00B13041"/>
    <w:rsid w:val="00B14F10"/>
    <w:rsid w:val="00B26B2D"/>
    <w:rsid w:val="00B561C7"/>
    <w:rsid w:val="00BB3AF4"/>
    <w:rsid w:val="00BC0903"/>
    <w:rsid w:val="00BE1B5B"/>
    <w:rsid w:val="00BE627B"/>
    <w:rsid w:val="00C60230"/>
    <w:rsid w:val="00C9285A"/>
    <w:rsid w:val="00CA429B"/>
    <w:rsid w:val="00CF36EC"/>
    <w:rsid w:val="00D157A4"/>
    <w:rsid w:val="00D23EA5"/>
    <w:rsid w:val="00D568C6"/>
    <w:rsid w:val="00D61A4B"/>
    <w:rsid w:val="00D6775B"/>
    <w:rsid w:val="00D8448A"/>
    <w:rsid w:val="00DA1B86"/>
    <w:rsid w:val="00DD2A47"/>
    <w:rsid w:val="00DF363D"/>
    <w:rsid w:val="00DF5E47"/>
    <w:rsid w:val="00E5657A"/>
    <w:rsid w:val="00E60EB2"/>
    <w:rsid w:val="00E67789"/>
    <w:rsid w:val="00E761D5"/>
    <w:rsid w:val="00E80DC5"/>
    <w:rsid w:val="00EA46AD"/>
    <w:rsid w:val="00EC5341"/>
    <w:rsid w:val="00F02C2A"/>
    <w:rsid w:val="00F21B68"/>
    <w:rsid w:val="00F3565A"/>
    <w:rsid w:val="00F97111"/>
    <w:rsid w:val="00FA5576"/>
    <w:rsid w:val="00FB7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7E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A19"/>
    <w:pPr>
      <w:spacing w:after="0" w:line="240" w:lineRule="auto"/>
    </w:pPr>
    <w:rPr>
      <w:rFonts w:ascii="Times New Roman" w:eastAsia="Calibri" w:hAnsi="Times New Roman" w:cs="Times New Roman"/>
      <w:sz w:val="24"/>
      <w:szCs w:val="24"/>
      <w:lang w:bidi="en-US"/>
    </w:rPr>
  </w:style>
  <w:style w:type="paragraph" w:styleId="Heading1">
    <w:name w:val="heading 1"/>
    <w:basedOn w:val="Normal"/>
    <w:next w:val="Normal"/>
    <w:link w:val="Heading1Char"/>
    <w:uiPriority w:val="9"/>
    <w:qFormat/>
    <w:rsid w:val="00DA1B8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basedOn w:val="Normal"/>
    <w:uiPriority w:val="1"/>
    <w:qFormat/>
    <w:rsid w:val="00046A19"/>
    <w:rPr>
      <w:szCs w:val="32"/>
    </w:rPr>
  </w:style>
  <w:style w:type="paragraph" w:styleId="Header">
    <w:name w:val="header"/>
    <w:basedOn w:val="Normal"/>
    <w:link w:val="HeaderChar"/>
    <w:uiPriority w:val="99"/>
    <w:unhideWhenUsed/>
    <w:rsid w:val="00046A19"/>
    <w:pPr>
      <w:tabs>
        <w:tab w:val="center" w:pos="4680"/>
        <w:tab w:val="right" w:pos="9360"/>
      </w:tabs>
    </w:pPr>
  </w:style>
  <w:style w:type="character" w:customStyle="1" w:styleId="HeaderChar">
    <w:name w:val="Header Char"/>
    <w:basedOn w:val="DefaultParagraphFont"/>
    <w:link w:val="Header"/>
    <w:uiPriority w:val="99"/>
    <w:rsid w:val="00046A19"/>
    <w:rPr>
      <w:rFonts w:ascii="Times New Roman" w:eastAsia="Calibri" w:hAnsi="Times New Roman" w:cs="Times New Roman"/>
      <w:sz w:val="24"/>
      <w:szCs w:val="24"/>
      <w:lang w:bidi="en-US"/>
    </w:rPr>
  </w:style>
  <w:style w:type="paragraph" w:styleId="BalloonText">
    <w:name w:val="Balloon Text"/>
    <w:basedOn w:val="Normal"/>
    <w:link w:val="BalloonTextChar"/>
    <w:uiPriority w:val="99"/>
    <w:semiHidden/>
    <w:unhideWhenUsed/>
    <w:rsid w:val="00F02C2A"/>
    <w:rPr>
      <w:rFonts w:ascii="Tahoma" w:hAnsi="Tahoma" w:cs="Tahoma"/>
      <w:sz w:val="16"/>
      <w:szCs w:val="16"/>
    </w:rPr>
  </w:style>
  <w:style w:type="character" w:customStyle="1" w:styleId="BalloonTextChar">
    <w:name w:val="Balloon Text Char"/>
    <w:basedOn w:val="DefaultParagraphFont"/>
    <w:link w:val="BalloonText"/>
    <w:uiPriority w:val="99"/>
    <w:semiHidden/>
    <w:rsid w:val="00F02C2A"/>
    <w:rPr>
      <w:rFonts w:ascii="Tahoma" w:eastAsia="Calibri" w:hAnsi="Tahoma" w:cs="Tahoma"/>
      <w:sz w:val="16"/>
      <w:szCs w:val="16"/>
      <w:lang w:bidi="en-US"/>
    </w:rPr>
  </w:style>
  <w:style w:type="table" w:styleId="TableGrid">
    <w:name w:val="Table Grid"/>
    <w:basedOn w:val="TableNormal"/>
    <w:uiPriority w:val="59"/>
    <w:rsid w:val="001C6E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2310E"/>
    <w:pPr>
      <w:tabs>
        <w:tab w:val="center" w:pos="4680"/>
        <w:tab w:val="right" w:pos="9360"/>
      </w:tabs>
    </w:pPr>
  </w:style>
  <w:style w:type="character" w:customStyle="1" w:styleId="FooterChar">
    <w:name w:val="Footer Char"/>
    <w:basedOn w:val="DefaultParagraphFont"/>
    <w:link w:val="Footer"/>
    <w:uiPriority w:val="99"/>
    <w:rsid w:val="0062310E"/>
    <w:rPr>
      <w:rFonts w:ascii="Times New Roman" w:eastAsia="Calibri" w:hAnsi="Times New Roman" w:cs="Times New Roman"/>
      <w:sz w:val="24"/>
      <w:szCs w:val="24"/>
      <w:lang w:bidi="en-US"/>
    </w:rPr>
  </w:style>
  <w:style w:type="paragraph" w:styleId="ListParagraph">
    <w:name w:val="List Paragraph"/>
    <w:basedOn w:val="Normal"/>
    <w:uiPriority w:val="34"/>
    <w:qFormat/>
    <w:rsid w:val="00640061"/>
    <w:pPr>
      <w:spacing w:after="200" w:line="276" w:lineRule="auto"/>
      <w:ind w:left="720"/>
    </w:pPr>
    <w:rPr>
      <w:rFonts w:ascii="Calibri" w:hAnsi="Calibri"/>
      <w:sz w:val="22"/>
      <w:szCs w:val="22"/>
      <w:lang w:bidi="ar-SA"/>
    </w:rPr>
  </w:style>
  <w:style w:type="character" w:styleId="Hyperlink">
    <w:name w:val="Hyperlink"/>
    <w:uiPriority w:val="99"/>
    <w:unhideWhenUsed/>
    <w:rsid w:val="00640061"/>
    <w:rPr>
      <w:color w:val="0000FF"/>
      <w:u w:val="single"/>
    </w:rPr>
  </w:style>
  <w:style w:type="paragraph" w:styleId="BodyText">
    <w:name w:val="Body Text"/>
    <w:basedOn w:val="Normal"/>
    <w:link w:val="BodyTextChar"/>
    <w:rsid w:val="00640061"/>
    <w:pPr>
      <w:widowControl w:val="0"/>
      <w:autoSpaceDE w:val="0"/>
      <w:autoSpaceDN w:val="0"/>
      <w:adjustRightInd w:val="0"/>
    </w:pPr>
    <w:rPr>
      <w:rFonts w:ascii="Courier" w:eastAsia="Times New Roman" w:hAnsi="Courier"/>
      <w:lang w:bidi="ar-SA"/>
    </w:rPr>
  </w:style>
  <w:style w:type="character" w:customStyle="1" w:styleId="BodyTextChar">
    <w:name w:val="Body Text Char"/>
    <w:basedOn w:val="DefaultParagraphFont"/>
    <w:link w:val="BodyText"/>
    <w:rsid w:val="00640061"/>
    <w:rPr>
      <w:rFonts w:ascii="Courier" w:eastAsia="Times New Roman" w:hAnsi="Courier" w:cs="Times New Roman"/>
      <w:sz w:val="24"/>
      <w:szCs w:val="24"/>
    </w:rPr>
  </w:style>
  <w:style w:type="character" w:styleId="CommentReference">
    <w:name w:val="annotation reference"/>
    <w:basedOn w:val="DefaultParagraphFont"/>
    <w:uiPriority w:val="99"/>
    <w:semiHidden/>
    <w:unhideWhenUsed/>
    <w:rsid w:val="0005104E"/>
    <w:rPr>
      <w:sz w:val="16"/>
      <w:szCs w:val="16"/>
    </w:rPr>
  </w:style>
  <w:style w:type="paragraph" w:styleId="CommentText">
    <w:name w:val="annotation text"/>
    <w:basedOn w:val="Normal"/>
    <w:link w:val="CommentTextChar"/>
    <w:uiPriority w:val="99"/>
    <w:semiHidden/>
    <w:unhideWhenUsed/>
    <w:rsid w:val="0005104E"/>
    <w:rPr>
      <w:sz w:val="20"/>
      <w:szCs w:val="20"/>
    </w:rPr>
  </w:style>
  <w:style w:type="character" w:customStyle="1" w:styleId="CommentTextChar">
    <w:name w:val="Comment Text Char"/>
    <w:basedOn w:val="DefaultParagraphFont"/>
    <w:link w:val="CommentText"/>
    <w:uiPriority w:val="99"/>
    <w:semiHidden/>
    <w:rsid w:val="0005104E"/>
    <w:rPr>
      <w:rFonts w:ascii="Times New Roman" w:eastAsia="Calibri"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5104E"/>
    <w:rPr>
      <w:b/>
      <w:bCs/>
    </w:rPr>
  </w:style>
  <w:style w:type="character" w:customStyle="1" w:styleId="CommentSubjectChar">
    <w:name w:val="Comment Subject Char"/>
    <w:basedOn w:val="CommentTextChar"/>
    <w:link w:val="CommentSubject"/>
    <w:uiPriority w:val="99"/>
    <w:semiHidden/>
    <w:rsid w:val="0005104E"/>
    <w:rPr>
      <w:rFonts w:ascii="Times New Roman" w:eastAsia="Calibri" w:hAnsi="Times New Roman" w:cs="Times New Roman"/>
      <w:b/>
      <w:bCs/>
      <w:sz w:val="20"/>
      <w:szCs w:val="20"/>
      <w:lang w:bidi="en-US"/>
    </w:rPr>
  </w:style>
  <w:style w:type="paragraph" w:styleId="Revision">
    <w:name w:val="Revision"/>
    <w:hidden/>
    <w:uiPriority w:val="99"/>
    <w:semiHidden/>
    <w:rsid w:val="0005104E"/>
    <w:pPr>
      <w:spacing w:after="0" w:line="240" w:lineRule="auto"/>
    </w:pPr>
    <w:rPr>
      <w:rFonts w:ascii="Times New Roman" w:eastAsia="Calibri" w:hAnsi="Times New Roman" w:cs="Times New Roman"/>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A19"/>
    <w:pPr>
      <w:spacing w:after="0" w:line="240" w:lineRule="auto"/>
    </w:pPr>
    <w:rPr>
      <w:rFonts w:ascii="Times New Roman" w:eastAsia="Calibri" w:hAnsi="Times New Roman" w:cs="Times New Roman"/>
      <w:sz w:val="24"/>
      <w:szCs w:val="24"/>
      <w:lang w:bidi="en-US"/>
    </w:rPr>
  </w:style>
  <w:style w:type="paragraph" w:styleId="Heading1">
    <w:name w:val="heading 1"/>
    <w:basedOn w:val="Normal"/>
    <w:next w:val="Normal"/>
    <w:link w:val="Heading1Char"/>
    <w:uiPriority w:val="9"/>
    <w:qFormat/>
    <w:rsid w:val="00DA1B8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basedOn w:val="Normal"/>
    <w:uiPriority w:val="1"/>
    <w:qFormat/>
    <w:rsid w:val="00046A19"/>
    <w:rPr>
      <w:szCs w:val="32"/>
    </w:rPr>
  </w:style>
  <w:style w:type="paragraph" w:styleId="Header">
    <w:name w:val="header"/>
    <w:basedOn w:val="Normal"/>
    <w:link w:val="HeaderChar"/>
    <w:uiPriority w:val="99"/>
    <w:unhideWhenUsed/>
    <w:rsid w:val="00046A19"/>
    <w:pPr>
      <w:tabs>
        <w:tab w:val="center" w:pos="4680"/>
        <w:tab w:val="right" w:pos="9360"/>
      </w:tabs>
    </w:pPr>
  </w:style>
  <w:style w:type="character" w:customStyle="1" w:styleId="HeaderChar">
    <w:name w:val="Header Char"/>
    <w:basedOn w:val="DefaultParagraphFont"/>
    <w:link w:val="Header"/>
    <w:uiPriority w:val="99"/>
    <w:rsid w:val="00046A19"/>
    <w:rPr>
      <w:rFonts w:ascii="Times New Roman" w:eastAsia="Calibri" w:hAnsi="Times New Roman" w:cs="Times New Roman"/>
      <w:sz w:val="24"/>
      <w:szCs w:val="24"/>
      <w:lang w:bidi="en-US"/>
    </w:rPr>
  </w:style>
  <w:style w:type="paragraph" w:styleId="BalloonText">
    <w:name w:val="Balloon Text"/>
    <w:basedOn w:val="Normal"/>
    <w:link w:val="BalloonTextChar"/>
    <w:uiPriority w:val="99"/>
    <w:semiHidden/>
    <w:unhideWhenUsed/>
    <w:rsid w:val="00F02C2A"/>
    <w:rPr>
      <w:rFonts w:ascii="Tahoma" w:hAnsi="Tahoma" w:cs="Tahoma"/>
      <w:sz w:val="16"/>
      <w:szCs w:val="16"/>
    </w:rPr>
  </w:style>
  <w:style w:type="character" w:customStyle="1" w:styleId="BalloonTextChar">
    <w:name w:val="Balloon Text Char"/>
    <w:basedOn w:val="DefaultParagraphFont"/>
    <w:link w:val="BalloonText"/>
    <w:uiPriority w:val="99"/>
    <w:semiHidden/>
    <w:rsid w:val="00F02C2A"/>
    <w:rPr>
      <w:rFonts w:ascii="Tahoma" w:eastAsia="Calibri" w:hAnsi="Tahoma" w:cs="Tahoma"/>
      <w:sz w:val="16"/>
      <w:szCs w:val="16"/>
      <w:lang w:bidi="en-US"/>
    </w:rPr>
  </w:style>
  <w:style w:type="table" w:styleId="TableGrid">
    <w:name w:val="Table Grid"/>
    <w:basedOn w:val="TableNormal"/>
    <w:uiPriority w:val="59"/>
    <w:rsid w:val="001C6E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2310E"/>
    <w:pPr>
      <w:tabs>
        <w:tab w:val="center" w:pos="4680"/>
        <w:tab w:val="right" w:pos="9360"/>
      </w:tabs>
    </w:pPr>
  </w:style>
  <w:style w:type="character" w:customStyle="1" w:styleId="FooterChar">
    <w:name w:val="Footer Char"/>
    <w:basedOn w:val="DefaultParagraphFont"/>
    <w:link w:val="Footer"/>
    <w:uiPriority w:val="99"/>
    <w:rsid w:val="0062310E"/>
    <w:rPr>
      <w:rFonts w:ascii="Times New Roman" w:eastAsia="Calibri" w:hAnsi="Times New Roman" w:cs="Times New Roman"/>
      <w:sz w:val="24"/>
      <w:szCs w:val="24"/>
      <w:lang w:bidi="en-US"/>
    </w:rPr>
  </w:style>
  <w:style w:type="paragraph" w:styleId="ListParagraph">
    <w:name w:val="List Paragraph"/>
    <w:basedOn w:val="Normal"/>
    <w:uiPriority w:val="34"/>
    <w:qFormat/>
    <w:rsid w:val="00640061"/>
    <w:pPr>
      <w:spacing w:after="200" w:line="276" w:lineRule="auto"/>
      <w:ind w:left="720"/>
    </w:pPr>
    <w:rPr>
      <w:rFonts w:ascii="Calibri" w:hAnsi="Calibri"/>
      <w:sz w:val="22"/>
      <w:szCs w:val="22"/>
      <w:lang w:bidi="ar-SA"/>
    </w:rPr>
  </w:style>
  <w:style w:type="character" w:styleId="Hyperlink">
    <w:name w:val="Hyperlink"/>
    <w:uiPriority w:val="99"/>
    <w:unhideWhenUsed/>
    <w:rsid w:val="00640061"/>
    <w:rPr>
      <w:color w:val="0000FF"/>
      <w:u w:val="single"/>
    </w:rPr>
  </w:style>
  <w:style w:type="paragraph" w:styleId="BodyText">
    <w:name w:val="Body Text"/>
    <w:basedOn w:val="Normal"/>
    <w:link w:val="BodyTextChar"/>
    <w:rsid w:val="00640061"/>
    <w:pPr>
      <w:widowControl w:val="0"/>
      <w:autoSpaceDE w:val="0"/>
      <w:autoSpaceDN w:val="0"/>
      <w:adjustRightInd w:val="0"/>
    </w:pPr>
    <w:rPr>
      <w:rFonts w:ascii="Courier" w:eastAsia="Times New Roman" w:hAnsi="Courier"/>
      <w:lang w:bidi="ar-SA"/>
    </w:rPr>
  </w:style>
  <w:style w:type="character" w:customStyle="1" w:styleId="BodyTextChar">
    <w:name w:val="Body Text Char"/>
    <w:basedOn w:val="DefaultParagraphFont"/>
    <w:link w:val="BodyText"/>
    <w:rsid w:val="00640061"/>
    <w:rPr>
      <w:rFonts w:ascii="Courier" w:eastAsia="Times New Roman" w:hAnsi="Courier" w:cs="Times New Roman"/>
      <w:sz w:val="24"/>
      <w:szCs w:val="24"/>
    </w:rPr>
  </w:style>
  <w:style w:type="character" w:styleId="CommentReference">
    <w:name w:val="annotation reference"/>
    <w:basedOn w:val="DefaultParagraphFont"/>
    <w:uiPriority w:val="99"/>
    <w:semiHidden/>
    <w:unhideWhenUsed/>
    <w:rsid w:val="0005104E"/>
    <w:rPr>
      <w:sz w:val="16"/>
      <w:szCs w:val="16"/>
    </w:rPr>
  </w:style>
  <w:style w:type="paragraph" w:styleId="CommentText">
    <w:name w:val="annotation text"/>
    <w:basedOn w:val="Normal"/>
    <w:link w:val="CommentTextChar"/>
    <w:uiPriority w:val="99"/>
    <w:semiHidden/>
    <w:unhideWhenUsed/>
    <w:rsid w:val="0005104E"/>
    <w:rPr>
      <w:sz w:val="20"/>
      <w:szCs w:val="20"/>
    </w:rPr>
  </w:style>
  <w:style w:type="character" w:customStyle="1" w:styleId="CommentTextChar">
    <w:name w:val="Comment Text Char"/>
    <w:basedOn w:val="DefaultParagraphFont"/>
    <w:link w:val="CommentText"/>
    <w:uiPriority w:val="99"/>
    <w:semiHidden/>
    <w:rsid w:val="0005104E"/>
    <w:rPr>
      <w:rFonts w:ascii="Times New Roman" w:eastAsia="Calibri"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5104E"/>
    <w:rPr>
      <w:b/>
      <w:bCs/>
    </w:rPr>
  </w:style>
  <w:style w:type="character" w:customStyle="1" w:styleId="CommentSubjectChar">
    <w:name w:val="Comment Subject Char"/>
    <w:basedOn w:val="CommentTextChar"/>
    <w:link w:val="CommentSubject"/>
    <w:uiPriority w:val="99"/>
    <w:semiHidden/>
    <w:rsid w:val="0005104E"/>
    <w:rPr>
      <w:rFonts w:ascii="Times New Roman" w:eastAsia="Calibri" w:hAnsi="Times New Roman" w:cs="Times New Roman"/>
      <w:b/>
      <w:bCs/>
      <w:sz w:val="20"/>
      <w:szCs w:val="20"/>
      <w:lang w:bidi="en-US"/>
    </w:rPr>
  </w:style>
  <w:style w:type="paragraph" w:styleId="Revision">
    <w:name w:val="Revision"/>
    <w:hidden/>
    <w:uiPriority w:val="99"/>
    <w:semiHidden/>
    <w:rsid w:val="0005104E"/>
    <w:pPr>
      <w:spacing w:after="0" w:line="240" w:lineRule="auto"/>
    </w:pPr>
    <w:rPr>
      <w:rFonts w:ascii="Times New Roman" w:eastAsia="Calibri"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psmith@utc.wa.gov" TargetMode="Externa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737AE1CE7AC0E4DA76514227E04B6F6" ma:contentTypeVersion="135" ma:contentTypeDescription="" ma:contentTypeScope="" ma:versionID="ade58e66e6556808ec9f90d18eff6ef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UW</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2011-08-01T07:00:00+00:00</OpenedDate>
    <Date1 xmlns="dc463f71-b30c-4ab2-9473-d307f9d35888">2011-08-25T07:00:00+00:00</Date1>
    <IsDocumentOrder xmlns="dc463f71-b30c-4ab2-9473-d307f9d35888" xsi:nil="true"/>
    <IsHighlyConfidential xmlns="dc463f71-b30c-4ab2-9473-d307f9d35888">false</IsHighlyConfidential>
    <CaseCompanyNames xmlns="dc463f71-b30c-4ab2-9473-d307f9d35888">Rainier View Water Company, Inc.</CaseCompanyNames>
    <DocketNumber xmlns="dc463f71-b30c-4ab2-9473-d307f9d35888">111399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746CDD0-E098-4A1B-A780-995915F038B1}"/>
</file>

<file path=customXml/itemProps2.xml><?xml version="1.0" encoding="utf-8"?>
<ds:datastoreItem xmlns:ds="http://schemas.openxmlformats.org/officeDocument/2006/customXml" ds:itemID="{5D508F9C-D8AA-4D6C-AB99-7C4E100C1A8E}"/>
</file>

<file path=customXml/itemProps3.xml><?xml version="1.0" encoding="utf-8"?>
<ds:datastoreItem xmlns:ds="http://schemas.openxmlformats.org/officeDocument/2006/customXml" ds:itemID="{D3630B3D-7A61-4250-AC79-E615B32A51E4}"/>
</file>

<file path=customXml/itemProps4.xml><?xml version="1.0" encoding="utf-8"?>
<ds:datastoreItem xmlns:ds="http://schemas.openxmlformats.org/officeDocument/2006/customXml" ds:itemID="{860113E1-60EC-4D4F-A782-AB71F7A4F1BC}"/>
</file>

<file path=docProps/app.xml><?xml version="1.0" encoding="utf-8"?>
<Properties xmlns="http://schemas.openxmlformats.org/officeDocument/2006/extended-properties" xmlns:vt="http://schemas.openxmlformats.org/officeDocument/2006/docPropsVTypes">
  <Template>Normal.dotm</Template>
  <TotalTime>0</TotalTime>
  <Pages>3</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White</dc:creator>
  <cp:lastModifiedBy>Catherine Taliaferro</cp:lastModifiedBy>
  <cp:revision>2</cp:revision>
  <cp:lastPrinted>2011-08-17T15:17:00Z</cp:lastPrinted>
  <dcterms:created xsi:type="dcterms:W3CDTF">2011-08-22T21:32:00Z</dcterms:created>
  <dcterms:modified xsi:type="dcterms:W3CDTF">2011-08-22T21:32:00Z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0x0101006E56B4D1795A2E4DB2F0B01679ED314A006737AE1CE7AC0E4DA76514227E04B6F6</vt:lpwstr>
  </property>
  <property fmtid="{D5CDD505-2E9C-101B-9397-08002B2CF9AE}" pid="3" name="_docset_NoMedatataSyncRequired">
    <vt:lpwstr>False</vt:lpwstr>
  </property>
</Properties>
</file>